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8EA8" w14:textId="77777777" w:rsidR="00E6024A" w:rsidRPr="00E6024A" w:rsidRDefault="00E6024A" w:rsidP="00E6024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val="es-ES_tradnl" w:eastAsia="es-ES"/>
        </w:rPr>
      </w:pPr>
      <w:bookmarkStart w:id="0" w:name="_Hlk71889737"/>
      <w:bookmarkStart w:id="1" w:name="_GoBack"/>
      <w:bookmarkEnd w:id="1"/>
      <w:r w:rsidRPr="00E6024A">
        <w:rPr>
          <w:rFonts w:ascii="Calibri Light" w:eastAsia="Times New Roman" w:hAnsi="Calibri Light" w:cs="Calibri Light"/>
          <w:b/>
          <w:sz w:val="20"/>
          <w:szCs w:val="20"/>
          <w:lang w:val="es-ES_tradnl" w:eastAsia="es-ES"/>
        </w:rPr>
        <w:t>Sector Desarrollo Agropecuario, Pesquero y Rural</w:t>
      </w:r>
    </w:p>
    <w:p w14:paraId="262EA557" w14:textId="77777777" w:rsidR="00E6024A" w:rsidRPr="00E6024A" w:rsidRDefault="00E6024A" w:rsidP="00E6024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val="es-ES_tradnl" w:eastAsia="es-ES"/>
        </w:rPr>
      </w:pPr>
      <w:r w:rsidRPr="00E6024A">
        <w:rPr>
          <w:rFonts w:ascii="Calibri Light" w:eastAsia="Times New Roman" w:hAnsi="Calibri Light" w:cs="Calibri Light"/>
          <w:b/>
          <w:sz w:val="20"/>
          <w:szCs w:val="20"/>
          <w:lang w:val="es-ES_tradnl" w:eastAsia="es-ES"/>
        </w:rPr>
        <w:t xml:space="preserve">Institución:  </w:t>
      </w:r>
      <w:r w:rsidR="008A735A">
        <w:rPr>
          <w:rFonts w:ascii="Calibri Light" w:eastAsia="Times New Roman" w:hAnsi="Calibri Light" w:cs="Calibri Light"/>
          <w:b/>
          <w:sz w:val="20"/>
          <w:szCs w:val="20"/>
          <w:lang w:val="es-ES_tradnl" w:eastAsia="es-ES"/>
        </w:rPr>
        <w:t>I</w:t>
      </w:r>
      <w:r w:rsidR="00E20B6B">
        <w:rPr>
          <w:rFonts w:ascii="Calibri Light" w:eastAsia="Times New Roman" w:hAnsi="Calibri Light" w:cs="Calibri Light"/>
          <w:b/>
          <w:sz w:val="20"/>
          <w:szCs w:val="20"/>
          <w:lang w:val="es-ES_tradnl" w:eastAsia="es-ES"/>
        </w:rPr>
        <w:t>ncopesca</w:t>
      </w:r>
    </w:p>
    <w:p w14:paraId="6689BA11" w14:textId="1D8966B5" w:rsidR="00E6024A" w:rsidRDefault="00E6024A" w:rsidP="00E6024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val="es-ES_tradnl" w:eastAsia="es-ES"/>
        </w:rPr>
      </w:pPr>
      <w:r w:rsidRPr="00E6024A">
        <w:rPr>
          <w:rFonts w:ascii="Calibri Light" w:eastAsia="Times New Roman" w:hAnsi="Calibri Light" w:cs="Calibri Light"/>
          <w:b/>
          <w:sz w:val="20"/>
          <w:szCs w:val="20"/>
          <w:lang w:val="es-ES_tradnl" w:eastAsia="es-ES"/>
        </w:rPr>
        <w:t>Modificación PNDIP 2019-2022</w:t>
      </w:r>
    </w:p>
    <w:p w14:paraId="4CB4189C" w14:textId="77777777" w:rsidR="00E6024A" w:rsidRPr="00E6024A" w:rsidRDefault="00E6024A" w:rsidP="00E6024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val="es-ES_tradnl" w:eastAsia="es-ES"/>
        </w:rPr>
      </w:pPr>
    </w:p>
    <w:tbl>
      <w:tblPr>
        <w:tblStyle w:val="Tablaconcuadrcula"/>
        <w:tblW w:w="10348" w:type="dxa"/>
        <w:tblLook w:val="04A0" w:firstRow="1" w:lastRow="0" w:firstColumn="1" w:lastColumn="0" w:noHBand="0" w:noVBand="1"/>
      </w:tblPr>
      <w:tblGrid>
        <w:gridCol w:w="1985"/>
        <w:gridCol w:w="2693"/>
        <w:gridCol w:w="2427"/>
        <w:gridCol w:w="3243"/>
      </w:tblGrid>
      <w:tr w:rsidR="00F37CE7" w:rsidRPr="00B77876" w14:paraId="7F866DB6" w14:textId="77777777" w:rsidTr="00694A95">
        <w:trPr>
          <w:tblHeader/>
        </w:trPr>
        <w:tc>
          <w:tcPr>
            <w:tcW w:w="1985" w:type="dxa"/>
            <w:shd w:val="clear" w:color="auto" w:fill="9CC2E5" w:themeFill="accent5" w:themeFillTint="99"/>
          </w:tcPr>
          <w:p w14:paraId="3420EADF" w14:textId="54788E44" w:rsidR="00F37CE7" w:rsidRPr="00B77876" w:rsidRDefault="00F37CE7" w:rsidP="00F37C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876">
              <w:rPr>
                <w:rFonts w:ascii="Arial" w:hAnsi="Arial" w:cs="Arial"/>
                <w:b/>
                <w:sz w:val="18"/>
                <w:szCs w:val="18"/>
              </w:rPr>
              <w:t>Variable a Modificar</w:t>
            </w:r>
            <w:r w:rsidR="00E24001">
              <w:rPr>
                <w:rFonts w:ascii="Arial" w:hAnsi="Arial" w:cs="Arial"/>
                <w:b/>
                <w:sz w:val="18"/>
                <w:szCs w:val="18"/>
              </w:rPr>
              <w:t>1/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14:paraId="6DDF2A73" w14:textId="77777777" w:rsidR="00F37CE7" w:rsidRPr="00B77876" w:rsidRDefault="00F37CE7" w:rsidP="00F37C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876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Situación vigente de la variable</w:t>
            </w:r>
          </w:p>
        </w:tc>
        <w:tc>
          <w:tcPr>
            <w:tcW w:w="2427" w:type="dxa"/>
            <w:shd w:val="clear" w:color="auto" w:fill="9CC2E5" w:themeFill="accent5" w:themeFillTint="99"/>
          </w:tcPr>
          <w:p w14:paraId="256C7BE2" w14:textId="77777777" w:rsidR="00F37CE7" w:rsidRDefault="00F37CE7" w:rsidP="00F37C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7876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Situación propuesta de la variable</w:t>
            </w:r>
          </w:p>
          <w:p w14:paraId="4DD95B8D" w14:textId="77777777" w:rsidR="00B77876" w:rsidRPr="00B77876" w:rsidRDefault="00B77876" w:rsidP="00F37C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3" w:type="dxa"/>
            <w:shd w:val="clear" w:color="auto" w:fill="9CC2E5" w:themeFill="accent5" w:themeFillTint="99"/>
          </w:tcPr>
          <w:p w14:paraId="269A10E2" w14:textId="77777777" w:rsidR="00F37CE7" w:rsidRPr="00B77876" w:rsidRDefault="00F37CE7" w:rsidP="00F37C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876">
              <w:rPr>
                <w:rFonts w:ascii="Arial" w:hAnsi="Arial" w:cs="Arial"/>
                <w:b/>
                <w:color w:val="000000"/>
                <w:sz w:val="18"/>
                <w:szCs w:val="18"/>
              </w:rPr>
              <w:t>Justificación razonada</w:t>
            </w:r>
            <w:r w:rsidR="00FA7E60" w:rsidRPr="00B7787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0"/>
      <w:tr w:rsidR="00F37CE7" w:rsidRPr="00B77876" w14:paraId="34D5D7CD" w14:textId="77777777" w:rsidTr="00694A95">
        <w:trPr>
          <w:trHeight w:val="7154"/>
        </w:trPr>
        <w:tc>
          <w:tcPr>
            <w:tcW w:w="1985" w:type="dxa"/>
          </w:tcPr>
          <w:p w14:paraId="632BE77C" w14:textId="77777777" w:rsidR="00F37CE7" w:rsidRPr="00E81AED" w:rsidRDefault="00E20B6B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 xml:space="preserve">Intervención </w:t>
            </w:r>
            <w:r w:rsidR="00F37CE7" w:rsidRPr="00E81AED">
              <w:rPr>
                <w:rFonts w:eastAsia="Times New Roman" w:cstheme="minorHAnsi"/>
                <w:color w:val="000000"/>
                <w:lang w:eastAsia="es-ES"/>
              </w:rPr>
              <w:t>estratégica:</w:t>
            </w:r>
          </w:p>
          <w:p w14:paraId="265C705E" w14:textId="77777777" w:rsidR="00F37CE7" w:rsidRPr="00E81AED" w:rsidRDefault="00F37CE7" w:rsidP="00E20B6B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 xml:space="preserve">Programa </w:t>
            </w:r>
            <w:r w:rsidR="00E20B6B" w:rsidRPr="00E81AED">
              <w:rPr>
                <w:rFonts w:eastAsia="Times New Roman" w:cstheme="minorHAnsi"/>
                <w:color w:val="000000"/>
                <w:lang w:eastAsia="es-ES"/>
              </w:rPr>
              <w:t>Nacional de Pesquerías sustentables de atún y grandes Pelágicos:</w:t>
            </w:r>
          </w:p>
          <w:p w14:paraId="434F8457" w14:textId="77777777" w:rsidR="00E20B6B" w:rsidRPr="00E81AED" w:rsidRDefault="00E20B6B" w:rsidP="00E20B6B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5C94CE4D" w14:textId="77777777" w:rsidR="00E20B6B" w:rsidRPr="00E81AED" w:rsidRDefault="00E20B6B" w:rsidP="00E20B6B">
            <w:pPr>
              <w:jc w:val="both"/>
              <w:rPr>
                <w:rFonts w:cstheme="minorHAnsi"/>
              </w:rPr>
            </w:pPr>
            <w:r w:rsidRPr="00E81AED">
              <w:rPr>
                <w:rFonts w:cstheme="minorHAnsi"/>
              </w:rPr>
              <w:t>Componentes relacionados con la meta de período 2019-2022:</w:t>
            </w:r>
          </w:p>
          <w:p w14:paraId="53BB51DD" w14:textId="77777777" w:rsidR="00E20B6B" w:rsidRPr="00E81AED" w:rsidRDefault="00E20B6B" w:rsidP="00E20B6B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20.000</w:t>
            </w:r>
            <w:r w:rsidR="005F4CED" w:rsidRPr="00E81AED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proofErr w:type="spellStart"/>
            <w:r w:rsidR="005F4CED" w:rsidRPr="00E81AED">
              <w:rPr>
                <w:rFonts w:eastAsia="Times New Roman" w:cstheme="minorHAnsi"/>
                <w:color w:val="000000"/>
                <w:lang w:eastAsia="es-ES"/>
              </w:rPr>
              <w:t>tm</w:t>
            </w:r>
            <w:proofErr w:type="spellEnd"/>
            <w:r w:rsidR="005F4CED" w:rsidRPr="00E81AED">
              <w:rPr>
                <w:rFonts w:eastAsia="Times New Roman" w:cstheme="minorHAnsi"/>
                <w:color w:val="000000"/>
                <w:lang w:eastAsia="es-ES"/>
              </w:rPr>
              <w:t xml:space="preserve"> de desembarque en Costa Rica</w:t>
            </w:r>
          </w:p>
        </w:tc>
        <w:tc>
          <w:tcPr>
            <w:tcW w:w="2693" w:type="dxa"/>
          </w:tcPr>
          <w:p w14:paraId="544068B8" w14:textId="77777777" w:rsidR="00F37CE7" w:rsidRPr="00E81AED" w:rsidRDefault="00E20B6B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 xml:space="preserve">Indicador: </w:t>
            </w:r>
            <w:r w:rsidR="0074167E" w:rsidRPr="00E81AED">
              <w:rPr>
                <w:rFonts w:eastAsia="Times New Roman" w:cstheme="minorHAnsi"/>
                <w:color w:val="000000"/>
                <w:lang w:eastAsia="es-ES"/>
              </w:rPr>
              <w:t>Incremento</w:t>
            </w:r>
            <w:r w:rsidRPr="00E81AED">
              <w:rPr>
                <w:rFonts w:eastAsia="Times New Roman" w:cstheme="minorHAnsi"/>
                <w:color w:val="000000"/>
                <w:lang w:eastAsia="es-ES"/>
              </w:rPr>
              <w:t xml:space="preserve"> en el desembarque en Costa Rica por flotas atuneras cerqueras con la capacidad costarricense.</w:t>
            </w:r>
          </w:p>
          <w:p w14:paraId="45FE4817" w14:textId="77777777" w:rsidR="00E20B6B" w:rsidRPr="00E81AED" w:rsidRDefault="00E20B6B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47206DC0" w14:textId="77777777" w:rsidR="00E20B6B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Línea de base:</w:t>
            </w:r>
            <w:r w:rsidR="004A0601" w:rsidRPr="00E81AED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Pr="00E81AED">
              <w:rPr>
                <w:rFonts w:eastAsia="Times New Roman" w:cstheme="minorHAnsi"/>
                <w:color w:val="000000"/>
                <w:lang w:eastAsia="es-ES"/>
              </w:rPr>
              <w:t>0</w:t>
            </w:r>
          </w:p>
          <w:p w14:paraId="421F3EF5" w14:textId="77777777" w:rsidR="00370FE0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43BF1F89" w14:textId="77777777" w:rsidR="00370FE0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 xml:space="preserve">Meta del período: 20.000 </w:t>
            </w:r>
            <w:proofErr w:type="spellStart"/>
            <w:r w:rsidRPr="00E81AED">
              <w:rPr>
                <w:rFonts w:eastAsia="Times New Roman" w:cstheme="minorHAnsi"/>
                <w:color w:val="000000"/>
                <w:lang w:eastAsia="es-ES"/>
              </w:rPr>
              <w:t>tm</w:t>
            </w:r>
            <w:proofErr w:type="spellEnd"/>
            <w:r w:rsidRPr="00E81AED">
              <w:rPr>
                <w:rFonts w:eastAsia="Times New Roman" w:cstheme="minorHAnsi"/>
                <w:color w:val="000000"/>
                <w:lang w:eastAsia="es-ES"/>
              </w:rPr>
              <w:t>.</w:t>
            </w:r>
          </w:p>
          <w:p w14:paraId="16299F24" w14:textId="77777777" w:rsidR="00370FE0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2019:5.000</w:t>
            </w:r>
          </w:p>
          <w:p w14:paraId="55CAEFC9" w14:textId="77777777" w:rsidR="00370FE0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2020:10.000</w:t>
            </w:r>
          </w:p>
          <w:p w14:paraId="655DC556" w14:textId="77777777" w:rsidR="00370FE0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2021:15.000</w:t>
            </w:r>
          </w:p>
          <w:p w14:paraId="596873D8" w14:textId="77777777" w:rsidR="00370FE0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2022:20.000</w:t>
            </w:r>
          </w:p>
          <w:p w14:paraId="17310C20" w14:textId="77777777" w:rsidR="00370FE0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4FAAD541" w14:textId="77777777" w:rsidR="00370FE0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Estimación presupuestaria y fuente de financiamiento: ¢185 millones</w:t>
            </w:r>
          </w:p>
          <w:p w14:paraId="67C41034" w14:textId="77777777" w:rsidR="00370FE0" w:rsidRPr="00E81AED" w:rsidRDefault="00370FE0" w:rsidP="00370FE0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2019:5.000</w:t>
            </w:r>
          </w:p>
          <w:p w14:paraId="67AE82D0" w14:textId="77777777" w:rsidR="00370FE0" w:rsidRPr="00E81AED" w:rsidRDefault="00370FE0" w:rsidP="00370FE0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2020:10.000</w:t>
            </w:r>
          </w:p>
          <w:p w14:paraId="2CDD634B" w14:textId="77777777" w:rsidR="00370FE0" w:rsidRPr="00E81AED" w:rsidRDefault="00370FE0" w:rsidP="00370FE0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2021:15.000</w:t>
            </w:r>
          </w:p>
          <w:p w14:paraId="44370625" w14:textId="77777777" w:rsidR="00370FE0" w:rsidRPr="00E81AED" w:rsidRDefault="00370FE0" w:rsidP="00370FE0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2022:20.000</w:t>
            </w:r>
          </w:p>
          <w:p w14:paraId="0DF38160" w14:textId="77777777" w:rsidR="00370FE0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Incopesca: programa 02: apoyo al sector pesquero y acuícola.</w:t>
            </w:r>
          </w:p>
          <w:p w14:paraId="51B701BC" w14:textId="77777777" w:rsidR="00370FE0" w:rsidRPr="00E81AED" w:rsidRDefault="00370FE0" w:rsidP="00F37CE7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74CA7C89" w14:textId="77777777" w:rsidR="005F4CED" w:rsidRPr="00E81AED" w:rsidRDefault="00370FE0" w:rsidP="005F4CED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Resp</w:t>
            </w:r>
            <w:r w:rsidR="00484315" w:rsidRPr="00E81AED">
              <w:rPr>
                <w:rFonts w:eastAsia="Times New Roman" w:cstheme="minorHAnsi"/>
                <w:color w:val="000000"/>
                <w:lang w:eastAsia="es-ES"/>
              </w:rPr>
              <w:t>onsable Ejecutor: INCOPESCA, Pr</w:t>
            </w:r>
            <w:r w:rsidRPr="00E81AED">
              <w:rPr>
                <w:rFonts w:eastAsia="Times New Roman" w:cstheme="minorHAnsi"/>
                <w:color w:val="000000"/>
                <w:lang w:eastAsia="es-ES"/>
              </w:rPr>
              <w:t>esidencia Ejecutiva, Dirección General técnica</w:t>
            </w:r>
          </w:p>
        </w:tc>
        <w:tc>
          <w:tcPr>
            <w:tcW w:w="2427" w:type="dxa"/>
          </w:tcPr>
          <w:p w14:paraId="457F275F" w14:textId="77777777" w:rsidR="00B408FA" w:rsidRPr="00E81AED" w:rsidRDefault="00B408FA" w:rsidP="009B109C">
            <w:pPr>
              <w:jc w:val="both"/>
              <w:rPr>
                <w:rFonts w:eastAsia="Times New Roman" w:cstheme="minorHAnsi"/>
                <w:b/>
                <w:bCs/>
                <w:iCs/>
                <w:lang w:eastAsia="es-ES"/>
              </w:rPr>
            </w:pPr>
          </w:p>
          <w:p w14:paraId="38FF0835" w14:textId="40677056" w:rsidR="00A3095A" w:rsidRPr="00E81AED" w:rsidRDefault="00370FE0" w:rsidP="009B109C">
            <w:pPr>
              <w:jc w:val="both"/>
              <w:rPr>
                <w:rFonts w:eastAsia="Times New Roman" w:cstheme="minorHAnsi"/>
                <w:b/>
                <w:bCs/>
                <w:i/>
                <w:lang w:eastAsia="es-ES"/>
              </w:rPr>
            </w:pPr>
            <w:r w:rsidRPr="00E81AED">
              <w:rPr>
                <w:rFonts w:eastAsia="Times New Roman" w:cstheme="minorHAnsi"/>
                <w:b/>
                <w:bCs/>
                <w:iCs/>
                <w:lang w:eastAsia="es-ES"/>
              </w:rPr>
              <w:t>S</w:t>
            </w:r>
            <w:r w:rsidR="009B109C" w:rsidRPr="00E81AED">
              <w:rPr>
                <w:rFonts w:eastAsia="Times New Roman" w:cstheme="minorHAnsi"/>
                <w:b/>
                <w:bCs/>
                <w:iCs/>
                <w:lang w:eastAsia="es-ES"/>
              </w:rPr>
              <w:t xml:space="preserve">upresión </w:t>
            </w:r>
            <w:r w:rsidR="00ED1841" w:rsidRPr="00E81AED">
              <w:rPr>
                <w:rFonts w:eastAsia="Times New Roman" w:cstheme="minorHAnsi"/>
                <w:b/>
                <w:bCs/>
                <w:iCs/>
                <w:lang w:eastAsia="es-ES"/>
              </w:rPr>
              <w:t xml:space="preserve">de la </w:t>
            </w:r>
            <w:r w:rsidR="00D667D0" w:rsidRPr="00E81AED">
              <w:rPr>
                <w:rFonts w:eastAsia="Times New Roman" w:cstheme="minorHAnsi"/>
                <w:b/>
                <w:bCs/>
                <w:iCs/>
                <w:lang w:eastAsia="es-ES"/>
              </w:rPr>
              <w:t xml:space="preserve">meta </w:t>
            </w:r>
            <w:r w:rsidR="00A45F19" w:rsidRPr="00E81AED">
              <w:rPr>
                <w:rFonts w:eastAsia="Times New Roman" w:cstheme="minorHAnsi"/>
                <w:b/>
                <w:bCs/>
                <w:iCs/>
                <w:lang w:eastAsia="es-ES"/>
              </w:rPr>
              <w:t>y sus variables relacionadas</w:t>
            </w:r>
            <w:r w:rsidR="00A45F19" w:rsidRPr="00E81AED">
              <w:rPr>
                <w:rFonts w:eastAsia="Times New Roman" w:cstheme="minorHAnsi"/>
                <w:iCs/>
                <w:lang w:eastAsia="es-ES"/>
              </w:rPr>
              <w:t xml:space="preserve">, </w:t>
            </w:r>
            <w:r w:rsidR="00D667D0" w:rsidRPr="00E81AED">
              <w:rPr>
                <w:rFonts w:eastAsia="Times New Roman" w:cstheme="minorHAnsi"/>
                <w:iCs/>
                <w:lang w:eastAsia="es-ES"/>
              </w:rPr>
              <w:t>debido</w:t>
            </w:r>
            <w:r w:rsidR="00A3095A" w:rsidRPr="00E81AED">
              <w:rPr>
                <w:rFonts w:eastAsia="Times New Roman" w:cstheme="minorHAnsi"/>
                <w:iCs/>
                <w:lang w:eastAsia="es-ES"/>
              </w:rPr>
              <w:t xml:space="preserve"> a que no existe seguridad </w:t>
            </w:r>
            <w:r w:rsidR="00B34DBD" w:rsidRPr="00E81AED">
              <w:rPr>
                <w:rFonts w:eastAsia="Times New Roman" w:cstheme="minorHAnsi"/>
                <w:iCs/>
                <w:lang w:eastAsia="es-ES"/>
              </w:rPr>
              <w:t xml:space="preserve">jurídica </w:t>
            </w:r>
            <w:r w:rsidR="00A3095A" w:rsidRPr="00E81AED">
              <w:rPr>
                <w:rFonts w:eastAsia="Times New Roman" w:cstheme="minorHAnsi"/>
                <w:iCs/>
                <w:lang w:eastAsia="es-ES"/>
              </w:rPr>
              <w:t>de la publicación del Decreto</w:t>
            </w:r>
            <w:r w:rsidR="00534AA3" w:rsidRPr="00E81AED">
              <w:rPr>
                <w:rFonts w:eastAsia="Times New Roman" w:cstheme="minorHAnsi"/>
                <w:iCs/>
                <w:lang w:eastAsia="es-ES"/>
              </w:rPr>
              <w:t xml:space="preserve"> y por ende no se puede asignar cuotas de acarreo</w:t>
            </w:r>
            <w:r w:rsidR="00BC540E">
              <w:rPr>
                <w:rFonts w:eastAsia="Times New Roman" w:cstheme="minorHAnsi"/>
                <w:iCs/>
                <w:lang w:eastAsia="es-ES"/>
              </w:rPr>
              <w:t xml:space="preserve">. </w:t>
            </w:r>
          </w:p>
          <w:p w14:paraId="450859F8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Cs/>
                <w:color w:val="000000"/>
                <w:lang w:eastAsia="es-ES"/>
              </w:rPr>
            </w:pPr>
          </w:p>
          <w:p w14:paraId="6C705243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2C10C602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1A890356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1551AE18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79909CDE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3BDEDBCC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6FA2F15B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59121E80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27290AD0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6C90A022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035C18A3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7F29E86C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05C674D1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297C39E3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1DC589A4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3E3E19B1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6F6C6F38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2DF3A1F8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76996CD9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  <w:p w14:paraId="76F1C527" w14:textId="77777777" w:rsidR="0052125C" w:rsidRPr="00E81AED" w:rsidRDefault="0052125C" w:rsidP="009B109C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</w:tc>
        <w:tc>
          <w:tcPr>
            <w:tcW w:w="3243" w:type="dxa"/>
          </w:tcPr>
          <w:p w14:paraId="48E2B6C5" w14:textId="35697D08" w:rsidR="00E278AE" w:rsidRDefault="00045136" w:rsidP="006034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 conformidad con la normativa legal vigente para modificaciones al PNDIP, s</w:t>
            </w:r>
            <w:r w:rsidR="00E278AE" w:rsidRPr="00E81AED">
              <w:rPr>
                <w:rFonts w:cstheme="minorHAnsi"/>
              </w:rPr>
              <w:t>e solicita la supresión de la meta por cuanto, no existe seguridad jurídica de que se publique el decreto que regula la asignación de la cuota de acarreo</w:t>
            </w:r>
            <w:r w:rsidR="00C90AFB" w:rsidRPr="00E81AED">
              <w:rPr>
                <w:rFonts w:cstheme="minorHAnsi"/>
              </w:rPr>
              <w:t xml:space="preserve"> y poder cumplir con el incremento de desembarques en Costa Rica por la flota atunera con la capacidad costarricense.</w:t>
            </w:r>
            <w:r>
              <w:rPr>
                <w:rFonts w:cstheme="minorHAnsi"/>
              </w:rPr>
              <w:t xml:space="preserve"> Sin este decreto, no se puede asignar cuotas y por ende no se puede ejecutar la meta.</w:t>
            </w:r>
          </w:p>
          <w:p w14:paraId="16A8E753" w14:textId="77777777" w:rsidR="006F5B8E" w:rsidRDefault="006F5B8E" w:rsidP="00603424">
            <w:pPr>
              <w:jc w:val="both"/>
              <w:rPr>
                <w:rFonts w:cstheme="minorHAnsi"/>
              </w:rPr>
            </w:pPr>
          </w:p>
          <w:p w14:paraId="342560FB" w14:textId="0AE2DF6D" w:rsidR="0065101B" w:rsidRPr="00E81AED" w:rsidRDefault="005E550D" w:rsidP="00603424">
            <w:pPr>
              <w:jc w:val="both"/>
              <w:rPr>
                <w:rFonts w:cstheme="minorHAnsi"/>
              </w:rPr>
            </w:pPr>
            <w:r w:rsidRPr="00E81AED">
              <w:rPr>
                <w:rFonts w:cstheme="minorHAnsi"/>
              </w:rPr>
              <w:t xml:space="preserve">Es importante señalar que a pesar de que se han realizado gestiones para avanzar en la publicación del nuevo Decreto </w:t>
            </w:r>
            <w:r w:rsidR="0065101B" w:rsidRPr="00E81AED">
              <w:rPr>
                <w:rFonts w:cstheme="minorHAnsi"/>
              </w:rPr>
              <w:t>sobre la utilización de la capacidad de cuota de acarreo asignada a Costa Rica</w:t>
            </w:r>
            <w:r w:rsidR="00F116BC" w:rsidRPr="00E81AED">
              <w:rPr>
                <w:rFonts w:cstheme="minorHAnsi"/>
              </w:rPr>
              <w:t>,</w:t>
            </w:r>
            <w:r w:rsidR="0065101B" w:rsidRPr="00E81AED">
              <w:rPr>
                <w:rFonts w:cstheme="minorHAnsi"/>
              </w:rPr>
              <w:t xml:space="preserve"> por la Comisión I</w:t>
            </w:r>
            <w:r w:rsidRPr="00E81AED">
              <w:rPr>
                <w:rFonts w:cstheme="minorHAnsi"/>
              </w:rPr>
              <w:t xml:space="preserve">nteramericana del Atún Tropical, </w:t>
            </w:r>
            <w:r w:rsidR="00B34DBD" w:rsidRPr="00E81AED">
              <w:rPr>
                <w:rFonts w:cstheme="minorHAnsi"/>
              </w:rPr>
              <w:t>a la fecha</w:t>
            </w:r>
            <w:r w:rsidRPr="00E81AED">
              <w:rPr>
                <w:rFonts w:cstheme="minorHAnsi"/>
              </w:rPr>
              <w:t xml:space="preserve"> no se ha l</w:t>
            </w:r>
            <w:r w:rsidR="008A384D" w:rsidRPr="00E81AED">
              <w:rPr>
                <w:rFonts w:cstheme="minorHAnsi"/>
              </w:rPr>
              <w:t xml:space="preserve">ogrado la publicación </w:t>
            </w:r>
            <w:r w:rsidR="00B34DBD" w:rsidRPr="00E81AED">
              <w:rPr>
                <w:rFonts w:cstheme="minorHAnsi"/>
              </w:rPr>
              <w:t>de este decreto y por ende no se puede asignar cuota de acarreo</w:t>
            </w:r>
            <w:r w:rsidR="00E77C8F" w:rsidRPr="00E81AED">
              <w:rPr>
                <w:rFonts w:cstheme="minorHAnsi"/>
              </w:rPr>
              <w:t>, por lo que no se han incrementado las descargas de atún de las de las flotas con capacidad costarricense.</w:t>
            </w:r>
          </w:p>
          <w:p w14:paraId="190641BF" w14:textId="77777777" w:rsidR="005E550D" w:rsidRPr="00E81AED" w:rsidRDefault="005E550D" w:rsidP="00603424">
            <w:pPr>
              <w:jc w:val="both"/>
              <w:rPr>
                <w:rFonts w:cstheme="minorHAnsi"/>
              </w:rPr>
            </w:pPr>
          </w:p>
          <w:p w14:paraId="7013665D" w14:textId="77777777" w:rsidR="00E77C8F" w:rsidRPr="00E81AED" w:rsidRDefault="001A5378" w:rsidP="008A384D">
            <w:pPr>
              <w:jc w:val="both"/>
              <w:rPr>
                <w:rFonts w:cstheme="minorHAnsi"/>
              </w:rPr>
            </w:pPr>
            <w:r w:rsidRPr="00E81AED">
              <w:rPr>
                <w:rFonts w:cstheme="minorHAnsi"/>
              </w:rPr>
              <w:t>Esta meta se encuentra en atraso crítico</w:t>
            </w:r>
            <w:r w:rsidR="00E77C8F" w:rsidRPr="00E81AED">
              <w:rPr>
                <w:rFonts w:cstheme="minorHAnsi"/>
              </w:rPr>
              <w:t xml:space="preserve"> desde el inicio,</w:t>
            </w:r>
            <w:r w:rsidRPr="00E81AED">
              <w:rPr>
                <w:rFonts w:cstheme="minorHAnsi"/>
              </w:rPr>
              <w:t xml:space="preserve"> no se ha avanzado nada debido a que se continúan con las gestiones con Casa Presidencial y Ministerio de Agricultura y Ganadería para la creación, formulación y publicación del nuevo Decreto sobre la utilización de la capacidad de cuota de acarreo asignada a Costa Rica por la </w:t>
            </w:r>
            <w:r w:rsidRPr="00E81AED">
              <w:rPr>
                <w:rFonts w:cstheme="minorHAnsi"/>
              </w:rPr>
              <w:lastRenderedPageBreak/>
              <w:t xml:space="preserve">Comisión Interamericana del Atún Tropical. </w:t>
            </w:r>
          </w:p>
          <w:p w14:paraId="5B94CBF8" w14:textId="77777777" w:rsidR="00E77C8F" w:rsidRPr="00E81AED" w:rsidRDefault="00E77C8F" w:rsidP="008A384D">
            <w:pPr>
              <w:jc w:val="both"/>
              <w:rPr>
                <w:rFonts w:cstheme="minorHAnsi"/>
              </w:rPr>
            </w:pPr>
          </w:p>
          <w:p w14:paraId="65D41627" w14:textId="1A22A8B4" w:rsidR="001A5378" w:rsidRPr="00E81AED" w:rsidRDefault="001A5378" w:rsidP="008A384D">
            <w:pPr>
              <w:jc w:val="both"/>
              <w:rPr>
                <w:rFonts w:cstheme="minorHAnsi"/>
              </w:rPr>
            </w:pPr>
            <w:r w:rsidRPr="00E81AED">
              <w:rPr>
                <w:rFonts w:cstheme="minorHAnsi"/>
              </w:rPr>
              <w:t>A la fecha el Decreto se encuentra en trámite en el MEIC para atender el proceso de Mejora Regulatoria</w:t>
            </w:r>
            <w:r w:rsidR="003E5557">
              <w:rPr>
                <w:rFonts w:cstheme="minorHAnsi"/>
              </w:rPr>
              <w:t>, situación que tampoco garantiza la inmediata publicación.</w:t>
            </w:r>
          </w:p>
          <w:p w14:paraId="6CFD7CC1" w14:textId="53A7F817" w:rsidR="00E4358D" w:rsidRPr="00E81AED" w:rsidRDefault="00E4358D" w:rsidP="008A384D">
            <w:pPr>
              <w:jc w:val="both"/>
              <w:rPr>
                <w:rFonts w:cstheme="minorHAnsi"/>
              </w:rPr>
            </w:pPr>
          </w:p>
          <w:p w14:paraId="6DE56D7C" w14:textId="1882A389" w:rsidR="00E4358D" w:rsidRPr="00E81AED" w:rsidRDefault="00783AFC" w:rsidP="008A384D">
            <w:pPr>
              <w:jc w:val="both"/>
              <w:rPr>
                <w:rFonts w:cstheme="minorHAnsi"/>
              </w:rPr>
            </w:pPr>
            <w:r w:rsidRPr="00E81AED">
              <w:rPr>
                <w:rFonts w:cstheme="minorHAnsi"/>
              </w:rPr>
              <w:t xml:space="preserve">Se han realizado diferentes gestiones de parte de Ministerio de Agricultura y </w:t>
            </w:r>
            <w:r w:rsidR="00B34DBD" w:rsidRPr="00E81AED">
              <w:rPr>
                <w:rFonts w:cstheme="minorHAnsi"/>
              </w:rPr>
              <w:t>Ganadería,</w:t>
            </w:r>
            <w:r w:rsidRPr="00E81AED">
              <w:rPr>
                <w:rFonts w:cstheme="minorHAnsi"/>
              </w:rPr>
              <w:t xml:space="preserve"> </w:t>
            </w:r>
            <w:r w:rsidR="00B34DBD" w:rsidRPr="00E81AED">
              <w:rPr>
                <w:rFonts w:cstheme="minorHAnsi"/>
              </w:rPr>
              <w:t xml:space="preserve">así </w:t>
            </w:r>
            <w:r w:rsidRPr="00E81AED">
              <w:rPr>
                <w:rFonts w:cstheme="minorHAnsi"/>
              </w:rPr>
              <w:t>como del INCOPESCA para gestionar la publicación</w:t>
            </w:r>
            <w:r w:rsidR="00B34DBD" w:rsidRPr="00E81AED">
              <w:rPr>
                <w:rFonts w:cstheme="minorHAnsi"/>
              </w:rPr>
              <w:t>; s</w:t>
            </w:r>
            <w:r w:rsidR="00E4358D" w:rsidRPr="00E81AED">
              <w:rPr>
                <w:rFonts w:cstheme="minorHAnsi"/>
              </w:rPr>
              <w:t xml:space="preserve">in </w:t>
            </w:r>
            <w:r w:rsidR="002337FF" w:rsidRPr="00E81AED">
              <w:rPr>
                <w:rFonts w:cstheme="minorHAnsi"/>
              </w:rPr>
              <w:t>embargo</w:t>
            </w:r>
            <w:r w:rsidR="00E4358D" w:rsidRPr="00E81AED">
              <w:rPr>
                <w:rFonts w:cstheme="minorHAnsi"/>
              </w:rPr>
              <w:t xml:space="preserve"> no </w:t>
            </w:r>
            <w:r w:rsidR="00B34DBD" w:rsidRPr="00E81AED">
              <w:rPr>
                <w:rFonts w:cstheme="minorHAnsi"/>
              </w:rPr>
              <w:t xml:space="preserve">se han dado </w:t>
            </w:r>
            <w:r w:rsidR="00E4358D" w:rsidRPr="00E81AED">
              <w:rPr>
                <w:rFonts w:cstheme="minorHAnsi"/>
              </w:rPr>
              <w:t>resultados positivos para la publicación.</w:t>
            </w:r>
          </w:p>
          <w:p w14:paraId="2E4E119E" w14:textId="77777777" w:rsidR="000122B8" w:rsidRPr="00E81AED" w:rsidRDefault="000122B8" w:rsidP="008A384D">
            <w:pPr>
              <w:jc w:val="both"/>
              <w:rPr>
                <w:rFonts w:cstheme="minorHAnsi"/>
              </w:rPr>
            </w:pPr>
          </w:p>
          <w:p w14:paraId="2C71B17C" w14:textId="1330B7D8" w:rsidR="0034251A" w:rsidRPr="00E81AED" w:rsidRDefault="009C7E52" w:rsidP="008A384D">
            <w:pPr>
              <w:jc w:val="both"/>
              <w:rPr>
                <w:rFonts w:cstheme="minorHAnsi"/>
              </w:rPr>
            </w:pPr>
            <w:r w:rsidRPr="00E81AED">
              <w:rPr>
                <w:rFonts w:cstheme="minorHAnsi"/>
              </w:rPr>
              <w:t>Aunado a lo anterior, l</w:t>
            </w:r>
            <w:r w:rsidR="00BD10BB" w:rsidRPr="00E81AED">
              <w:rPr>
                <w:rFonts w:cstheme="minorHAnsi"/>
              </w:rPr>
              <w:t>as razones fundamentales</w:t>
            </w:r>
            <w:r w:rsidR="00E45370" w:rsidRPr="00E81AED">
              <w:rPr>
                <w:rFonts w:cstheme="minorHAnsi"/>
              </w:rPr>
              <w:t xml:space="preserve"> por las que la </w:t>
            </w:r>
            <w:r w:rsidR="0034251A" w:rsidRPr="00E81AED">
              <w:rPr>
                <w:rFonts w:cstheme="minorHAnsi"/>
              </w:rPr>
              <w:t xml:space="preserve">meta debe ser suprimida </w:t>
            </w:r>
            <w:r w:rsidR="00E45370" w:rsidRPr="00E81AED">
              <w:rPr>
                <w:rFonts w:cstheme="minorHAnsi"/>
              </w:rPr>
              <w:t xml:space="preserve">del PNDIP, son las </w:t>
            </w:r>
            <w:r w:rsidR="0034251A" w:rsidRPr="00E81AED">
              <w:rPr>
                <w:rFonts w:cstheme="minorHAnsi"/>
              </w:rPr>
              <w:t>siguiente:</w:t>
            </w:r>
            <w:r w:rsidRPr="00E81AED">
              <w:rPr>
                <w:rFonts w:cstheme="minorHAnsi"/>
              </w:rPr>
              <w:t xml:space="preserve"> </w:t>
            </w:r>
          </w:p>
          <w:p w14:paraId="4BDAB45B" w14:textId="77777777" w:rsidR="00203D7B" w:rsidRPr="00E81AED" w:rsidRDefault="00203D7B" w:rsidP="008A384D">
            <w:pPr>
              <w:jc w:val="both"/>
              <w:rPr>
                <w:rFonts w:cstheme="minorHAnsi"/>
              </w:rPr>
            </w:pPr>
          </w:p>
          <w:p w14:paraId="47968683" w14:textId="4C78708C" w:rsidR="00D73524" w:rsidRPr="00E81AED" w:rsidRDefault="009C7E52" w:rsidP="009C7E52">
            <w:pPr>
              <w:jc w:val="both"/>
              <w:rPr>
                <w:rFonts w:cstheme="minorHAnsi"/>
              </w:rPr>
            </w:pPr>
            <w:r w:rsidRPr="00E81AED">
              <w:rPr>
                <w:rFonts w:cstheme="minorHAnsi"/>
                <w:b/>
                <w:bCs/>
              </w:rPr>
              <w:t>a).</w:t>
            </w:r>
            <w:r w:rsidRPr="00E81AED">
              <w:rPr>
                <w:rFonts w:cstheme="minorHAnsi"/>
              </w:rPr>
              <w:t xml:space="preserve">  </w:t>
            </w:r>
            <w:r w:rsidR="0034251A" w:rsidRPr="00E81AED">
              <w:rPr>
                <w:rFonts w:cstheme="minorHAnsi"/>
              </w:rPr>
              <w:t>C</w:t>
            </w:r>
            <w:r w:rsidR="004347EA" w:rsidRPr="00E81AED">
              <w:rPr>
                <w:rFonts w:cstheme="minorHAnsi"/>
              </w:rPr>
              <w:t xml:space="preserve">on la publicación del Decreto </w:t>
            </w:r>
            <w:r w:rsidR="0034251A" w:rsidRPr="00E81AED">
              <w:rPr>
                <w:rFonts w:cstheme="minorHAnsi"/>
              </w:rPr>
              <w:t xml:space="preserve">no se </w:t>
            </w:r>
            <w:r w:rsidR="007D0F46" w:rsidRPr="00E81AED">
              <w:rPr>
                <w:rFonts w:cstheme="minorHAnsi"/>
              </w:rPr>
              <w:t>tiene garantía</w:t>
            </w:r>
            <w:r w:rsidR="004347EA" w:rsidRPr="00E81AED">
              <w:rPr>
                <w:rFonts w:cstheme="minorHAnsi"/>
              </w:rPr>
              <w:t xml:space="preserve"> de cumplir con la cu</w:t>
            </w:r>
            <w:r w:rsidR="0034251A" w:rsidRPr="00E81AED">
              <w:rPr>
                <w:rFonts w:cstheme="minorHAnsi"/>
              </w:rPr>
              <w:t>ota</w:t>
            </w:r>
            <w:r w:rsidR="004347EA" w:rsidRPr="00E81AED">
              <w:rPr>
                <w:rFonts w:cstheme="minorHAnsi"/>
              </w:rPr>
              <w:t xml:space="preserve"> señalada</w:t>
            </w:r>
            <w:r w:rsidR="0034251A" w:rsidRPr="00E81AED">
              <w:rPr>
                <w:rFonts w:cstheme="minorHAnsi"/>
              </w:rPr>
              <w:t xml:space="preserve"> de 20 mil toneladas métricas</w:t>
            </w:r>
            <w:r w:rsidR="004347EA" w:rsidRPr="00E81AED">
              <w:rPr>
                <w:rFonts w:cstheme="minorHAnsi"/>
              </w:rPr>
              <w:t xml:space="preserve"> </w:t>
            </w:r>
            <w:r w:rsidR="009E031E" w:rsidRPr="00E81AED">
              <w:rPr>
                <w:rFonts w:cstheme="minorHAnsi"/>
              </w:rPr>
              <w:t xml:space="preserve">al </w:t>
            </w:r>
            <w:r w:rsidRPr="00E81AED">
              <w:rPr>
                <w:rFonts w:cstheme="minorHAnsi"/>
              </w:rPr>
              <w:t xml:space="preserve">año </w:t>
            </w:r>
            <w:r w:rsidR="009E031E" w:rsidRPr="00E81AED">
              <w:rPr>
                <w:rFonts w:cstheme="minorHAnsi"/>
              </w:rPr>
              <w:t>2022, e</w:t>
            </w:r>
            <w:r w:rsidR="004347EA" w:rsidRPr="00E81AED">
              <w:rPr>
                <w:rFonts w:cstheme="minorHAnsi"/>
              </w:rPr>
              <w:t xml:space="preserve">l tiempo restante </w:t>
            </w:r>
            <w:r w:rsidR="00D73524" w:rsidRPr="00E81AED">
              <w:rPr>
                <w:rFonts w:cstheme="minorHAnsi"/>
              </w:rPr>
              <w:t xml:space="preserve">para su cumplimiento </w:t>
            </w:r>
            <w:r w:rsidR="004347EA" w:rsidRPr="00E81AED">
              <w:rPr>
                <w:rFonts w:cstheme="minorHAnsi"/>
              </w:rPr>
              <w:t>es sumamente limitado</w:t>
            </w:r>
            <w:r w:rsidR="00D73524" w:rsidRPr="00E81AED">
              <w:rPr>
                <w:rFonts w:cstheme="minorHAnsi"/>
              </w:rPr>
              <w:t xml:space="preserve"> y lo que no se pudo lograr en casi tres años y medio no se podrá lograr en </w:t>
            </w:r>
            <w:r w:rsidR="009E031E" w:rsidRPr="00E81AED">
              <w:rPr>
                <w:rFonts w:cstheme="minorHAnsi"/>
              </w:rPr>
              <w:t xml:space="preserve">menos de </w:t>
            </w:r>
            <w:r w:rsidR="00D73524" w:rsidRPr="00E81AED">
              <w:rPr>
                <w:rFonts w:cstheme="minorHAnsi"/>
              </w:rPr>
              <w:t>un año.</w:t>
            </w:r>
          </w:p>
          <w:p w14:paraId="54D2F629" w14:textId="77777777" w:rsidR="004347EA" w:rsidRPr="00E81AED" w:rsidRDefault="004347EA" w:rsidP="008A384D">
            <w:pPr>
              <w:jc w:val="both"/>
              <w:rPr>
                <w:rFonts w:cstheme="minorHAnsi"/>
              </w:rPr>
            </w:pPr>
          </w:p>
          <w:p w14:paraId="36475EA4" w14:textId="72123ED8" w:rsidR="00D73524" w:rsidRPr="00E81AED" w:rsidRDefault="00203D7B" w:rsidP="00203D7B">
            <w:pPr>
              <w:jc w:val="both"/>
              <w:rPr>
                <w:rFonts w:cstheme="minorHAnsi"/>
              </w:rPr>
            </w:pPr>
            <w:r w:rsidRPr="00E81AED">
              <w:rPr>
                <w:rFonts w:cstheme="minorHAnsi"/>
                <w:b/>
                <w:bCs/>
              </w:rPr>
              <w:t>b)</w:t>
            </w:r>
            <w:r w:rsidRPr="00E81AED">
              <w:rPr>
                <w:rFonts w:cstheme="minorHAnsi"/>
              </w:rPr>
              <w:t>.</w:t>
            </w:r>
            <w:r w:rsidR="009C7E52" w:rsidRPr="00E81AED">
              <w:rPr>
                <w:rFonts w:cstheme="minorHAnsi"/>
              </w:rPr>
              <w:t xml:space="preserve"> </w:t>
            </w:r>
            <w:r w:rsidR="004347EA" w:rsidRPr="00E81AED">
              <w:rPr>
                <w:rFonts w:cstheme="minorHAnsi"/>
              </w:rPr>
              <w:t xml:space="preserve">Por otra parte, asegurar el incremento </w:t>
            </w:r>
            <w:r w:rsidR="00BD10BB" w:rsidRPr="00E81AED">
              <w:rPr>
                <w:rFonts w:cstheme="minorHAnsi"/>
              </w:rPr>
              <w:t xml:space="preserve">de los desembarques de atún </w:t>
            </w:r>
            <w:r w:rsidR="004347EA" w:rsidRPr="00E81AED">
              <w:rPr>
                <w:rFonts w:cstheme="minorHAnsi"/>
              </w:rPr>
              <w:t>no es una competencia directa del Incopesca, sino que es una actividad que corresponde fundamentalmente a la empresa privada, el I</w:t>
            </w:r>
            <w:r w:rsidR="00BD10BB" w:rsidRPr="00E81AED">
              <w:rPr>
                <w:rFonts w:cstheme="minorHAnsi"/>
              </w:rPr>
              <w:t>NCOPESCA</w:t>
            </w:r>
            <w:r w:rsidR="004347EA" w:rsidRPr="00E81AED">
              <w:rPr>
                <w:rFonts w:cstheme="minorHAnsi"/>
              </w:rPr>
              <w:t xml:space="preserve"> </w:t>
            </w:r>
            <w:r w:rsidR="00D73524" w:rsidRPr="00E81AED">
              <w:rPr>
                <w:rFonts w:cstheme="minorHAnsi"/>
              </w:rPr>
              <w:t>no puede garantizar que las flotas extranjeras utilicen la cuota</w:t>
            </w:r>
            <w:r w:rsidR="00BD10BB" w:rsidRPr="00E81AED">
              <w:rPr>
                <w:rFonts w:cstheme="minorHAnsi"/>
              </w:rPr>
              <w:t>, es una decisión completamente entre privados.</w:t>
            </w:r>
          </w:p>
          <w:p w14:paraId="0F1B7B0F" w14:textId="3E56CDCF" w:rsidR="00BD10BB" w:rsidRDefault="00BD10BB" w:rsidP="00BD10BB">
            <w:pPr>
              <w:pStyle w:val="Prrafodelista"/>
              <w:rPr>
                <w:rFonts w:cstheme="minorHAnsi"/>
              </w:rPr>
            </w:pPr>
          </w:p>
          <w:p w14:paraId="75450598" w14:textId="3F4CE3CD" w:rsidR="00694A95" w:rsidRDefault="00694A95" w:rsidP="00694A95">
            <w:pPr>
              <w:jc w:val="both"/>
              <w:rPr>
                <w:rFonts w:cstheme="minorHAnsi"/>
              </w:rPr>
            </w:pPr>
            <w:r w:rsidRPr="00694A95">
              <w:rPr>
                <w:rFonts w:cstheme="minorHAnsi"/>
                <w:b/>
                <w:bCs/>
              </w:rPr>
              <w:lastRenderedPageBreak/>
              <w:t>c)</w:t>
            </w:r>
            <w:r>
              <w:rPr>
                <w:rFonts w:cstheme="minorHAnsi"/>
              </w:rPr>
              <w:t xml:space="preserve"> No es posible una disminución de la meta de periodo, por cuanto ante la incertidumbre de la publicación del decreto, aunado a que el Incopesca administrativamente estaría supeditado a que se realicen las descargas para realizar el trámite correspondiente, situación que al igual que los otros aspectos señalados, tampoco estaría en manos del Incopesca</w:t>
            </w:r>
          </w:p>
          <w:p w14:paraId="25DFBDBA" w14:textId="77777777" w:rsidR="00694A95" w:rsidRDefault="00694A95" w:rsidP="00BD10BB">
            <w:pPr>
              <w:pStyle w:val="Prrafodelista"/>
              <w:rPr>
                <w:rFonts w:cstheme="minorHAnsi"/>
              </w:rPr>
            </w:pPr>
          </w:p>
          <w:p w14:paraId="67D32376" w14:textId="77777777" w:rsidR="009C7E52" w:rsidRDefault="000122B8" w:rsidP="009C7E52">
            <w:pPr>
              <w:jc w:val="both"/>
              <w:rPr>
                <w:rFonts w:cstheme="minorHAnsi"/>
              </w:rPr>
            </w:pPr>
            <w:r w:rsidRPr="00E81AED">
              <w:rPr>
                <w:rFonts w:cstheme="minorHAnsi"/>
              </w:rPr>
              <w:t>Por lo anteriormente, señalado, se solicita la supresión del compromiso en el PNDIP 2019-2022 ante la imposibilidad legal de cumplir con la meta establecida</w:t>
            </w:r>
            <w:r w:rsidR="009C7E52" w:rsidRPr="00E81AED">
              <w:rPr>
                <w:rFonts w:cstheme="minorHAnsi"/>
              </w:rPr>
              <w:t>; sin embargo, a nivel institucional, se continuará gestionando la publicación del decreto y la asignación de cuotas de acarreo.</w:t>
            </w:r>
          </w:p>
          <w:p w14:paraId="2092A522" w14:textId="03CC08CB" w:rsidR="00755939" w:rsidRPr="00E81AED" w:rsidRDefault="00755939" w:rsidP="003E5557">
            <w:pPr>
              <w:jc w:val="both"/>
              <w:rPr>
                <w:rFonts w:cstheme="minorHAnsi"/>
              </w:rPr>
            </w:pPr>
          </w:p>
        </w:tc>
      </w:tr>
      <w:tr w:rsidR="00826CCB" w:rsidRPr="00B77876" w14:paraId="0A7E1F70" w14:textId="77777777" w:rsidTr="00694A95">
        <w:trPr>
          <w:trHeight w:val="3609"/>
        </w:trPr>
        <w:tc>
          <w:tcPr>
            <w:tcW w:w="1985" w:type="dxa"/>
          </w:tcPr>
          <w:p w14:paraId="538405ED" w14:textId="77777777" w:rsidR="00370440" w:rsidRPr="00E81AED" w:rsidRDefault="00370440" w:rsidP="00370440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lastRenderedPageBreak/>
              <w:t>Intervención estratégica:</w:t>
            </w:r>
          </w:p>
          <w:p w14:paraId="0AE44139" w14:textId="77777777" w:rsidR="00370440" w:rsidRPr="00E81AED" w:rsidRDefault="00370440" w:rsidP="00370440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Programa Nacional de Pesquerías sustentables de atún y grandes Pelágicos:</w:t>
            </w:r>
          </w:p>
          <w:p w14:paraId="71A6DF4D" w14:textId="77777777" w:rsidR="00370440" w:rsidRPr="00E81AED" w:rsidRDefault="00370440" w:rsidP="00370440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7117825D" w14:textId="6C9C5A3F" w:rsidR="00826CCB" w:rsidRPr="00E81AED" w:rsidRDefault="00370440" w:rsidP="00D667D0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cstheme="minorHAnsi"/>
              </w:rPr>
              <w:t>Componentes relacionados con la meta de período 2019-2022</w:t>
            </w:r>
            <w:r w:rsidRPr="00E81AED">
              <w:rPr>
                <w:rFonts w:cstheme="minorHAnsi"/>
                <w:color w:val="44546A" w:themeColor="text2"/>
              </w:rPr>
              <w:t>:</w:t>
            </w:r>
            <w:r w:rsidR="00D667D0" w:rsidRPr="00E81AED">
              <w:rPr>
                <w:rFonts w:cstheme="minorHAnsi"/>
                <w:color w:val="44546A" w:themeColor="text2"/>
              </w:rPr>
              <w:t xml:space="preserve"> </w:t>
            </w:r>
            <w:r w:rsidR="00D667D0" w:rsidRPr="00F23B57">
              <w:rPr>
                <w:rFonts w:eastAsia="Times New Roman" w:cstheme="minorHAnsi"/>
                <w:lang w:eastAsia="es-ES"/>
              </w:rPr>
              <w:t>520 embarcaciones monitoreadas con seguimiento satelital</w:t>
            </w:r>
            <w:r w:rsidR="009C7E52" w:rsidRPr="00F23B57">
              <w:rPr>
                <w:rFonts w:eastAsia="Times New Roman" w:cstheme="minorHAnsi"/>
                <w:lang w:eastAsia="es-ES"/>
              </w:rPr>
              <w:t xml:space="preserve"> y sus variables relacionadas</w:t>
            </w:r>
          </w:p>
        </w:tc>
        <w:tc>
          <w:tcPr>
            <w:tcW w:w="2693" w:type="dxa"/>
          </w:tcPr>
          <w:p w14:paraId="1FEADAFC" w14:textId="77777777" w:rsidR="00826CCB" w:rsidRPr="00E81AED" w:rsidRDefault="00D667D0" w:rsidP="00374B53">
            <w:pPr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520</w:t>
            </w:r>
            <w:r w:rsidR="00374B53" w:rsidRPr="00E81AED">
              <w:rPr>
                <w:rFonts w:eastAsia="Times New Roman" w:cstheme="minorHAnsi"/>
                <w:color w:val="000000"/>
                <w:lang w:eastAsia="es-ES"/>
              </w:rPr>
              <w:t xml:space="preserve"> de embarcaciones monitoreadas con seguimiento satelital</w:t>
            </w:r>
          </w:p>
          <w:p w14:paraId="1404EA1A" w14:textId="77777777" w:rsidR="00D667D0" w:rsidRPr="00E81AED" w:rsidRDefault="00D667D0" w:rsidP="00374B53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  <w:p w14:paraId="6D74A238" w14:textId="77777777" w:rsidR="00D667D0" w:rsidRPr="00E81AED" w:rsidRDefault="00D667D0" w:rsidP="00374B53">
            <w:pPr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2019:448</w:t>
            </w:r>
          </w:p>
          <w:p w14:paraId="34737491" w14:textId="77777777" w:rsidR="00D667D0" w:rsidRPr="00E81AED" w:rsidRDefault="00D667D0" w:rsidP="00374B53">
            <w:pPr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2020:472</w:t>
            </w:r>
          </w:p>
          <w:p w14:paraId="45C3834B" w14:textId="77777777" w:rsidR="00D667D0" w:rsidRPr="00E81AED" w:rsidRDefault="00D667D0" w:rsidP="00374B53">
            <w:pPr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2021:496</w:t>
            </w:r>
          </w:p>
          <w:p w14:paraId="464CDD78" w14:textId="77777777" w:rsidR="00D667D0" w:rsidRPr="00E81AED" w:rsidRDefault="00D667D0" w:rsidP="00374B53">
            <w:pPr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2022:520</w:t>
            </w:r>
          </w:p>
          <w:p w14:paraId="5BD36C9E" w14:textId="77777777" w:rsidR="00CF6CA2" w:rsidRPr="00E81AED" w:rsidRDefault="00CF6CA2" w:rsidP="00374B53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  <w:p w14:paraId="29C16E92" w14:textId="77777777" w:rsidR="00CF6CA2" w:rsidRPr="00E81AED" w:rsidRDefault="00CF6CA2" w:rsidP="00374B53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  <w:p w14:paraId="32584948" w14:textId="30A50945" w:rsidR="00020DD9" w:rsidRPr="00E81AED" w:rsidRDefault="00020DD9" w:rsidP="00020DD9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Estimación presupuestaria y fuente de financiamiento: ¢52 millones</w:t>
            </w:r>
          </w:p>
          <w:p w14:paraId="46616F03" w14:textId="77777777" w:rsidR="00020DD9" w:rsidRPr="00E81AED" w:rsidRDefault="00020DD9" w:rsidP="00020DD9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00001CA3" w14:textId="77777777" w:rsidR="00020DD9" w:rsidRPr="00E81AED" w:rsidRDefault="00020DD9" w:rsidP="00020DD9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2019:11.000</w:t>
            </w:r>
          </w:p>
          <w:p w14:paraId="1F5745A6" w14:textId="77777777" w:rsidR="00020DD9" w:rsidRPr="00E81AED" w:rsidRDefault="00020DD9" w:rsidP="00020DD9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2020:13.000</w:t>
            </w:r>
          </w:p>
          <w:p w14:paraId="7217C021" w14:textId="77777777" w:rsidR="00020DD9" w:rsidRPr="00E81AED" w:rsidRDefault="00020DD9" w:rsidP="00020DD9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2021:15.000</w:t>
            </w:r>
          </w:p>
          <w:p w14:paraId="14329CEA" w14:textId="77777777" w:rsidR="00020DD9" w:rsidRPr="00E81AED" w:rsidRDefault="00020DD9" w:rsidP="00020DD9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2022:17.000</w:t>
            </w:r>
          </w:p>
          <w:p w14:paraId="74BA7846" w14:textId="77777777" w:rsidR="00020DD9" w:rsidRPr="00E81AED" w:rsidRDefault="00020DD9" w:rsidP="00020DD9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lastRenderedPageBreak/>
              <w:t>Incopesca: programa 02: apoyo al sector pesquero y acuícola.</w:t>
            </w:r>
          </w:p>
          <w:p w14:paraId="2DF129FD" w14:textId="4E8A7FDE" w:rsidR="00CF6CA2" w:rsidRPr="00E81AED" w:rsidRDefault="00CF6CA2" w:rsidP="00374B53">
            <w:pPr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427" w:type="dxa"/>
          </w:tcPr>
          <w:p w14:paraId="3266A2C7" w14:textId="1FE4B5B1" w:rsidR="00826CCB" w:rsidRPr="00F23B57" w:rsidRDefault="009C7E52" w:rsidP="009B109C">
            <w:pPr>
              <w:jc w:val="both"/>
              <w:rPr>
                <w:rFonts w:eastAsia="Times New Roman" w:cstheme="minorHAnsi"/>
                <w:b/>
                <w:bCs/>
                <w:i/>
                <w:lang w:eastAsia="es-ES"/>
              </w:rPr>
            </w:pPr>
            <w:r w:rsidRPr="00F23B57">
              <w:rPr>
                <w:rFonts w:eastAsia="Times New Roman" w:cstheme="minorHAnsi"/>
                <w:b/>
                <w:bCs/>
                <w:i/>
                <w:lang w:eastAsia="es-ES"/>
              </w:rPr>
              <w:lastRenderedPageBreak/>
              <w:t>D</w:t>
            </w:r>
            <w:r w:rsidR="00584946" w:rsidRPr="00F23B57">
              <w:rPr>
                <w:rFonts w:eastAsia="Times New Roman" w:cstheme="minorHAnsi"/>
                <w:b/>
                <w:bCs/>
                <w:i/>
                <w:lang w:eastAsia="es-ES"/>
              </w:rPr>
              <w:t>isminu</w:t>
            </w:r>
            <w:r w:rsidRPr="00F23B57">
              <w:rPr>
                <w:rFonts w:eastAsia="Times New Roman" w:cstheme="minorHAnsi"/>
                <w:b/>
                <w:bCs/>
                <w:i/>
                <w:lang w:eastAsia="es-ES"/>
              </w:rPr>
              <w:t xml:space="preserve">ción de la </w:t>
            </w:r>
            <w:r w:rsidR="00584946" w:rsidRPr="00F23B57">
              <w:rPr>
                <w:rFonts w:eastAsia="Times New Roman" w:cstheme="minorHAnsi"/>
                <w:b/>
                <w:bCs/>
                <w:i/>
                <w:lang w:eastAsia="es-ES"/>
              </w:rPr>
              <w:t xml:space="preserve">meta </w:t>
            </w:r>
            <w:r w:rsidRPr="00F23B57">
              <w:rPr>
                <w:rFonts w:eastAsia="Times New Roman" w:cstheme="minorHAnsi"/>
                <w:b/>
                <w:bCs/>
                <w:i/>
                <w:lang w:eastAsia="es-ES"/>
              </w:rPr>
              <w:t>de periodo 2019-2022, su anualización, presupuesto y ajuste de la ficha del indicador:</w:t>
            </w:r>
          </w:p>
          <w:p w14:paraId="2826C6E2" w14:textId="72A8912F" w:rsidR="00584946" w:rsidRPr="00E81AED" w:rsidRDefault="00584946" w:rsidP="009B109C">
            <w:pPr>
              <w:jc w:val="both"/>
              <w:rPr>
                <w:rFonts w:eastAsia="Times New Roman" w:cstheme="minorHAnsi"/>
                <w:b/>
                <w:bCs/>
                <w:i/>
                <w:color w:val="44546A" w:themeColor="text2"/>
                <w:lang w:eastAsia="es-ES"/>
              </w:rPr>
            </w:pPr>
          </w:p>
          <w:p w14:paraId="39B048EE" w14:textId="716A3682" w:rsidR="00ED1841" w:rsidRPr="004C3954" w:rsidRDefault="00ED1841" w:rsidP="009B109C">
            <w:pPr>
              <w:jc w:val="both"/>
              <w:rPr>
                <w:rFonts w:eastAsia="Times New Roman" w:cstheme="minorHAnsi"/>
                <w:iCs/>
                <w:lang w:eastAsia="es-ES"/>
              </w:rPr>
            </w:pPr>
            <w:r w:rsidRPr="004C3954">
              <w:rPr>
                <w:rFonts w:eastAsia="Times New Roman" w:cstheme="minorHAnsi"/>
                <w:iCs/>
                <w:lang w:eastAsia="es-ES"/>
              </w:rPr>
              <w:t xml:space="preserve">Meta Periodo 2019-2022: </w:t>
            </w:r>
            <w:r w:rsidR="0064524C" w:rsidRPr="004C3954">
              <w:rPr>
                <w:rFonts w:eastAsia="Times New Roman" w:cstheme="minorHAnsi"/>
                <w:b/>
                <w:bCs/>
                <w:iCs/>
                <w:lang w:eastAsia="es-ES"/>
              </w:rPr>
              <w:t>3</w:t>
            </w:r>
            <w:r w:rsidR="00E81AED" w:rsidRPr="004C3954">
              <w:rPr>
                <w:rFonts w:eastAsia="Times New Roman" w:cstheme="minorHAnsi"/>
                <w:b/>
                <w:bCs/>
                <w:iCs/>
                <w:lang w:eastAsia="es-ES"/>
              </w:rPr>
              <w:t>8</w:t>
            </w:r>
            <w:r w:rsidR="004C3954" w:rsidRPr="004C3954">
              <w:rPr>
                <w:rFonts w:eastAsia="Times New Roman" w:cstheme="minorHAnsi"/>
                <w:b/>
                <w:bCs/>
                <w:iCs/>
                <w:lang w:eastAsia="es-ES"/>
              </w:rPr>
              <w:t>3</w:t>
            </w:r>
            <w:r w:rsidR="00CF6CA2" w:rsidRPr="004C3954">
              <w:rPr>
                <w:rFonts w:eastAsia="Times New Roman" w:cstheme="minorHAnsi"/>
                <w:b/>
                <w:bCs/>
                <w:iCs/>
                <w:lang w:eastAsia="es-ES"/>
              </w:rPr>
              <w:t xml:space="preserve"> </w:t>
            </w:r>
            <w:r w:rsidRPr="004C3954">
              <w:rPr>
                <w:rFonts w:eastAsia="Times New Roman" w:cstheme="minorHAnsi"/>
                <w:iCs/>
                <w:lang w:eastAsia="es-ES"/>
              </w:rPr>
              <w:t xml:space="preserve">embarcaciones monitoreadas con seguimiento </w:t>
            </w:r>
            <w:r w:rsidR="00D97C46" w:rsidRPr="004C3954">
              <w:rPr>
                <w:rFonts w:eastAsia="Times New Roman" w:cstheme="minorHAnsi"/>
                <w:iCs/>
                <w:lang w:eastAsia="es-ES"/>
              </w:rPr>
              <w:t xml:space="preserve">satelital. </w:t>
            </w:r>
          </w:p>
          <w:p w14:paraId="5E2A5F3C" w14:textId="77777777" w:rsidR="009C7E52" w:rsidRPr="004C3954" w:rsidRDefault="009C7E52" w:rsidP="009B109C">
            <w:pPr>
              <w:jc w:val="both"/>
              <w:rPr>
                <w:rFonts w:eastAsia="Times New Roman" w:cstheme="minorHAnsi"/>
                <w:iCs/>
                <w:lang w:eastAsia="es-ES"/>
              </w:rPr>
            </w:pPr>
          </w:p>
          <w:p w14:paraId="0D78A97B" w14:textId="7F580047" w:rsidR="00584946" w:rsidRPr="004C3954" w:rsidRDefault="00D667D0" w:rsidP="009B109C">
            <w:pPr>
              <w:jc w:val="both"/>
              <w:rPr>
                <w:rFonts w:eastAsia="Times New Roman" w:cstheme="minorHAnsi"/>
                <w:iCs/>
                <w:lang w:eastAsia="es-ES"/>
              </w:rPr>
            </w:pPr>
            <w:r w:rsidRPr="004C3954">
              <w:rPr>
                <w:rFonts w:eastAsia="Times New Roman" w:cstheme="minorHAnsi"/>
                <w:iCs/>
                <w:lang w:eastAsia="es-ES"/>
              </w:rPr>
              <w:t>2019:</w:t>
            </w:r>
            <w:r w:rsidR="0064524C" w:rsidRPr="004C3954">
              <w:rPr>
                <w:rFonts w:eastAsia="Times New Roman" w:cstheme="minorHAnsi"/>
                <w:iCs/>
                <w:lang w:eastAsia="es-ES"/>
              </w:rPr>
              <w:t>448</w:t>
            </w:r>
          </w:p>
          <w:p w14:paraId="745E20FF" w14:textId="2C17E455" w:rsidR="00D667D0" w:rsidRPr="004C3954" w:rsidRDefault="00D667D0" w:rsidP="009B109C">
            <w:pPr>
              <w:jc w:val="both"/>
              <w:rPr>
                <w:rFonts w:eastAsia="Times New Roman" w:cstheme="minorHAnsi"/>
                <w:iCs/>
                <w:lang w:eastAsia="es-ES"/>
              </w:rPr>
            </w:pPr>
            <w:r w:rsidRPr="004C3954">
              <w:rPr>
                <w:rFonts w:eastAsia="Times New Roman" w:cstheme="minorHAnsi"/>
                <w:iCs/>
                <w:lang w:eastAsia="es-ES"/>
              </w:rPr>
              <w:t>2020:</w:t>
            </w:r>
            <w:r w:rsidR="0064524C" w:rsidRPr="004C3954">
              <w:rPr>
                <w:rFonts w:eastAsia="Times New Roman" w:cstheme="minorHAnsi"/>
                <w:iCs/>
                <w:lang w:eastAsia="es-ES"/>
              </w:rPr>
              <w:t>476</w:t>
            </w:r>
          </w:p>
          <w:p w14:paraId="6964F7D1" w14:textId="6521C33A" w:rsidR="00ED1841" w:rsidRPr="004C3954" w:rsidRDefault="00ED1841" w:rsidP="009B109C">
            <w:pPr>
              <w:jc w:val="both"/>
              <w:rPr>
                <w:rFonts w:eastAsia="Times New Roman" w:cstheme="minorHAnsi"/>
                <w:b/>
                <w:iCs/>
                <w:lang w:eastAsia="es-ES"/>
              </w:rPr>
            </w:pPr>
            <w:r w:rsidRPr="004C3954">
              <w:rPr>
                <w:rFonts w:eastAsia="Times New Roman" w:cstheme="minorHAnsi"/>
                <w:b/>
                <w:iCs/>
                <w:lang w:eastAsia="es-ES"/>
              </w:rPr>
              <w:t>202</w:t>
            </w:r>
            <w:r w:rsidR="0064524C" w:rsidRPr="004C3954">
              <w:rPr>
                <w:rFonts w:eastAsia="Times New Roman" w:cstheme="minorHAnsi"/>
                <w:b/>
                <w:iCs/>
                <w:lang w:eastAsia="es-ES"/>
              </w:rPr>
              <w:t>1</w:t>
            </w:r>
            <w:r w:rsidRPr="004C3954">
              <w:rPr>
                <w:rFonts w:eastAsia="Times New Roman" w:cstheme="minorHAnsi"/>
                <w:b/>
                <w:iCs/>
                <w:lang w:eastAsia="es-ES"/>
              </w:rPr>
              <w:t>:</w:t>
            </w:r>
            <w:r w:rsidR="0064524C" w:rsidRPr="004C3954">
              <w:rPr>
                <w:rFonts w:eastAsia="Times New Roman" w:cstheme="minorHAnsi"/>
                <w:b/>
                <w:iCs/>
                <w:lang w:eastAsia="es-ES"/>
              </w:rPr>
              <w:t>3</w:t>
            </w:r>
            <w:r w:rsidR="00E81AED" w:rsidRPr="004C3954">
              <w:rPr>
                <w:rFonts w:eastAsia="Times New Roman" w:cstheme="minorHAnsi"/>
                <w:b/>
                <w:iCs/>
                <w:lang w:eastAsia="es-ES"/>
              </w:rPr>
              <w:t>8</w:t>
            </w:r>
            <w:r w:rsidR="008D4D88" w:rsidRPr="004C3954">
              <w:rPr>
                <w:rFonts w:eastAsia="Times New Roman" w:cstheme="minorHAnsi"/>
                <w:b/>
                <w:iCs/>
                <w:lang w:eastAsia="es-ES"/>
              </w:rPr>
              <w:t>3</w:t>
            </w:r>
          </w:p>
          <w:p w14:paraId="7593C748" w14:textId="72C99D9C" w:rsidR="00CF6CA2" w:rsidRPr="00F23B57" w:rsidRDefault="00E81AED" w:rsidP="009B109C">
            <w:pPr>
              <w:jc w:val="both"/>
              <w:rPr>
                <w:rFonts w:eastAsia="Times New Roman" w:cstheme="minorHAnsi"/>
                <w:iCs/>
                <w:lang w:eastAsia="es-ES"/>
              </w:rPr>
            </w:pPr>
            <w:r w:rsidRPr="00F23B57">
              <w:rPr>
                <w:rFonts w:eastAsia="Times New Roman" w:cstheme="minorHAnsi"/>
                <w:iCs/>
                <w:lang w:eastAsia="es-ES"/>
              </w:rPr>
              <w:t>2022:0</w:t>
            </w:r>
          </w:p>
          <w:p w14:paraId="3BB05771" w14:textId="77777777" w:rsidR="00E81AED" w:rsidRPr="00F23B57" w:rsidRDefault="00E81AED" w:rsidP="009B109C">
            <w:pPr>
              <w:jc w:val="both"/>
              <w:rPr>
                <w:rFonts w:eastAsia="Times New Roman" w:cstheme="minorHAnsi"/>
                <w:iCs/>
                <w:color w:val="44546A" w:themeColor="text2"/>
                <w:lang w:eastAsia="es-ES"/>
              </w:rPr>
            </w:pPr>
          </w:p>
          <w:p w14:paraId="69E83F2C" w14:textId="5CD5CD55" w:rsidR="00020DD9" w:rsidRPr="00E81AED" w:rsidRDefault="00020DD9" w:rsidP="00020DD9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23B57">
              <w:rPr>
                <w:rFonts w:eastAsia="Times New Roman" w:cstheme="minorHAnsi"/>
                <w:iCs/>
                <w:color w:val="000000"/>
                <w:lang w:eastAsia="es-ES"/>
              </w:rPr>
              <w:t>Estimación</w:t>
            </w:r>
            <w:r w:rsidRPr="00E81AED">
              <w:rPr>
                <w:rFonts w:eastAsia="Times New Roman" w:cstheme="minorHAnsi"/>
                <w:color w:val="000000"/>
                <w:lang w:eastAsia="es-ES"/>
              </w:rPr>
              <w:t xml:space="preserve"> presupuestaria y fuente </w:t>
            </w:r>
            <w:r w:rsidRPr="00E81AED">
              <w:rPr>
                <w:rFonts w:eastAsia="Times New Roman" w:cstheme="minorHAnsi"/>
                <w:color w:val="000000"/>
                <w:lang w:eastAsia="es-ES"/>
              </w:rPr>
              <w:lastRenderedPageBreak/>
              <w:t>de financiamiento: ¢</w:t>
            </w:r>
            <w:r w:rsidR="00E81AED">
              <w:rPr>
                <w:rFonts w:eastAsia="Times New Roman" w:cstheme="minorHAnsi"/>
                <w:color w:val="000000"/>
                <w:lang w:eastAsia="es-ES"/>
              </w:rPr>
              <w:t>39</w:t>
            </w:r>
            <w:r w:rsidRPr="00E81AED">
              <w:rPr>
                <w:rFonts w:eastAsia="Times New Roman" w:cstheme="minorHAnsi"/>
                <w:color w:val="000000"/>
                <w:lang w:eastAsia="es-ES"/>
              </w:rPr>
              <w:t xml:space="preserve"> millones</w:t>
            </w:r>
          </w:p>
          <w:p w14:paraId="0DCC61D4" w14:textId="074E149E" w:rsidR="00020DD9" w:rsidRPr="00E81AED" w:rsidRDefault="00020DD9" w:rsidP="00020DD9">
            <w:pPr>
              <w:jc w:val="both"/>
              <w:rPr>
                <w:rFonts w:eastAsia="Times New Roman" w:cstheme="minorHAnsi"/>
                <w:lang w:eastAsia="es-ES"/>
              </w:rPr>
            </w:pPr>
            <w:r w:rsidRPr="00E81AED">
              <w:rPr>
                <w:rFonts w:eastAsia="Times New Roman" w:cstheme="minorHAnsi"/>
                <w:lang w:eastAsia="es-ES"/>
              </w:rPr>
              <w:t>2019:11.000</w:t>
            </w:r>
          </w:p>
          <w:p w14:paraId="74D1ADEC" w14:textId="2C7A42BF" w:rsidR="00020DD9" w:rsidRPr="00E81AED" w:rsidRDefault="00020DD9" w:rsidP="00020DD9">
            <w:pPr>
              <w:jc w:val="both"/>
              <w:rPr>
                <w:rFonts w:eastAsia="Times New Roman" w:cstheme="minorHAnsi"/>
                <w:lang w:eastAsia="es-ES"/>
              </w:rPr>
            </w:pPr>
            <w:r w:rsidRPr="00E81AED">
              <w:rPr>
                <w:rFonts w:eastAsia="Times New Roman" w:cstheme="minorHAnsi"/>
                <w:lang w:eastAsia="es-ES"/>
              </w:rPr>
              <w:t>2020:13.000</w:t>
            </w:r>
          </w:p>
          <w:p w14:paraId="2B0A2182" w14:textId="77777777" w:rsidR="00020DD9" w:rsidRPr="00E81AED" w:rsidRDefault="00020DD9" w:rsidP="00020DD9">
            <w:pPr>
              <w:jc w:val="both"/>
              <w:rPr>
                <w:rFonts w:eastAsia="Times New Roman" w:cstheme="minorHAnsi"/>
                <w:lang w:eastAsia="es-ES"/>
              </w:rPr>
            </w:pPr>
            <w:r w:rsidRPr="00E81AED">
              <w:rPr>
                <w:rFonts w:eastAsia="Times New Roman" w:cstheme="minorHAnsi"/>
                <w:lang w:eastAsia="es-ES"/>
              </w:rPr>
              <w:t>2021:15.000</w:t>
            </w:r>
          </w:p>
          <w:p w14:paraId="3EB44BEC" w14:textId="07963AEE" w:rsidR="00020DD9" w:rsidRPr="00E81AED" w:rsidRDefault="00020DD9" w:rsidP="00020DD9">
            <w:pPr>
              <w:jc w:val="both"/>
              <w:rPr>
                <w:rFonts w:eastAsia="Times New Roman" w:cstheme="minorHAnsi"/>
                <w:lang w:eastAsia="es-ES"/>
              </w:rPr>
            </w:pPr>
            <w:r w:rsidRPr="00E81AED">
              <w:rPr>
                <w:rFonts w:eastAsia="Times New Roman" w:cstheme="minorHAnsi"/>
                <w:lang w:eastAsia="es-ES"/>
              </w:rPr>
              <w:t>2022:</w:t>
            </w:r>
            <w:r w:rsidR="00E81AED" w:rsidRPr="00E81AED">
              <w:rPr>
                <w:rFonts w:eastAsia="Times New Roman" w:cstheme="minorHAnsi"/>
                <w:lang w:eastAsia="es-ES"/>
              </w:rPr>
              <w:t>0</w:t>
            </w:r>
          </w:p>
          <w:p w14:paraId="25D17274" w14:textId="77777777" w:rsidR="00020DD9" w:rsidRPr="00E81AED" w:rsidRDefault="00020DD9" w:rsidP="00020DD9">
            <w:pPr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E81AED">
              <w:rPr>
                <w:rFonts w:eastAsia="Times New Roman" w:cstheme="minorHAnsi"/>
                <w:color w:val="000000"/>
                <w:lang w:eastAsia="es-ES"/>
              </w:rPr>
              <w:t>Incopesca: programa 02: apoyo al sector pesquero y acuícola.</w:t>
            </w:r>
          </w:p>
          <w:p w14:paraId="6F209E2F" w14:textId="77777777" w:rsidR="00020DD9" w:rsidRPr="00F23B57" w:rsidRDefault="00020DD9" w:rsidP="00020DD9">
            <w:pPr>
              <w:jc w:val="both"/>
              <w:rPr>
                <w:rFonts w:eastAsia="Times New Roman" w:cstheme="minorHAnsi"/>
                <w:iCs/>
                <w:color w:val="000000"/>
                <w:lang w:eastAsia="es-ES"/>
              </w:rPr>
            </w:pPr>
          </w:p>
          <w:p w14:paraId="2A2786CC" w14:textId="02180646" w:rsidR="00CF6CA2" w:rsidRPr="00E81AED" w:rsidRDefault="00020DD9" w:rsidP="009B109C">
            <w:pPr>
              <w:jc w:val="both"/>
              <w:rPr>
                <w:rFonts w:eastAsia="Times New Roman" w:cstheme="minorHAnsi"/>
                <w:i/>
                <w:lang w:eastAsia="es-ES"/>
              </w:rPr>
            </w:pPr>
            <w:r w:rsidRPr="00F23B57">
              <w:rPr>
                <w:rFonts w:eastAsia="Times New Roman" w:cstheme="minorHAnsi"/>
                <w:iCs/>
                <w:lang w:eastAsia="es-ES"/>
              </w:rPr>
              <w:t>Se adjunta ficha ajustada</w:t>
            </w:r>
            <w:r w:rsidRPr="00E81AED">
              <w:rPr>
                <w:rFonts w:eastAsia="Times New Roman" w:cstheme="minorHAnsi"/>
                <w:i/>
                <w:lang w:eastAsia="es-ES"/>
              </w:rPr>
              <w:t>.</w:t>
            </w:r>
          </w:p>
          <w:p w14:paraId="2A17B03F" w14:textId="77777777" w:rsidR="00CF6CA2" w:rsidRPr="00E81AED" w:rsidRDefault="00CF6CA2" w:rsidP="009B109C">
            <w:pPr>
              <w:jc w:val="both"/>
              <w:rPr>
                <w:rFonts w:eastAsia="Times New Roman" w:cstheme="minorHAnsi"/>
                <w:i/>
                <w:color w:val="44546A" w:themeColor="text2"/>
                <w:lang w:eastAsia="es-ES"/>
              </w:rPr>
            </w:pPr>
          </w:p>
          <w:p w14:paraId="17E4A0A9" w14:textId="79082713" w:rsidR="00CF6CA2" w:rsidRPr="00E81AED" w:rsidRDefault="00CF6CA2" w:rsidP="00020DD9">
            <w:pPr>
              <w:jc w:val="both"/>
              <w:rPr>
                <w:rFonts w:eastAsia="Times New Roman" w:cstheme="minorHAnsi"/>
                <w:i/>
                <w:color w:val="000000"/>
                <w:lang w:eastAsia="es-ES"/>
              </w:rPr>
            </w:pPr>
          </w:p>
        </w:tc>
        <w:tc>
          <w:tcPr>
            <w:tcW w:w="3243" w:type="dxa"/>
          </w:tcPr>
          <w:p w14:paraId="7D58F632" w14:textId="4466BD2C" w:rsidR="00D667D0" w:rsidRPr="004C3954" w:rsidRDefault="00D667D0" w:rsidP="00603424">
            <w:pPr>
              <w:jc w:val="both"/>
              <w:rPr>
                <w:rFonts w:cstheme="minorHAnsi"/>
              </w:rPr>
            </w:pPr>
            <w:r w:rsidRPr="00F23B57">
              <w:rPr>
                <w:rFonts w:cstheme="minorHAnsi"/>
              </w:rPr>
              <w:lastRenderedPageBreak/>
              <w:t xml:space="preserve">Se solicita la disminución de la meta y sus </w:t>
            </w:r>
            <w:r w:rsidR="0064524C" w:rsidRPr="00F23B57">
              <w:rPr>
                <w:rFonts w:cstheme="minorHAnsi"/>
              </w:rPr>
              <w:t>variables</w:t>
            </w:r>
            <w:r w:rsidRPr="00F23B57">
              <w:rPr>
                <w:rFonts w:cstheme="minorHAnsi"/>
              </w:rPr>
              <w:t xml:space="preserve"> relacionadas  producto de las medidas </w:t>
            </w:r>
            <w:r w:rsidR="0064524C" w:rsidRPr="00F23B57">
              <w:rPr>
                <w:rFonts w:cstheme="minorHAnsi"/>
              </w:rPr>
              <w:t xml:space="preserve">de atención a la emergencia COVID que han </w:t>
            </w:r>
            <w:r w:rsidR="00CF6CA2" w:rsidRPr="00F23B57">
              <w:rPr>
                <w:rFonts w:cstheme="minorHAnsi"/>
              </w:rPr>
              <w:t>ocasionado</w:t>
            </w:r>
            <w:r w:rsidR="0064524C" w:rsidRPr="00F23B57">
              <w:rPr>
                <w:rFonts w:cstheme="minorHAnsi"/>
              </w:rPr>
              <w:t xml:space="preserve"> serios recortes presupuestarios que imposibilitan a la institución para adquirir nuevos dispositivos para el monitoreo de nuevas embarcaciones, ya que pese a las negociaciones y búsqueda de recursos con otras fuentes nos e ha logrado avanzar en este sentido, lo cual hace imposible cumplir con la meta del periodo 2019-2022 como estaba establecida puesto que se atenderá solamente a las embarcaciones que cuenten con </w:t>
            </w:r>
            <w:r w:rsidR="0064524C" w:rsidRPr="004C3954">
              <w:rPr>
                <w:rFonts w:cstheme="minorHAnsi"/>
              </w:rPr>
              <w:lastRenderedPageBreak/>
              <w:t>los dispositivos instalados y operando a la fecha</w:t>
            </w:r>
            <w:r w:rsidR="00F04B99" w:rsidRPr="004C3954">
              <w:rPr>
                <w:rFonts w:cstheme="minorHAnsi"/>
              </w:rPr>
              <w:t>.</w:t>
            </w:r>
            <w:r w:rsidR="0064524C" w:rsidRPr="004C3954">
              <w:rPr>
                <w:rFonts w:cstheme="minorHAnsi"/>
              </w:rPr>
              <w:t xml:space="preserve"> que son 3</w:t>
            </w:r>
            <w:r w:rsidR="00E81AED" w:rsidRPr="004C3954">
              <w:rPr>
                <w:rFonts w:cstheme="minorHAnsi"/>
              </w:rPr>
              <w:t>8</w:t>
            </w:r>
            <w:r w:rsidR="008D4D88" w:rsidRPr="004C3954">
              <w:rPr>
                <w:rFonts w:cstheme="minorHAnsi"/>
              </w:rPr>
              <w:t>3</w:t>
            </w:r>
            <w:r w:rsidR="00E81AED" w:rsidRPr="004C3954">
              <w:rPr>
                <w:rFonts w:cstheme="minorHAnsi"/>
              </w:rPr>
              <w:t xml:space="preserve"> </w:t>
            </w:r>
            <w:r w:rsidR="0064524C" w:rsidRPr="004C3954">
              <w:rPr>
                <w:rFonts w:cstheme="minorHAnsi"/>
              </w:rPr>
              <w:t xml:space="preserve">embarcaciones. </w:t>
            </w:r>
          </w:p>
          <w:p w14:paraId="1FD746F7" w14:textId="0B158A37" w:rsidR="00D667D0" w:rsidRPr="00F23B57" w:rsidRDefault="00D667D0" w:rsidP="00603424">
            <w:pPr>
              <w:jc w:val="both"/>
              <w:rPr>
                <w:rFonts w:cstheme="minorHAnsi"/>
              </w:rPr>
            </w:pPr>
          </w:p>
          <w:p w14:paraId="54642570" w14:textId="40339F70" w:rsidR="00F04B99" w:rsidRPr="00F23B57" w:rsidRDefault="00F04B99" w:rsidP="00603424">
            <w:pPr>
              <w:jc w:val="both"/>
              <w:rPr>
                <w:rFonts w:cstheme="minorHAnsi"/>
              </w:rPr>
            </w:pPr>
            <w:r w:rsidRPr="00F23B57">
              <w:rPr>
                <w:rFonts w:cstheme="minorHAnsi"/>
              </w:rPr>
              <w:t>Asimismo, la legislación relativa al monitoreo de embarcaciones de las flotas de avanzada escala, media escala y camaronera ha sido modificada por lo que algunas de las embarcaciones han dejado de transmitir</w:t>
            </w:r>
            <w:r w:rsidR="00B04BBF" w:rsidRPr="00F23B57">
              <w:rPr>
                <w:rFonts w:cstheme="minorHAnsi"/>
              </w:rPr>
              <w:t xml:space="preserve"> o se encuentran a la espera de poder hacerlo.</w:t>
            </w:r>
          </w:p>
          <w:p w14:paraId="21C62CC7" w14:textId="77777777" w:rsidR="00F04B99" w:rsidRPr="00F23B57" w:rsidRDefault="00F04B99" w:rsidP="00603424">
            <w:pPr>
              <w:jc w:val="both"/>
              <w:rPr>
                <w:rFonts w:cstheme="minorHAnsi"/>
              </w:rPr>
            </w:pPr>
          </w:p>
          <w:p w14:paraId="38BCA2D5" w14:textId="41FFE093" w:rsidR="00E06715" w:rsidRPr="00F23B57" w:rsidRDefault="0064524C" w:rsidP="00603424">
            <w:pPr>
              <w:jc w:val="both"/>
              <w:rPr>
                <w:rFonts w:cstheme="minorHAnsi"/>
              </w:rPr>
            </w:pPr>
            <w:r w:rsidRPr="00F23B57">
              <w:rPr>
                <w:rFonts w:cstheme="minorHAnsi"/>
              </w:rPr>
              <w:t>Es importante, indicar que s</w:t>
            </w:r>
            <w:r w:rsidR="00374B53" w:rsidRPr="00F23B57">
              <w:rPr>
                <w:rFonts w:cstheme="minorHAnsi"/>
              </w:rPr>
              <w:t xml:space="preserve">e concluyó el documento de proyecto institucional </w:t>
            </w:r>
            <w:r w:rsidR="001A5378" w:rsidRPr="00F23B57">
              <w:rPr>
                <w:rFonts w:cstheme="minorHAnsi"/>
              </w:rPr>
              <w:t>para la</w:t>
            </w:r>
            <w:r w:rsidR="00374B53" w:rsidRPr="00F23B57">
              <w:rPr>
                <w:rFonts w:cstheme="minorHAnsi"/>
              </w:rPr>
              <w:t xml:space="preserve"> adquisición de </w:t>
            </w:r>
            <w:r w:rsidR="002C029C" w:rsidRPr="00F23B57">
              <w:rPr>
                <w:rFonts w:cstheme="minorHAnsi"/>
              </w:rPr>
              <w:t xml:space="preserve">300 dispositivos electrónicos </w:t>
            </w:r>
            <w:r w:rsidR="00374B53" w:rsidRPr="00F23B57">
              <w:rPr>
                <w:rFonts w:cstheme="minorHAnsi"/>
              </w:rPr>
              <w:t xml:space="preserve">para la flota en pequeña </w:t>
            </w:r>
            <w:r w:rsidR="001A5378" w:rsidRPr="00F23B57">
              <w:rPr>
                <w:rFonts w:cstheme="minorHAnsi"/>
              </w:rPr>
              <w:t>escala, por</w:t>
            </w:r>
            <w:r w:rsidR="00374B53" w:rsidRPr="00F23B57">
              <w:rPr>
                <w:rFonts w:cstheme="minorHAnsi"/>
              </w:rPr>
              <w:t xml:space="preserve"> </w:t>
            </w:r>
            <w:r w:rsidR="001A5378" w:rsidRPr="00F23B57">
              <w:rPr>
                <w:rFonts w:cstheme="minorHAnsi"/>
              </w:rPr>
              <w:t>un monto</w:t>
            </w:r>
            <w:r w:rsidR="00374B53" w:rsidRPr="00F23B57">
              <w:rPr>
                <w:rFonts w:cstheme="minorHAnsi"/>
              </w:rPr>
              <w:t xml:space="preserve"> de ¢ 178 millones</w:t>
            </w:r>
            <w:r w:rsidR="002C029C" w:rsidRPr="00F23B57">
              <w:rPr>
                <w:rFonts w:cstheme="minorHAnsi"/>
              </w:rPr>
              <w:t xml:space="preserve">. </w:t>
            </w:r>
            <w:r w:rsidR="00B04BBF" w:rsidRPr="00F23B57">
              <w:rPr>
                <w:rFonts w:cstheme="minorHAnsi"/>
              </w:rPr>
              <w:t>Dicha iniciativa</w:t>
            </w:r>
            <w:r w:rsidR="00374B53" w:rsidRPr="00F23B57">
              <w:rPr>
                <w:rFonts w:cstheme="minorHAnsi"/>
              </w:rPr>
              <w:t xml:space="preserve"> se presentó a diferentes organizaciones para gestionar </w:t>
            </w:r>
            <w:r w:rsidR="00B04BBF" w:rsidRPr="00F23B57">
              <w:rPr>
                <w:rFonts w:cstheme="minorHAnsi"/>
              </w:rPr>
              <w:t>financiamiento s</w:t>
            </w:r>
            <w:r w:rsidR="00374B53" w:rsidRPr="00F23B57">
              <w:rPr>
                <w:rFonts w:cstheme="minorHAnsi"/>
              </w:rPr>
              <w:t xml:space="preserve">in embargo a la fecha no </w:t>
            </w:r>
            <w:r w:rsidR="00B04BBF" w:rsidRPr="00F23B57">
              <w:rPr>
                <w:rFonts w:cstheme="minorHAnsi"/>
              </w:rPr>
              <w:t xml:space="preserve">se </w:t>
            </w:r>
            <w:r w:rsidR="00374B53" w:rsidRPr="00F23B57">
              <w:rPr>
                <w:rFonts w:cstheme="minorHAnsi"/>
              </w:rPr>
              <w:t xml:space="preserve">ha </w:t>
            </w:r>
            <w:r w:rsidR="00B04BBF" w:rsidRPr="00F23B57">
              <w:rPr>
                <w:rFonts w:cstheme="minorHAnsi"/>
              </w:rPr>
              <w:t xml:space="preserve">logrado.  </w:t>
            </w:r>
            <w:r w:rsidR="00E06715" w:rsidRPr="00F23B57">
              <w:rPr>
                <w:rFonts w:cstheme="minorHAnsi"/>
              </w:rPr>
              <w:t>Cooperación Internacional del INCOPECA ha explorado opciones con ONGs sin éxito a la fecha</w:t>
            </w:r>
          </w:p>
          <w:p w14:paraId="0A090A23" w14:textId="2ED1EC8A" w:rsidR="001A5378" w:rsidRPr="00F23B57" w:rsidRDefault="001A5378" w:rsidP="00374B53">
            <w:pPr>
              <w:jc w:val="both"/>
              <w:rPr>
                <w:rFonts w:cstheme="minorHAnsi"/>
              </w:rPr>
            </w:pPr>
          </w:p>
          <w:p w14:paraId="466C31C4" w14:textId="33E6CA29" w:rsidR="00E06715" w:rsidRPr="00F23B57" w:rsidRDefault="00B04BBF" w:rsidP="00374B53">
            <w:pPr>
              <w:jc w:val="both"/>
              <w:rPr>
                <w:rFonts w:cstheme="minorHAnsi"/>
              </w:rPr>
            </w:pPr>
            <w:r w:rsidRPr="00F23B57">
              <w:rPr>
                <w:rFonts w:cstheme="minorHAnsi"/>
              </w:rPr>
              <w:t xml:space="preserve">En </w:t>
            </w:r>
            <w:r w:rsidR="00E06715" w:rsidRPr="00F23B57">
              <w:rPr>
                <w:rFonts w:cstheme="minorHAnsi"/>
              </w:rPr>
              <w:t>mayo de 2021 se envía oficio a la Presidencia Ejecutiva de INDER para explorar la posibilidad de obtener recursos para la compra de los dispositivos electrónicos</w:t>
            </w:r>
            <w:r w:rsidRPr="00F23B57">
              <w:rPr>
                <w:rFonts w:cstheme="minorHAnsi"/>
              </w:rPr>
              <w:t xml:space="preserve">, </w:t>
            </w:r>
            <w:r w:rsidR="00020DD9" w:rsidRPr="00F23B57">
              <w:rPr>
                <w:rFonts w:cstheme="minorHAnsi"/>
              </w:rPr>
              <w:t>se está a la</w:t>
            </w:r>
            <w:r w:rsidR="00F33F27" w:rsidRPr="00F23B57">
              <w:rPr>
                <w:rFonts w:cstheme="minorHAnsi"/>
              </w:rPr>
              <w:t xml:space="preserve"> e</w:t>
            </w:r>
            <w:r w:rsidR="00020DD9" w:rsidRPr="00F23B57">
              <w:rPr>
                <w:rFonts w:cstheme="minorHAnsi"/>
              </w:rPr>
              <w:t>spera de recibir respuesta.</w:t>
            </w:r>
          </w:p>
          <w:p w14:paraId="75F53CF2" w14:textId="77777777" w:rsidR="00E06715" w:rsidRPr="00F23B57" w:rsidRDefault="00E06715" w:rsidP="00374B53">
            <w:pPr>
              <w:jc w:val="both"/>
              <w:rPr>
                <w:rFonts w:cstheme="minorHAnsi"/>
              </w:rPr>
            </w:pPr>
          </w:p>
          <w:p w14:paraId="39045956" w14:textId="1CE4AC47" w:rsidR="004A0D5D" w:rsidRPr="00F23B57" w:rsidRDefault="00F23B57" w:rsidP="00374B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 importante destacar, que</w:t>
            </w:r>
            <w:r w:rsidR="00B04BBF" w:rsidRPr="00F23B57">
              <w:rPr>
                <w:rFonts w:cstheme="minorHAnsi"/>
              </w:rPr>
              <w:t xml:space="preserve"> d</w:t>
            </w:r>
            <w:r w:rsidR="004A0D5D" w:rsidRPr="00F23B57">
              <w:rPr>
                <w:rFonts w:cstheme="minorHAnsi"/>
              </w:rPr>
              <w:t>esde</w:t>
            </w:r>
            <w:r w:rsidR="00B04BBF" w:rsidRPr="00F23B57">
              <w:rPr>
                <w:rFonts w:cstheme="minorHAnsi"/>
              </w:rPr>
              <w:t xml:space="preserve"> el mes </w:t>
            </w:r>
            <w:r w:rsidR="004A0D5D" w:rsidRPr="00F23B57">
              <w:rPr>
                <w:rFonts w:cstheme="minorHAnsi"/>
              </w:rPr>
              <w:t xml:space="preserve">febrero del 2021, solo la flota de avanzada escala estaba obligada a transmitir, por lo </w:t>
            </w:r>
            <w:r w:rsidR="008D4D88" w:rsidRPr="00F23B57">
              <w:rPr>
                <w:rFonts w:cstheme="minorHAnsi"/>
              </w:rPr>
              <w:t>que se</w:t>
            </w:r>
            <w:r w:rsidR="004A0D5D" w:rsidRPr="00F23B57">
              <w:rPr>
                <w:rFonts w:cstheme="minorHAnsi"/>
              </w:rPr>
              <w:t xml:space="preserve"> mantenía el mismo número de embarcaciones que transmitía desde el 2017, debido a que el decreto ha sido modificado en 3 oportunidades </w:t>
            </w:r>
            <w:r w:rsidR="004A0D5D" w:rsidRPr="00F23B57">
              <w:rPr>
                <w:rFonts w:cstheme="minorHAnsi"/>
              </w:rPr>
              <w:lastRenderedPageBreak/>
              <w:t>desde el 2019, incluyendo una modificación impulsada por la Presidencia Ejecutiva anterior.</w:t>
            </w:r>
          </w:p>
          <w:p w14:paraId="371350EB" w14:textId="7B140FAC" w:rsidR="004A0D5D" w:rsidRPr="00F23B57" w:rsidRDefault="004A0D5D" w:rsidP="00374B53">
            <w:pPr>
              <w:jc w:val="both"/>
              <w:rPr>
                <w:rFonts w:cstheme="minorHAnsi"/>
              </w:rPr>
            </w:pPr>
          </w:p>
          <w:p w14:paraId="45AC43C8" w14:textId="14CC6540" w:rsidR="004A0D5D" w:rsidRPr="00F23B57" w:rsidRDefault="00B04BBF" w:rsidP="004A0D5D">
            <w:pPr>
              <w:jc w:val="both"/>
              <w:rPr>
                <w:rFonts w:cstheme="minorHAnsi"/>
              </w:rPr>
            </w:pPr>
            <w:r w:rsidRPr="00F23B57">
              <w:rPr>
                <w:rFonts w:cstheme="minorHAnsi"/>
              </w:rPr>
              <w:t>L</w:t>
            </w:r>
            <w:r w:rsidR="004A0D5D" w:rsidRPr="00F23B57">
              <w:rPr>
                <w:rFonts w:cstheme="minorHAnsi"/>
              </w:rPr>
              <w:t xml:space="preserve">as embarcaciones dedicadas a la pesca de camarón </w:t>
            </w:r>
            <w:r w:rsidR="00173C4B" w:rsidRPr="00F23B57">
              <w:rPr>
                <w:rFonts w:cstheme="minorHAnsi"/>
              </w:rPr>
              <w:t>semiindustrial</w:t>
            </w:r>
            <w:r w:rsidR="004A0D5D" w:rsidRPr="00F23B57">
              <w:rPr>
                <w:rFonts w:cstheme="minorHAnsi"/>
              </w:rPr>
              <w:t xml:space="preserve"> dejaron de transmitir debido a las regulaciones sobre la pesca de camarón. </w:t>
            </w:r>
          </w:p>
          <w:p w14:paraId="319AB571" w14:textId="77777777" w:rsidR="004A0D5D" w:rsidRPr="00F23B57" w:rsidRDefault="004A0D5D" w:rsidP="004A0D5D">
            <w:pPr>
              <w:jc w:val="both"/>
              <w:rPr>
                <w:rFonts w:cstheme="minorHAnsi"/>
              </w:rPr>
            </w:pPr>
          </w:p>
          <w:p w14:paraId="00C4E5EA" w14:textId="2F2FB6F0" w:rsidR="0064524C" w:rsidRPr="00F23B57" w:rsidRDefault="004A0D5D" w:rsidP="004A0D5D">
            <w:pPr>
              <w:jc w:val="both"/>
              <w:rPr>
                <w:rFonts w:cstheme="minorHAnsi"/>
              </w:rPr>
            </w:pPr>
            <w:r w:rsidRPr="00F23B57">
              <w:rPr>
                <w:rFonts w:cstheme="minorHAnsi"/>
              </w:rPr>
              <w:t xml:space="preserve">Actualmente algunas de las </w:t>
            </w:r>
            <w:r w:rsidR="00B04BBF" w:rsidRPr="00F23B57">
              <w:rPr>
                <w:rFonts w:cstheme="minorHAnsi"/>
              </w:rPr>
              <w:t>embarcaciones pertenecientes</w:t>
            </w:r>
            <w:r w:rsidRPr="00F23B57">
              <w:rPr>
                <w:rFonts w:cstheme="minorHAnsi"/>
              </w:rPr>
              <w:t xml:space="preserve"> a la flota de mediana escala han solicitado cambio de flota a flota avanzada, por lo que el número ha aumentado, pero no se llega a 100.</w:t>
            </w:r>
          </w:p>
          <w:p w14:paraId="5489E67C" w14:textId="77777777" w:rsidR="00B04BBF" w:rsidRPr="00F23B57" w:rsidRDefault="00B04BBF" w:rsidP="004A0D5D">
            <w:pPr>
              <w:jc w:val="both"/>
              <w:rPr>
                <w:rFonts w:cstheme="minorHAnsi"/>
              </w:rPr>
            </w:pPr>
          </w:p>
          <w:p w14:paraId="49AD3F54" w14:textId="0138B489" w:rsidR="004A0D5D" w:rsidRPr="00F23B57" w:rsidRDefault="004A0D5D" w:rsidP="004A0D5D">
            <w:pPr>
              <w:jc w:val="both"/>
              <w:rPr>
                <w:rFonts w:cstheme="minorHAnsi"/>
              </w:rPr>
            </w:pPr>
            <w:r w:rsidRPr="00F23B57">
              <w:rPr>
                <w:rFonts w:cstheme="minorHAnsi"/>
              </w:rPr>
              <w:t xml:space="preserve">El total de embarcaciones actualmente con monitoreo satelital </w:t>
            </w:r>
            <w:r w:rsidR="00653CDB" w:rsidRPr="00F23B57">
              <w:rPr>
                <w:rFonts w:cstheme="minorHAnsi"/>
              </w:rPr>
              <w:t>según información del Centro de Monitoreo satelital del INCOPESCA son</w:t>
            </w:r>
            <w:r w:rsidR="008D4D88">
              <w:rPr>
                <w:rFonts w:cstheme="minorHAnsi"/>
              </w:rPr>
              <w:t xml:space="preserve"> 103, que a continuación se detallan</w:t>
            </w:r>
            <w:r w:rsidR="00653CDB" w:rsidRPr="00F23B57">
              <w:rPr>
                <w:rFonts w:cstheme="minorHAnsi"/>
              </w:rPr>
              <w:t>:</w:t>
            </w:r>
          </w:p>
          <w:p w14:paraId="7DDD4092" w14:textId="77777777" w:rsidR="004A0D5D" w:rsidRPr="00F23B57" w:rsidRDefault="004A0D5D" w:rsidP="004A0D5D">
            <w:pPr>
              <w:jc w:val="both"/>
              <w:rPr>
                <w:rFonts w:cstheme="minorHAnsi"/>
              </w:rPr>
            </w:pPr>
          </w:p>
          <w:p w14:paraId="72C6F101" w14:textId="70841A1E" w:rsidR="004A0D5D" w:rsidRPr="00F23B57" w:rsidRDefault="004A0D5D" w:rsidP="004A0D5D">
            <w:pPr>
              <w:rPr>
                <w:rFonts w:cstheme="minorHAnsi"/>
              </w:rPr>
            </w:pPr>
            <w:r w:rsidRPr="00F23B57">
              <w:rPr>
                <w:rFonts w:cstheme="minorHAnsi"/>
              </w:rPr>
              <w:t>88 embarcaciones de la flota avanzada se encuentran transmitiendo.</w:t>
            </w:r>
          </w:p>
          <w:p w14:paraId="2C030B5D" w14:textId="50EEC34B" w:rsidR="004A0D5D" w:rsidRPr="00F23B57" w:rsidRDefault="004A0D5D" w:rsidP="004A0D5D">
            <w:pPr>
              <w:rPr>
                <w:rFonts w:cstheme="minorHAnsi"/>
              </w:rPr>
            </w:pPr>
            <w:r w:rsidRPr="00F23B57">
              <w:rPr>
                <w:rFonts w:cstheme="minorHAnsi"/>
              </w:rPr>
              <w:t xml:space="preserve"> </w:t>
            </w:r>
          </w:p>
          <w:p w14:paraId="2A3308ED" w14:textId="499B8FE3" w:rsidR="004A0D5D" w:rsidRPr="00F23B57" w:rsidRDefault="004A0D5D" w:rsidP="004A0D5D">
            <w:pPr>
              <w:rPr>
                <w:rFonts w:cstheme="minorHAnsi"/>
              </w:rPr>
            </w:pPr>
            <w:r w:rsidRPr="00F23B57">
              <w:rPr>
                <w:rFonts w:cstheme="minorHAnsi"/>
              </w:rPr>
              <w:t>10 embarcaciones de la flota de mediana escala se encuentran transmitiendo.</w:t>
            </w:r>
          </w:p>
          <w:p w14:paraId="0BD7BF09" w14:textId="2D0EC1F1" w:rsidR="004A0D5D" w:rsidRPr="00F23B57" w:rsidRDefault="004A0D5D" w:rsidP="004A0D5D">
            <w:pPr>
              <w:rPr>
                <w:rFonts w:cstheme="minorHAnsi"/>
              </w:rPr>
            </w:pPr>
            <w:r w:rsidRPr="00F23B57">
              <w:rPr>
                <w:rFonts w:cstheme="minorHAnsi"/>
              </w:rPr>
              <w:t xml:space="preserve"> </w:t>
            </w:r>
          </w:p>
          <w:p w14:paraId="6EC88459" w14:textId="5F021AEF" w:rsidR="004A0D5D" w:rsidRPr="00F23B57" w:rsidRDefault="004A0D5D" w:rsidP="004A0D5D">
            <w:pPr>
              <w:rPr>
                <w:rFonts w:cstheme="minorHAnsi"/>
              </w:rPr>
            </w:pPr>
            <w:r w:rsidRPr="00F23B57">
              <w:rPr>
                <w:rFonts w:cstheme="minorHAnsi"/>
              </w:rPr>
              <w:t xml:space="preserve"> 2 embarcaciones de la flota semi industrial sardineros se encuentran transmitiendo</w:t>
            </w:r>
          </w:p>
          <w:p w14:paraId="425F6AD0" w14:textId="77777777" w:rsidR="004A0D5D" w:rsidRPr="00F23B57" w:rsidRDefault="004A0D5D" w:rsidP="004A0D5D">
            <w:pPr>
              <w:rPr>
                <w:rFonts w:cstheme="minorHAnsi"/>
              </w:rPr>
            </w:pPr>
          </w:p>
          <w:p w14:paraId="1D8A407F" w14:textId="2D1AF95C" w:rsidR="004A0D5D" w:rsidRPr="00F23B57" w:rsidRDefault="004A0D5D" w:rsidP="004A0D5D">
            <w:pPr>
              <w:rPr>
                <w:rFonts w:cstheme="minorHAnsi"/>
              </w:rPr>
            </w:pPr>
            <w:r w:rsidRPr="00F23B57">
              <w:rPr>
                <w:rFonts w:cstheme="minorHAnsi"/>
              </w:rPr>
              <w:t xml:space="preserve"> 3 embarcaciones de la flota pesca de atún de cerco industrial se encuentran transmitiendo</w:t>
            </w:r>
            <w:r w:rsidR="00841A91">
              <w:rPr>
                <w:rFonts w:cstheme="minorHAnsi"/>
              </w:rPr>
              <w:t>.</w:t>
            </w:r>
          </w:p>
          <w:p w14:paraId="56C2CBB1" w14:textId="04ABC129" w:rsidR="004A0D5D" w:rsidRDefault="004A0D5D" w:rsidP="00653CDB">
            <w:pPr>
              <w:jc w:val="both"/>
              <w:rPr>
                <w:rFonts w:cstheme="minorHAnsi"/>
              </w:rPr>
            </w:pPr>
            <w:r w:rsidRPr="008D4D88">
              <w:rPr>
                <w:rFonts w:cstheme="minorHAnsi"/>
              </w:rPr>
              <w:t xml:space="preserve">Sin </w:t>
            </w:r>
            <w:r w:rsidR="00653CDB" w:rsidRPr="008D4D88">
              <w:rPr>
                <w:rFonts w:cstheme="minorHAnsi"/>
              </w:rPr>
              <w:t>embargo,</w:t>
            </w:r>
            <w:r w:rsidRPr="008D4D88">
              <w:rPr>
                <w:rFonts w:cstheme="minorHAnsi"/>
              </w:rPr>
              <w:t xml:space="preserve"> </w:t>
            </w:r>
            <w:r w:rsidR="008D4D88" w:rsidRPr="008D4D88">
              <w:rPr>
                <w:rFonts w:cstheme="minorHAnsi"/>
              </w:rPr>
              <w:t xml:space="preserve">este dato </w:t>
            </w:r>
            <w:r w:rsidR="00841A91">
              <w:rPr>
                <w:rFonts w:cstheme="minorHAnsi"/>
              </w:rPr>
              <w:t xml:space="preserve">total (383), </w:t>
            </w:r>
            <w:r w:rsidR="008D4D88" w:rsidRPr="008D4D88">
              <w:rPr>
                <w:rFonts w:cstheme="minorHAnsi"/>
              </w:rPr>
              <w:t>podría variar al</w:t>
            </w:r>
            <w:r w:rsidRPr="008D4D88">
              <w:rPr>
                <w:rFonts w:cstheme="minorHAnsi"/>
              </w:rPr>
              <w:t xml:space="preserve"> finalizar el año</w:t>
            </w:r>
            <w:r w:rsidR="008D4D88" w:rsidRPr="008D4D88">
              <w:rPr>
                <w:rFonts w:cstheme="minorHAnsi"/>
              </w:rPr>
              <w:t>,</w:t>
            </w:r>
            <w:r w:rsidRPr="008D4D88">
              <w:rPr>
                <w:rFonts w:cstheme="minorHAnsi"/>
              </w:rPr>
              <w:t xml:space="preserve"> debido a los cambios que se podrían prese</w:t>
            </w:r>
            <w:r w:rsidR="00FF63C8" w:rsidRPr="008D4D88">
              <w:rPr>
                <w:rFonts w:cstheme="minorHAnsi"/>
              </w:rPr>
              <w:t>n</w:t>
            </w:r>
            <w:r w:rsidRPr="008D4D88">
              <w:rPr>
                <w:rFonts w:cstheme="minorHAnsi"/>
              </w:rPr>
              <w:t>tar e</w:t>
            </w:r>
            <w:r w:rsidR="00FF63C8" w:rsidRPr="008D4D88">
              <w:rPr>
                <w:rFonts w:cstheme="minorHAnsi"/>
              </w:rPr>
              <w:t>n las regulaciones nacionales e internacionales.</w:t>
            </w:r>
          </w:p>
          <w:p w14:paraId="37281A74" w14:textId="77777777" w:rsidR="008D4D88" w:rsidRDefault="008D4D88" w:rsidP="00653CDB">
            <w:pPr>
              <w:jc w:val="both"/>
              <w:rPr>
                <w:rFonts w:cstheme="minorHAnsi"/>
              </w:rPr>
            </w:pPr>
          </w:p>
          <w:p w14:paraId="32DFF4E3" w14:textId="77777777" w:rsidR="008D4D88" w:rsidRDefault="008D4D88" w:rsidP="00653C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 este sentido, se justifica ampliamente la disminución de la meta del período solicitada, la cual acumula línea de base (280 embarcaciones), es decir pasaría de 520 a 383.</w:t>
            </w:r>
          </w:p>
          <w:p w14:paraId="38F42D64" w14:textId="788C2121" w:rsidR="008D094D" w:rsidRPr="00E81AED" w:rsidRDefault="008D094D" w:rsidP="00653CDB">
            <w:pPr>
              <w:jc w:val="both"/>
              <w:rPr>
                <w:rFonts w:cstheme="minorHAnsi"/>
              </w:rPr>
            </w:pPr>
          </w:p>
        </w:tc>
      </w:tr>
    </w:tbl>
    <w:p w14:paraId="788276B4" w14:textId="11C49360" w:rsidR="00F37CE7" w:rsidRPr="00425FFD" w:rsidRDefault="00425FFD" w:rsidP="00841A91">
      <w:pPr>
        <w:rPr>
          <w:sz w:val="12"/>
          <w:szCs w:val="12"/>
        </w:rPr>
      </w:pPr>
      <w:r w:rsidRPr="00425FFD">
        <w:rPr>
          <w:sz w:val="12"/>
          <w:szCs w:val="12"/>
        </w:rPr>
        <w:lastRenderedPageBreak/>
        <w:t>21 / VI / 2021</w:t>
      </w:r>
    </w:p>
    <w:p w14:paraId="181CDA67" w14:textId="11DC7F69" w:rsidR="00EF7054" w:rsidRDefault="00EF7054">
      <w:r>
        <w:br w:type="page"/>
      </w:r>
    </w:p>
    <w:p w14:paraId="531092EB" w14:textId="77777777" w:rsidR="006C51BE" w:rsidRDefault="006C51BE" w:rsidP="00841A91"/>
    <w:bookmarkStart w:id="2" w:name="_MON_1685859613"/>
    <w:bookmarkEnd w:id="2"/>
    <w:p w14:paraId="060F0435" w14:textId="783D1FBF" w:rsidR="006C51BE" w:rsidRDefault="00CA2E34" w:rsidP="00841A91">
      <w:r>
        <w:object w:dxaOrig="14427" w:dyaOrig="8913" w14:anchorId="1CD1E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492.75pt" o:ole="">
            <v:imagedata r:id="rId8" o:title=""/>
          </v:shape>
          <o:OLEObject Type="Embed" ProgID="Excel.Sheet.12" ShapeID="_x0000_i1025" DrawAspect="Content" ObjectID="_1685950267" r:id="rId9"/>
        </w:object>
      </w:r>
    </w:p>
    <w:sectPr w:rsidR="006C51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58B8"/>
    <w:multiLevelType w:val="hybridMultilevel"/>
    <w:tmpl w:val="05EEF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62458"/>
    <w:multiLevelType w:val="hybridMultilevel"/>
    <w:tmpl w:val="50E0F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6C20"/>
    <w:multiLevelType w:val="hybridMultilevel"/>
    <w:tmpl w:val="F65848E2"/>
    <w:lvl w:ilvl="0" w:tplc="05AE616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E7"/>
    <w:rsid w:val="000122B8"/>
    <w:rsid w:val="00020DD9"/>
    <w:rsid w:val="000305BC"/>
    <w:rsid w:val="00034581"/>
    <w:rsid w:val="00045136"/>
    <w:rsid w:val="000B144A"/>
    <w:rsid w:val="000B290F"/>
    <w:rsid w:val="000B3519"/>
    <w:rsid w:val="000D49DE"/>
    <w:rsid w:val="000F675B"/>
    <w:rsid w:val="00116222"/>
    <w:rsid w:val="00161607"/>
    <w:rsid w:val="001703E1"/>
    <w:rsid w:val="00173C4B"/>
    <w:rsid w:val="001A5378"/>
    <w:rsid w:val="001E3A39"/>
    <w:rsid w:val="00203D7B"/>
    <w:rsid w:val="00221309"/>
    <w:rsid w:val="002337FF"/>
    <w:rsid w:val="002338D2"/>
    <w:rsid w:val="002426C3"/>
    <w:rsid w:val="002A4123"/>
    <w:rsid w:val="002C029C"/>
    <w:rsid w:val="002C32B5"/>
    <w:rsid w:val="00312F37"/>
    <w:rsid w:val="0034251A"/>
    <w:rsid w:val="00370440"/>
    <w:rsid w:val="00370FE0"/>
    <w:rsid w:val="00374B53"/>
    <w:rsid w:val="0039335F"/>
    <w:rsid w:val="003D3EB5"/>
    <w:rsid w:val="003D5A4D"/>
    <w:rsid w:val="003E5557"/>
    <w:rsid w:val="00414B00"/>
    <w:rsid w:val="00425FFD"/>
    <w:rsid w:val="004347EA"/>
    <w:rsid w:val="00484315"/>
    <w:rsid w:val="004914BD"/>
    <w:rsid w:val="004A0601"/>
    <w:rsid w:val="004A0A3C"/>
    <w:rsid w:val="004A0D5D"/>
    <w:rsid w:val="004C3954"/>
    <w:rsid w:val="004F1394"/>
    <w:rsid w:val="004F5930"/>
    <w:rsid w:val="0052125C"/>
    <w:rsid w:val="00534AA3"/>
    <w:rsid w:val="00584946"/>
    <w:rsid w:val="005B037E"/>
    <w:rsid w:val="005E550D"/>
    <w:rsid w:val="005F4CED"/>
    <w:rsid w:val="00603424"/>
    <w:rsid w:val="00636C35"/>
    <w:rsid w:val="0064524C"/>
    <w:rsid w:val="0065101B"/>
    <w:rsid w:val="00653CDB"/>
    <w:rsid w:val="00656795"/>
    <w:rsid w:val="00682063"/>
    <w:rsid w:val="006930EE"/>
    <w:rsid w:val="00694A95"/>
    <w:rsid w:val="006C51BE"/>
    <w:rsid w:val="006F5B8E"/>
    <w:rsid w:val="00714C37"/>
    <w:rsid w:val="0074167E"/>
    <w:rsid w:val="00755939"/>
    <w:rsid w:val="00783AFC"/>
    <w:rsid w:val="00792288"/>
    <w:rsid w:val="00793CF3"/>
    <w:rsid w:val="007D0F46"/>
    <w:rsid w:val="00805288"/>
    <w:rsid w:val="00826CCB"/>
    <w:rsid w:val="00826F2E"/>
    <w:rsid w:val="00841A91"/>
    <w:rsid w:val="00867505"/>
    <w:rsid w:val="008A0688"/>
    <w:rsid w:val="008A384D"/>
    <w:rsid w:val="008A5464"/>
    <w:rsid w:val="008A735A"/>
    <w:rsid w:val="008B3ED7"/>
    <w:rsid w:val="008D094D"/>
    <w:rsid w:val="008D35ED"/>
    <w:rsid w:val="008D4D88"/>
    <w:rsid w:val="009246F8"/>
    <w:rsid w:val="00937D83"/>
    <w:rsid w:val="009610F7"/>
    <w:rsid w:val="009847EE"/>
    <w:rsid w:val="00986255"/>
    <w:rsid w:val="009A3D5B"/>
    <w:rsid w:val="009B109C"/>
    <w:rsid w:val="009C0CF5"/>
    <w:rsid w:val="009C7E52"/>
    <w:rsid w:val="009E031E"/>
    <w:rsid w:val="009F023B"/>
    <w:rsid w:val="009F05AF"/>
    <w:rsid w:val="00A3095A"/>
    <w:rsid w:val="00A4485D"/>
    <w:rsid w:val="00A45F19"/>
    <w:rsid w:val="00A77498"/>
    <w:rsid w:val="00B04BBF"/>
    <w:rsid w:val="00B305CB"/>
    <w:rsid w:val="00B34DBD"/>
    <w:rsid w:val="00B408FA"/>
    <w:rsid w:val="00B73648"/>
    <w:rsid w:val="00B77876"/>
    <w:rsid w:val="00BA141F"/>
    <w:rsid w:val="00BC485B"/>
    <w:rsid w:val="00BC540E"/>
    <w:rsid w:val="00BC6FA4"/>
    <w:rsid w:val="00BD10BB"/>
    <w:rsid w:val="00BD1938"/>
    <w:rsid w:val="00C07F1C"/>
    <w:rsid w:val="00C72AFF"/>
    <w:rsid w:val="00C90AFB"/>
    <w:rsid w:val="00C96E31"/>
    <w:rsid w:val="00CA2E34"/>
    <w:rsid w:val="00CB139B"/>
    <w:rsid w:val="00CF6CA2"/>
    <w:rsid w:val="00D1049E"/>
    <w:rsid w:val="00D40758"/>
    <w:rsid w:val="00D667D0"/>
    <w:rsid w:val="00D73524"/>
    <w:rsid w:val="00D85C4D"/>
    <w:rsid w:val="00D97C46"/>
    <w:rsid w:val="00DA7D3E"/>
    <w:rsid w:val="00DE7435"/>
    <w:rsid w:val="00E05773"/>
    <w:rsid w:val="00E06715"/>
    <w:rsid w:val="00E079A8"/>
    <w:rsid w:val="00E20B6B"/>
    <w:rsid w:val="00E24001"/>
    <w:rsid w:val="00E278AE"/>
    <w:rsid w:val="00E32DDC"/>
    <w:rsid w:val="00E413A3"/>
    <w:rsid w:val="00E4358D"/>
    <w:rsid w:val="00E45370"/>
    <w:rsid w:val="00E6024A"/>
    <w:rsid w:val="00E77C8F"/>
    <w:rsid w:val="00E81021"/>
    <w:rsid w:val="00E81AED"/>
    <w:rsid w:val="00EA75C7"/>
    <w:rsid w:val="00ED1841"/>
    <w:rsid w:val="00ED2B40"/>
    <w:rsid w:val="00EE32EA"/>
    <w:rsid w:val="00EF7054"/>
    <w:rsid w:val="00F04B99"/>
    <w:rsid w:val="00F116BC"/>
    <w:rsid w:val="00F23B57"/>
    <w:rsid w:val="00F3133D"/>
    <w:rsid w:val="00F33F27"/>
    <w:rsid w:val="00F37CE7"/>
    <w:rsid w:val="00FA7E60"/>
    <w:rsid w:val="00FC2EF8"/>
    <w:rsid w:val="00FC6356"/>
    <w:rsid w:val="00FD7C8E"/>
    <w:rsid w:val="00FF63C8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093584"/>
  <w15:docId w15:val="{D9858334-6893-46A3-82E9-08881D15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7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0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7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C40746B7B7E4BBE4B6D3F5D38FA89" ma:contentTypeVersion="13" ma:contentTypeDescription="Create a new document." ma:contentTypeScope="" ma:versionID="6fb4a316bd6ab4fc53be16f842022790">
  <xsd:schema xmlns:xsd="http://www.w3.org/2001/XMLSchema" xmlns:xs="http://www.w3.org/2001/XMLSchema" xmlns:p="http://schemas.microsoft.com/office/2006/metadata/properties" xmlns:ns3="60eaf2f0-e42c-43da-ae1e-e8504bf89cb1" xmlns:ns4="1e4a4643-d76d-43cf-a6c0-b202c6951372" targetNamespace="http://schemas.microsoft.com/office/2006/metadata/properties" ma:root="true" ma:fieldsID="275bf943227597a8c459f8496450dfa4" ns3:_="" ns4:_="">
    <xsd:import namespace="60eaf2f0-e42c-43da-ae1e-e8504bf89cb1"/>
    <xsd:import namespace="1e4a4643-d76d-43cf-a6c0-b202c6951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f2f0-e42c-43da-ae1e-e8504bf89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4643-d76d-43cf-a6c0-b202c6951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3AF70-298A-4ECB-AAE5-3E303D87C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af2f0-e42c-43da-ae1e-e8504bf89cb1"/>
    <ds:schemaRef ds:uri="1e4a4643-d76d-43cf-a6c0-b202c6951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7C1C8-C1EE-4914-B033-6BCA39C56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D69F4-E6A2-425D-8249-B0C233CF67A1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1e4a4643-d76d-43cf-a6c0-b202c6951372"/>
    <ds:schemaRef ds:uri="60eaf2f0-e42c-43da-ae1e-e8504bf89cb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Lizeth Jaen</dc:creator>
  <cp:lastModifiedBy>Lizeth Jaen</cp:lastModifiedBy>
  <cp:revision>2</cp:revision>
  <cp:lastPrinted>2019-11-04T15:27:00Z</cp:lastPrinted>
  <dcterms:created xsi:type="dcterms:W3CDTF">2021-06-23T16:45:00Z</dcterms:created>
  <dcterms:modified xsi:type="dcterms:W3CDTF">2021-06-23T16:45:00Z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0x010100FAFC40746B7B7E4BBE4B6D3F5D38FA89</vt:lpwstr>
  </property>
</Properties>
</file>