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C4C4C" w14:textId="77777777" w:rsidR="009C4D68" w:rsidRDefault="009C4D68" w:rsidP="009C4D68">
      <w:pPr>
        <w:pStyle w:val="Ttulo"/>
      </w:pPr>
      <w:bookmarkStart w:id="0" w:name="_Hlk9950854"/>
      <w:r>
        <w:t>Área Salud y Seguridad Social</w:t>
      </w:r>
    </w:p>
    <w:p w14:paraId="04A7C2E7" w14:textId="77777777" w:rsidR="009C4D68" w:rsidRPr="00FB0808" w:rsidRDefault="009C4D68" w:rsidP="009C4D68">
      <w:pPr>
        <w:pStyle w:val="Ttulo2"/>
        <w:rPr>
          <w:lang w:val="es-CR"/>
        </w:rPr>
      </w:pPr>
      <w:r w:rsidRPr="00FB0808">
        <w:rPr>
          <w:rFonts w:ascii="Arial Narrow" w:hAnsi="Arial Narrow" w:cstheme="minorHAnsi"/>
          <w:sz w:val="20"/>
          <w:szCs w:val="20"/>
          <w:lang w:val="es-CR"/>
        </w:rPr>
        <w:t xml:space="preserve"> </w:t>
      </w:r>
      <w:r w:rsidRPr="00FB0808">
        <w:rPr>
          <w:lang w:val="es-CR"/>
        </w:rPr>
        <w:t>Fichas de indicadores de Objetivos de Área</w:t>
      </w:r>
    </w:p>
    <w:bookmarkEnd w:id="0"/>
    <w:p w14:paraId="32ECC061" w14:textId="77777777" w:rsidR="009C4D68" w:rsidRDefault="009C4D68" w:rsidP="009C4D68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F9D2660" w14:textId="77777777" w:rsidR="009C4D68" w:rsidRPr="00417577" w:rsidRDefault="009C4D68" w:rsidP="009C4D68">
      <w:pPr>
        <w:pStyle w:val="Prrafodelista"/>
        <w:spacing w:after="160"/>
        <w:ind w:left="360"/>
      </w:pPr>
      <w:r w:rsidRPr="00417577">
        <w:t>Número de años de esperanza de vida saludable</w:t>
      </w:r>
    </w:p>
    <w:tbl>
      <w:tblPr>
        <w:tblStyle w:val="SALUD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20" w:firstRow="1" w:lastRow="0" w:firstColumn="0" w:lastColumn="1" w:noHBand="0" w:noVBand="0"/>
      </w:tblPr>
      <w:tblGrid>
        <w:gridCol w:w="1551"/>
        <w:gridCol w:w="1337"/>
        <w:gridCol w:w="6179"/>
      </w:tblGrid>
      <w:tr w:rsidR="009C4D68" w:rsidRPr="00217F9F" w14:paraId="424053EA" w14:textId="77777777" w:rsidTr="00D00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tcW w:w="2888" w:type="dxa"/>
            <w:gridSpan w:val="2"/>
          </w:tcPr>
          <w:p w14:paraId="0AD60240" w14:textId="77777777" w:rsidR="009C4D68" w:rsidRPr="00217F9F" w:rsidRDefault="009C4D68" w:rsidP="009C4D68">
            <w:pPr>
              <w:rPr>
                <w:b w:val="0"/>
                <w:lang w:eastAsia="en-US"/>
              </w:rPr>
            </w:pPr>
            <w:r w:rsidRPr="00217F9F">
              <w:rPr>
                <w:lang w:eastAsia="en-US"/>
              </w:rPr>
              <w:t>Elemento</w:t>
            </w:r>
          </w:p>
        </w:tc>
        <w:tc>
          <w:tcPr>
            <w:tcW w:w="6179" w:type="dxa"/>
          </w:tcPr>
          <w:p w14:paraId="4F210EC4" w14:textId="77777777" w:rsidR="009C4D68" w:rsidRPr="00217F9F" w:rsidRDefault="009C4D68" w:rsidP="009C4D68">
            <w:pPr>
              <w:rPr>
                <w:b w:val="0"/>
                <w:bCs w:val="0"/>
                <w:lang w:eastAsia="en-US"/>
              </w:rPr>
            </w:pPr>
            <w:r w:rsidRPr="00217F9F">
              <w:rPr>
                <w:lang w:eastAsia="en-US"/>
              </w:rPr>
              <w:t>Descripción</w:t>
            </w:r>
          </w:p>
        </w:tc>
      </w:tr>
      <w:tr w:rsidR="009C4D68" w:rsidRPr="00417577" w14:paraId="5FA0BBFE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2888" w:type="dxa"/>
            <w:gridSpan w:val="2"/>
          </w:tcPr>
          <w:p w14:paraId="38E00243" w14:textId="77777777" w:rsidR="009C4D68" w:rsidRPr="00417577" w:rsidRDefault="009C4D68" w:rsidP="009C4D68">
            <w:r w:rsidRPr="00417577">
              <w:t>Nombre del indicador</w:t>
            </w:r>
          </w:p>
        </w:tc>
        <w:tc>
          <w:tcPr>
            <w:tcW w:w="6179" w:type="dxa"/>
          </w:tcPr>
          <w:p w14:paraId="04C39E68" w14:textId="77777777" w:rsidR="009C4D68" w:rsidRPr="00417577" w:rsidRDefault="009C4D68" w:rsidP="008A3304">
            <w:pPr>
              <w:jc w:val="both"/>
            </w:pPr>
            <w:r w:rsidRPr="00417577">
              <w:t>Número de años de esperanza de vida saludable</w:t>
            </w:r>
          </w:p>
        </w:tc>
      </w:tr>
      <w:tr w:rsidR="009C4D68" w:rsidRPr="00417577" w14:paraId="794F7A5B" w14:textId="77777777" w:rsidTr="00D0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tcW w:w="2888" w:type="dxa"/>
            <w:gridSpan w:val="2"/>
            <w:hideMark/>
          </w:tcPr>
          <w:p w14:paraId="3458F2AA" w14:textId="77777777" w:rsidR="009C4D68" w:rsidRPr="00417577" w:rsidRDefault="009C4D68" w:rsidP="009C4D68">
            <w:r w:rsidRPr="00417577">
              <w:t>Definición conceptual</w:t>
            </w:r>
          </w:p>
        </w:tc>
        <w:tc>
          <w:tcPr>
            <w:tcW w:w="6179" w:type="dxa"/>
            <w:hideMark/>
          </w:tcPr>
          <w:p w14:paraId="5362331B" w14:textId="77777777" w:rsidR="009C4D68" w:rsidRPr="00417577" w:rsidRDefault="009C4D68" w:rsidP="008A3304">
            <w:pPr>
              <w:jc w:val="both"/>
            </w:pPr>
            <w:r w:rsidRPr="00417577">
              <w:t>Es el número de años libre de enfermedad que, en promedio un recién nacido puede esperar vivir de no modificarse los niveles de mortalidad y discapacidad de una población determinada.</w:t>
            </w:r>
          </w:p>
        </w:tc>
      </w:tr>
      <w:tr w:rsidR="009C4D68" w:rsidRPr="00417577" w14:paraId="4CDC084B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tcW w:w="2888" w:type="dxa"/>
            <w:gridSpan w:val="2"/>
            <w:hideMark/>
          </w:tcPr>
          <w:p w14:paraId="7915F64F" w14:textId="77777777" w:rsidR="009C4D68" w:rsidRPr="00417577" w:rsidRDefault="009C4D68" w:rsidP="009C4D68">
            <w:r w:rsidRPr="00417577">
              <w:t xml:space="preserve">Fórmula de cálculo </w:t>
            </w:r>
          </w:p>
        </w:tc>
        <w:tc>
          <w:tcPr>
            <w:tcW w:w="6179" w:type="dxa"/>
            <w:hideMark/>
          </w:tcPr>
          <w:p w14:paraId="5A971B46" w14:textId="1634A0CD" w:rsidR="009C4D68" w:rsidRPr="00417577" w:rsidRDefault="009C4D68" w:rsidP="008A3304">
            <w:pPr>
              <w:jc w:val="both"/>
            </w:pPr>
            <w:r w:rsidRPr="00417577">
              <w:t>Años de vida saludables perdidos = Años de vida perdidos por muertes prematuras + Años de vida vividos con discapacidad</w:t>
            </w:r>
          </w:p>
          <w:p w14:paraId="71FE3FE4" w14:textId="77777777" w:rsidR="009C4D68" w:rsidRPr="00417577" w:rsidRDefault="009C4D68" w:rsidP="008A3304">
            <w:pPr>
              <w:jc w:val="both"/>
            </w:pPr>
            <w:r w:rsidRPr="00417577">
              <w:t>AVISA= AVP + AVD</w:t>
            </w:r>
          </w:p>
          <w:p w14:paraId="41E60A82" w14:textId="77777777" w:rsidR="009C4D68" w:rsidRPr="00417577" w:rsidRDefault="009C4D68" w:rsidP="008A3304">
            <w:pPr>
              <w:jc w:val="both"/>
            </w:pPr>
            <w:r w:rsidRPr="00417577">
              <w:t>Esperanza de vida saludable = 0 – Años de vida saludables perdidos</w:t>
            </w:r>
          </w:p>
          <w:p w14:paraId="312E00A8" w14:textId="151F9CE4" w:rsidR="009C4D68" w:rsidRPr="00417577" w:rsidRDefault="009C4D68" w:rsidP="008A3304">
            <w:pPr>
              <w:jc w:val="both"/>
            </w:pPr>
            <w:r w:rsidRPr="00417577">
              <w:t xml:space="preserve">EVISA =EO− AVISA (Esperanza de vida al </w:t>
            </w:r>
            <w:r w:rsidR="008A3304" w:rsidRPr="00417577">
              <w:t>nacer menos</w:t>
            </w:r>
            <w:r w:rsidRPr="00417577">
              <w:t xml:space="preserve"> el AVISA)</w:t>
            </w:r>
          </w:p>
        </w:tc>
      </w:tr>
      <w:tr w:rsidR="009C4D68" w:rsidRPr="00417577" w14:paraId="18099FC5" w14:textId="77777777" w:rsidTr="00D0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2888" w:type="dxa"/>
            <w:gridSpan w:val="2"/>
          </w:tcPr>
          <w:p w14:paraId="3037083A" w14:textId="77777777" w:rsidR="009C4D68" w:rsidRPr="00417577" w:rsidRDefault="009C4D68" w:rsidP="009C4D68">
            <w:r w:rsidRPr="00417577">
              <w:t>Componentes involucrados en la fórmula del cálculo</w:t>
            </w:r>
          </w:p>
        </w:tc>
        <w:tc>
          <w:tcPr>
            <w:tcW w:w="6179" w:type="dxa"/>
          </w:tcPr>
          <w:p w14:paraId="4A4370E3" w14:textId="77777777" w:rsidR="009C4D68" w:rsidRPr="00417577" w:rsidRDefault="009C4D68" w:rsidP="009C4D68">
            <w:r w:rsidRPr="00417577">
              <w:t>Años de vida saludables perdidos =   Años de vida perdidos por muertes prematuras + Años de vida vividos con discapacidad.</w:t>
            </w:r>
          </w:p>
          <w:p w14:paraId="184E89D0" w14:textId="77777777" w:rsidR="009C4D68" w:rsidRPr="00417577" w:rsidRDefault="009C4D68" w:rsidP="009C4D68"/>
        </w:tc>
      </w:tr>
      <w:tr w:rsidR="009C4D68" w:rsidRPr="00417577" w14:paraId="46C5643D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888" w:type="dxa"/>
            <w:gridSpan w:val="2"/>
            <w:hideMark/>
          </w:tcPr>
          <w:p w14:paraId="44430CAD" w14:textId="77777777" w:rsidR="009C4D68" w:rsidRPr="00417577" w:rsidRDefault="009C4D68" w:rsidP="009C4D68">
            <w:r w:rsidRPr="00417577">
              <w:t>Unidad de medida</w:t>
            </w:r>
          </w:p>
        </w:tc>
        <w:tc>
          <w:tcPr>
            <w:tcW w:w="6179" w:type="dxa"/>
            <w:hideMark/>
          </w:tcPr>
          <w:p w14:paraId="5B4A26F5" w14:textId="77777777" w:rsidR="009C4D68" w:rsidRPr="00417577" w:rsidRDefault="009C4D68" w:rsidP="009C4D68">
            <w:r w:rsidRPr="00417577">
              <w:t>Número de años</w:t>
            </w:r>
          </w:p>
        </w:tc>
      </w:tr>
      <w:tr w:rsidR="009C4D68" w:rsidRPr="00417577" w14:paraId="239F646C" w14:textId="77777777" w:rsidTr="00D0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tcW w:w="2888" w:type="dxa"/>
            <w:gridSpan w:val="2"/>
            <w:hideMark/>
          </w:tcPr>
          <w:p w14:paraId="1DA34CD5" w14:textId="77777777" w:rsidR="009C4D68" w:rsidRPr="00417577" w:rsidRDefault="009C4D68" w:rsidP="009C4D68">
            <w:r w:rsidRPr="00417577">
              <w:t>Interpretación</w:t>
            </w:r>
          </w:p>
        </w:tc>
        <w:tc>
          <w:tcPr>
            <w:tcW w:w="6179" w:type="dxa"/>
            <w:hideMark/>
          </w:tcPr>
          <w:p w14:paraId="1CC74499" w14:textId="77777777" w:rsidR="009C4D68" w:rsidRPr="00417577" w:rsidRDefault="009C4D68" w:rsidP="009C4D68">
            <w:r w:rsidRPr="00417577">
              <w:t>Número de años vividos por la población nacional libres de enfermedad y sin discapacidad.</w:t>
            </w:r>
          </w:p>
        </w:tc>
      </w:tr>
      <w:tr w:rsidR="009C4D68" w:rsidRPr="00417577" w14:paraId="30CE3FAA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tcW w:w="1551" w:type="dxa"/>
            <w:vMerge w:val="restart"/>
            <w:hideMark/>
          </w:tcPr>
          <w:p w14:paraId="34DC379C" w14:textId="77777777" w:rsidR="009C4D68" w:rsidRPr="00417577" w:rsidRDefault="009C4D68" w:rsidP="009C4D68">
            <w:r w:rsidRPr="00417577">
              <w:t>Desagregación</w:t>
            </w:r>
          </w:p>
        </w:tc>
        <w:tc>
          <w:tcPr>
            <w:tcW w:w="1337" w:type="dxa"/>
          </w:tcPr>
          <w:p w14:paraId="7F4E343C" w14:textId="77777777" w:rsidR="009C4D68" w:rsidRPr="00417577" w:rsidRDefault="009C4D68" w:rsidP="009C4D68">
            <w:r w:rsidRPr="00417577">
              <w:t>Geográfica</w:t>
            </w:r>
          </w:p>
        </w:tc>
        <w:tc>
          <w:tcPr>
            <w:tcW w:w="6179" w:type="dxa"/>
            <w:hideMark/>
          </w:tcPr>
          <w:p w14:paraId="7636D675" w14:textId="77777777" w:rsidR="009C4D68" w:rsidRPr="00417577" w:rsidRDefault="009C4D68" w:rsidP="009C4D68">
            <w:r w:rsidRPr="00417577">
              <w:t>Nacional.</w:t>
            </w:r>
          </w:p>
        </w:tc>
      </w:tr>
      <w:tr w:rsidR="009C4D68" w:rsidRPr="00417577" w14:paraId="348C16FC" w14:textId="77777777" w:rsidTr="00D0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tcW w:w="1551" w:type="dxa"/>
            <w:vMerge/>
          </w:tcPr>
          <w:p w14:paraId="736D2BA8" w14:textId="77777777" w:rsidR="009C4D68" w:rsidRPr="00417577" w:rsidRDefault="009C4D68" w:rsidP="009C4D68"/>
        </w:tc>
        <w:tc>
          <w:tcPr>
            <w:tcW w:w="1337" w:type="dxa"/>
          </w:tcPr>
          <w:p w14:paraId="3E30B023" w14:textId="77777777" w:rsidR="009C4D68" w:rsidRPr="00417577" w:rsidRDefault="009C4D68" w:rsidP="009C4D68">
            <w:r w:rsidRPr="00417577">
              <w:t>Temática</w:t>
            </w:r>
          </w:p>
        </w:tc>
        <w:tc>
          <w:tcPr>
            <w:tcW w:w="6179" w:type="dxa"/>
          </w:tcPr>
          <w:p w14:paraId="6CE1FBF7" w14:textId="77777777" w:rsidR="009C4D68" w:rsidRPr="00417577" w:rsidRDefault="009C4D68" w:rsidP="009C4D68"/>
        </w:tc>
      </w:tr>
      <w:tr w:rsidR="009C4D68" w:rsidRPr="00417577" w14:paraId="220DEA92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tcW w:w="2888" w:type="dxa"/>
            <w:gridSpan w:val="2"/>
            <w:hideMark/>
          </w:tcPr>
          <w:p w14:paraId="7D5A9CE2" w14:textId="77777777" w:rsidR="009C4D68" w:rsidRPr="00417577" w:rsidRDefault="009C4D68" w:rsidP="009C4D68">
            <w:r w:rsidRPr="00417577">
              <w:t>Línea base</w:t>
            </w:r>
          </w:p>
        </w:tc>
        <w:tc>
          <w:tcPr>
            <w:tcW w:w="6179" w:type="dxa"/>
            <w:hideMark/>
          </w:tcPr>
          <w:p w14:paraId="1841740E" w14:textId="31FD80ED" w:rsidR="009C4D68" w:rsidRPr="00417577" w:rsidRDefault="009C4D68" w:rsidP="009C4D68">
            <w:r w:rsidRPr="00BF79E6">
              <w:t>201</w:t>
            </w:r>
            <w:r w:rsidR="00C26387">
              <w:t>7</w:t>
            </w:r>
            <w:r w:rsidRPr="00BF79E6">
              <w:t>: 69,</w:t>
            </w:r>
            <w:r w:rsidR="00C26387">
              <w:t>8</w:t>
            </w:r>
            <w:r w:rsidRPr="00BF79E6">
              <w:t>3</w:t>
            </w:r>
            <w:r w:rsidR="00C26387">
              <w:t xml:space="preserve"> </w:t>
            </w:r>
            <w:r w:rsidRPr="00417577">
              <w:t>años.</w:t>
            </w:r>
          </w:p>
        </w:tc>
      </w:tr>
      <w:tr w:rsidR="009C4D68" w:rsidRPr="00417577" w14:paraId="16F879F4" w14:textId="77777777" w:rsidTr="00D0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tcW w:w="2888" w:type="dxa"/>
            <w:gridSpan w:val="2"/>
            <w:hideMark/>
          </w:tcPr>
          <w:p w14:paraId="0AECA055" w14:textId="77777777" w:rsidR="009C4D68" w:rsidRPr="00417577" w:rsidRDefault="009C4D68" w:rsidP="009C4D68">
            <w:r w:rsidRPr="00417577">
              <w:t>Meta</w:t>
            </w:r>
          </w:p>
        </w:tc>
        <w:tc>
          <w:tcPr>
            <w:tcW w:w="6179" w:type="dxa"/>
            <w:hideMark/>
          </w:tcPr>
          <w:p w14:paraId="32CFA6AF" w14:textId="594A8812" w:rsidR="009C4D68" w:rsidRDefault="009C4D68" w:rsidP="009C4D68">
            <w:r w:rsidRPr="00417577">
              <w:t xml:space="preserve">2020-2022: </w:t>
            </w:r>
            <w:r w:rsidRPr="00BF79E6">
              <w:t>69,90</w:t>
            </w:r>
            <w:r>
              <w:t xml:space="preserve"> </w:t>
            </w:r>
            <w:r w:rsidRPr="00417577">
              <w:t xml:space="preserve">años </w:t>
            </w:r>
          </w:p>
          <w:p w14:paraId="633A5E31" w14:textId="77777777" w:rsidR="009C4D68" w:rsidRDefault="009C4D68" w:rsidP="009C4D68"/>
          <w:p w14:paraId="513C56BD" w14:textId="77777777" w:rsidR="009C4D68" w:rsidRDefault="009C4D68" w:rsidP="009C4D68">
            <w:r>
              <w:t>2020: 69,73%</w:t>
            </w:r>
          </w:p>
          <w:p w14:paraId="12D881CE" w14:textId="77777777" w:rsidR="009C4D68" w:rsidRPr="00417577" w:rsidRDefault="009C4D68" w:rsidP="009C4D68">
            <w:r>
              <w:t>2022: 69,90%</w:t>
            </w:r>
          </w:p>
        </w:tc>
      </w:tr>
      <w:tr w:rsidR="009C4D68" w:rsidRPr="00417577" w14:paraId="334264F5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tcW w:w="2888" w:type="dxa"/>
            <w:gridSpan w:val="2"/>
            <w:hideMark/>
          </w:tcPr>
          <w:p w14:paraId="556B4F5E" w14:textId="77777777" w:rsidR="009C4D68" w:rsidRPr="00417577" w:rsidRDefault="009C4D68" w:rsidP="009C4D68">
            <w:r w:rsidRPr="00417577">
              <w:t xml:space="preserve">Periodicidad </w:t>
            </w:r>
          </w:p>
        </w:tc>
        <w:tc>
          <w:tcPr>
            <w:tcW w:w="6179" w:type="dxa"/>
          </w:tcPr>
          <w:p w14:paraId="10D0BF2A" w14:textId="77777777" w:rsidR="009C4D68" w:rsidRPr="00417577" w:rsidRDefault="009C4D68" w:rsidP="009C4D68">
            <w:r w:rsidRPr="00417577">
              <w:t xml:space="preserve">Bianual </w:t>
            </w:r>
          </w:p>
        </w:tc>
      </w:tr>
      <w:tr w:rsidR="009C4D68" w:rsidRPr="00417577" w14:paraId="1E997CFE" w14:textId="77777777" w:rsidTr="00D0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tcW w:w="2888" w:type="dxa"/>
            <w:gridSpan w:val="2"/>
            <w:hideMark/>
          </w:tcPr>
          <w:p w14:paraId="1527D569" w14:textId="77777777" w:rsidR="009C4D68" w:rsidRPr="00417577" w:rsidRDefault="009C4D68" w:rsidP="009C4D68">
            <w:r w:rsidRPr="00417577">
              <w:t>Fuente de información</w:t>
            </w:r>
          </w:p>
        </w:tc>
        <w:tc>
          <w:tcPr>
            <w:tcW w:w="6179" w:type="dxa"/>
          </w:tcPr>
          <w:p w14:paraId="3432DEC8" w14:textId="77777777" w:rsidR="009C4D68" w:rsidRPr="00417577" w:rsidRDefault="009C4D68" w:rsidP="009C4D68">
            <w:r w:rsidRPr="00417577">
              <w:t xml:space="preserve">Caja Costarricense de Seguro Social, Dirección Actuarial.  </w:t>
            </w:r>
          </w:p>
        </w:tc>
      </w:tr>
      <w:tr w:rsidR="009C4D68" w:rsidRPr="00417577" w14:paraId="69A44F2F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2888" w:type="dxa"/>
            <w:gridSpan w:val="2"/>
            <w:hideMark/>
          </w:tcPr>
          <w:p w14:paraId="015CEA0E" w14:textId="77777777" w:rsidR="009C4D68" w:rsidRPr="00417577" w:rsidRDefault="009C4D68" w:rsidP="009C4D68">
            <w:r w:rsidRPr="00417577">
              <w:t>Clasificación</w:t>
            </w:r>
          </w:p>
        </w:tc>
        <w:tc>
          <w:tcPr>
            <w:tcW w:w="6179" w:type="dxa"/>
            <w:hideMark/>
          </w:tcPr>
          <w:p w14:paraId="648BBD07" w14:textId="77777777" w:rsidR="009C4D68" w:rsidRPr="00417577" w:rsidRDefault="009C4D68" w:rsidP="009C4D68">
            <w:r w:rsidRPr="00417577">
              <w:t>(X) Impacto.</w:t>
            </w:r>
          </w:p>
          <w:p w14:paraId="5FDF9A3F" w14:textId="77777777" w:rsidR="009C4D68" w:rsidRPr="00417577" w:rsidRDefault="009C4D68" w:rsidP="009C4D68">
            <w:proofErr w:type="gramStart"/>
            <w:r w:rsidRPr="00417577">
              <w:t>(  )</w:t>
            </w:r>
            <w:proofErr w:type="gramEnd"/>
            <w:r w:rsidRPr="00417577">
              <w:t xml:space="preserve"> Efecto.</w:t>
            </w:r>
          </w:p>
          <w:p w14:paraId="202D4CFD" w14:textId="77777777" w:rsidR="009C4D68" w:rsidRPr="00417577" w:rsidRDefault="009C4D68" w:rsidP="009C4D68">
            <w:proofErr w:type="gramStart"/>
            <w:r w:rsidRPr="00417577">
              <w:t>(  )</w:t>
            </w:r>
            <w:proofErr w:type="gramEnd"/>
            <w:r w:rsidRPr="00417577">
              <w:t xml:space="preserve"> Producto.</w:t>
            </w:r>
          </w:p>
          <w:p w14:paraId="04EF412F" w14:textId="77777777" w:rsidR="009C4D68" w:rsidRPr="00417577" w:rsidRDefault="009C4D68" w:rsidP="009C4D68"/>
        </w:tc>
      </w:tr>
      <w:tr w:rsidR="009C4D68" w:rsidRPr="00417577" w14:paraId="3EF07BE6" w14:textId="77777777" w:rsidTr="00D0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tcW w:w="2888" w:type="dxa"/>
            <w:gridSpan w:val="2"/>
            <w:hideMark/>
          </w:tcPr>
          <w:p w14:paraId="5F7EB73B" w14:textId="77777777" w:rsidR="009C4D68" w:rsidRPr="00417577" w:rsidRDefault="009C4D68" w:rsidP="009C4D68">
            <w:r w:rsidRPr="00417577">
              <w:t>Tipo de operación estadística</w:t>
            </w:r>
          </w:p>
        </w:tc>
        <w:tc>
          <w:tcPr>
            <w:tcW w:w="6179" w:type="dxa"/>
            <w:hideMark/>
          </w:tcPr>
          <w:p w14:paraId="1B4847A0" w14:textId="77777777" w:rsidR="009C4D68" w:rsidRPr="00417577" w:rsidRDefault="009C4D68" w:rsidP="009C4D68">
            <w:r w:rsidRPr="00417577">
              <w:t xml:space="preserve">Registros administrativos </w:t>
            </w:r>
          </w:p>
        </w:tc>
      </w:tr>
      <w:tr w:rsidR="009C4D68" w:rsidRPr="00417577" w14:paraId="1F23AF88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tcW w:w="2888" w:type="dxa"/>
            <w:gridSpan w:val="2"/>
            <w:hideMark/>
          </w:tcPr>
          <w:p w14:paraId="2ACDF7EE" w14:textId="77777777" w:rsidR="009C4D68" w:rsidRPr="00417577" w:rsidRDefault="009C4D68" w:rsidP="009C4D68">
            <w:r w:rsidRPr="00417577">
              <w:t>Comentarios generales</w:t>
            </w:r>
          </w:p>
        </w:tc>
        <w:tc>
          <w:tcPr>
            <w:tcW w:w="6179" w:type="dxa"/>
            <w:hideMark/>
          </w:tcPr>
          <w:p w14:paraId="3AAD22FA" w14:textId="77777777" w:rsidR="009C4D68" w:rsidRPr="00417577" w:rsidRDefault="009C4D68" w:rsidP="009C4D68"/>
        </w:tc>
      </w:tr>
    </w:tbl>
    <w:p w14:paraId="3711BEA9" w14:textId="77777777" w:rsidR="009C4D68" w:rsidRPr="00417577" w:rsidRDefault="009C4D68" w:rsidP="009C4D68">
      <w:pPr>
        <w:rPr>
          <w:lang w:val="es-ES_tradnl"/>
        </w:rPr>
      </w:pPr>
    </w:p>
    <w:p w14:paraId="3ECC3375" w14:textId="77777777" w:rsidR="009C4D68" w:rsidRPr="00217F9F" w:rsidRDefault="009C4D68" w:rsidP="009C4D68">
      <w:pPr>
        <w:rPr>
          <w:rFonts w:cstheme="minorHAnsi"/>
          <w:sz w:val="20"/>
          <w:szCs w:val="20"/>
        </w:rPr>
      </w:pPr>
      <w:r w:rsidRPr="00217F9F">
        <w:rPr>
          <w:rFonts w:cstheme="minorHAnsi"/>
          <w:sz w:val="20"/>
          <w:szCs w:val="20"/>
        </w:rPr>
        <w:br w:type="page"/>
      </w:r>
    </w:p>
    <w:p w14:paraId="3ADEF615" w14:textId="77777777" w:rsidR="009C4D68" w:rsidRPr="00217F9F" w:rsidRDefault="009C4D68" w:rsidP="009C4D68">
      <w:pPr>
        <w:pStyle w:val="Prrafodelista"/>
        <w:spacing w:after="160"/>
        <w:ind w:left="360"/>
      </w:pPr>
      <w:r w:rsidRPr="00217F9F">
        <w:rPr>
          <w:noProof/>
        </w:rPr>
        <w:lastRenderedPageBreak/>
        <w:t>Porcentaje de población económicamente activa cubierta por el seguro de enfermedad y maternidad.(SEM).</w:t>
      </w:r>
    </w:p>
    <w:tbl>
      <w:tblPr>
        <w:tblStyle w:val="SALUD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1551"/>
        <w:gridCol w:w="1335"/>
        <w:gridCol w:w="6181"/>
      </w:tblGrid>
      <w:tr w:rsidR="009C4D68" w:rsidRPr="00217F9F" w14:paraId="4709CCCA" w14:textId="77777777" w:rsidTr="00D00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gridSpan w:val="2"/>
          </w:tcPr>
          <w:p w14:paraId="169350A8" w14:textId="77777777" w:rsidR="009C4D68" w:rsidRPr="00217F9F" w:rsidRDefault="009C4D68" w:rsidP="009C4D68">
            <w:pPr>
              <w:rPr>
                <w:b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Elemento</w:t>
            </w:r>
          </w:p>
        </w:tc>
        <w:tc>
          <w:tcPr>
            <w:tcW w:w="6181" w:type="dxa"/>
          </w:tcPr>
          <w:p w14:paraId="2C8A0C62" w14:textId="77777777" w:rsidR="009C4D68" w:rsidRPr="00217F9F" w:rsidRDefault="009C4D68" w:rsidP="009C4D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Descripción</w:t>
            </w:r>
          </w:p>
        </w:tc>
      </w:tr>
      <w:tr w:rsidR="009C4D68" w:rsidRPr="00217F9F" w14:paraId="1FAEEC19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gridSpan w:val="2"/>
            <w:hideMark/>
          </w:tcPr>
          <w:p w14:paraId="5E023C45" w14:textId="77777777" w:rsidR="009C4D68" w:rsidRPr="00217F9F" w:rsidRDefault="009C4D68" w:rsidP="009C4D68">
            <w:pPr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Nombre del indicador</w:t>
            </w:r>
          </w:p>
        </w:tc>
        <w:tc>
          <w:tcPr>
            <w:tcW w:w="6181" w:type="dxa"/>
            <w:hideMark/>
          </w:tcPr>
          <w:p w14:paraId="16CF0992" w14:textId="77777777" w:rsidR="009C4D68" w:rsidRPr="00217F9F" w:rsidRDefault="009C4D68" w:rsidP="008A3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Porcentaje de población económicamente activa cubierta por el seguro de enfermedad y maternidad.(SEM</w:t>
            </w:r>
            <w:r w:rsidRPr="00217F9F">
              <w:rPr>
                <w:b/>
                <w:noProof/>
                <w:lang w:eastAsia="en-US"/>
              </w:rPr>
              <w:t>).</w:t>
            </w:r>
          </w:p>
        </w:tc>
      </w:tr>
      <w:tr w:rsidR="009C4D68" w:rsidRPr="00217F9F" w14:paraId="15E8A2FA" w14:textId="77777777" w:rsidTr="00D0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gridSpan w:val="2"/>
            <w:hideMark/>
          </w:tcPr>
          <w:p w14:paraId="14A44E8E" w14:textId="77777777" w:rsidR="009C4D68" w:rsidRPr="00217F9F" w:rsidRDefault="009C4D68" w:rsidP="009C4D68">
            <w:pPr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Definición conceptual</w:t>
            </w:r>
          </w:p>
        </w:tc>
        <w:tc>
          <w:tcPr>
            <w:tcW w:w="6181" w:type="dxa"/>
            <w:hideMark/>
          </w:tcPr>
          <w:p w14:paraId="7E665E65" w14:textId="77777777" w:rsidR="009C4D68" w:rsidRPr="00217F9F" w:rsidRDefault="009C4D68" w:rsidP="008A33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El SEM es un régimen de aseguramiento solidario el cual está financiado en forma tripartita por patrones, trabajadores y El Estado con el objetivo de brindar atención médica, </w:t>
            </w:r>
            <w:hyperlink r:id="rId9" w:tooltip="Economía" w:history="1">
              <w:r w:rsidRPr="00217F9F">
                <w:rPr>
                  <w:rStyle w:val="Hipervnculo"/>
                  <w:rFonts w:cstheme="minorHAnsi"/>
                  <w:noProof/>
                  <w:color w:val="222222"/>
                  <w:sz w:val="20"/>
                  <w:lang w:eastAsia="en-US"/>
                </w:rPr>
                <w:t>económica</w:t>
              </w:r>
            </w:hyperlink>
            <w:r w:rsidRPr="00217F9F">
              <w:rPr>
                <w:noProof/>
                <w:lang w:eastAsia="en-US"/>
              </w:rPr>
              <w:t> y </w:t>
            </w:r>
            <w:hyperlink r:id="rId10" w:tooltip="Social" w:history="1">
              <w:r w:rsidRPr="00217F9F">
                <w:rPr>
                  <w:rStyle w:val="Hipervnculo"/>
                  <w:rFonts w:cstheme="minorHAnsi"/>
                  <w:noProof/>
                  <w:color w:val="222222"/>
                  <w:sz w:val="20"/>
                  <w:lang w:eastAsia="en-US"/>
                </w:rPr>
                <w:t>social</w:t>
              </w:r>
            </w:hyperlink>
            <w:r w:rsidRPr="00217F9F">
              <w:rPr>
                <w:noProof/>
                <w:lang w:eastAsia="en-US"/>
              </w:rPr>
              <w:t> a las personas  </w:t>
            </w:r>
            <w:hyperlink r:id="rId11" w:tooltip="Trabajo (Derecho)" w:history="1">
              <w:r w:rsidRPr="00217F9F">
                <w:rPr>
                  <w:rStyle w:val="Hipervnculo"/>
                  <w:rFonts w:cstheme="minorHAnsi"/>
                  <w:noProof/>
                  <w:color w:val="222222"/>
                  <w:sz w:val="20"/>
                  <w:lang w:eastAsia="en-US"/>
                </w:rPr>
                <w:t>trabajadoras</w:t>
              </w:r>
            </w:hyperlink>
            <w:r w:rsidRPr="00217F9F">
              <w:rPr>
                <w:noProof/>
                <w:lang w:eastAsia="en-US"/>
              </w:rPr>
              <w:t> aseguradas y sus </w:t>
            </w:r>
            <w:hyperlink r:id="rId12" w:tooltip="Familia" w:history="1">
              <w:r w:rsidRPr="00217F9F">
                <w:rPr>
                  <w:rStyle w:val="Hipervnculo"/>
                  <w:rFonts w:cstheme="minorHAnsi"/>
                  <w:noProof/>
                  <w:color w:val="222222"/>
                  <w:sz w:val="20"/>
                  <w:lang w:eastAsia="en-US"/>
                </w:rPr>
                <w:t>familiares</w:t>
              </w:r>
            </w:hyperlink>
            <w:r w:rsidRPr="00217F9F">
              <w:rPr>
                <w:noProof/>
                <w:lang w:eastAsia="en-US"/>
              </w:rPr>
              <w:t>.</w:t>
            </w:r>
          </w:p>
          <w:p w14:paraId="38404D77" w14:textId="77777777" w:rsidR="009C4D68" w:rsidRPr="00217F9F" w:rsidRDefault="009C4D68" w:rsidP="008A3304">
            <w:pPr>
              <w:pStyle w:val="Sinespaciad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color w:val="222222"/>
                <w:sz w:val="20"/>
                <w:lang w:eastAsia="en-US"/>
              </w:rPr>
            </w:pPr>
          </w:p>
        </w:tc>
      </w:tr>
      <w:tr w:rsidR="009C4D68" w:rsidRPr="00217F9F" w14:paraId="0597462B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gridSpan w:val="2"/>
            <w:hideMark/>
          </w:tcPr>
          <w:p w14:paraId="18C11502" w14:textId="77777777" w:rsidR="009C4D68" w:rsidRPr="00217F9F" w:rsidRDefault="009C4D68" w:rsidP="009C4D68">
            <w:pPr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 xml:space="preserve">Fórmula de cálculo </w:t>
            </w:r>
          </w:p>
        </w:tc>
        <w:tc>
          <w:tcPr>
            <w:tcW w:w="6181" w:type="dxa"/>
            <w:hideMark/>
          </w:tcPr>
          <w:p w14:paraId="424FAC71" w14:textId="77777777" w:rsidR="009C4D68" w:rsidRPr="00217F9F" w:rsidRDefault="009C4D68" w:rsidP="008A3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Total de población económicamente activa (PEA) asegurada por el SEM / Total de población económicamente activa ..x 100.</w:t>
            </w:r>
          </w:p>
        </w:tc>
      </w:tr>
      <w:tr w:rsidR="009C4D68" w:rsidRPr="00217F9F" w14:paraId="6CB9961C" w14:textId="77777777" w:rsidTr="00D0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gridSpan w:val="2"/>
            <w:hideMark/>
          </w:tcPr>
          <w:p w14:paraId="176B8E4E" w14:textId="77777777" w:rsidR="009C4D68" w:rsidRPr="00217F9F" w:rsidRDefault="009C4D68" w:rsidP="009C4D68">
            <w:pPr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Componentes involucrados en la fórmula del cálculo</w:t>
            </w:r>
          </w:p>
        </w:tc>
        <w:tc>
          <w:tcPr>
            <w:tcW w:w="6181" w:type="dxa"/>
            <w:hideMark/>
          </w:tcPr>
          <w:p w14:paraId="143F0009" w14:textId="77777777" w:rsidR="009C4D68" w:rsidRPr="00217F9F" w:rsidRDefault="009C4D68" w:rsidP="008A33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Población económicamente activa asegurada, dato que suministra la Dirección Actuarial de la CCSS anualmente.</w:t>
            </w:r>
          </w:p>
          <w:p w14:paraId="4FF10780" w14:textId="77777777" w:rsidR="009C4D68" w:rsidRPr="00217F9F" w:rsidRDefault="009C4D68" w:rsidP="008A33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Población económicamente activa, dato que suministra el INEC, anualmente, de la Encuesta Nacional de Hogares (ENAHO).</w:t>
            </w:r>
          </w:p>
        </w:tc>
      </w:tr>
      <w:tr w:rsidR="009C4D68" w:rsidRPr="00217F9F" w14:paraId="6FA88BAB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gridSpan w:val="2"/>
            <w:hideMark/>
          </w:tcPr>
          <w:p w14:paraId="26C09D7E" w14:textId="77777777" w:rsidR="009C4D68" w:rsidRPr="00217F9F" w:rsidRDefault="009C4D68" w:rsidP="009C4D68">
            <w:pPr>
              <w:rPr>
                <w:bCs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Unidad de medida</w:t>
            </w:r>
          </w:p>
        </w:tc>
        <w:tc>
          <w:tcPr>
            <w:tcW w:w="6181" w:type="dxa"/>
            <w:hideMark/>
          </w:tcPr>
          <w:p w14:paraId="4666C536" w14:textId="77777777" w:rsidR="009C4D68" w:rsidRPr="00217F9F" w:rsidRDefault="009C4D68" w:rsidP="009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Porcentaje</w:t>
            </w:r>
          </w:p>
        </w:tc>
      </w:tr>
      <w:tr w:rsidR="009C4D68" w:rsidRPr="00217F9F" w14:paraId="427F98B2" w14:textId="77777777" w:rsidTr="00D0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gridSpan w:val="2"/>
            <w:hideMark/>
          </w:tcPr>
          <w:p w14:paraId="30032445" w14:textId="77777777" w:rsidR="009C4D68" w:rsidRPr="00217F9F" w:rsidRDefault="009C4D68" w:rsidP="009C4D68">
            <w:pPr>
              <w:rPr>
                <w:bCs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Interpretación</w:t>
            </w:r>
          </w:p>
        </w:tc>
        <w:tc>
          <w:tcPr>
            <w:tcW w:w="6181" w:type="dxa"/>
            <w:hideMark/>
          </w:tcPr>
          <w:p w14:paraId="03933C5E" w14:textId="77777777" w:rsidR="009C4D68" w:rsidRPr="00217F9F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Población económicamente activa que cotiza para el Seguro de enfermedad y maternidad.</w:t>
            </w:r>
          </w:p>
        </w:tc>
      </w:tr>
      <w:tr w:rsidR="009C4D68" w:rsidRPr="00217F9F" w14:paraId="53735473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Merge w:val="restart"/>
            <w:hideMark/>
          </w:tcPr>
          <w:p w14:paraId="3411C77F" w14:textId="77777777" w:rsidR="009C4D68" w:rsidRPr="00217F9F" w:rsidRDefault="009C4D68" w:rsidP="009C4D68">
            <w:pPr>
              <w:rPr>
                <w:bCs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Desagregación</w:t>
            </w:r>
          </w:p>
        </w:tc>
        <w:tc>
          <w:tcPr>
            <w:tcW w:w="1335" w:type="dxa"/>
            <w:hideMark/>
          </w:tcPr>
          <w:p w14:paraId="291F1D05" w14:textId="77777777" w:rsidR="009C4D68" w:rsidRPr="00217F9F" w:rsidRDefault="009C4D68" w:rsidP="009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Geográfica</w:t>
            </w:r>
          </w:p>
        </w:tc>
        <w:tc>
          <w:tcPr>
            <w:tcW w:w="6181" w:type="dxa"/>
            <w:hideMark/>
          </w:tcPr>
          <w:p w14:paraId="29A9000A" w14:textId="77777777" w:rsidR="009C4D68" w:rsidRPr="00217F9F" w:rsidRDefault="009C4D68" w:rsidP="009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Nacional</w:t>
            </w:r>
          </w:p>
        </w:tc>
      </w:tr>
      <w:tr w:rsidR="009C4D68" w:rsidRPr="00217F9F" w14:paraId="3207ABC3" w14:textId="77777777" w:rsidTr="00D0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A7BB14C" w14:textId="77777777" w:rsidR="009C4D68" w:rsidRPr="00217F9F" w:rsidRDefault="009C4D68" w:rsidP="009C4D68">
            <w:pPr>
              <w:rPr>
                <w:rFonts w:cstheme="minorHAnsi"/>
                <w:bCs w:val="0"/>
                <w:noProof/>
              </w:rPr>
            </w:pPr>
          </w:p>
        </w:tc>
        <w:tc>
          <w:tcPr>
            <w:tcW w:w="1335" w:type="dxa"/>
            <w:hideMark/>
          </w:tcPr>
          <w:p w14:paraId="464D6B34" w14:textId="77777777" w:rsidR="009C4D68" w:rsidRPr="00217F9F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Temática</w:t>
            </w:r>
          </w:p>
        </w:tc>
        <w:tc>
          <w:tcPr>
            <w:tcW w:w="6181" w:type="dxa"/>
          </w:tcPr>
          <w:p w14:paraId="23168561" w14:textId="77777777" w:rsidR="009C4D68" w:rsidRPr="00217F9F" w:rsidRDefault="009C4D68" w:rsidP="009C4D68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color w:val="222222"/>
                <w:sz w:val="20"/>
                <w:lang w:eastAsia="en-US"/>
              </w:rPr>
            </w:pPr>
          </w:p>
        </w:tc>
      </w:tr>
      <w:tr w:rsidR="009C4D68" w:rsidRPr="00217F9F" w14:paraId="436899A2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gridSpan w:val="2"/>
            <w:hideMark/>
          </w:tcPr>
          <w:p w14:paraId="6B55234A" w14:textId="77777777" w:rsidR="009C4D68" w:rsidRPr="00217F9F" w:rsidRDefault="009C4D68" w:rsidP="009C4D68">
            <w:pPr>
              <w:rPr>
                <w:bCs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Línea base</w:t>
            </w:r>
          </w:p>
        </w:tc>
        <w:tc>
          <w:tcPr>
            <w:tcW w:w="6181" w:type="dxa"/>
            <w:hideMark/>
          </w:tcPr>
          <w:p w14:paraId="3C37CAB7" w14:textId="51489B50" w:rsidR="009C4D68" w:rsidRPr="00217F9F" w:rsidRDefault="009C4D68" w:rsidP="009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lang w:eastAsia="en-US"/>
              </w:rPr>
            </w:pPr>
            <w:r w:rsidRPr="00BF79E6">
              <w:rPr>
                <w:noProof/>
                <w:lang w:eastAsia="en-US"/>
              </w:rPr>
              <w:t>201</w:t>
            </w:r>
            <w:r w:rsidR="002C23BE">
              <w:rPr>
                <w:noProof/>
                <w:lang w:eastAsia="en-US"/>
              </w:rPr>
              <w:t>7</w:t>
            </w:r>
            <w:r w:rsidRPr="00BF79E6">
              <w:rPr>
                <w:noProof/>
                <w:lang w:eastAsia="en-US"/>
              </w:rPr>
              <w:t>: 69,</w:t>
            </w:r>
            <w:r w:rsidR="002C23BE">
              <w:rPr>
                <w:noProof/>
                <w:lang w:eastAsia="en-US"/>
              </w:rPr>
              <w:t>02</w:t>
            </w:r>
            <w:r w:rsidRPr="00BF79E6">
              <w:rPr>
                <w:noProof/>
                <w:lang w:eastAsia="en-US"/>
              </w:rPr>
              <w:t>%</w:t>
            </w:r>
          </w:p>
        </w:tc>
      </w:tr>
      <w:tr w:rsidR="009C4D68" w:rsidRPr="00217F9F" w14:paraId="6F95EF90" w14:textId="77777777" w:rsidTr="00D0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gridSpan w:val="2"/>
            <w:hideMark/>
          </w:tcPr>
          <w:p w14:paraId="1EDABCD0" w14:textId="77777777" w:rsidR="009C4D68" w:rsidRPr="00217F9F" w:rsidRDefault="009C4D68" w:rsidP="009C4D68">
            <w:pPr>
              <w:rPr>
                <w:bCs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Meta</w:t>
            </w:r>
          </w:p>
        </w:tc>
        <w:tc>
          <w:tcPr>
            <w:tcW w:w="6181" w:type="dxa"/>
            <w:hideMark/>
          </w:tcPr>
          <w:p w14:paraId="488A2CB0" w14:textId="77777777" w:rsidR="009C4D68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 xml:space="preserve">2019-2022: </w:t>
            </w:r>
            <w:r>
              <w:rPr>
                <w:noProof/>
                <w:lang w:eastAsia="en-US"/>
              </w:rPr>
              <w:t>64,32</w:t>
            </w:r>
            <w:r w:rsidRPr="00217F9F">
              <w:rPr>
                <w:noProof/>
                <w:lang w:eastAsia="en-US"/>
              </w:rPr>
              <w:t>%</w:t>
            </w:r>
          </w:p>
          <w:p w14:paraId="77E12D75" w14:textId="77777777" w:rsidR="009C4D68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  <w:lang w:eastAsia="en-US"/>
              </w:rPr>
            </w:pPr>
          </w:p>
          <w:p w14:paraId="1499D353" w14:textId="77777777" w:rsidR="009C4D68" w:rsidRPr="00BF79E6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  <w:lang w:eastAsia="en-US"/>
              </w:rPr>
            </w:pPr>
            <w:r w:rsidRPr="00BF79E6">
              <w:rPr>
                <w:bCs/>
                <w:noProof/>
                <w:lang w:eastAsia="en-US"/>
              </w:rPr>
              <w:t>2020: 63,63%</w:t>
            </w:r>
          </w:p>
          <w:p w14:paraId="6C4CC754" w14:textId="77777777" w:rsidR="009C4D68" w:rsidRPr="00BF79E6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  <w:lang w:eastAsia="en-US"/>
              </w:rPr>
            </w:pPr>
            <w:r w:rsidRPr="00BF79E6">
              <w:rPr>
                <w:bCs/>
                <w:noProof/>
                <w:lang w:eastAsia="en-US"/>
              </w:rPr>
              <w:t>2021: 63,98%</w:t>
            </w:r>
          </w:p>
          <w:p w14:paraId="5887D9D9" w14:textId="7B97C10D" w:rsidR="009C4D68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  <w:lang w:eastAsia="en-US"/>
              </w:rPr>
            </w:pPr>
            <w:r w:rsidRPr="00BF79E6">
              <w:rPr>
                <w:bCs/>
                <w:noProof/>
                <w:lang w:eastAsia="en-US"/>
              </w:rPr>
              <w:t>2022: 64,32%</w:t>
            </w:r>
          </w:p>
          <w:p w14:paraId="07D60F1B" w14:textId="77777777" w:rsidR="009C4D68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  <w:lang w:eastAsia="en-US"/>
              </w:rPr>
            </w:pPr>
          </w:p>
          <w:p w14:paraId="6EBD4F3E" w14:textId="77777777" w:rsidR="009C4D68" w:rsidRPr="00217F9F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  <w:lang w:eastAsia="en-US"/>
              </w:rPr>
            </w:pPr>
          </w:p>
        </w:tc>
      </w:tr>
      <w:tr w:rsidR="009C4D68" w:rsidRPr="00217F9F" w14:paraId="77DAFD8F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gridSpan w:val="2"/>
            <w:hideMark/>
          </w:tcPr>
          <w:p w14:paraId="661452D5" w14:textId="77777777" w:rsidR="009C4D68" w:rsidRPr="00217F9F" w:rsidRDefault="009C4D68" w:rsidP="009C4D68">
            <w:pPr>
              <w:rPr>
                <w:bCs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Periodicidad</w:t>
            </w:r>
          </w:p>
        </w:tc>
        <w:tc>
          <w:tcPr>
            <w:tcW w:w="6181" w:type="dxa"/>
            <w:hideMark/>
          </w:tcPr>
          <w:p w14:paraId="34BAA865" w14:textId="77777777" w:rsidR="009C4D68" w:rsidRPr="00217F9F" w:rsidRDefault="009C4D68" w:rsidP="009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Anual</w:t>
            </w:r>
          </w:p>
        </w:tc>
      </w:tr>
      <w:tr w:rsidR="009C4D68" w:rsidRPr="00217F9F" w14:paraId="32604F45" w14:textId="77777777" w:rsidTr="00D0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gridSpan w:val="2"/>
            <w:hideMark/>
          </w:tcPr>
          <w:p w14:paraId="273E531B" w14:textId="77777777" w:rsidR="009C4D68" w:rsidRPr="00217F9F" w:rsidRDefault="009C4D68" w:rsidP="009C4D68">
            <w:pPr>
              <w:rPr>
                <w:bCs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Fuente</w:t>
            </w:r>
          </w:p>
        </w:tc>
        <w:tc>
          <w:tcPr>
            <w:tcW w:w="6181" w:type="dxa"/>
            <w:hideMark/>
          </w:tcPr>
          <w:p w14:paraId="1D070BE7" w14:textId="77777777" w:rsidR="009C4D68" w:rsidRPr="00217F9F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noProof/>
                <w:sz w:val="20"/>
              </w:rPr>
            </w:pPr>
            <w:r w:rsidRPr="00217F9F">
              <w:rPr>
                <w:rFonts w:cstheme="minorHAnsi"/>
                <w:noProof/>
                <w:color w:val="222222"/>
                <w:sz w:val="20"/>
              </w:rPr>
              <w:t>Caja Costarricense de Seguro Social, Dirección Actuarial.</w:t>
            </w:r>
          </w:p>
        </w:tc>
      </w:tr>
      <w:tr w:rsidR="009C4D68" w:rsidRPr="00217F9F" w14:paraId="473B82C8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gridSpan w:val="2"/>
            <w:hideMark/>
          </w:tcPr>
          <w:p w14:paraId="33CDE64E" w14:textId="77777777" w:rsidR="009C4D68" w:rsidRPr="00217F9F" w:rsidRDefault="009C4D68" w:rsidP="009C4D68">
            <w:pPr>
              <w:rPr>
                <w:bCs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Clasificación</w:t>
            </w:r>
          </w:p>
        </w:tc>
        <w:tc>
          <w:tcPr>
            <w:tcW w:w="6181" w:type="dxa"/>
            <w:hideMark/>
          </w:tcPr>
          <w:p w14:paraId="7D0908D0" w14:textId="77777777" w:rsidR="009C4D68" w:rsidRPr="00217F9F" w:rsidRDefault="009C4D68" w:rsidP="009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() Impacto.</w:t>
            </w:r>
          </w:p>
          <w:p w14:paraId="5EA40288" w14:textId="77777777" w:rsidR="009C4D68" w:rsidRPr="00217F9F" w:rsidRDefault="009C4D68" w:rsidP="009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() Efecto.</w:t>
            </w:r>
          </w:p>
          <w:p w14:paraId="5501F5B2" w14:textId="77777777" w:rsidR="009C4D68" w:rsidRPr="00217F9F" w:rsidRDefault="009C4D68" w:rsidP="009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(X ) Producto.</w:t>
            </w:r>
          </w:p>
        </w:tc>
      </w:tr>
      <w:tr w:rsidR="009C4D68" w:rsidRPr="00217F9F" w14:paraId="27BEEC59" w14:textId="77777777" w:rsidTr="00D0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gridSpan w:val="2"/>
            <w:hideMark/>
          </w:tcPr>
          <w:p w14:paraId="511519AF" w14:textId="77777777" w:rsidR="009C4D68" w:rsidRPr="00217F9F" w:rsidRDefault="009C4D68" w:rsidP="009C4D68">
            <w:pPr>
              <w:rPr>
                <w:bCs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Tipo de operación estadística</w:t>
            </w:r>
          </w:p>
        </w:tc>
        <w:tc>
          <w:tcPr>
            <w:tcW w:w="6181" w:type="dxa"/>
            <w:hideMark/>
          </w:tcPr>
          <w:p w14:paraId="31871F0C" w14:textId="77777777" w:rsidR="009C4D68" w:rsidRPr="00217F9F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Registros administrativos de la Caja Costarricense de Seguro Social.</w:t>
            </w:r>
          </w:p>
        </w:tc>
      </w:tr>
      <w:tr w:rsidR="009C4D68" w:rsidRPr="00217F9F" w14:paraId="66A5CA1C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gridSpan w:val="2"/>
            <w:hideMark/>
          </w:tcPr>
          <w:p w14:paraId="627DD5C4" w14:textId="77777777" w:rsidR="009C4D68" w:rsidRPr="00217F9F" w:rsidRDefault="009C4D68" w:rsidP="009C4D68">
            <w:pPr>
              <w:rPr>
                <w:bCs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Comentarios generales</w:t>
            </w:r>
          </w:p>
        </w:tc>
        <w:tc>
          <w:tcPr>
            <w:tcW w:w="6181" w:type="dxa"/>
            <w:hideMark/>
          </w:tcPr>
          <w:p w14:paraId="107EAC54" w14:textId="77777777" w:rsidR="009C4D68" w:rsidRPr="00217F9F" w:rsidRDefault="009C4D68" w:rsidP="009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217F9F">
              <w:rPr>
                <w:rFonts w:cstheme="minorHAnsi"/>
                <w:noProof/>
                <w:color w:val="222222"/>
                <w:sz w:val="20"/>
              </w:rPr>
              <w:t>PEA:  Población económicamente activa (PEA) mayor de 15 años que trabaja o busca trabajo.</w:t>
            </w:r>
          </w:p>
        </w:tc>
      </w:tr>
    </w:tbl>
    <w:p w14:paraId="01478BD6" w14:textId="77777777" w:rsidR="009C4D68" w:rsidRPr="00217F9F" w:rsidRDefault="009C4D68" w:rsidP="009C4D68">
      <w:pPr>
        <w:rPr>
          <w:rFonts w:cstheme="minorHAnsi"/>
          <w:sz w:val="20"/>
          <w:szCs w:val="20"/>
        </w:rPr>
      </w:pPr>
    </w:p>
    <w:p w14:paraId="30CC474B" w14:textId="77777777" w:rsidR="009C4D68" w:rsidRPr="00217F9F" w:rsidRDefault="009C4D68" w:rsidP="009C4D68">
      <w:pPr>
        <w:rPr>
          <w:rFonts w:cstheme="minorHAnsi"/>
          <w:sz w:val="20"/>
          <w:szCs w:val="20"/>
        </w:rPr>
      </w:pPr>
      <w:r w:rsidRPr="00217F9F">
        <w:rPr>
          <w:rFonts w:cstheme="minorHAnsi"/>
          <w:sz w:val="20"/>
          <w:szCs w:val="20"/>
        </w:rPr>
        <w:br w:type="page"/>
      </w:r>
    </w:p>
    <w:p w14:paraId="27D7C4B7" w14:textId="77777777" w:rsidR="009C4D68" w:rsidRPr="00217F9F" w:rsidRDefault="009C4D68" w:rsidP="009C4D68">
      <w:pPr>
        <w:pStyle w:val="Prrafodelista"/>
        <w:spacing w:after="160"/>
        <w:ind w:left="360"/>
      </w:pPr>
      <w:r w:rsidRPr="00217F9F">
        <w:rPr>
          <w:noProof/>
        </w:rPr>
        <w:lastRenderedPageBreak/>
        <w:t>Porcentaje de población económicamente activa cubierta por el seguro de invalidez, vejez y muerte.(IVM)</w:t>
      </w:r>
    </w:p>
    <w:tbl>
      <w:tblPr>
        <w:tblStyle w:val="SALUD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1542"/>
        <w:gridCol w:w="1260"/>
        <w:gridCol w:w="6265"/>
      </w:tblGrid>
      <w:tr w:rsidR="009C4D68" w:rsidRPr="00217F9F" w14:paraId="388584C3" w14:textId="77777777" w:rsidTr="00D00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1BA275DD" w14:textId="77777777" w:rsidR="009C4D68" w:rsidRPr="00217F9F" w:rsidRDefault="009C4D68" w:rsidP="009C4D68">
            <w:pPr>
              <w:rPr>
                <w:b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Elemento</w:t>
            </w:r>
          </w:p>
        </w:tc>
        <w:tc>
          <w:tcPr>
            <w:tcW w:w="6265" w:type="dxa"/>
          </w:tcPr>
          <w:p w14:paraId="42906528" w14:textId="77777777" w:rsidR="009C4D68" w:rsidRPr="00217F9F" w:rsidRDefault="009C4D68" w:rsidP="009C4D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217F9F">
              <w:rPr>
                <w:noProof/>
              </w:rPr>
              <w:t>Descripción</w:t>
            </w:r>
          </w:p>
        </w:tc>
      </w:tr>
      <w:tr w:rsidR="009C4D68" w:rsidRPr="00217F9F" w14:paraId="2F6FA91E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75430B19" w14:textId="77777777" w:rsidR="009C4D68" w:rsidRPr="00217F9F" w:rsidRDefault="009C4D68" w:rsidP="009C4D68">
            <w:pPr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Nombre del indicador</w:t>
            </w:r>
          </w:p>
        </w:tc>
        <w:tc>
          <w:tcPr>
            <w:tcW w:w="6265" w:type="dxa"/>
          </w:tcPr>
          <w:p w14:paraId="280DAB41" w14:textId="77777777" w:rsidR="009C4D68" w:rsidRPr="00217F9F" w:rsidRDefault="009C4D68" w:rsidP="008A3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217F9F">
              <w:rPr>
                <w:noProof/>
              </w:rPr>
              <w:t>Porcentaje de población económicamente activa cubierta por el seguro de invalidez, vejez y muerte.(IVM)</w:t>
            </w:r>
          </w:p>
        </w:tc>
      </w:tr>
      <w:tr w:rsidR="009C4D68" w:rsidRPr="00217F9F" w14:paraId="3C995A0E" w14:textId="77777777" w:rsidTr="00D0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69B7A8D5" w14:textId="77777777" w:rsidR="009C4D68" w:rsidRPr="00217F9F" w:rsidRDefault="009C4D68" w:rsidP="009C4D68">
            <w:pPr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Definición conceptual</w:t>
            </w:r>
          </w:p>
        </w:tc>
        <w:tc>
          <w:tcPr>
            <w:tcW w:w="6265" w:type="dxa"/>
          </w:tcPr>
          <w:p w14:paraId="45D4D16A" w14:textId="77777777" w:rsidR="009C4D68" w:rsidRPr="00217F9F" w:rsidRDefault="009C4D68" w:rsidP="008A33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217F9F">
              <w:rPr>
                <w:noProof/>
              </w:rPr>
              <w:t>El IVM es un seguro solidario que permite garantizar al asegurado y a sus familiares una protección básica como pensión por invalidez, vejez y muerte.</w:t>
            </w:r>
          </w:p>
          <w:p w14:paraId="1072A7C7" w14:textId="77777777" w:rsidR="009C4D68" w:rsidRPr="00217F9F" w:rsidRDefault="009C4D68" w:rsidP="008A33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  <w:p w14:paraId="199B2FB9" w14:textId="77777777" w:rsidR="009C4D68" w:rsidRPr="00217F9F" w:rsidRDefault="009C4D68" w:rsidP="008A33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217F9F">
              <w:rPr>
                <w:noProof/>
              </w:rPr>
              <w:t>Población económicamente activa (PEA):  Población  mayor de 15 años que trabaja o busca trabajo.</w:t>
            </w:r>
          </w:p>
          <w:p w14:paraId="7182890C" w14:textId="77777777" w:rsidR="009C4D68" w:rsidRPr="00217F9F" w:rsidRDefault="009C4D68" w:rsidP="008A33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  <w:p w14:paraId="37D07E15" w14:textId="77777777" w:rsidR="009C4D68" w:rsidRPr="00217F9F" w:rsidRDefault="009C4D68" w:rsidP="008A33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217F9F">
              <w:rPr>
                <w:noProof/>
              </w:rPr>
              <w:t xml:space="preserve">PEA cubierta por IVM: incluye asalariado, trabajador independiente, trabajador de convenios especiales.  No se incluye los asegurados voluntarios. </w:t>
            </w:r>
          </w:p>
          <w:p w14:paraId="5481B4AF" w14:textId="77777777" w:rsidR="009C4D68" w:rsidRPr="00217F9F" w:rsidRDefault="009C4D68" w:rsidP="008A33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217F9F">
              <w:rPr>
                <w:noProof/>
              </w:rPr>
              <w:t>Trabajador independiente : toda persona que realiza una actividad de forma independiente, le asiste la obligacion de afiliarse a la CCSS.</w:t>
            </w:r>
          </w:p>
          <w:p w14:paraId="0EFD7B3D" w14:textId="77777777" w:rsidR="009C4D68" w:rsidRPr="00217F9F" w:rsidRDefault="009C4D68" w:rsidP="008A33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217F9F">
              <w:rPr>
                <w:noProof/>
              </w:rPr>
              <w:t>Dentro de los ocho días de iniciada su labor.</w:t>
            </w:r>
          </w:p>
          <w:p w14:paraId="2D6D8896" w14:textId="77777777" w:rsidR="009C4D68" w:rsidRPr="00217F9F" w:rsidRDefault="009C4D68" w:rsidP="008A33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217F9F">
              <w:rPr>
                <w:noProof/>
              </w:rPr>
              <w:t>Trabajador asalariado: perosona que participa en la actividad economica por cuenta ajena ofreciendo su mano de obra a cambio de una remuneracion o especie</w:t>
            </w:r>
          </w:p>
          <w:p w14:paraId="5E1DA986" w14:textId="77777777" w:rsidR="009C4D68" w:rsidRPr="00217F9F" w:rsidRDefault="009C4D68" w:rsidP="008A33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217F9F">
              <w:rPr>
                <w:noProof/>
              </w:rPr>
              <w:t xml:space="preserve">Convenios especiales: son acuerdos suscritos de forma voluntaria  entre los trabajadores y la tesorería general de la seguridad social </w:t>
            </w:r>
          </w:p>
          <w:p w14:paraId="32FD5B03" w14:textId="77777777" w:rsidR="009C4D68" w:rsidRPr="00217F9F" w:rsidRDefault="009C4D68" w:rsidP="008A33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217F9F">
              <w:rPr>
                <w:noProof/>
              </w:rPr>
              <w:t>con el objetivo d egenerar mantener o incremertras los derecho a prestaciones de la seguridad social en determinadas situaciones.</w:t>
            </w:r>
          </w:p>
        </w:tc>
      </w:tr>
      <w:tr w:rsidR="009C4D68" w:rsidRPr="00217F9F" w14:paraId="6FB4222D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hideMark/>
          </w:tcPr>
          <w:p w14:paraId="6220AE5D" w14:textId="77777777" w:rsidR="009C4D68" w:rsidRPr="00217F9F" w:rsidRDefault="009C4D68" w:rsidP="009C4D68">
            <w:pPr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 xml:space="preserve">Fórmula de cálculo </w:t>
            </w:r>
          </w:p>
        </w:tc>
        <w:tc>
          <w:tcPr>
            <w:tcW w:w="6265" w:type="dxa"/>
            <w:hideMark/>
          </w:tcPr>
          <w:p w14:paraId="1ACE197A" w14:textId="77777777" w:rsidR="009C4D68" w:rsidRPr="00217F9F" w:rsidRDefault="009C4D68" w:rsidP="009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217F9F">
              <w:rPr>
                <w:noProof/>
              </w:rPr>
              <w:t xml:space="preserve">Total de población económicamente activa (PEA) asegurada por IVM / Total de población económicamente activa. x 100. </w:t>
            </w:r>
          </w:p>
        </w:tc>
      </w:tr>
      <w:tr w:rsidR="009C4D68" w:rsidRPr="00217F9F" w14:paraId="42EAFA94" w14:textId="77777777" w:rsidTr="00D0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6C9015C6" w14:textId="77777777" w:rsidR="009C4D68" w:rsidRPr="00217F9F" w:rsidRDefault="009C4D68" w:rsidP="009C4D68">
            <w:pPr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Componentes involucrados en la fórmula del cálculo</w:t>
            </w:r>
          </w:p>
        </w:tc>
        <w:tc>
          <w:tcPr>
            <w:tcW w:w="6265" w:type="dxa"/>
          </w:tcPr>
          <w:p w14:paraId="6EA04FD4" w14:textId="77777777" w:rsidR="009C4D68" w:rsidRPr="00217F9F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Población económicamente activa asegurada por IVM, dato que suministra la Dirección Actuarial de la CCSS anualmente.</w:t>
            </w:r>
          </w:p>
          <w:p w14:paraId="17235E72" w14:textId="77777777" w:rsidR="009C4D68" w:rsidRPr="00217F9F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217F9F">
              <w:rPr>
                <w:noProof/>
                <w:lang w:eastAsia="en-US"/>
              </w:rPr>
              <w:t>Población económicamente activa dato que suministra el INEC, anualmente, de la Encuesta Nacional de Hogares (ENAHO).</w:t>
            </w:r>
          </w:p>
        </w:tc>
      </w:tr>
      <w:tr w:rsidR="009C4D68" w:rsidRPr="00217F9F" w14:paraId="47D2E5AF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hideMark/>
          </w:tcPr>
          <w:p w14:paraId="4B9BDE53" w14:textId="77777777" w:rsidR="009C4D68" w:rsidRPr="00217F9F" w:rsidRDefault="009C4D68" w:rsidP="009C4D68">
            <w:pPr>
              <w:rPr>
                <w:bCs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Unidad de medida</w:t>
            </w:r>
          </w:p>
        </w:tc>
        <w:tc>
          <w:tcPr>
            <w:tcW w:w="6265" w:type="dxa"/>
          </w:tcPr>
          <w:p w14:paraId="35ACF8D5" w14:textId="77777777" w:rsidR="009C4D68" w:rsidRPr="00217F9F" w:rsidRDefault="009C4D68" w:rsidP="009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217F9F">
              <w:rPr>
                <w:noProof/>
              </w:rPr>
              <w:t>Porcentaje</w:t>
            </w:r>
          </w:p>
        </w:tc>
      </w:tr>
      <w:tr w:rsidR="009C4D68" w:rsidRPr="00217F9F" w14:paraId="63F6B49B" w14:textId="77777777" w:rsidTr="00D0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hideMark/>
          </w:tcPr>
          <w:p w14:paraId="00C25068" w14:textId="77777777" w:rsidR="009C4D68" w:rsidRPr="00217F9F" w:rsidRDefault="009C4D68" w:rsidP="009C4D68">
            <w:pPr>
              <w:rPr>
                <w:bCs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Interpretación</w:t>
            </w:r>
          </w:p>
        </w:tc>
        <w:tc>
          <w:tcPr>
            <w:tcW w:w="6265" w:type="dxa"/>
          </w:tcPr>
          <w:p w14:paraId="3993537D" w14:textId="77777777" w:rsidR="009C4D68" w:rsidRPr="00217F9F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217F9F">
              <w:rPr>
                <w:noProof/>
              </w:rPr>
              <w:t>Población económicamente activa que cotiza para el seguro de invalidez, vejez y muerte.</w:t>
            </w:r>
          </w:p>
        </w:tc>
      </w:tr>
      <w:tr w:rsidR="009C4D68" w:rsidRPr="00217F9F" w14:paraId="7F07DE54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Merge w:val="restart"/>
            <w:hideMark/>
          </w:tcPr>
          <w:p w14:paraId="0A7B8D95" w14:textId="77777777" w:rsidR="009C4D68" w:rsidRPr="00217F9F" w:rsidRDefault="009C4D68" w:rsidP="009C4D68">
            <w:pPr>
              <w:rPr>
                <w:bCs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Desagregación</w:t>
            </w:r>
          </w:p>
        </w:tc>
        <w:tc>
          <w:tcPr>
            <w:tcW w:w="1260" w:type="dxa"/>
          </w:tcPr>
          <w:p w14:paraId="40F3367D" w14:textId="77777777" w:rsidR="009C4D68" w:rsidRPr="00217F9F" w:rsidRDefault="009C4D68" w:rsidP="009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Geográfica</w:t>
            </w:r>
          </w:p>
        </w:tc>
        <w:tc>
          <w:tcPr>
            <w:tcW w:w="6265" w:type="dxa"/>
          </w:tcPr>
          <w:p w14:paraId="4D7E3D70" w14:textId="77777777" w:rsidR="009C4D68" w:rsidRPr="00217F9F" w:rsidRDefault="009C4D68" w:rsidP="009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217F9F">
              <w:rPr>
                <w:noProof/>
              </w:rPr>
              <w:t>Nacional</w:t>
            </w:r>
          </w:p>
        </w:tc>
      </w:tr>
      <w:tr w:rsidR="009C4D68" w:rsidRPr="00217F9F" w14:paraId="42F13C5E" w14:textId="77777777" w:rsidTr="00D0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Merge/>
          </w:tcPr>
          <w:p w14:paraId="6BE94B40" w14:textId="77777777" w:rsidR="009C4D68" w:rsidRPr="00217F9F" w:rsidRDefault="009C4D68" w:rsidP="009C4D68">
            <w:pPr>
              <w:pStyle w:val="Sinespaciado"/>
              <w:jc w:val="center"/>
              <w:rPr>
                <w:rFonts w:ascii="Arial Narrow" w:hAnsi="Arial Narrow" w:cstheme="minorHAnsi"/>
                <w:bCs w:val="0"/>
                <w:noProof/>
                <w:lang w:eastAsia="en-US"/>
              </w:rPr>
            </w:pPr>
          </w:p>
        </w:tc>
        <w:tc>
          <w:tcPr>
            <w:tcW w:w="1260" w:type="dxa"/>
          </w:tcPr>
          <w:p w14:paraId="6FF8D780" w14:textId="77777777" w:rsidR="009C4D68" w:rsidRPr="00217F9F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Temática</w:t>
            </w:r>
          </w:p>
        </w:tc>
        <w:tc>
          <w:tcPr>
            <w:tcW w:w="6265" w:type="dxa"/>
          </w:tcPr>
          <w:p w14:paraId="38703014" w14:textId="77777777" w:rsidR="009C4D68" w:rsidRPr="00217F9F" w:rsidRDefault="009C4D68" w:rsidP="009C4D68">
            <w:pPr>
              <w:pStyle w:val="Sinespaciad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color w:val="222222"/>
                <w:sz w:val="20"/>
              </w:rPr>
            </w:pPr>
          </w:p>
        </w:tc>
      </w:tr>
      <w:tr w:rsidR="009C4D68" w:rsidRPr="00217F9F" w14:paraId="7A947EA7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hideMark/>
          </w:tcPr>
          <w:p w14:paraId="3BA5B877" w14:textId="77777777" w:rsidR="009C4D68" w:rsidRPr="00217F9F" w:rsidRDefault="009C4D68" w:rsidP="009C4D68">
            <w:pPr>
              <w:rPr>
                <w:bCs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Línea base</w:t>
            </w:r>
          </w:p>
        </w:tc>
        <w:tc>
          <w:tcPr>
            <w:tcW w:w="6265" w:type="dxa"/>
          </w:tcPr>
          <w:p w14:paraId="5FA290A9" w14:textId="62ADF8EE" w:rsidR="009C4D68" w:rsidRPr="00217F9F" w:rsidRDefault="009C4D68" w:rsidP="009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lang w:eastAsia="en-US"/>
              </w:rPr>
            </w:pPr>
            <w:r w:rsidRPr="00BF79E6">
              <w:rPr>
                <w:noProof/>
              </w:rPr>
              <w:t>201</w:t>
            </w:r>
            <w:r w:rsidR="002C23BE">
              <w:rPr>
                <w:noProof/>
              </w:rPr>
              <w:t>7</w:t>
            </w:r>
            <w:r w:rsidRPr="00BF79E6">
              <w:rPr>
                <w:noProof/>
              </w:rPr>
              <w:t>: 62,</w:t>
            </w:r>
            <w:r w:rsidR="002C23BE">
              <w:rPr>
                <w:noProof/>
              </w:rPr>
              <w:t>58</w:t>
            </w:r>
            <w:r w:rsidRPr="00BF79E6">
              <w:rPr>
                <w:noProof/>
              </w:rPr>
              <w:t>%</w:t>
            </w:r>
          </w:p>
        </w:tc>
      </w:tr>
      <w:tr w:rsidR="009C4D68" w:rsidRPr="00217F9F" w14:paraId="66EDF578" w14:textId="77777777" w:rsidTr="00D0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hideMark/>
          </w:tcPr>
          <w:p w14:paraId="2DCBD603" w14:textId="77777777" w:rsidR="009C4D68" w:rsidRPr="00217F9F" w:rsidRDefault="009C4D68" w:rsidP="009C4D68">
            <w:pPr>
              <w:rPr>
                <w:bCs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Meta</w:t>
            </w:r>
          </w:p>
        </w:tc>
        <w:tc>
          <w:tcPr>
            <w:tcW w:w="6265" w:type="dxa"/>
          </w:tcPr>
          <w:p w14:paraId="7FDE08FA" w14:textId="77777777" w:rsidR="009C4D68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217F9F">
              <w:rPr>
                <w:noProof/>
              </w:rPr>
              <w:t xml:space="preserve">2019-2022: </w:t>
            </w:r>
            <w:r>
              <w:rPr>
                <w:noProof/>
              </w:rPr>
              <w:t>58,13</w:t>
            </w:r>
            <w:r w:rsidRPr="00217F9F">
              <w:rPr>
                <w:noProof/>
              </w:rPr>
              <w:t>%</w:t>
            </w:r>
          </w:p>
          <w:p w14:paraId="040B6180" w14:textId="77777777" w:rsidR="009C4D68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</w:rPr>
            </w:pPr>
          </w:p>
          <w:p w14:paraId="43A81695" w14:textId="77777777" w:rsidR="009C4D68" w:rsidRPr="00BF79E6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</w:rPr>
            </w:pPr>
            <w:r w:rsidRPr="00BF79E6">
              <w:rPr>
                <w:bCs/>
                <w:noProof/>
              </w:rPr>
              <w:t>2020: 57,50%</w:t>
            </w:r>
          </w:p>
          <w:p w14:paraId="22773CFB" w14:textId="77777777" w:rsidR="009C4D68" w:rsidRPr="00BF79E6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</w:rPr>
            </w:pPr>
            <w:r w:rsidRPr="00BF79E6">
              <w:rPr>
                <w:bCs/>
                <w:noProof/>
              </w:rPr>
              <w:t>2021: 57,81%</w:t>
            </w:r>
          </w:p>
          <w:p w14:paraId="536B1D68" w14:textId="77777777" w:rsidR="009C4D68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</w:rPr>
            </w:pPr>
            <w:r w:rsidRPr="00BF79E6">
              <w:rPr>
                <w:bCs/>
                <w:noProof/>
              </w:rPr>
              <w:t>2022: 58,13%</w:t>
            </w:r>
          </w:p>
          <w:p w14:paraId="4F540FC6" w14:textId="77777777" w:rsidR="009C4D68" w:rsidRPr="00217F9F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  <w:lang w:eastAsia="en-US"/>
              </w:rPr>
            </w:pPr>
          </w:p>
        </w:tc>
      </w:tr>
      <w:tr w:rsidR="009C4D68" w:rsidRPr="00217F9F" w14:paraId="786E3686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hideMark/>
          </w:tcPr>
          <w:p w14:paraId="51EEF4EE" w14:textId="77777777" w:rsidR="009C4D68" w:rsidRPr="00217F9F" w:rsidRDefault="009C4D68" w:rsidP="009C4D68">
            <w:pPr>
              <w:rPr>
                <w:bCs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Periodicidad</w:t>
            </w:r>
          </w:p>
        </w:tc>
        <w:tc>
          <w:tcPr>
            <w:tcW w:w="6265" w:type="dxa"/>
          </w:tcPr>
          <w:p w14:paraId="57371D5C" w14:textId="77777777" w:rsidR="009C4D68" w:rsidRPr="00217F9F" w:rsidRDefault="009C4D68" w:rsidP="009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lang w:eastAsia="en-US"/>
              </w:rPr>
            </w:pPr>
            <w:r w:rsidRPr="00217F9F">
              <w:rPr>
                <w:noProof/>
              </w:rPr>
              <w:t>Anual</w:t>
            </w:r>
          </w:p>
        </w:tc>
      </w:tr>
      <w:tr w:rsidR="009C4D68" w:rsidRPr="00217F9F" w14:paraId="25FB3C8F" w14:textId="77777777" w:rsidTr="00D0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hideMark/>
          </w:tcPr>
          <w:p w14:paraId="372EA64B" w14:textId="77777777" w:rsidR="009C4D68" w:rsidRPr="00217F9F" w:rsidRDefault="009C4D68" w:rsidP="009C4D68">
            <w:pPr>
              <w:rPr>
                <w:bCs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Fuente</w:t>
            </w:r>
          </w:p>
        </w:tc>
        <w:tc>
          <w:tcPr>
            <w:tcW w:w="6265" w:type="dxa"/>
          </w:tcPr>
          <w:p w14:paraId="13AE6F94" w14:textId="77777777" w:rsidR="009C4D68" w:rsidRPr="00217F9F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noProof/>
                <w:sz w:val="20"/>
              </w:rPr>
            </w:pPr>
            <w:r w:rsidRPr="00217F9F">
              <w:rPr>
                <w:rFonts w:cstheme="minorHAnsi"/>
                <w:noProof/>
                <w:color w:val="222222"/>
                <w:sz w:val="20"/>
              </w:rPr>
              <w:t>Caja Costarricense de Seguro Social</w:t>
            </w:r>
          </w:p>
        </w:tc>
      </w:tr>
      <w:tr w:rsidR="009C4D68" w:rsidRPr="00217F9F" w14:paraId="25C3DD05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hideMark/>
          </w:tcPr>
          <w:p w14:paraId="324F11D7" w14:textId="77777777" w:rsidR="009C4D68" w:rsidRPr="00217F9F" w:rsidRDefault="009C4D68" w:rsidP="009C4D68">
            <w:pPr>
              <w:rPr>
                <w:bCs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Clasificación</w:t>
            </w:r>
          </w:p>
        </w:tc>
        <w:tc>
          <w:tcPr>
            <w:tcW w:w="6265" w:type="dxa"/>
            <w:hideMark/>
          </w:tcPr>
          <w:p w14:paraId="1E6C416B" w14:textId="77777777" w:rsidR="009C4D68" w:rsidRPr="00217F9F" w:rsidRDefault="009C4D68" w:rsidP="009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() Impacto.</w:t>
            </w:r>
          </w:p>
          <w:p w14:paraId="3A167752" w14:textId="77777777" w:rsidR="009C4D68" w:rsidRPr="00217F9F" w:rsidRDefault="009C4D68" w:rsidP="009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() Efecto.</w:t>
            </w:r>
          </w:p>
          <w:p w14:paraId="0AEC4947" w14:textId="77777777" w:rsidR="009C4D68" w:rsidRPr="00217F9F" w:rsidRDefault="009C4D68" w:rsidP="009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(X ) Producto.</w:t>
            </w:r>
          </w:p>
        </w:tc>
      </w:tr>
      <w:tr w:rsidR="009C4D68" w:rsidRPr="00217F9F" w14:paraId="00F092FB" w14:textId="77777777" w:rsidTr="00D0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hideMark/>
          </w:tcPr>
          <w:p w14:paraId="6602D371" w14:textId="77777777" w:rsidR="009C4D68" w:rsidRPr="00217F9F" w:rsidRDefault="009C4D68" w:rsidP="009C4D68">
            <w:pPr>
              <w:rPr>
                <w:bCs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Tipo de operación estadística</w:t>
            </w:r>
          </w:p>
        </w:tc>
        <w:tc>
          <w:tcPr>
            <w:tcW w:w="6265" w:type="dxa"/>
            <w:hideMark/>
          </w:tcPr>
          <w:p w14:paraId="157692F6" w14:textId="77777777" w:rsidR="009C4D68" w:rsidRPr="00217F9F" w:rsidRDefault="009C4D68" w:rsidP="009C4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  <w:lang w:eastAsia="en-US"/>
              </w:rPr>
            </w:pPr>
            <w:r w:rsidRPr="00217F9F">
              <w:rPr>
                <w:noProof/>
              </w:rPr>
              <w:t>Registros administrativos de la Caja Costarricense de Seguro Social.</w:t>
            </w:r>
          </w:p>
        </w:tc>
      </w:tr>
      <w:tr w:rsidR="009C4D68" w:rsidRPr="00217F9F" w14:paraId="39942808" w14:textId="77777777" w:rsidTr="00D0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hideMark/>
          </w:tcPr>
          <w:p w14:paraId="28434FB9" w14:textId="77777777" w:rsidR="009C4D68" w:rsidRPr="00217F9F" w:rsidRDefault="009C4D68" w:rsidP="009C4D68">
            <w:pPr>
              <w:rPr>
                <w:bCs w:val="0"/>
                <w:noProof/>
                <w:lang w:eastAsia="en-US"/>
              </w:rPr>
            </w:pPr>
            <w:r w:rsidRPr="00217F9F">
              <w:rPr>
                <w:noProof/>
                <w:lang w:eastAsia="en-US"/>
              </w:rPr>
              <w:t>Comentarios generales</w:t>
            </w:r>
          </w:p>
        </w:tc>
        <w:tc>
          <w:tcPr>
            <w:tcW w:w="6265" w:type="dxa"/>
            <w:hideMark/>
          </w:tcPr>
          <w:p w14:paraId="395629F3" w14:textId="77777777" w:rsidR="009C4D68" w:rsidRPr="00217F9F" w:rsidRDefault="009C4D68" w:rsidP="009C4D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noProof/>
                <w:sz w:val="20"/>
              </w:rPr>
            </w:pPr>
          </w:p>
        </w:tc>
      </w:tr>
    </w:tbl>
    <w:p w14:paraId="6F201901" w14:textId="5D480CB5" w:rsidR="008D4905" w:rsidRDefault="008D4905" w:rsidP="004E09F9">
      <w:pPr>
        <w:ind w:left="720" w:hanging="360"/>
      </w:pPr>
      <w:bookmarkStart w:id="1" w:name="_GoBack"/>
      <w:bookmarkEnd w:id="1"/>
    </w:p>
    <w:sectPr w:rsidR="008D49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xa Light">
    <w:altName w:val="Calibri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926BC74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 w15:restartNumberingAfterBreak="0">
    <w:nsid w:val="01D3385D"/>
    <w:multiLevelType w:val="hybridMultilevel"/>
    <w:tmpl w:val="3454F80E"/>
    <w:lvl w:ilvl="0" w:tplc="D58E4878">
      <w:start w:val="1"/>
      <w:numFmt w:val="decimal"/>
      <w:pStyle w:val="Prrafodelista"/>
      <w:lvlText w:val="%1."/>
      <w:lvlJc w:val="left"/>
      <w:pPr>
        <w:ind w:left="720" w:hanging="360"/>
      </w:pPr>
      <w:rPr>
        <w:rFonts w:ascii="Century Gothic" w:eastAsia="Calibri" w:hAnsi="Century Gothic" w:cs="Times New Roman"/>
        <w:sz w:val="20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0C"/>
    <w:rsid w:val="00014F4A"/>
    <w:rsid w:val="00097EB0"/>
    <w:rsid w:val="000A762A"/>
    <w:rsid w:val="000C2E51"/>
    <w:rsid w:val="000E2271"/>
    <w:rsid w:val="000E6445"/>
    <w:rsid w:val="001469FC"/>
    <w:rsid w:val="00157123"/>
    <w:rsid w:val="00172E0B"/>
    <w:rsid w:val="002C23BE"/>
    <w:rsid w:val="002C44FB"/>
    <w:rsid w:val="00306176"/>
    <w:rsid w:val="00330479"/>
    <w:rsid w:val="003778D4"/>
    <w:rsid w:val="003942C5"/>
    <w:rsid w:val="004077BC"/>
    <w:rsid w:val="00440E70"/>
    <w:rsid w:val="00454ADA"/>
    <w:rsid w:val="00482761"/>
    <w:rsid w:val="004B1422"/>
    <w:rsid w:val="004B2662"/>
    <w:rsid w:val="004E09F9"/>
    <w:rsid w:val="004F1129"/>
    <w:rsid w:val="004F4C65"/>
    <w:rsid w:val="00527D28"/>
    <w:rsid w:val="00577A7E"/>
    <w:rsid w:val="00585629"/>
    <w:rsid w:val="005B675C"/>
    <w:rsid w:val="005C6489"/>
    <w:rsid w:val="005D3FB8"/>
    <w:rsid w:val="005E6E7C"/>
    <w:rsid w:val="0064600C"/>
    <w:rsid w:val="00682DAF"/>
    <w:rsid w:val="00703942"/>
    <w:rsid w:val="00713F2F"/>
    <w:rsid w:val="007160CC"/>
    <w:rsid w:val="007251DB"/>
    <w:rsid w:val="00762266"/>
    <w:rsid w:val="007B695A"/>
    <w:rsid w:val="00801F9D"/>
    <w:rsid w:val="0080758E"/>
    <w:rsid w:val="00814AA8"/>
    <w:rsid w:val="00816936"/>
    <w:rsid w:val="008430D6"/>
    <w:rsid w:val="00854BA7"/>
    <w:rsid w:val="00863029"/>
    <w:rsid w:val="00884EB5"/>
    <w:rsid w:val="008A2580"/>
    <w:rsid w:val="008A3304"/>
    <w:rsid w:val="008B3A09"/>
    <w:rsid w:val="008D4905"/>
    <w:rsid w:val="008F0E3B"/>
    <w:rsid w:val="009145E8"/>
    <w:rsid w:val="00916370"/>
    <w:rsid w:val="00977EA6"/>
    <w:rsid w:val="009C04B4"/>
    <w:rsid w:val="009C4612"/>
    <w:rsid w:val="009C4D68"/>
    <w:rsid w:val="00A14533"/>
    <w:rsid w:val="00A71340"/>
    <w:rsid w:val="00AB6DB7"/>
    <w:rsid w:val="00B011BD"/>
    <w:rsid w:val="00B6610D"/>
    <w:rsid w:val="00BE6187"/>
    <w:rsid w:val="00BE6685"/>
    <w:rsid w:val="00BF4BE1"/>
    <w:rsid w:val="00C1696B"/>
    <w:rsid w:val="00C26387"/>
    <w:rsid w:val="00C62D86"/>
    <w:rsid w:val="00C91027"/>
    <w:rsid w:val="00CF109F"/>
    <w:rsid w:val="00D009BF"/>
    <w:rsid w:val="00D331B0"/>
    <w:rsid w:val="00D7371E"/>
    <w:rsid w:val="00D757E9"/>
    <w:rsid w:val="00DA6782"/>
    <w:rsid w:val="00DB7B46"/>
    <w:rsid w:val="00DE69E2"/>
    <w:rsid w:val="00DF3F92"/>
    <w:rsid w:val="00E61077"/>
    <w:rsid w:val="00E70475"/>
    <w:rsid w:val="00E81540"/>
    <w:rsid w:val="00F119F2"/>
    <w:rsid w:val="00F95582"/>
    <w:rsid w:val="00FA220D"/>
    <w:rsid w:val="00FB282E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C855"/>
  <w15:chartTrackingRefBased/>
  <w15:docId w15:val="{A372945B-AD8F-4D07-825D-F6DF0A00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20C"/>
    <w:rPr>
      <w:rFonts w:ascii="Arial Narrow" w:hAnsi="Arial Narrow"/>
      <w:sz w:val="18"/>
    </w:rPr>
  </w:style>
  <w:style w:type="paragraph" w:styleId="Ttulo2">
    <w:name w:val="heading 2"/>
    <w:aliases w:val="Título nivel 3"/>
    <w:basedOn w:val="Normal"/>
    <w:next w:val="Normal"/>
    <w:link w:val="Ttulo2Car"/>
    <w:autoRedefine/>
    <w:unhideWhenUsed/>
    <w:qFormat/>
    <w:rsid w:val="008D4905"/>
    <w:pPr>
      <w:keepNext/>
      <w:keepLines/>
      <w:spacing w:before="480" w:after="240" w:line="276" w:lineRule="auto"/>
      <w:outlineLvl w:val="1"/>
    </w:pPr>
    <w:rPr>
      <w:rFonts w:ascii="Century Gothic" w:eastAsia="Cambria" w:hAnsi="Century Gothic" w:cs="Calibri"/>
      <w:b/>
      <w:bCs/>
      <w:color w:val="808080" w:themeColor="background1" w:themeShade="80"/>
      <w:sz w:val="32"/>
      <w:szCs w:val="24"/>
      <w:lang w:val="en-US" w:eastAsia="ja-JP"/>
      <w14:textOutline w14:w="9525" w14:cap="rnd" w14:cmpd="sng" w14:algn="ctr">
        <w14:solidFill>
          <w14:schemeClr w14:val="bg1">
            <w14:lumMod w14:val="50000"/>
          </w14:schemeClr>
        </w14:solidFill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autoRedefine/>
    <w:uiPriority w:val="34"/>
    <w:qFormat/>
    <w:rsid w:val="004E09F9"/>
    <w:pPr>
      <w:numPr>
        <w:numId w:val="1"/>
      </w:numPr>
      <w:spacing w:after="0"/>
      <w:contextualSpacing/>
      <w:jc w:val="both"/>
    </w:pPr>
    <w:rPr>
      <w:b/>
      <w:sz w:val="22"/>
    </w:rPr>
  </w:style>
  <w:style w:type="table" w:customStyle="1" w:styleId="SALUD">
    <w:name w:val="SALUD"/>
    <w:basedOn w:val="Tablanormal"/>
    <w:uiPriority w:val="99"/>
    <w:rsid w:val="00FC520C"/>
    <w:pPr>
      <w:spacing w:after="0" w:line="240" w:lineRule="auto"/>
    </w:pPr>
    <w:rPr>
      <w:rFonts w:ascii="Arial Narrow" w:eastAsia="Times New Roman" w:hAnsi="Arial Narrow" w:cs="Times New Roman"/>
      <w:sz w:val="18"/>
      <w:szCs w:val="20"/>
      <w:lang w:eastAsia="es-CR"/>
    </w:r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solid" w:color="C0C0C0" w:fill="FFFFFF"/>
      <w:vAlign w:val="center"/>
    </w:tcPr>
    <w:tblStylePr w:type="firstRow">
      <w:pPr>
        <w:jc w:val="center"/>
      </w:pPr>
      <w:rPr>
        <w:rFonts w:asciiTheme="minorHAnsi" w:hAnsiTheme="minorHAnsi"/>
        <w:b/>
        <w:bCs/>
        <w:i w:val="0"/>
        <w:iCs/>
        <w:color w:val="FFFFFF" w:themeColor="background1"/>
        <w:sz w:val="20"/>
      </w:rPr>
      <w:tblPr/>
      <w:tcPr>
        <w:shd w:val="clear" w:color="C0C0C0" w:fill="CB285D"/>
        <w:vAlign w:val="center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pPr>
        <w:jc w:val="left"/>
      </w:pPr>
      <w:rPr>
        <w:rFonts w:asciiTheme="minorHAnsi" w:hAnsiTheme="minorHAnsi"/>
        <w:b w:val="0"/>
        <w:bCs/>
        <w:color w:val="000000"/>
        <w:sz w:val="20"/>
      </w:rPr>
    </w:tblStylePr>
    <w:tblStylePr w:type="band1Horz">
      <w:tblPr/>
      <w:tcPr>
        <w:shd w:val="clear" w:color="C0C0C0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Tablaconcuadrcula">
    <w:name w:val="Table Grid"/>
    <w:basedOn w:val="Tablanormal"/>
    <w:uiPriority w:val="39"/>
    <w:rsid w:val="0030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863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link w:val="SinespaciadoCar"/>
    <w:uiPriority w:val="1"/>
    <w:qFormat/>
    <w:rsid w:val="0088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GFATableGrid1">
    <w:name w:val="GFA Table Grid1"/>
    <w:basedOn w:val="Tablanormal"/>
    <w:next w:val="Tablaconcuadrcula"/>
    <w:uiPriority w:val="59"/>
    <w:rsid w:val="00884EB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884EB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aliases w:val="Título nivel 3 Car"/>
    <w:basedOn w:val="Fuentedeprrafopredeter"/>
    <w:link w:val="Ttulo2"/>
    <w:rsid w:val="008D4905"/>
    <w:rPr>
      <w:rFonts w:ascii="Century Gothic" w:eastAsia="Cambria" w:hAnsi="Century Gothic" w:cs="Calibri"/>
      <w:b/>
      <w:bCs/>
      <w:color w:val="808080" w:themeColor="background1" w:themeShade="80"/>
      <w:sz w:val="32"/>
      <w:szCs w:val="24"/>
      <w:lang w:val="en-US" w:eastAsia="ja-JP"/>
      <w14:textOutline w14:w="9525" w14:cap="rnd" w14:cmpd="sng" w14:algn="ctr">
        <w14:solidFill>
          <w14:schemeClr w14:val="bg1">
            <w14:lumMod w14:val="50000"/>
          </w14:schemeClr>
        </w14:solidFill>
        <w14:prstDash w14:val="solid"/>
        <w14:bevel/>
      </w14:textOutline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8D4905"/>
    <w:pPr>
      <w:pBdr>
        <w:bottom w:val="single" w:sz="8" w:space="4" w:color="4472C4" w:themeColor="accent1"/>
      </w:pBdr>
      <w:spacing w:after="300" w:line="240" w:lineRule="auto"/>
      <w:contextualSpacing/>
      <w:jc w:val="right"/>
    </w:pPr>
    <w:rPr>
      <w:rFonts w:ascii="Nexa Light" w:eastAsiaTheme="majorEastAsia" w:hAnsi="Nexa Light" w:cstheme="majorBidi"/>
      <w:color w:val="808080" w:themeColor="background1" w:themeShade="80"/>
      <w:spacing w:val="5"/>
      <w:kern w:val="28"/>
      <w:sz w:val="5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D4905"/>
    <w:rPr>
      <w:rFonts w:ascii="Nexa Light" w:eastAsiaTheme="majorEastAsia" w:hAnsi="Nexa Light" w:cstheme="majorBidi"/>
      <w:color w:val="808080" w:themeColor="background1" w:themeShade="80"/>
      <w:spacing w:val="5"/>
      <w:kern w:val="28"/>
      <w:sz w:val="56"/>
      <w:szCs w:val="52"/>
    </w:rPr>
  </w:style>
  <w:style w:type="character" w:styleId="Hipervnculo">
    <w:name w:val="Hyperlink"/>
    <w:basedOn w:val="Fuentedeprrafopredeter"/>
    <w:uiPriority w:val="99"/>
    <w:semiHidden/>
    <w:unhideWhenUsed/>
    <w:rsid w:val="00172E0B"/>
    <w:rPr>
      <w:color w:val="0563C1" w:themeColor="hyperlink"/>
      <w:u w:val="single"/>
    </w:rPr>
  </w:style>
  <w:style w:type="table" w:customStyle="1" w:styleId="SALUD1">
    <w:name w:val="SALUD1"/>
    <w:basedOn w:val="Tablanormal"/>
    <w:uiPriority w:val="99"/>
    <w:rsid w:val="00C1696B"/>
    <w:pPr>
      <w:spacing w:after="0" w:line="240" w:lineRule="auto"/>
    </w:pPr>
    <w:rPr>
      <w:rFonts w:ascii="Arial Narrow" w:eastAsia="Times New Roman" w:hAnsi="Arial Narrow" w:cs="Times New Roman"/>
      <w:sz w:val="18"/>
      <w:szCs w:val="20"/>
      <w:lang w:eastAsia="es-CR"/>
    </w:r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solid" w:color="C0C0C0" w:fill="FFFFFF"/>
      <w:vAlign w:val="center"/>
    </w:tcPr>
    <w:tblStylePr w:type="firstRow">
      <w:pPr>
        <w:jc w:val="center"/>
      </w:pPr>
      <w:rPr>
        <w:rFonts w:asciiTheme="minorHAnsi" w:hAnsiTheme="minorHAnsi"/>
        <w:b/>
        <w:bCs/>
        <w:i w:val="0"/>
        <w:iCs/>
        <w:color w:val="FFFFFF" w:themeColor="background1"/>
        <w:sz w:val="20"/>
      </w:rPr>
      <w:tblPr/>
      <w:tcPr>
        <w:shd w:val="clear" w:color="C0C0C0" w:fill="CB285D"/>
        <w:vAlign w:val="center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pPr>
        <w:jc w:val="left"/>
      </w:pPr>
      <w:rPr>
        <w:rFonts w:asciiTheme="minorHAnsi" w:hAnsiTheme="minorHAnsi"/>
        <w:b w:val="0"/>
        <w:bCs/>
        <w:color w:val="000000"/>
        <w:sz w:val="20"/>
      </w:rPr>
    </w:tblStylePr>
    <w:tblStylePr w:type="band1Horz">
      <w:tblPr/>
      <w:tcPr>
        <w:shd w:val="clear" w:color="C0C0C0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s.wikipedia.org/wiki/Famili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wikipedia.org/wiki/Trabajo_(Derecho)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es.wikipedia.org/wiki/Socia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s.wikipedia.org/wiki/Econom%C3%A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B64F7432AED94B9151FB1EFEA0F7CC" ma:contentTypeVersion="11" ma:contentTypeDescription="Crear nuevo documento." ma:contentTypeScope="" ma:versionID="209dd7298c2928d4c37a24f39c168e40">
  <xsd:schema xmlns:xsd="http://www.w3.org/2001/XMLSchema" xmlns:xs="http://www.w3.org/2001/XMLSchema" xmlns:p="http://schemas.microsoft.com/office/2006/metadata/properties" xmlns:ns3="c2d66b2f-97eb-4be2-a691-9d78a8fa808a" xmlns:ns4="48e0a02b-70ad-43f6-8cb7-6d5ae2443fc8" targetNamespace="http://schemas.microsoft.com/office/2006/metadata/properties" ma:root="true" ma:fieldsID="2daf1d772c953327e0865325a0fc0db8" ns3:_="" ns4:_="">
    <xsd:import namespace="c2d66b2f-97eb-4be2-a691-9d78a8fa808a"/>
    <xsd:import namespace="48e0a02b-70ad-43f6-8cb7-6d5ae2443f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66b2f-97eb-4be2-a691-9d78a8fa8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0a02b-70ad-43f6-8cb7-6d5ae2443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C61D9-8677-4EC7-AB10-F10C59AE6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66b2f-97eb-4be2-a691-9d78a8fa808a"/>
    <ds:schemaRef ds:uri="48e0a02b-70ad-43f6-8cb7-6d5ae2443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9C513-B38C-4997-ABB2-A1079C24AF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B4A9B9-A547-48F9-AD56-58F9EDD6F9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4B152-ABE6-402A-A224-96D00881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Villareal Fuentes</dc:creator>
  <cp:keywords/>
  <dc:description/>
  <cp:lastModifiedBy>Windows User</cp:lastModifiedBy>
  <cp:revision>3</cp:revision>
  <dcterms:created xsi:type="dcterms:W3CDTF">2020-07-01T15:24:00Z</dcterms:created>
  <dcterms:modified xsi:type="dcterms:W3CDTF">2020-07-01T15:25:00Z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0x01010093B64F7432AED94B9151FB1EFEA0F7CC</vt:lpwstr>
  </property>
</Properties>
</file>