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642AB" w14:textId="68ECA75E" w:rsidR="007C0127" w:rsidRPr="00115C19" w:rsidRDefault="00115C19" w:rsidP="00115C19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115C19">
        <w:rPr>
          <w:rFonts w:ascii="Arial" w:hAnsi="Arial" w:cs="Arial"/>
          <w:b/>
          <w:bCs/>
          <w:sz w:val="24"/>
          <w:szCs w:val="24"/>
        </w:rPr>
        <w:t>Ficha del indicador</w:t>
      </w:r>
    </w:p>
    <w:p w14:paraId="59DDB97B" w14:textId="77777777" w:rsidR="00115C19" w:rsidRPr="00115C19" w:rsidRDefault="00115C19" w:rsidP="007C0127">
      <w:pPr>
        <w:pStyle w:val="Prrafodelista"/>
        <w:rPr>
          <w:rFonts w:ascii="Arial" w:hAnsi="Arial" w:cs="Arial"/>
        </w:rPr>
      </w:pPr>
    </w:p>
    <w:tbl>
      <w:tblPr>
        <w:tblW w:w="8907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1403"/>
        <w:gridCol w:w="1427"/>
        <w:gridCol w:w="6077"/>
      </w:tblGrid>
      <w:tr w:rsidR="007C0127" w:rsidRPr="00115C19" w14:paraId="5A27531B" w14:textId="77777777" w:rsidTr="00115C19">
        <w:trPr>
          <w:trHeight w:val="32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6BF87143" w14:textId="77777777" w:rsidR="007C0127" w:rsidRPr="00115C19" w:rsidRDefault="007C0127" w:rsidP="00115C1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115C19">
              <w:rPr>
                <w:rFonts w:ascii="Arial" w:eastAsia="Arial Narrow" w:hAnsi="Arial" w:cs="Arial"/>
                <w:b/>
                <w:color w:val="FFFFFF" w:themeColor="background1"/>
              </w:rPr>
              <w:t>Elemento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202804AD" w14:textId="77777777" w:rsidR="007C0127" w:rsidRPr="00115C19" w:rsidRDefault="007C0127" w:rsidP="00115C19">
            <w:pPr>
              <w:jc w:val="center"/>
              <w:rPr>
                <w:rFonts w:ascii="Arial" w:eastAsia="Arial Narrow" w:hAnsi="Arial" w:cs="Arial"/>
                <w:b/>
                <w:color w:val="FFFFFF" w:themeColor="background1"/>
              </w:rPr>
            </w:pPr>
            <w:r w:rsidRPr="00115C19">
              <w:rPr>
                <w:rFonts w:ascii="Arial" w:eastAsia="Arial Narrow" w:hAnsi="Arial" w:cs="Arial"/>
                <w:b/>
                <w:color w:val="FFFFFF" w:themeColor="background1"/>
              </w:rPr>
              <w:t>Descripción</w:t>
            </w:r>
          </w:p>
          <w:p w14:paraId="351DFAB2" w14:textId="7026EB91" w:rsidR="00115C19" w:rsidRPr="00115C19" w:rsidRDefault="00115C19" w:rsidP="00115C1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C0127" w:rsidRPr="00115C19" w14:paraId="66F32F85" w14:textId="77777777" w:rsidTr="00B26A80">
        <w:trPr>
          <w:trHeight w:val="5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7D9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Nombre del indicador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F138" w14:textId="77777777" w:rsidR="00115C19" w:rsidRDefault="0025290B" w:rsidP="00C82E94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 xml:space="preserve">Número de </w:t>
            </w:r>
            <w:r w:rsidR="00983071">
              <w:rPr>
                <w:rFonts w:ascii="Arial" w:hAnsi="Arial" w:cs="Arial"/>
              </w:rPr>
              <w:t xml:space="preserve">planes reguladores </w:t>
            </w:r>
            <w:r w:rsidR="00983071" w:rsidRPr="00983071">
              <w:rPr>
                <w:rFonts w:ascii="Arial" w:hAnsi="Arial" w:cs="Arial"/>
              </w:rPr>
              <w:t>con orientaciones para la reducción</w:t>
            </w:r>
            <w:r w:rsidR="00C82E94">
              <w:rPr>
                <w:rFonts w:ascii="Arial" w:hAnsi="Arial" w:cs="Arial"/>
              </w:rPr>
              <w:t xml:space="preserve"> del riesgo en la planificación del uso de la</w:t>
            </w:r>
            <w:r w:rsidR="00983071" w:rsidRPr="00983071">
              <w:rPr>
                <w:rFonts w:ascii="Arial" w:hAnsi="Arial" w:cs="Arial"/>
              </w:rPr>
              <w:t xml:space="preserve"> tierra en los ámbitos cantonal y costero</w:t>
            </w:r>
          </w:p>
          <w:p w14:paraId="34817F08" w14:textId="727FC2F4" w:rsidR="00C82E94" w:rsidRPr="00115C19" w:rsidRDefault="00C82E94" w:rsidP="00C82E94">
            <w:pPr>
              <w:rPr>
                <w:rFonts w:ascii="Arial" w:hAnsi="Arial" w:cs="Arial"/>
              </w:rPr>
            </w:pPr>
          </w:p>
        </w:tc>
      </w:tr>
      <w:tr w:rsidR="007C0127" w:rsidRPr="00115C19" w14:paraId="1AC271BA" w14:textId="77777777" w:rsidTr="00B26A80">
        <w:trPr>
          <w:trHeight w:val="431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473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Definición conceptual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777" w14:textId="77777777" w:rsidR="00944638" w:rsidRPr="00115C19" w:rsidRDefault="00944638" w:rsidP="00944638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 xml:space="preserve">Los instrumentos normativos corresponden a documentos que se generan para regular las atribuciones, operación y funcionamiento de las organizaciones bien, para normar temas específicos relacionados a las competencias institucionales. Entre ellos: leyes, reglamentos, decretos, pronunciamientos, manuales, resoluciones. </w:t>
            </w:r>
          </w:p>
          <w:p w14:paraId="036C3474" w14:textId="77F9D0B6" w:rsidR="007C0127" w:rsidRPr="00115C19" w:rsidRDefault="007C0127" w:rsidP="00933499">
            <w:pPr>
              <w:rPr>
                <w:rFonts w:ascii="Arial" w:hAnsi="Arial" w:cs="Arial"/>
              </w:rPr>
            </w:pPr>
          </w:p>
          <w:p w14:paraId="45C8C41D" w14:textId="33B675B2" w:rsidR="009932D3" w:rsidRPr="00115C19" w:rsidRDefault="009932D3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 xml:space="preserve">Dichos instrumentos deben estar asociados a la gestión del riesgo, </w:t>
            </w:r>
            <w:r w:rsidR="0025290B" w:rsidRPr="00115C19">
              <w:rPr>
                <w:rFonts w:ascii="Arial" w:hAnsi="Arial" w:cs="Arial"/>
              </w:rPr>
              <w:t xml:space="preserve">que se </w:t>
            </w:r>
            <w:r w:rsidRPr="00115C19">
              <w:rPr>
                <w:rFonts w:ascii="Arial" w:hAnsi="Arial" w:cs="Arial"/>
              </w:rPr>
              <w:t>defin</w:t>
            </w:r>
            <w:r w:rsidR="0025290B" w:rsidRPr="00115C19">
              <w:rPr>
                <w:rFonts w:ascii="Arial" w:hAnsi="Arial" w:cs="Arial"/>
              </w:rPr>
              <w:t>e</w:t>
            </w:r>
            <w:r w:rsidRPr="00115C19">
              <w:rPr>
                <w:rFonts w:ascii="Arial" w:hAnsi="Arial" w:cs="Arial"/>
              </w:rPr>
              <w:t xml:space="preserve"> como </w:t>
            </w:r>
            <w:r w:rsidR="00870F14" w:rsidRPr="00115C19">
              <w:rPr>
                <w:rFonts w:ascii="Arial" w:hAnsi="Arial" w:cs="Arial"/>
              </w:rPr>
              <w:t>el proceso mediante el cual se revierten las condiciones de vulnerabilidad de la población, los asentamientos humanos, la infraestructura, así como de las líneas vitales, las actividades productivas de bienes y servicios y el ambiente. Es un modelo sostenible y preventivo, al que incorporan criterios efectivos de prevención y mitigación de desastres dentro de la planificación territorial, sectorial y socioeconómica, así como a la preparación, atención y recuperación ante las emergencias (Ley 8488, art.4).</w:t>
            </w:r>
          </w:p>
          <w:p w14:paraId="010A9AB7" w14:textId="77777777" w:rsidR="007B48AF" w:rsidRPr="00115C19" w:rsidRDefault="007B48AF" w:rsidP="00933499">
            <w:pPr>
              <w:rPr>
                <w:rFonts w:ascii="Arial" w:hAnsi="Arial" w:cs="Arial"/>
              </w:rPr>
            </w:pPr>
          </w:p>
          <w:p w14:paraId="55FA794C" w14:textId="77777777" w:rsidR="00BD0A11" w:rsidRPr="00115C19" w:rsidRDefault="007B48AF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La planificación territorial corresponde al proceso continuo e integral de análisis y formulación de planes y reglamentos sobre desarrollo urbano y territorial tendiente a procurar la seguridad, salud, comodidad y bienestar de la comunidad.</w:t>
            </w:r>
          </w:p>
          <w:p w14:paraId="3F34C03E" w14:textId="77777777" w:rsidR="00134067" w:rsidRPr="00115C19" w:rsidRDefault="00134067" w:rsidP="00933499">
            <w:pPr>
              <w:rPr>
                <w:rFonts w:ascii="Arial" w:hAnsi="Arial" w:cs="Arial"/>
              </w:rPr>
            </w:pPr>
          </w:p>
          <w:p w14:paraId="78D5EE7F" w14:textId="0E310200" w:rsidR="00134067" w:rsidRPr="00115C19" w:rsidRDefault="00134067" w:rsidP="00134067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La Ley N° 8488, en el artículo 14 de las competencias de la CNE, inciso c) señala lo siguiente: "Dictar resoluciones vinculantes sobre situaciones de riesgo, desastre y peligro inminente, basadas en criterios técnicos y científicos, tendientes a orientar las acciones de regulación y control para su eficaz prevención y manejo, que regulen o dispongan su efectivo cumplimiento por parte de las instituciones del Estado, el sector privado y la población en general.</w:t>
            </w:r>
          </w:p>
          <w:p w14:paraId="422B8096" w14:textId="77777777" w:rsidR="00134067" w:rsidRPr="00115C19" w:rsidRDefault="00134067" w:rsidP="00134067">
            <w:pPr>
              <w:rPr>
                <w:rFonts w:ascii="Arial" w:hAnsi="Arial" w:cs="Arial"/>
              </w:rPr>
            </w:pPr>
          </w:p>
          <w:p w14:paraId="2274D36E" w14:textId="77777777" w:rsidR="00134067" w:rsidRPr="00115C19" w:rsidRDefault="00134067" w:rsidP="00134067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Con base en este mandato, la CNE puede emitir las resoluciones o promover la generación de normas reglamentarias para contribuir en la reducción del riesgo en temas de construcción de infraestructura, restricción de usos de suelo, y ordenamiento, cuya aplicación es obligatoria para los funcionarios públicos, incluidas las autoridades municipales, y la población en general.</w:t>
            </w:r>
          </w:p>
          <w:p w14:paraId="44B2CF2B" w14:textId="4C3B8547" w:rsidR="00115C19" w:rsidRPr="00115C19" w:rsidRDefault="00115C19" w:rsidP="00134067">
            <w:pPr>
              <w:rPr>
                <w:rFonts w:ascii="Arial" w:hAnsi="Arial" w:cs="Arial"/>
              </w:rPr>
            </w:pPr>
          </w:p>
        </w:tc>
      </w:tr>
      <w:tr w:rsidR="007C0127" w:rsidRPr="00115C19" w14:paraId="6CF0024D" w14:textId="77777777" w:rsidTr="00B26A80">
        <w:trPr>
          <w:trHeight w:val="8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9C87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lastRenderedPageBreak/>
              <w:t>Fórmula de cálculo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A16F" w14:textId="6038CCC4" w:rsidR="00115C19" w:rsidRPr="00115C19" w:rsidRDefault="00983071" w:rsidP="00933499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Suma de </w:t>
            </w:r>
            <w:r w:rsidR="00C82E94">
              <w:rPr>
                <w:rFonts w:ascii="Arial" w:hAnsi="Arial" w:cs="Arial"/>
              </w:rPr>
              <w:t xml:space="preserve">planes reguladores </w:t>
            </w:r>
            <w:r w:rsidR="00C82E94" w:rsidRPr="00983071">
              <w:rPr>
                <w:rFonts w:ascii="Arial" w:hAnsi="Arial" w:cs="Arial"/>
              </w:rPr>
              <w:t>con orientaciones para la reducción</w:t>
            </w:r>
            <w:r w:rsidR="00C82E94">
              <w:rPr>
                <w:rFonts w:ascii="Arial" w:hAnsi="Arial" w:cs="Arial"/>
              </w:rPr>
              <w:t xml:space="preserve"> del riesgo en la planificación del uso de la</w:t>
            </w:r>
            <w:r w:rsidR="00C82E94" w:rsidRPr="00983071">
              <w:rPr>
                <w:rFonts w:ascii="Arial" w:hAnsi="Arial" w:cs="Arial"/>
              </w:rPr>
              <w:t xml:space="preserve"> tierra en los ámbitos cantonal y costero</w:t>
            </w:r>
            <w:r w:rsidR="00C82E94">
              <w:rPr>
                <w:rFonts w:ascii="Arial" w:hAnsi="Arial" w:cs="Arial"/>
              </w:rPr>
              <w:t xml:space="preserve">. </w:t>
            </w:r>
            <w:r w:rsidR="00836495" w:rsidRPr="00115C19">
              <w:rPr>
                <w:rFonts w:ascii="Arial" w:hAnsi="Arial" w:cs="Arial"/>
                <w:noProof/>
              </w:rPr>
              <w:t xml:space="preserve">  </w:t>
            </w:r>
          </w:p>
        </w:tc>
      </w:tr>
      <w:tr w:rsidR="007C0127" w:rsidRPr="00115C19" w14:paraId="2E0E4048" w14:textId="77777777" w:rsidTr="00B26A80">
        <w:trPr>
          <w:trHeight w:val="33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227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Componentes involucrados en la fórmula del cálculo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D5C1" w14:textId="7E14593C" w:rsidR="00164217" w:rsidRPr="00115C19" w:rsidRDefault="00C82E94" w:rsidP="00933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reguladores</w:t>
            </w:r>
            <w:r w:rsidR="00E271FA">
              <w:rPr>
                <w:rFonts w:ascii="Arial" w:hAnsi="Arial" w:cs="Arial"/>
              </w:rPr>
              <w:t xml:space="preserve"> urbanos</w:t>
            </w:r>
            <w:r>
              <w:rPr>
                <w:rFonts w:ascii="Arial" w:hAnsi="Arial" w:cs="Arial"/>
              </w:rPr>
              <w:t xml:space="preserve"> o i</w:t>
            </w:r>
            <w:r w:rsidR="00F952FB" w:rsidRPr="00115C19">
              <w:rPr>
                <w:rFonts w:ascii="Arial" w:hAnsi="Arial" w:cs="Arial"/>
              </w:rPr>
              <w:t>nstrumentos normativos</w:t>
            </w:r>
            <w:r w:rsidR="0025290B" w:rsidRPr="00115C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de </w:t>
            </w:r>
            <w:r w:rsidR="0025290B" w:rsidRPr="00115C19">
              <w:rPr>
                <w:rFonts w:ascii="Arial" w:hAnsi="Arial" w:cs="Arial"/>
              </w:rPr>
              <w:t>planificación del territorio</w:t>
            </w:r>
            <w:r w:rsidR="00F952FB" w:rsidRPr="00115C19">
              <w:rPr>
                <w:rFonts w:ascii="Arial" w:hAnsi="Arial" w:cs="Arial"/>
              </w:rPr>
              <w:t xml:space="preserve">: </w:t>
            </w:r>
            <w:r w:rsidR="006F270A" w:rsidRPr="00115C19">
              <w:rPr>
                <w:rFonts w:ascii="Arial" w:hAnsi="Arial" w:cs="Arial"/>
              </w:rPr>
              <w:t xml:space="preserve">documentos que se generan para regular las atribuciones, operación y funcionamiento de las organizaciones bien, para normar temas específicos relacionados </w:t>
            </w:r>
            <w:r w:rsidR="00164217" w:rsidRPr="00115C19">
              <w:rPr>
                <w:rFonts w:ascii="Arial" w:hAnsi="Arial" w:cs="Arial"/>
              </w:rPr>
              <w:t xml:space="preserve">a las competencias institucionales. Entre ellos: leyes, reglamentos, decretos, </w:t>
            </w:r>
            <w:r w:rsidR="00DD486A" w:rsidRPr="00115C19">
              <w:rPr>
                <w:rFonts w:ascii="Arial" w:hAnsi="Arial" w:cs="Arial"/>
              </w:rPr>
              <w:t>pronunciamientos,</w:t>
            </w:r>
            <w:r w:rsidR="008A62A3" w:rsidRPr="00115C19">
              <w:rPr>
                <w:rFonts w:ascii="Arial" w:hAnsi="Arial" w:cs="Arial"/>
              </w:rPr>
              <w:t xml:space="preserve"> manuales</w:t>
            </w:r>
            <w:r w:rsidR="00B101FD" w:rsidRPr="00115C19">
              <w:rPr>
                <w:rFonts w:ascii="Arial" w:hAnsi="Arial" w:cs="Arial"/>
              </w:rPr>
              <w:t>, resolucione</w:t>
            </w:r>
            <w:r w:rsidR="0019350F" w:rsidRPr="00115C19">
              <w:rPr>
                <w:rFonts w:ascii="Arial" w:hAnsi="Arial" w:cs="Arial"/>
              </w:rPr>
              <w:t>s</w:t>
            </w:r>
            <w:r w:rsidR="00481A82" w:rsidRPr="00115C19">
              <w:rPr>
                <w:rFonts w:ascii="Arial" w:hAnsi="Arial" w:cs="Arial"/>
              </w:rPr>
              <w:t xml:space="preserve"> en temas de construcción de infraestructura, restricción de usos de suelo, y ordenamiento, cuya aplicación es obligatoria para los funcionarios públicos, incluidas las autoridades municipales, y la población en general.</w:t>
            </w:r>
          </w:p>
        </w:tc>
      </w:tr>
      <w:tr w:rsidR="007C0127" w:rsidRPr="00115C19" w14:paraId="1F06ECCB" w14:textId="77777777" w:rsidTr="00B26A80">
        <w:trPr>
          <w:trHeight w:val="255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C4AC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Unidad de medida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55D" w14:textId="271B5FD9" w:rsidR="00115C19" w:rsidRPr="00115C19" w:rsidRDefault="00C82E94" w:rsidP="00933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Planes reguladores</w:t>
            </w:r>
            <w:r w:rsidR="00E271FA">
              <w:rPr>
                <w:rFonts w:ascii="Arial" w:hAnsi="Arial" w:cs="Arial"/>
              </w:rPr>
              <w:t xml:space="preserve"> urbanos</w:t>
            </w:r>
          </w:p>
        </w:tc>
      </w:tr>
      <w:tr w:rsidR="007C0127" w:rsidRPr="00115C19" w14:paraId="216B0D30" w14:textId="77777777" w:rsidTr="00B26A80">
        <w:trPr>
          <w:trHeight w:val="29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2D2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Interpretación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B41" w14:textId="1DFA635D" w:rsidR="007A5D6F" w:rsidRPr="00115C19" w:rsidRDefault="00316190" w:rsidP="00156B46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La gestión del riesgo forma parte de la planificación del territorio y los instrumentos de planificación muestran las medidas de control y manejo que existen.</w:t>
            </w:r>
            <w:r w:rsidR="007A5D6F" w:rsidRPr="00115C19">
              <w:rPr>
                <w:rFonts w:ascii="Arial" w:hAnsi="Arial" w:cs="Arial"/>
              </w:rPr>
              <w:t xml:space="preserve"> </w:t>
            </w:r>
          </w:p>
          <w:p w14:paraId="29C29CF6" w14:textId="77777777" w:rsidR="00115C19" w:rsidRPr="00115C19" w:rsidRDefault="00115C19" w:rsidP="00156B46">
            <w:pPr>
              <w:rPr>
                <w:rFonts w:ascii="Arial" w:hAnsi="Arial" w:cs="Arial"/>
              </w:rPr>
            </w:pPr>
          </w:p>
          <w:p w14:paraId="2BC53028" w14:textId="168FA54D" w:rsidR="007C0127" w:rsidRPr="00115C19" w:rsidRDefault="007A5D6F" w:rsidP="00316190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Se interpreta como el n</w:t>
            </w:r>
            <w:r w:rsidR="00156B46" w:rsidRPr="00115C19">
              <w:rPr>
                <w:rFonts w:ascii="Arial" w:hAnsi="Arial" w:cs="Arial"/>
              </w:rPr>
              <w:t>úmero</w:t>
            </w:r>
            <w:r w:rsidR="00C82E94">
              <w:rPr>
                <w:rFonts w:ascii="Arial" w:hAnsi="Arial" w:cs="Arial"/>
              </w:rPr>
              <w:t xml:space="preserve"> de planes reguladores urbanos </w:t>
            </w:r>
            <w:r w:rsidR="00C82E94" w:rsidRPr="00983071">
              <w:rPr>
                <w:rFonts w:ascii="Arial" w:hAnsi="Arial" w:cs="Arial"/>
              </w:rPr>
              <w:t>con orientaciones para la reducción</w:t>
            </w:r>
            <w:r w:rsidR="00C82E94">
              <w:rPr>
                <w:rFonts w:ascii="Arial" w:hAnsi="Arial" w:cs="Arial"/>
              </w:rPr>
              <w:t xml:space="preserve"> del riesgo en la planificación del uso de la</w:t>
            </w:r>
            <w:r w:rsidR="00C82E94" w:rsidRPr="00983071">
              <w:rPr>
                <w:rFonts w:ascii="Arial" w:hAnsi="Arial" w:cs="Arial"/>
              </w:rPr>
              <w:t xml:space="preserve"> tierra en los ámbitos cantonal y costero</w:t>
            </w:r>
            <w:r w:rsidR="00C82E94">
              <w:rPr>
                <w:rFonts w:ascii="Arial" w:hAnsi="Arial" w:cs="Arial"/>
              </w:rPr>
              <w:t xml:space="preserve">. </w:t>
            </w:r>
            <w:r w:rsidR="00C82E94" w:rsidRPr="00115C19">
              <w:rPr>
                <w:rFonts w:ascii="Arial" w:hAnsi="Arial" w:cs="Arial"/>
                <w:noProof/>
              </w:rPr>
              <w:t xml:space="preserve">  </w:t>
            </w:r>
          </w:p>
          <w:p w14:paraId="708E62A3" w14:textId="27315CE3" w:rsidR="00115C19" w:rsidRPr="00115C19" w:rsidRDefault="00115C19" w:rsidP="00316190">
            <w:pPr>
              <w:rPr>
                <w:rFonts w:ascii="Arial" w:hAnsi="Arial" w:cs="Arial"/>
              </w:rPr>
            </w:pPr>
          </w:p>
        </w:tc>
      </w:tr>
      <w:tr w:rsidR="007C0127" w:rsidRPr="00115C19" w14:paraId="21F23178" w14:textId="77777777" w:rsidTr="00B26A80">
        <w:trPr>
          <w:trHeight w:val="237"/>
          <w:jc w:val="center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BB96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Desagregación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877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Geográfica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184E" w14:textId="6DB0516C" w:rsidR="00115C19" w:rsidRPr="00115C19" w:rsidRDefault="00C82E94" w:rsidP="00933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Cantonal</w:t>
            </w:r>
          </w:p>
        </w:tc>
      </w:tr>
      <w:tr w:rsidR="007C0127" w:rsidRPr="00115C19" w14:paraId="1DC0D527" w14:textId="77777777" w:rsidTr="00B26A80">
        <w:trPr>
          <w:trHeight w:val="237"/>
          <w:jc w:val="center"/>
        </w:trPr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86DB" w14:textId="77777777" w:rsidR="007C0127" w:rsidRPr="00115C19" w:rsidRDefault="007C0127" w:rsidP="009334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7D97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Temática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BEAC" w14:textId="77777777" w:rsidR="007C0127" w:rsidRPr="00115C19" w:rsidRDefault="00997CD2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Ordenamiento Territorial y Asentamientos Humanos</w:t>
            </w:r>
            <w:r w:rsidR="007C0127" w:rsidRPr="00115C19">
              <w:rPr>
                <w:rFonts w:ascii="Arial" w:hAnsi="Arial" w:cs="Arial"/>
              </w:rPr>
              <w:t>.</w:t>
            </w:r>
          </w:p>
          <w:p w14:paraId="0B38D144" w14:textId="3A55485C" w:rsidR="00115C19" w:rsidRPr="00115C19" w:rsidRDefault="00115C19" w:rsidP="00933499">
            <w:pPr>
              <w:rPr>
                <w:rFonts w:ascii="Arial" w:hAnsi="Arial" w:cs="Arial"/>
              </w:rPr>
            </w:pPr>
          </w:p>
        </w:tc>
      </w:tr>
      <w:tr w:rsidR="007C0127" w:rsidRPr="00115C19" w14:paraId="4E13DC3F" w14:textId="77777777" w:rsidTr="00B33602">
        <w:trPr>
          <w:trHeight w:val="3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FC88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Línea base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E00" w14:textId="59D99D31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20</w:t>
            </w:r>
            <w:r w:rsidR="0036668C" w:rsidRPr="00115C19">
              <w:rPr>
                <w:rFonts w:ascii="Arial" w:hAnsi="Arial" w:cs="Arial"/>
              </w:rPr>
              <w:t>20</w:t>
            </w:r>
            <w:r w:rsidRPr="00115C19">
              <w:rPr>
                <w:rFonts w:ascii="Arial" w:hAnsi="Arial" w:cs="Arial"/>
              </w:rPr>
              <w:t>:</w:t>
            </w:r>
            <w:r w:rsidR="00C82E94">
              <w:rPr>
                <w:rFonts w:ascii="Arial" w:hAnsi="Arial" w:cs="Arial"/>
              </w:rPr>
              <w:t xml:space="preserve"> 40 planes reguladores urbanos </w:t>
            </w:r>
          </w:p>
          <w:p w14:paraId="588DAC32" w14:textId="6130B0BD" w:rsidR="00115C19" w:rsidRPr="00115C19" w:rsidRDefault="00115C19" w:rsidP="00933499">
            <w:pPr>
              <w:rPr>
                <w:rFonts w:ascii="Arial" w:hAnsi="Arial" w:cs="Arial"/>
              </w:rPr>
            </w:pPr>
          </w:p>
        </w:tc>
      </w:tr>
      <w:tr w:rsidR="007C0127" w:rsidRPr="00115C19" w14:paraId="0DCE9E01" w14:textId="77777777" w:rsidTr="00B26A80">
        <w:trPr>
          <w:trHeight w:val="25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2DCF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Meta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EA1" w14:textId="20309B8A" w:rsidR="00115C19" w:rsidRPr="00115C19" w:rsidRDefault="007C0127" w:rsidP="00336C7A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20</w:t>
            </w:r>
            <w:r w:rsidR="0036668C" w:rsidRPr="00115C19">
              <w:rPr>
                <w:rFonts w:ascii="Arial" w:hAnsi="Arial" w:cs="Arial"/>
              </w:rPr>
              <w:t>30</w:t>
            </w:r>
            <w:r w:rsidRPr="00115C19">
              <w:rPr>
                <w:rFonts w:ascii="Arial" w:hAnsi="Arial" w:cs="Arial"/>
              </w:rPr>
              <w:t>:</w:t>
            </w:r>
            <w:r w:rsidR="00082C2C">
              <w:rPr>
                <w:rFonts w:ascii="Arial" w:hAnsi="Arial" w:cs="Arial"/>
              </w:rPr>
              <w:t xml:space="preserve"> </w:t>
            </w:r>
            <w:r w:rsidR="0059766E">
              <w:rPr>
                <w:rFonts w:ascii="Arial" w:hAnsi="Arial" w:cs="Arial"/>
              </w:rPr>
              <w:t>82</w:t>
            </w:r>
            <w:r w:rsidR="0036668C" w:rsidRPr="00115C19">
              <w:rPr>
                <w:rFonts w:ascii="Arial" w:hAnsi="Arial" w:cs="Arial"/>
              </w:rPr>
              <w:t xml:space="preserve"> </w:t>
            </w:r>
            <w:r w:rsidR="00C82E94">
              <w:rPr>
                <w:rFonts w:ascii="Arial" w:hAnsi="Arial" w:cs="Arial"/>
              </w:rPr>
              <w:t xml:space="preserve">planes reguladores urbanos </w:t>
            </w:r>
            <w:r w:rsidR="00C82E94" w:rsidRPr="00983071">
              <w:rPr>
                <w:rFonts w:ascii="Arial" w:hAnsi="Arial" w:cs="Arial"/>
              </w:rPr>
              <w:t>con orientaciones para la reducción</w:t>
            </w:r>
            <w:r w:rsidR="00C82E94">
              <w:rPr>
                <w:rFonts w:ascii="Arial" w:hAnsi="Arial" w:cs="Arial"/>
              </w:rPr>
              <w:t xml:space="preserve"> del riesgo en la planificación del uso de la</w:t>
            </w:r>
            <w:r w:rsidR="00C82E94" w:rsidRPr="00983071">
              <w:rPr>
                <w:rFonts w:ascii="Arial" w:hAnsi="Arial" w:cs="Arial"/>
              </w:rPr>
              <w:t xml:space="preserve"> tierra en los ámbitos cantonal y costero</w:t>
            </w:r>
            <w:r w:rsidR="00C82E94">
              <w:rPr>
                <w:rFonts w:ascii="Arial" w:hAnsi="Arial" w:cs="Arial"/>
              </w:rPr>
              <w:t xml:space="preserve">. </w:t>
            </w:r>
            <w:r w:rsidR="00C82E94" w:rsidRPr="00115C19">
              <w:rPr>
                <w:rFonts w:ascii="Arial" w:hAnsi="Arial" w:cs="Arial"/>
                <w:noProof/>
              </w:rPr>
              <w:t xml:space="preserve">  </w:t>
            </w:r>
          </w:p>
        </w:tc>
      </w:tr>
      <w:tr w:rsidR="007C0127" w:rsidRPr="00115C19" w14:paraId="3EBF6D89" w14:textId="77777777" w:rsidTr="00B26A80">
        <w:trPr>
          <w:trHeight w:val="111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34F9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Periodicidad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1F88" w14:textId="03CBC7FD" w:rsidR="00115C19" w:rsidRPr="00115C19" w:rsidRDefault="009945BC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Anual</w:t>
            </w:r>
          </w:p>
        </w:tc>
      </w:tr>
      <w:tr w:rsidR="007C0127" w:rsidRPr="00115C19" w14:paraId="4CFF0D9D" w14:textId="77777777" w:rsidTr="00B26A80">
        <w:trPr>
          <w:trHeight w:val="310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0566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Fuente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F1B8" w14:textId="3BC3F9FF" w:rsidR="00115C19" w:rsidRPr="00115C19" w:rsidRDefault="009945BC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CNE</w:t>
            </w:r>
          </w:p>
        </w:tc>
      </w:tr>
      <w:tr w:rsidR="007C0127" w:rsidRPr="00115C19" w14:paraId="313F8F2C" w14:textId="77777777" w:rsidTr="00B26A80">
        <w:trPr>
          <w:trHeight w:val="28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1DD8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Clasificación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D131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proofErr w:type="gramStart"/>
            <w:r w:rsidRPr="00115C19">
              <w:rPr>
                <w:rFonts w:ascii="Arial" w:hAnsi="Arial" w:cs="Arial"/>
              </w:rPr>
              <w:t xml:space="preserve">(  </w:t>
            </w:r>
            <w:proofErr w:type="gramEnd"/>
            <w:r w:rsidRPr="00115C19">
              <w:rPr>
                <w:rFonts w:ascii="Arial" w:hAnsi="Arial" w:cs="Arial"/>
              </w:rPr>
              <w:t xml:space="preserve"> ) Impacto.</w:t>
            </w:r>
          </w:p>
          <w:p w14:paraId="76C12A07" w14:textId="10FB0AD6" w:rsidR="007C0127" w:rsidRPr="00115C19" w:rsidRDefault="007C0127" w:rsidP="00933499">
            <w:pPr>
              <w:rPr>
                <w:rFonts w:ascii="Arial" w:hAnsi="Arial" w:cs="Arial"/>
              </w:rPr>
            </w:pPr>
            <w:proofErr w:type="gramStart"/>
            <w:r w:rsidRPr="00115C19">
              <w:rPr>
                <w:rFonts w:ascii="Arial" w:hAnsi="Arial" w:cs="Arial"/>
              </w:rPr>
              <w:t>(</w:t>
            </w:r>
            <w:r w:rsidR="00C71E66" w:rsidRPr="00115C19">
              <w:rPr>
                <w:rFonts w:ascii="Arial" w:hAnsi="Arial" w:cs="Arial"/>
              </w:rPr>
              <w:t xml:space="preserve">  </w:t>
            </w:r>
            <w:proofErr w:type="gramEnd"/>
            <w:r w:rsidR="00C71E66" w:rsidRPr="00115C19">
              <w:rPr>
                <w:rFonts w:ascii="Arial" w:hAnsi="Arial" w:cs="Arial"/>
              </w:rPr>
              <w:t xml:space="preserve"> </w:t>
            </w:r>
            <w:r w:rsidRPr="00115C19">
              <w:rPr>
                <w:rFonts w:ascii="Arial" w:hAnsi="Arial" w:cs="Arial"/>
              </w:rPr>
              <w:t>) Efecto.</w:t>
            </w:r>
          </w:p>
          <w:p w14:paraId="6B763797" w14:textId="277DFB38" w:rsidR="00115C19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(</w:t>
            </w:r>
            <w:proofErr w:type="gramStart"/>
            <w:r w:rsidR="00C71E66" w:rsidRPr="00115C19">
              <w:rPr>
                <w:rFonts w:ascii="Arial" w:hAnsi="Arial" w:cs="Arial"/>
              </w:rPr>
              <w:t>x</w:t>
            </w:r>
            <w:r w:rsidR="00B26A80" w:rsidRPr="00115C19">
              <w:rPr>
                <w:rFonts w:ascii="Arial" w:hAnsi="Arial" w:cs="Arial"/>
              </w:rPr>
              <w:t xml:space="preserve"> </w:t>
            </w:r>
            <w:r w:rsidRPr="00115C19">
              <w:rPr>
                <w:rFonts w:ascii="Arial" w:hAnsi="Arial" w:cs="Arial"/>
              </w:rPr>
              <w:t>)</w:t>
            </w:r>
            <w:proofErr w:type="gramEnd"/>
            <w:r w:rsidRPr="00115C19">
              <w:rPr>
                <w:rFonts w:ascii="Arial" w:hAnsi="Arial" w:cs="Arial"/>
              </w:rPr>
              <w:t xml:space="preserve"> Producto.</w:t>
            </w:r>
          </w:p>
        </w:tc>
      </w:tr>
      <w:tr w:rsidR="007C0127" w:rsidRPr="00115C19" w14:paraId="09B48710" w14:textId="77777777" w:rsidTr="00B26A80">
        <w:trPr>
          <w:trHeight w:val="38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5370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Tipo de operación estadística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255" w14:textId="685A713E" w:rsidR="00115C19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hAnsi="Arial" w:cs="Arial"/>
              </w:rPr>
              <w:t>Encuesta y registros administrativos</w:t>
            </w:r>
            <w:r w:rsidR="00262087" w:rsidRPr="00115C19">
              <w:rPr>
                <w:rFonts w:ascii="Arial" w:hAnsi="Arial" w:cs="Arial"/>
              </w:rPr>
              <w:t>.</w:t>
            </w:r>
          </w:p>
        </w:tc>
      </w:tr>
      <w:tr w:rsidR="007C0127" w:rsidRPr="00115C19" w14:paraId="4EAE3E88" w14:textId="77777777" w:rsidTr="00B26A80">
        <w:trPr>
          <w:trHeight w:val="354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E1C6B" w14:textId="77777777" w:rsidR="007C0127" w:rsidRPr="00115C19" w:rsidRDefault="007C0127" w:rsidP="00933499">
            <w:pPr>
              <w:rPr>
                <w:rFonts w:ascii="Arial" w:hAnsi="Arial" w:cs="Arial"/>
              </w:rPr>
            </w:pPr>
            <w:r w:rsidRPr="00115C19">
              <w:rPr>
                <w:rFonts w:ascii="Arial" w:eastAsia="Arial Narrow" w:hAnsi="Arial" w:cs="Arial"/>
              </w:rPr>
              <w:t>Comentarios generales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52A22" w14:textId="3E57A2C8" w:rsidR="007C0127" w:rsidRPr="00115C19" w:rsidRDefault="007C0127" w:rsidP="0093349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DA1BBA1" w14:textId="2EFD7F37" w:rsidR="007C0127" w:rsidRPr="00115C19" w:rsidRDefault="007C0127">
      <w:pPr>
        <w:rPr>
          <w:rFonts w:ascii="Arial" w:hAnsi="Arial" w:cs="Arial"/>
        </w:rPr>
      </w:pPr>
    </w:p>
    <w:p w14:paraId="4E062457" w14:textId="5CAD02C2" w:rsidR="00CC17C9" w:rsidRPr="00115C19" w:rsidRDefault="00CC17C9">
      <w:pPr>
        <w:rPr>
          <w:rFonts w:ascii="Arial" w:hAnsi="Arial" w:cs="Arial"/>
        </w:rPr>
      </w:pPr>
    </w:p>
    <w:p w14:paraId="744FAE8E" w14:textId="2FE874E0" w:rsidR="00CC17C9" w:rsidRPr="00115C19" w:rsidRDefault="00CC17C9">
      <w:pPr>
        <w:rPr>
          <w:rFonts w:ascii="Arial" w:hAnsi="Arial" w:cs="Arial"/>
        </w:rPr>
      </w:pPr>
    </w:p>
    <w:sectPr w:rsidR="00CC17C9" w:rsidRPr="00115C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01E7" w14:textId="77777777" w:rsidR="00862CE8" w:rsidRDefault="00862CE8" w:rsidP="007C0127">
      <w:r>
        <w:separator/>
      </w:r>
    </w:p>
  </w:endnote>
  <w:endnote w:type="continuationSeparator" w:id="0">
    <w:p w14:paraId="3D8C4C9E" w14:textId="77777777" w:rsidR="00862CE8" w:rsidRDefault="00862CE8" w:rsidP="007C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63C8B" w14:textId="77777777" w:rsidR="00862CE8" w:rsidRDefault="00862CE8" w:rsidP="007C0127">
      <w:r>
        <w:separator/>
      </w:r>
    </w:p>
  </w:footnote>
  <w:footnote w:type="continuationSeparator" w:id="0">
    <w:p w14:paraId="0C930931" w14:textId="77777777" w:rsidR="00862CE8" w:rsidRDefault="00862CE8" w:rsidP="007C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F1E"/>
    <w:multiLevelType w:val="hybridMultilevel"/>
    <w:tmpl w:val="D6923CE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3870"/>
    <w:multiLevelType w:val="hybridMultilevel"/>
    <w:tmpl w:val="D6923CE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27"/>
    <w:rsid w:val="00057FD2"/>
    <w:rsid w:val="00082C2C"/>
    <w:rsid w:val="000B164D"/>
    <w:rsid w:val="000B4833"/>
    <w:rsid w:val="000D6FB8"/>
    <w:rsid w:val="00115C19"/>
    <w:rsid w:val="00134067"/>
    <w:rsid w:val="00156B46"/>
    <w:rsid w:val="00160769"/>
    <w:rsid w:val="00164217"/>
    <w:rsid w:val="0019350F"/>
    <w:rsid w:val="00216172"/>
    <w:rsid w:val="0025290B"/>
    <w:rsid w:val="00262087"/>
    <w:rsid w:val="00295C84"/>
    <w:rsid w:val="00297BF1"/>
    <w:rsid w:val="002B5F3E"/>
    <w:rsid w:val="002E6900"/>
    <w:rsid w:val="00316190"/>
    <w:rsid w:val="00336C7A"/>
    <w:rsid w:val="0034713D"/>
    <w:rsid w:val="0036668C"/>
    <w:rsid w:val="003E7C0F"/>
    <w:rsid w:val="00412619"/>
    <w:rsid w:val="00481A82"/>
    <w:rsid w:val="004967C9"/>
    <w:rsid w:val="0059766E"/>
    <w:rsid w:val="005B4F51"/>
    <w:rsid w:val="006F270A"/>
    <w:rsid w:val="0072431A"/>
    <w:rsid w:val="00744957"/>
    <w:rsid w:val="00757188"/>
    <w:rsid w:val="007A5D6F"/>
    <w:rsid w:val="007B48AF"/>
    <w:rsid w:val="007B7386"/>
    <w:rsid w:val="007C0127"/>
    <w:rsid w:val="007C53ED"/>
    <w:rsid w:val="00836495"/>
    <w:rsid w:val="008542FD"/>
    <w:rsid w:val="00862CE8"/>
    <w:rsid w:val="00870F14"/>
    <w:rsid w:val="008A62A3"/>
    <w:rsid w:val="008E006F"/>
    <w:rsid w:val="00944638"/>
    <w:rsid w:val="00960E4C"/>
    <w:rsid w:val="00983071"/>
    <w:rsid w:val="009932D3"/>
    <w:rsid w:val="009945BC"/>
    <w:rsid w:val="00997CD2"/>
    <w:rsid w:val="00A97EA3"/>
    <w:rsid w:val="00B101FD"/>
    <w:rsid w:val="00B26A80"/>
    <w:rsid w:val="00B33602"/>
    <w:rsid w:val="00B3536B"/>
    <w:rsid w:val="00B54023"/>
    <w:rsid w:val="00BB300C"/>
    <w:rsid w:val="00BD0A11"/>
    <w:rsid w:val="00BF77D9"/>
    <w:rsid w:val="00C3432C"/>
    <w:rsid w:val="00C71E66"/>
    <w:rsid w:val="00C82E94"/>
    <w:rsid w:val="00CC17C9"/>
    <w:rsid w:val="00D53933"/>
    <w:rsid w:val="00DC49A3"/>
    <w:rsid w:val="00DD486A"/>
    <w:rsid w:val="00DF762D"/>
    <w:rsid w:val="00E271FA"/>
    <w:rsid w:val="00EE1DE7"/>
    <w:rsid w:val="00F30A59"/>
    <w:rsid w:val="00F9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EC9C"/>
  <w15:docId w15:val="{10066D04-56FD-4A3E-809E-35A21FC1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C0127"/>
    <w:pPr>
      <w:spacing w:after="0" w:line="240" w:lineRule="auto"/>
      <w:jc w:val="both"/>
    </w:pPr>
    <w:rPr>
      <w:rFonts w:ascii="Century Gothic" w:eastAsia="Century Gothic" w:hAnsi="Century Gothic" w:cs="Century Gothic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aliases w:val="PIE_PAGINA"/>
    <w:basedOn w:val="Normal"/>
    <w:next w:val="Normal"/>
    <w:link w:val="CitadestacadaCar"/>
    <w:autoRedefine/>
    <w:uiPriority w:val="30"/>
    <w:qFormat/>
    <w:rsid w:val="007C0127"/>
    <w:pPr>
      <w:contextualSpacing/>
    </w:pPr>
    <w:rPr>
      <w:rFonts w:ascii="Arial Narrow" w:hAnsi="Arial Narrow"/>
      <w:iCs/>
      <w:sz w:val="16"/>
    </w:rPr>
  </w:style>
  <w:style w:type="character" w:customStyle="1" w:styleId="CitadestacadaCar">
    <w:name w:val="Cita destacada Car"/>
    <w:aliases w:val="PIE_PAGINA Car"/>
    <w:basedOn w:val="Fuentedeprrafopredeter"/>
    <w:link w:val="Citadestacada"/>
    <w:uiPriority w:val="30"/>
    <w:rsid w:val="007C0127"/>
    <w:rPr>
      <w:rFonts w:ascii="Arial Narrow" w:eastAsia="Century Gothic" w:hAnsi="Arial Narrow" w:cs="Century Gothic"/>
      <w:iCs/>
      <w:sz w:val="16"/>
      <w:lang w:eastAsia="es-CR"/>
    </w:rPr>
  </w:style>
  <w:style w:type="paragraph" w:styleId="Prrafodelista">
    <w:name w:val="List Paragraph"/>
    <w:basedOn w:val="Normal"/>
    <w:uiPriority w:val="34"/>
    <w:qFormat/>
    <w:rsid w:val="007C012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B4F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4F5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4F51"/>
    <w:rPr>
      <w:rFonts w:ascii="Century Gothic" w:eastAsia="Century Gothic" w:hAnsi="Century Gothic" w:cs="Century Gothic"/>
      <w:sz w:val="20"/>
      <w:szCs w:val="20"/>
      <w:lang w:eastAsia="es-C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4F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4F51"/>
    <w:rPr>
      <w:rFonts w:ascii="Century Gothic" w:eastAsia="Century Gothic" w:hAnsi="Century Gothic" w:cs="Century Gothic"/>
      <w:b/>
      <w:bCs/>
      <w:sz w:val="20"/>
      <w:szCs w:val="20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4F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F51"/>
    <w:rPr>
      <w:rFonts w:ascii="Tahoma" w:eastAsia="Century Gothic" w:hAnsi="Tahoma" w:cs="Tahoma"/>
      <w:sz w:val="16"/>
      <w:szCs w:val="16"/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Picado Rojas</dc:creator>
  <cp:lastModifiedBy>Carlos Picado Rojas</cp:lastModifiedBy>
  <cp:revision>2</cp:revision>
  <dcterms:created xsi:type="dcterms:W3CDTF">2021-10-25T15:40:00Z</dcterms:created>
  <dcterms:modified xsi:type="dcterms:W3CDTF">2021-10-25T15:40:00Z</dcterms:modified>
</cp:coreProperties>
</file>