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507" w:rsidRPr="00EB0D36" w:rsidRDefault="004C0507"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bookmarkStart w:id="0" w:name="_GoBack"/>
      <w:bookmarkEnd w:id="0"/>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EB0D36">
        <w:rPr>
          <w:rFonts w:ascii="Arial" w:hAnsi="Arial" w:cs="Arial"/>
          <w:b/>
          <w:sz w:val="24"/>
          <w:szCs w:val="24"/>
        </w:rPr>
        <w:t>ASAMBLEA LEGISLATIVA DE LA REPÚBLICA DE COSTA RICA</w:t>
      </w: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A31E2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A31E26">
        <w:rPr>
          <w:rFonts w:ascii="Arial" w:hAnsi="Arial" w:cs="Arial"/>
          <w:b/>
          <w:sz w:val="24"/>
          <w:szCs w:val="24"/>
        </w:rPr>
        <w:t>PROYECTO DE LEY</w:t>
      </w:r>
    </w:p>
    <w:p w:rsidR="00EB0D36" w:rsidRPr="00A31E2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EB0D36">
      <w:pPr>
        <w:pBdr>
          <w:top w:val="single" w:sz="4" w:space="1" w:color="auto"/>
          <w:left w:val="single" w:sz="4" w:space="4" w:color="auto"/>
          <w:bottom w:val="single" w:sz="4" w:space="1" w:color="auto"/>
          <w:right w:val="single" w:sz="4" w:space="4" w:color="auto"/>
        </w:pBd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 xml:space="preserve">APROBACIÓN DEL CONVENIO DE COOPERACIÓN PARA EL FINANCIAMIENTO DE PROYECTOS </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DE</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INVERSIÓN</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(CCLIP) </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CR-O0005</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DEL</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PROGRAMA</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DE INFRAESTRUCTURA VIAL Y MOVILIDAD URBANA</w:t>
      </w:r>
      <w:r w:rsidR="000A0E2E">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Y DEL CONTRATO</w:t>
      </w:r>
    </w:p>
    <w:p w:rsidR="00EB0D36" w:rsidRDefault="00EB0D36" w:rsidP="00EB0D36">
      <w:pPr>
        <w:pBdr>
          <w:top w:val="single" w:sz="4" w:space="1" w:color="auto"/>
          <w:left w:val="single" w:sz="4" w:space="4" w:color="auto"/>
          <w:bottom w:val="single" w:sz="4" w:space="1" w:color="auto"/>
          <w:right w:val="single" w:sz="4" w:space="4" w:color="auto"/>
        </w:pBd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DE</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PRÉSTAMO</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Nº 4864/OC-CR </w:t>
      </w:r>
      <w:r>
        <w:rPr>
          <w:rFonts w:ascii="Arial" w:eastAsia="Times New Roman" w:hAnsi="Arial" w:cs="Arial"/>
          <w:b/>
          <w:bCs/>
          <w:smallCaps/>
          <w:spacing w:val="-6"/>
          <w:lang w:val="es-ES_tradnl"/>
        </w:rPr>
        <w:t xml:space="preserve"> QUE FINANCIA LA PRIMERA</w:t>
      </w:r>
    </w:p>
    <w:p w:rsidR="00EB0D36" w:rsidRDefault="00EB0D36" w:rsidP="00EB0D36">
      <w:pPr>
        <w:pBdr>
          <w:top w:val="single" w:sz="4" w:space="1" w:color="auto"/>
          <w:left w:val="single" w:sz="4" w:space="4" w:color="auto"/>
          <w:bottom w:val="single" w:sz="4" w:space="1" w:color="auto"/>
          <w:right w:val="single" w:sz="4" w:space="4" w:color="auto"/>
        </w:pBd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OPERACIÓN INDIVIDUAL BAJO EL CCLIP DENOMINADA</w:t>
      </w:r>
    </w:p>
    <w:p w:rsidR="00EB0D36" w:rsidRDefault="00EB0D36" w:rsidP="00EB0D36">
      <w:pPr>
        <w:pBdr>
          <w:top w:val="single" w:sz="4" w:space="1" w:color="auto"/>
          <w:left w:val="single" w:sz="4" w:space="4" w:color="auto"/>
          <w:bottom w:val="single" w:sz="4" w:space="1" w:color="auto"/>
          <w:right w:val="single" w:sz="4" w:space="4" w:color="auto"/>
        </w:pBdr>
        <w:tabs>
          <w:tab w:val="left" w:pos="3060"/>
        </w:tabs>
        <w:spacing w:after="0" w:line="240" w:lineRule="auto"/>
        <w:jc w:val="center"/>
        <w:rPr>
          <w:rFonts w:ascii="Arial" w:eastAsia="Times New Roman" w:hAnsi="Arial" w:cs="Arial"/>
          <w:b/>
          <w:bCs/>
          <w:smallCaps/>
          <w:spacing w:val="-6"/>
          <w:lang w:val="es-ES_tradnl"/>
        </w:rPr>
      </w:pPr>
      <w:r>
        <w:rPr>
          <w:rFonts w:ascii="Arial" w:eastAsia="Times New Roman" w:hAnsi="Arial" w:cs="Arial"/>
          <w:b/>
          <w:bCs/>
          <w:smallCaps/>
          <w:spacing w:val="-6"/>
          <w:lang w:val="es-ES_tradnl"/>
        </w:rPr>
        <w:t xml:space="preserve">PROGRAMA DE INFRAESTRUCTURA </w:t>
      </w:r>
      <w:r w:rsidRPr="00FF0D18">
        <w:rPr>
          <w:rFonts w:ascii="Arial" w:eastAsia="Times New Roman" w:hAnsi="Arial" w:cs="Arial"/>
          <w:b/>
          <w:bCs/>
          <w:smallCaps/>
          <w:spacing w:val="-6"/>
          <w:lang w:val="es-ES_tradnl"/>
        </w:rPr>
        <w:t xml:space="preserve">VIAL Y </w:t>
      </w:r>
    </w:p>
    <w:p w:rsidR="00EB0D36" w:rsidRDefault="00EB0D36" w:rsidP="00EB0D36">
      <w:pPr>
        <w:pBdr>
          <w:top w:val="single" w:sz="4" w:space="1" w:color="auto"/>
          <w:left w:val="single" w:sz="4" w:space="4" w:color="auto"/>
          <w:bottom w:val="single" w:sz="4" w:space="1" w:color="auto"/>
          <w:right w:val="single" w:sz="4" w:space="4" w:color="auto"/>
        </w:pBd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PROMOCIÓN</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DE ASOCIACIONES</w:t>
      </w:r>
    </w:p>
    <w:p w:rsidR="00EB0D36" w:rsidRPr="00FF0D18" w:rsidRDefault="000A0E2E" w:rsidP="00EB0D36">
      <w:pPr>
        <w:pBdr>
          <w:top w:val="single" w:sz="4" w:space="1" w:color="auto"/>
          <w:left w:val="single" w:sz="4" w:space="4" w:color="auto"/>
          <w:bottom w:val="single" w:sz="4" w:space="1" w:color="auto"/>
          <w:right w:val="single" w:sz="4" w:space="4" w:color="auto"/>
        </w:pBdr>
        <w:tabs>
          <w:tab w:val="left" w:pos="3060"/>
        </w:tabs>
        <w:spacing w:after="0" w:line="240" w:lineRule="auto"/>
        <w:jc w:val="center"/>
        <w:rPr>
          <w:rFonts w:ascii="Arial" w:eastAsia="Times New Roman" w:hAnsi="Arial" w:cs="Arial"/>
          <w:b/>
          <w:bCs/>
          <w:smallCaps/>
          <w:spacing w:val="-6"/>
          <w:lang w:val="es-ES_tradnl"/>
        </w:rPr>
      </w:pPr>
      <w:r>
        <w:rPr>
          <w:rFonts w:ascii="Arial" w:eastAsia="Times New Roman" w:hAnsi="Arial" w:cs="Arial"/>
          <w:b/>
          <w:bCs/>
          <w:smallCaps/>
          <w:spacing w:val="-6"/>
          <w:lang w:val="es-ES_tradnl"/>
        </w:rPr>
        <w:t>PÚBLICO PRIVADAS</w:t>
      </w: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4C0507" w:rsidRPr="00EB0D36" w:rsidRDefault="004C0507"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Pr>
          <w:rFonts w:ascii="Arial" w:hAnsi="Arial" w:cs="Arial"/>
          <w:b/>
          <w:sz w:val="24"/>
          <w:szCs w:val="24"/>
        </w:rPr>
        <w:t>PODER EJECUTIVO</w:t>
      </w: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4C0507" w:rsidRPr="00EB0D36" w:rsidRDefault="004C0507"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Pr>
          <w:rFonts w:ascii="Arial" w:hAnsi="Arial" w:cs="Arial"/>
          <w:b/>
          <w:sz w:val="24"/>
          <w:szCs w:val="24"/>
        </w:rPr>
        <w:t>EXPEDIENTE N</w:t>
      </w:r>
      <w:r w:rsidR="000A0E2E">
        <w:rPr>
          <w:rFonts w:ascii="Arial" w:hAnsi="Arial" w:cs="Arial"/>
          <w:b/>
          <w:sz w:val="24"/>
          <w:szCs w:val="24"/>
        </w:rPr>
        <w:t>.</w:t>
      </w:r>
      <w:r>
        <w:rPr>
          <w:rFonts w:ascii="Arial" w:hAnsi="Arial" w:cs="Arial"/>
          <w:b/>
          <w:sz w:val="24"/>
          <w:szCs w:val="24"/>
        </w:rPr>
        <w:t>° 21.929</w:t>
      </w: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4C050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382BDC" w:rsidRPr="00EB0D36" w:rsidRDefault="00382BDC" w:rsidP="004C050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382BDC" w:rsidRPr="00EB0D36" w:rsidRDefault="00382BDC"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P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EB0D36">
        <w:rPr>
          <w:rFonts w:ascii="Arial" w:hAnsi="Arial" w:cs="Arial"/>
          <w:b/>
          <w:sz w:val="24"/>
          <w:szCs w:val="24"/>
        </w:rPr>
        <w:t>DEPARTAMENTO DE SERVICIOS PARLAMENTARIOS</w:t>
      </w:r>
    </w:p>
    <w:p w:rsid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EB0D36">
        <w:rPr>
          <w:rFonts w:ascii="Arial" w:hAnsi="Arial" w:cs="Arial"/>
          <w:b/>
          <w:sz w:val="24"/>
          <w:szCs w:val="24"/>
        </w:rPr>
        <w:t>UNIDAD DE PROYECTOS, EXPEDIENTES Y LEYES</w:t>
      </w:r>
    </w:p>
    <w:p w:rsidR="00EB0D36" w:rsidRDefault="00EB0D36" w:rsidP="00EB0D3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EB0D36" w:rsidRDefault="00EB0D36" w:rsidP="00EB0D36">
      <w:pPr>
        <w:spacing w:after="0" w:line="240" w:lineRule="auto"/>
        <w:jc w:val="center"/>
        <w:rPr>
          <w:rFonts w:ascii="Arial" w:hAnsi="Arial" w:cs="Arial"/>
          <w:b/>
          <w:sz w:val="24"/>
          <w:szCs w:val="24"/>
        </w:rPr>
      </w:pPr>
    </w:p>
    <w:p w:rsidR="004C0507" w:rsidRDefault="00EB0D36" w:rsidP="00EB0D36">
      <w:pPr>
        <w:spacing w:after="0" w:line="240" w:lineRule="auto"/>
        <w:ind w:left="1410" w:hanging="1410"/>
        <w:jc w:val="both"/>
        <w:rPr>
          <w:rFonts w:ascii="Arial" w:hAnsi="Arial"/>
          <w:b/>
        </w:rPr>
        <w:sectPr w:rsidR="004C0507" w:rsidSect="00852D76">
          <w:headerReference w:type="default" r:id="rId7"/>
          <w:pgSz w:w="12240" w:h="15840"/>
          <w:pgMar w:top="1418" w:right="1701" w:bottom="1418" w:left="1701" w:header="709" w:footer="709" w:gutter="0"/>
          <w:cols w:space="708"/>
          <w:titlePg/>
          <w:docGrid w:linePitch="360"/>
        </w:sectPr>
      </w:pPr>
      <w:r w:rsidRPr="00EB0D36">
        <w:rPr>
          <w:rFonts w:ascii="Arial" w:eastAsia="Arial" w:hAnsi="Arial" w:cs="Arial"/>
          <w:b/>
          <w:sz w:val="24"/>
          <w:szCs w:val="24"/>
          <w:lang w:eastAsia="es-CR"/>
        </w:rPr>
        <w:t>NOTA:</w:t>
      </w:r>
      <w:r w:rsidRPr="00EB0D36">
        <w:rPr>
          <w:rFonts w:ascii="Arial" w:eastAsia="Arial" w:hAnsi="Arial" w:cs="Arial"/>
          <w:b/>
          <w:sz w:val="24"/>
          <w:szCs w:val="24"/>
          <w:lang w:eastAsia="es-CR"/>
        </w:rPr>
        <w:tab/>
      </w:r>
      <w:r w:rsidRPr="00EB0D36">
        <w:rPr>
          <w:rFonts w:ascii="Arial" w:hAnsi="Arial"/>
          <w:b/>
        </w:rPr>
        <w:t>A solicitud de</w:t>
      </w:r>
      <w:r w:rsidR="000A0E2E">
        <w:rPr>
          <w:rFonts w:ascii="Arial" w:hAnsi="Arial"/>
          <w:b/>
        </w:rPr>
        <w:t>l proponente</w:t>
      </w:r>
      <w:r w:rsidR="000A0E2E" w:rsidRPr="00EB0D36">
        <w:rPr>
          <w:rFonts w:ascii="Arial" w:hAnsi="Arial"/>
          <w:b/>
        </w:rPr>
        <w:t xml:space="preserve">, </w:t>
      </w:r>
      <w:r w:rsidRPr="00EB0D36">
        <w:rPr>
          <w:rFonts w:ascii="Arial" w:hAnsi="Arial"/>
          <w:b/>
        </w:rPr>
        <w:t>este Departamento no realizó la revisión de errores formales, materiales e idiomáticos que pueda tener este proyecto de ley.</w:t>
      </w:r>
    </w:p>
    <w:p w:rsidR="00FF0D18" w:rsidRPr="00FF0D18" w:rsidRDefault="00FF0D18" w:rsidP="00FF0D18">
      <w:pPr>
        <w:spacing w:after="0" w:line="240" w:lineRule="auto"/>
        <w:jc w:val="center"/>
        <w:rPr>
          <w:rFonts w:ascii="Arial" w:eastAsia="Calibri" w:hAnsi="Arial" w:cs="Arial"/>
          <w:sz w:val="24"/>
          <w:szCs w:val="24"/>
          <w:lang w:val="es-ES"/>
        </w:rPr>
      </w:pPr>
      <w:r w:rsidRPr="00FF0D18">
        <w:rPr>
          <w:rFonts w:ascii="Arial" w:eastAsia="Calibri" w:hAnsi="Arial" w:cs="Arial"/>
          <w:bCs/>
          <w:sz w:val="24"/>
          <w:szCs w:val="24"/>
          <w:lang w:val="es-ES"/>
        </w:rPr>
        <w:lastRenderedPageBreak/>
        <w:t>PROYECTO DE LEY</w:t>
      </w:r>
    </w:p>
    <w:p w:rsidR="00FF0D18" w:rsidRPr="00E63502" w:rsidRDefault="00FF0D18" w:rsidP="00FF0D18">
      <w:pPr>
        <w:spacing w:after="0" w:line="240" w:lineRule="auto"/>
        <w:jc w:val="center"/>
        <w:rPr>
          <w:rFonts w:ascii="Arial" w:eastAsia="Calibri" w:hAnsi="Arial" w:cs="Arial"/>
          <w:b/>
          <w:bCs/>
          <w:sz w:val="24"/>
          <w:szCs w:val="24"/>
          <w:lang w:val="es-ES"/>
        </w:rPr>
      </w:pPr>
    </w:p>
    <w:p w:rsidR="00FF0D18" w:rsidRDefault="00FF0D18" w:rsidP="00FF0D18">
      <w:pPr>
        <w:tabs>
          <w:tab w:val="left" w:pos="3060"/>
        </w:tabs>
        <w:spacing w:after="0" w:line="240" w:lineRule="auto"/>
        <w:jc w:val="center"/>
        <w:rPr>
          <w:rFonts w:ascii="Arial" w:eastAsia="Times New Roman" w:hAnsi="Arial" w:cs="Arial"/>
          <w:b/>
          <w:bCs/>
          <w:smallCaps/>
          <w:spacing w:val="-6"/>
          <w:lang w:val="es-ES_tradnl"/>
        </w:rPr>
      </w:pPr>
      <w:bookmarkStart w:id="1" w:name="_Hlk25566085"/>
      <w:r w:rsidRPr="00FF0D18">
        <w:rPr>
          <w:rFonts w:ascii="Arial" w:eastAsia="Times New Roman" w:hAnsi="Arial" w:cs="Arial"/>
          <w:b/>
          <w:bCs/>
          <w:smallCaps/>
          <w:spacing w:val="-6"/>
          <w:lang w:val="es-ES_tradnl"/>
        </w:rPr>
        <w:t xml:space="preserve">APROBACIÓN DEL CONVENIO DE COOPERACIÓN PARA EL FINANCIAMIENTO DE PROYECTOS </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DE</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INVERSIÓN</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(CCLIP) </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CR-O0005</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DEL</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PROGRAMA</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DE INFRAESTRUCTURA VIAL Y MOVILIDAD URBANA</w:t>
      </w:r>
      <w:r w:rsidR="000A0E2E">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Y DEL CONTRATO</w:t>
      </w:r>
    </w:p>
    <w:p w:rsidR="00FF0D18" w:rsidRDefault="00FF0D18" w:rsidP="00FF0D18">
      <w:pP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DE</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PRÉSTAMO</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 xml:space="preserve"> Nº 4864/OC-CR </w:t>
      </w:r>
      <w:r>
        <w:rPr>
          <w:rFonts w:ascii="Arial" w:eastAsia="Times New Roman" w:hAnsi="Arial" w:cs="Arial"/>
          <w:b/>
          <w:bCs/>
          <w:smallCaps/>
          <w:spacing w:val="-6"/>
          <w:lang w:val="es-ES_tradnl"/>
        </w:rPr>
        <w:t xml:space="preserve"> QUE FINANCIA LA PRIMERA</w:t>
      </w:r>
    </w:p>
    <w:p w:rsidR="00FF0D18" w:rsidRDefault="00FF0D18" w:rsidP="00FF0D18">
      <w:pP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OPERACIÓN INDIVIDUAL BAJO EL CCLIP DENOMINADA</w:t>
      </w:r>
    </w:p>
    <w:p w:rsidR="00FF0D18" w:rsidRDefault="00FF0D18" w:rsidP="00FF0D18">
      <w:pPr>
        <w:tabs>
          <w:tab w:val="left" w:pos="3060"/>
        </w:tabs>
        <w:spacing w:after="0" w:line="240" w:lineRule="auto"/>
        <w:jc w:val="center"/>
        <w:rPr>
          <w:rFonts w:ascii="Arial" w:eastAsia="Times New Roman" w:hAnsi="Arial" w:cs="Arial"/>
          <w:b/>
          <w:bCs/>
          <w:smallCaps/>
          <w:spacing w:val="-6"/>
          <w:lang w:val="es-ES_tradnl"/>
        </w:rPr>
      </w:pPr>
      <w:r>
        <w:rPr>
          <w:rFonts w:ascii="Arial" w:eastAsia="Times New Roman" w:hAnsi="Arial" w:cs="Arial"/>
          <w:b/>
          <w:bCs/>
          <w:smallCaps/>
          <w:spacing w:val="-6"/>
          <w:lang w:val="es-ES_tradnl"/>
        </w:rPr>
        <w:t xml:space="preserve">PROGRAMA DE INFRAESTRUCTURA </w:t>
      </w:r>
      <w:r w:rsidRPr="00FF0D18">
        <w:rPr>
          <w:rFonts w:ascii="Arial" w:eastAsia="Times New Roman" w:hAnsi="Arial" w:cs="Arial"/>
          <w:b/>
          <w:bCs/>
          <w:smallCaps/>
          <w:spacing w:val="-6"/>
          <w:lang w:val="es-ES_tradnl"/>
        </w:rPr>
        <w:t xml:space="preserve">VIAL Y </w:t>
      </w:r>
    </w:p>
    <w:p w:rsidR="00FF0D18" w:rsidRDefault="00FF0D18" w:rsidP="00FF0D18">
      <w:pPr>
        <w:tabs>
          <w:tab w:val="left" w:pos="3060"/>
        </w:tabs>
        <w:spacing w:after="0" w:line="240" w:lineRule="auto"/>
        <w:jc w:val="center"/>
        <w:rPr>
          <w:rFonts w:ascii="Arial" w:eastAsia="Times New Roman" w:hAnsi="Arial" w:cs="Arial"/>
          <w:b/>
          <w:bCs/>
          <w:smallCaps/>
          <w:spacing w:val="-6"/>
          <w:lang w:val="es-ES_tradnl"/>
        </w:rPr>
      </w:pPr>
      <w:r w:rsidRPr="00FF0D18">
        <w:rPr>
          <w:rFonts w:ascii="Arial" w:eastAsia="Times New Roman" w:hAnsi="Arial" w:cs="Arial"/>
          <w:b/>
          <w:bCs/>
          <w:smallCaps/>
          <w:spacing w:val="-6"/>
          <w:lang w:val="es-ES_tradnl"/>
        </w:rPr>
        <w:t>PROMOCIÓN</w:t>
      </w:r>
      <w:r>
        <w:rPr>
          <w:rFonts w:ascii="Arial" w:eastAsia="Times New Roman" w:hAnsi="Arial" w:cs="Arial"/>
          <w:b/>
          <w:bCs/>
          <w:smallCaps/>
          <w:spacing w:val="-6"/>
          <w:lang w:val="es-ES_tradnl"/>
        </w:rPr>
        <w:t xml:space="preserve"> </w:t>
      </w:r>
      <w:r w:rsidRPr="00FF0D18">
        <w:rPr>
          <w:rFonts w:ascii="Arial" w:eastAsia="Times New Roman" w:hAnsi="Arial" w:cs="Arial"/>
          <w:b/>
          <w:bCs/>
          <w:smallCaps/>
          <w:spacing w:val="-6"/>
          <w:lang w:val="es-ES_tradnl"/>
        </w:rPr>
        <w:t>DE ASOCIACIONES</w:t>
      </w:r>
    </w:p>
    <w:p w:rsidR="00FF0D18" w:rsidRPr="00FF0D18" w:rsidRDefault="000A0E2E" w:rsidP="00FF0D18">
      <w:pPr>
        <w:tabs>
          <w:tab w:val="left" w:pos="3060"/>
        </w:tabs>
        <w:spacing w:after="0" w:line="240" w:lineRule="auto"/>
        <w:jc w:val="center"/>
        <w:rPr>
          <w:rFonts w:ascii="Arial" w:eastAsia="Times New Roman" w:hAnsi="Arial" w:cs="Arial"/>
          <w:b/>
          <w:bCs/>
          <w:smallCaps/>
          <w:spacing w:val="-6"/>
          <w:lang w:val="es-ES_tradnl"/>
        </w:rPr>
      </w:pPr>
      <w:r>
        <w:rPr>
          <w:rFonts w:ascii="Arial" w:eastAsia="Times New Roman" w:hAnsi="Arial" w:cs="Arial"/>
          <w:b/>
          <w:bCs/>
          <w:smallCaps/>
          <w:spacing w:val="-6"/>
          <w:lang w:val="es-ES_tradnl"/>
        </w:rPr>
        <w:t>PÚBLICO PRIVADAS</w:t>
      </w:r>
    </w:p>
    <w:bookmarkEnd w:id="1"/>
    <w:p w:rsidR="00FF0D18" w:rsidRPr="00E63502" w:rsidRDefault="00FF0D18" w:rsidP="00FF0D18">
      <w:pPr>
        <w:spacing w:after="0" w:line="240" w:lineRule="auto"/>
        <w:jc w:val="both"/>
        <w:rPr>
          <w:rFonts w:ascii="Arial" w:eastAsia="Calibri" w:hAnsi="Arial" w:cs="Arial"/>
          <w:b/>
          <w:sz w:val="24"/>
          <w:szCs w:val="24"/>
          <w:lang w:val="es-ES"/>
        </w:rPr>
      </w:pPr>
    </w:p>
    <w:p w:rsidR="00FF0D18" w:rsidRPr="00FF0D18" w:rsidRDefault="00FF0D18" w:rsidP="00FF0D18">
      <w:pPr>
        <w:spacing w:after="0" w:line="240" w:lineRule="auto"/>
        <w:jc w:val="both"/>
        <w:rPr>
          <w:rFonts w:ascii="Arial" w:eastAsia="Calibri" w:hAnsi="Arial" w:cs="Arial"/>
          <w:sz w:val="24"/>
          <w:szCs w:val="24"/>
          <w:lang w:val="es-ES"/>
        </w:rPr>
      </w:pPr>
    </w:p>
    <w:p w:rsidR="00FF0D18" w:rsidRPr="00532E98" w:rsidRDefault="00FF0D18" w:rsidP="00FF0D18">
      <w:pPr>
        <w:spacing w:after="0" w:line="240" w:lineRule="auto"/>
        <w:jc w:val="right"/>
        <w:rPr>
          <w:rFonts w:ascii="Arial" w:eastAsia="Calibri" w:hAnsi="Arial" w:cs="Arial"/>
          <w:bCs/>
          <w:sz w:val="24"/>
          <w:szCs w:val="24"/>
          <w:lang w:val="es-ES"/>
        </w:rPr>
      </w:pPr>
      <w:r w:rsidRPr="00532E98">
        <w:rPr>
          <w:rFonts w:ascii="Arial" w:eastAsia="Calibri" w:hAnsi="Arial" w:cs="Arial"/>
          <w:bCs/>
          <w:sz w:val="24"/>
          <w:szCs w:val="24"/>
          <w:lang w:val="es-ES"/>
        </w:rPr>
        <w:t>Expediente N.° 21.929</w:t>
      </w:r>
    </w:p>
    <w:p w:rsidR="00FF0D18" w:rsidRPr="00FF0D18" w:rsidRDefault="00FF0D18" w:rsidP="00FF0D18">
      <w:pPr>
        <w:spacing w:after="0" w:line="240" w:lineRule="auto"/>
        <w:jc w:val="both"/>
        <w:rPr>
          <w:rFonts w:ascii="Arial" w:eastAsia="Calibri" w:hAnsi="Arial" w:cs="Arial"/>
          <w:sz w:val="24"/>
          <w:szCs w:val="24"/>
          <w:lang w:val="es-ES"/>
        </w:rPr>
      </w:pPr>
    </w:p>
    <w:p w:rsidR="00FF0D18" w:rsidRPr="00FF0D18" w:rsidRDefault="00FF0D18" w:rsidP="00FF0D18">
      <w:pPr>
        <w:spacing w:after="0" w:line="240" w:lineRule="auto"/>
        <w:jc w:val="both"/>
        <w:rPr>
          <w:rFonts w:ascii="Arial" w:eastAsia="Calibri" w:hAnsi="Arial" w:cs="Arial"/>
          <w:sz w:val="24"/>
          <w:szCs w:val="24"/>
          <w:lang w:val="es-ES"/>
        </w:rPr>
      </w:pPr>
    </w:p>
    <w:p w:rsidR="00FF0D18" w:rsidRPr="00FF0D18" w:rsidRDefault="00FF0D18" w:rsidP="00FF0D18">
      <w:pPr>
        <w:spacing w:after="0" w:line="240" w:lineRule="auto"/>
        <w:jc w:val="both"/>
        <w:rPr>
          <w:rFonts w:ascii="Arial" w:eastAsia="Calibri" w:hAnsi="Arial" w:cs="Arial"/>
          <w:sz w:val="24"/>
          <w:szCs w:val="24"/>
          <w:lang w:val="es-ES"/>
        </w:rPr>
      </w:pPr>
      <w:r w:rsidRPr="00FF0D18">
        <w:rPr>
          <w:rFonts w:ascii="Arial" w:eastAsia="Calibri" w:hAnsi="Arial" w:cs="Arial"/>
          <w:sz w:val="24"/>
          <w:szCs w:val="24"/>
          <w:lang w:val="es-ES"/>
        </w:rPr>
        <w:t>ASAMBLEA LEGISLATIVA:</w:t>
      </w:r>
    </w:p>
    <w:p w:rsidR="00FF0D18" w:rsidRPr="00E63502" w:rsidRDefault="00FF0D18" w:rsidP="00FF0D18">
      <w:pPr>
        <w:spacing w:after="0" w:line="240" w:lineRule="auto"/>
        <w:jc w:val="both"/>
        <w:rPr>
          <w:rFonts w:ascii="Arial" w:eastAsia="Calibri" w:hAnsi="Arial" w:cs="Arial"/>
          <w:b/>
          <w:sz w:val="24"/>
          <w:szCs w:val="24"/>
          <w:lang w:val="es-ES"/>
        </w:rPr>
      </w:pPr>
    </w:p>
    <w:p w:rsidR="00FF0D18" w:rsidRPr="00E63502" w:rsidRDefault="00FF0D18" w:rsidP="00FF0D18">
      <w:pPr>
        <w:spacing w:after="0" w:line="240" w:lineRule="auto"/>
        <w:contextualSpacing/>
        <w:jc w:val="both"/>
        <w:rPr>
          <w:rFonts w:ascii="Arial" w:eastAsia="Times New Roman" w:hAnsi="Arial" w:cs="Arial"/>
          <w:b/>
          <w:bCs/>
          <w:sz w:val="24"/>
          <w:szCs w:val="24"/>
        </w:rPr>
      </w:pPr>
      <w:r>
        <w:rPr>
          <w:rFonts w:ascii="Arial" w:eastAsia="Times New Roman" w:hAnsi="Arial" w:cs="Arial"/>
          <w:b/>
          <w:bCs/>
          <w:sz w:val="24"/>
          <w:szCs w:val="24"/>
        </w:rPr>
        <w:t>1-</w:t>
      </w:r>
      <w:r>
        <w:rPr>
          <w:rFonts w:ascii="Arial" w:eastAsia="Times New Roman" w:hAnsi="Arial" w:cs="Arial"/>
          <w:b/>
          <w:bCs/>
          <w:sz w:val="24"/>
          <w:szCs w:val="24"/>
        </w:rPr>
        <w:tab/>
        <w:t>JUSTIFICACIÓN</w:t>
      </w:r>
    </w:p>
    <w:p w:rsidR="00FF0D18" w:rsidRPr="00E63502" w:rsidRDefault="00FF0D18" w:rsidP="00FF0D18">
      <w:pPr>
        <w:spacing w:after="0" w:line="240" w:lineRule="auto"/>
        <w:jc w:val="both"/>
        <w:rPr>
          <w:rFonts w:ascii="Arial" w:eastAsia="Calibri" w:hAnsi="Arial" w:cs="Arial"/>
          <w:b/>
          <w:bCs/>
          <w:sz w:val="24"/>
          <w:szCs w:val="24"/>
        </w:rPr>
      </w:pPr>
    </w:p>
    <w:p w:rsidR="00FF0D18" w:rsidRPr="00E63502" w:rsidRDefault="00FF0D18" w:rsidP="00FF0D18">
      <w:pPr>
        <w:spacing w:after="0" w:line="240" w:lineRule="auto"/>
        <w:jc w:val="both"/>
        <w:rPr>
          <w:rFonts w:ascii="Arial" w:eastAsia="Calibri" w:hAnsi="Arial" w:cs="Arial"/>
          <w:bCs/>
          <w:sz w:val="24"/>
          <w:szCs w:val="24"/>
          <w:lang w:val="es-ES"/>
        </w:rPr>
      </w:pPr>
      <w:r w:rsidRPr="00E63502">
        <w:rPr>
          <w:rFonts w:ascii="Arial" w:eastAsia="Calibri" w:hAnsi="Arial" w:cs="Arial"/>
          <w:bCs/>
          <w:sz w:val="24"/>
          <w:szCs w:val="24"/>
        </w:rPr>
        <w:t xml:space="preserve">La infraestructura del transporte proporciona la base para el desarrollo económico del país y es fundamental en la reducción de la pobreza, facilita las comunicaciones y suministra un mejor acceso al empleo, la educación y los servicios de salud y, por tanto, </w:t>
      </w:r>
      <w:r w:rsidRPr="00E63502">
        <w:rPr>
          <w:rFonts w:ascii="Arial" w:eastAsia="Calibri" w:hAnsi="Arial" w:cs="Arial"/>
          <w:bCs/>
          <w:sz w:val="24"/>
          <w:szCs w:val="24"/>
          <w:lang w:val="es-ES"/>
        </w:rPr>
        <w:t>es uno de los principales requerimientos para el comercio local e internacional, así como el turismo, entre otros grupos de actividad económica, que en confluencia contribuyen al desarrollo.</w:t>
      </w:r>
    </w:p>
    <w:p w:rsidR="00FF0D18" w:rsidRPr="00E63502" w:rsidRDefault="00FF0D18" w:rsidP="00FF0D18">
      <w:pPr>
        <w:spacing w:after="0" w:line="240" w:lineRule="auto"/>
        <w:rPr>
          <w:rFonts w:ascii="Arial" w:eastAsia="Calibri" w:hAnsi="Arial" w:cs="Arial"/>
          <w:sz w:val="24"/>
          <w:szCs w:val="24"/>
          <w:lang w:val="es-ES"/>
        </w:rPr>
      </w:pPr>
    </w:p>
    <w:p w:rsidR="00FF0D18" w:rsidRPr="00E63502" w:rsidRDefault="00FF0D18" w:rsidP="00FF0D18">
      <w:pPr>
        <w:spacing w:after="0" w:line="240" w:lineRule="auto"/>
        <w:jc w:val="both"/>
        <w:rPr>
          <w:rFonts w:ascii="Arial" w:eastAsia="Calibri" w:hAnsi="Arial" w:cs="Arial"/>
          <w:bCs/>
          <w:sz w:val="24"/>
          <w:szCs w:val="24"/>
        </w:rPr>
      </w:pPr>
      <w:r w:rsidRPr="00E63502">
        <w:rPr>
          <w:rFonts w:ascii="Arial" w:eastAsia="Calibri" w:hAnsi="Arial" w:cs="Arial"/>
          <w:bCs/>
          <w:sz w:val="24"/>
          <w:szCs w:val="24"/>
          <w:lang w:val="es-ES"/>
        </w:rPr>
        <w:t xml:space="preserve">Costa Rica requiere de una infraestructura del transporte consecuente con su elevada tasa de crecimiento poblacional, la cual en la actualidad es de alrededor de 5 millones de habitantes.  Esta misma estadística para el año 2011, según el último Censo Poblacional del INEC, en la Gran Área Metropolitana habitaba </w:t>
      </w:r>
      <w:r w:rsidRPr="00E63502">
        <w:rPr>
          <w:rFonts w:ascii="Arial" w:eastAsia="Calibri" w:hAnsi="Arial" w:cs="Arial"/>
          <w:bCs/>
          <w:sz w:val="24"/>
          <w:szCs w:val="24"/>
        </w:rPr>
        <w:t>una población cercana a los 2,3 millones, lo que muestra un panorama claro sobre la concentración de la población en el país.</w:t>
      </w:r>
    </w:p>
    <w:p w:rsidR="00FF0D18" w:rsidRPr="00E63502" w:rsidRDefault="00FF0D18" w:rsidP="00FF0D18">
      <w:pPr>
        <w:spacing w:after="0" w:line="240" w:lineRule="auto"/>
        <w:jc w:val="both"/>
        <w:rPr>
          <w:rFonts w:ascii="Arial" w:eastAsia="Calibri" w:hAnsi="Arial" w:cs="Arial"/>
          <w:bCs/>
          <w:sz w:val="24"/>
          <w:szCs w:val="24"/>
        </w:rPr>
      </w:pPr>
    </w:p>
    <w:p w:rsidR="00FF0D18" w:rsidRPr="00E63502" w:rsidRDefault="00FF0D18" w:rsidP="00FF0D18">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La calidad de vida de las ciudades, en especial del Área Metropolitana del cantón de San José, ha disminuido drásticamente, al punto que sus distritos centrales vienen expulsando población desde hace varias décadas, acentuándose el deterioro urbano. </w:t>
      </w:r>
      <w:r>
        <w:rPr>
          <w:rFonts w:ascii="Arial" w:eastAsia="Calibri" w:hAnsi="Arial" w:cs="Arial"/>
          <w:bCs/>
          <w:sz w:val="24"/>
          <w:szCs w:val="24"/>
        </w:rPr>
        <w:t xml:space="preserve"> </w:t>
      </w:r>
      <w:r w:rsidRPr="00E63502">
        <w:rPr>
          <w:rFonts w:ascii="Arial" w:eastAsia="Calibri" w:hAnsi="Arial" w:cs="Arial"/>
          <w:bCs/>
          <w:sz w:val="24"/>
          <w:szCs w:val="24"/>
        </w:rPr>
        <w:t xml:space="preserve">La población desplazada busca asentarse en la periferia de la ciudad, de esta forma se desaprovecha la capacidad instalada de los servicios e infraestructuras. </w:t>
      </w:r>
      <w:r>
        <w:rPr>
          <w:rFonts w:ascii="Arial" w:eastAsia="Calibri" w:hAnsi="Arial" w:cs="Arial"/>
          <w:bCs/>
          <w:sz w:val="24"/>
          <w:szCs w:val="24"/>
        </w:rPr>
        <w:t xml:space="preserve"> </w:t>
      </w:r>
      <w:r w:rsidRPr="00E63502">
        <w:rPr>
          <w:rFonts w:ascii="Arial" w:eastAsia="Calibri" w:hAnsi="Arial" w:cs="Arial"/>
          <w:bCs/>
          <w:sz w:val="24"/>
          <w:szCs w:val="24"/>
        </w:rPr>
        <w:t>Se demandan nuevos servicios en la periferia y se alargan los tiempos de viaje de las personas, que a su vez se traduce en un aumento del congestionamiento, emisiones de CO2,</w:t>
      </w:r>
      <w:r>
        <w:rPr>
          <w:rFonts w:ascii="Arial" w:eastAsia="Calibri" w:hAnsi="Arial" w:cs="Arial"/>
          <w:bCs/>
          <w:sz w:val="24"/>
          <w:szCs w:val="24"/>
        </w:rPr>
        <w:t xml:space="preserve"> entre otras consecuencias.</w:t>
      </w:r>
    </w:p>
    <w:p w:rsidR="00FF0D18" w:rsidRPr="00E63502" w:rsidRDefault="00FF0D18" w:rsidP="00FF0D18">
      <w:pPr>
        <w:spacing w:after="0" w:line="240" w:lineRule="auto"/>
        <w:jc w:val="both"/>
        <w:rPr>
          <w:rFonts w:ascii="Arial" w:eastAsia="Calibri" w:hAnsi="Arial" w:cs="Arial"/>
          <w:bCs/>
          <w:sz w:val="24"/>
          <w:szCs w:val="24"/>
        </w:rPr>
      </w:pPr>
    </w:p>
    <w:p w:rsidR="00FF0D18" w:rsidRPr="00E63502" w:rsidRDefault="00FF0D18" w:rsidP="00FF0D18">
      <w:pPr>
        <w:spacing w:after="0" w:line="240" w:lineRule="auto"/>
        <w:jc w:val="both"/>
        <w:rPr>
          <w:rFonts w:ascii="Arial" w:eastAsia="Calibri" w:hAnsi="Arial" w:cs="Arial"/>
          <w:bCs/>
          <w:sz w:val="24"/>
          <w:szCs w:val="24"/>
        </w:rPr>
      </w:pPr>
      <w:bookmarkStart w:id="2" w:name="_Hlk25582826"/>
      <w:r w:rsidRPr="00E63502">
        <w:rPr>
          <w:rFonts w:ascii="Arial" w:eastAsia="Calibri" w:hAnsi="Arial" w:cs="Arial"/>
          <w:bCs/>
          <w:sz w:val="24"/>
          <w:szCs w:val="24"/>
        </w:rPr>
        <w:t>Como parte de los elementos que configuran las condiciones de transporte de personas y mercancías, son las características de la flota vehicular, que se</w:t>
      </w:r>
      <w:r>
        <w:rPr>
          <w:rFonts w:ascii="Arial" w:eastAsia="Calibri" w:hAnsi="Arial" w:cs="Arial"/>
          <w:bCs/>
          <w:sz w:val="24"/>
          <w:szCs w:val="24"/>
        </w:rPr>
        <w:t xml:space="preserve"> referencian en el Cuadro N° 1.</w:t>
      </w:r>
    </w:p>
    <w:p w:rsidR="00FF0D18" w:rsidRPr="00E63502" w:rsidRDefault="00FF0D18" w:rsidP="00FF0D18">
      <w:pPr>
        <w:spacing w:after="0" w:line="240" w:lineRule="auto"/>
        <w:rPr>
          <w:rFonts w:ascii="Times New Roman" w:eastAsia="Calibri" w:hAnsi="Times New Roman" w:cs="Times New Roman"/>
          <w:b/>
          <w:bCs/>
          <w:sz w:val="24"/>
          <w:szCs w:val="24"/>
        </w:rPr>
      </w:pPr>
    </w:p>
    <w:p w:rsidR="004C0507" w:rsidRDefault="004C0507" w:rsidP="004C0507">
      <w:pPr>
        <w:rPr>
          <w:rFonts w:ascii="Times New Roman" w:eastAsia="Calibri" w:hAnsi="Times New Roman" w:cs="Times New Roman"/>
          <w:sz w:val="24"/>
          <w:szCs w:val="24"/>
        </w:rPr>
      </w:pPr>
    </w:p>
    <w:p w:rsidR="00FF0D18" w:rsidRPr="004C0507" w:rsidRDefault="00FF0D18" w:rsidP="004C0507">
      <w:pPr>
        <w:rPr>
          <w:rFonts w:ascii="Times New Roman" w:eastAsia="Calibri" w:hAnsi="Times New Roman" w:cs="Times New Roman"/>
          <w:sz w:val="24"/>
          <w:szCs w:val="24"/>
        </w:rPr>
        <w:sectPr w:rsidR="00FF0D18" w:rsidRPr="004C0507" w:rsidSect="004C0507">
          <w:pgSz w:w="12240" w:h="15840"/>
          <w:pgMar w:top="1418" w:right="1701" w:bottom="1418" w:left="1701" w:header="709" w:footer="709" w:gutter="0"/>
          <w:cols w:space="708"/>
          <w:titlePg/>
          <w:docGrid w:linePitch="360"/>
        </w:sectPr>
      </w:pPr>
    </w:p>
    <w:p w:rsidR="00FF0D18" w:rsidRPr="00FF0D18" w:rsidRDefault="00FF0D18" w:rsidP="00FF0D18">
      <w:pPr>
        <w:spacing w:after="0" w:line="360" w:lineRule="auto"/>
        <w:jc w:val="center"/>
        <w:rPr>
          <w:rFonts w:ascii="Arial" w:eastAsia="Calibri" w:hAnsi="Arial" w:cs="Arial"/>
          <w:b/>
          <w:bCs/>
          <w:sz w:val="24"/>
          <w:szCs w:val="24"/>
        </w:rPr>
      </w:pPr>
      <w:r w:rsidRPr="00FF0D18">
        <w:rPr>
          <w:rFonts w:ascii="Arial" w:eastAsia="Calibri" w:hAnsi="Arial" w:cs="Arial"/>
          <w:b/>
          <w:bCs/>
          <w:sz w:val="24"/>
          <w:szCs w:val="24"/>
        </w:rPr>
        <w:lastRenderedPageBreak/>
        <w:t>Cuadro N° 1</w:t>
      </w:r>
    </w:p>
    <w:p w:rsidR="00FF0D18" w:rsidRPr="00FF0D18" w:rsidRDefault="00FF0D18" w:rsidP="00FF0D18">
      <w:pPr>
        <w:spacing w:after="0" w:line="360" w:lineRule="auto"/>
        <w:jc w:val="center"/>
        <w:rPr>
          <w:rFonts w:ascii="Arial" w:eastAsia="Calibri" w:hAnsi="Arial" w:cs="Arial"/>
          <w:b/>
          <w:bCs/>
          <w:sz w:val="24"/>
          <w:szCs w:val="24"/>
        </w:rPr>
      </w:pPr>
      <w:r w:rsidRPr="00FF0D18">
        <w:rPr>
          <w:rFonts w:ascii="Arial" w:eastAsia="Calibri" w:hAnsi="Arial" w:cs="Arial"/>
          <w:b/>
          <w:bCs/>
          <w:sz w:val="24"/>
          <w:szCs w:val="24"/>
        </w:rPr>
        <w:t>Cantidad de Vehículos Automotores según estilo por año</w:t>
      </w:r>
    </w:p>
    <w:p w:rsidR="00FF0D18" w:rsidRPr="00E63502" w:rsidRDefault="00FF0D18" w:rsidP="00FF0D18">
      <w:pPr>
        <w:spacing w:after="0" w:line="360" w:lineRule="auto"/>
        <w:jc w:val="center"/>
        <w:rPr>
          <w:rFonts w:ascii="Times New Roman" w:eastAsia="Calibri" w:hAnsi="Times New Roman" w:cs="Times New Roman"/>
          <w:b/>
          <w:bCs/>
          <w:sz w:val="24"/>
          <w:szCs w:val="24"/>
        </w:rPr>
      </w:pPr>
    </w:p>
    <w:tbl>
      <w:tblPr>
        <w:tblW w:w="14417" w:type="dxa"/>
        <w:jc w:val="center"/>
        <w:tblCellMar>
          <w:left w:w="70" w:type="dxa"/>
          <w:right w:w="70" w:type="dxa"/>
        </w:tblCellMar>
        <w:tblLook w:val="04A0" w:firstRow="1" w:lastRow="0" w:firstColumn="1" w:lastColumn="0" w:noHBand="0" w:noVBand="1"/>
      </w:tblPr>
      <w:tblGrid>
        <w:gridCol w:w="747"/>
        <w:gridCol w:w="770"/>
        <w:gridCol w:w="900"/>
        <w:gridCol w:w="1030"/>
        <w:gridCol w:w="900"/>
        <w:gridCol w:w="941"/>
        <w:gridCol w:w="900"/>
        <w:gridCol w:w="900"/>
        <w:gridCol w:w="900"/>
        <w:gridCol w:w="900"/>
        <w:gridCol w:w="900"/>
        <w:gridCol w:w="605"/>
        <w:gridCol w:w="900"/>
        <w:gridCol w:w="781"/>
        <w:gridCol w:w="900"/>
        <w:gridCol w:w="1110"/>
        <w:gridCol w:w="900"/>
      </w:tblGrid>
      <w:tr w:rsidR="00FF0D18" w:rsidRPr="00E63502" w:rsidTr="00FF0D18">
        <w:trPr>
          <w:trHeight w:val="781"/>
          <w:jc w:val="center"/>
        </w:trPr>
        <w:tc>
          <w:tcPr>
            <w:tcW w:w="7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Año</w:t>
            </w:r>
          </w:p>
        </w:tc>
        <w:tc>
          <w:tcPr>
            <w:tcW w:w="744"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Total</w:t>
            </w:r>
            <w:r w:rsidRPr="00E63502">
              <w:rPr>
                <w:rFonts w:ascii="Times New Roman" w:eastAsia="Times New Roman" w:hAnsi="Times New Roman" w:cs="Times New Roman"/>
                <w:b/>
                <w:bCs/>
                <w:color w:val="000000"/>
                <w:sz w:val="18"/>
                <w:szCs w:val="16"/>
                <w:vertAlign w:val="superscript"/>
                <w:lang w:eastAsia="es-CR"/>
              </w:rPr>
              <w:footnoteReference w:id="1"/>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916"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Automóvil</w:t>
            </w:r>
            <w:r w:rsidRPr="00E63502">
              <w:rPr>
                <w:rFonts w:ascii="Times New Roman" w:eastAsia="Calibri" w:hAnsi="Times New Roman" w:cs="Times New Roman"/>
                <w:b/>
                <w:bCs/>
                <w:sz w:val="24"/>
                <w:szCs w:val="24"/>
                <w:vertAlign w:val="superscript"/>
              </w:rPr>
              <w:footnoteReference w:id="2"/>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908"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Autobuses</w:t>
            </w:r>
            <w:r w:rsidRPr="00E63502">
              <w:rPr>
                <w:rFonts w:ascii="Times New Roman" w:eastAsia="Times New Roman" w:hAnsi="Times New Roman" w:cs="Times New Roman"/>
                <w:b/>
                <w:bCs/>
                <w:color w:val="000000"/>
                <w:sz w:val="18"/>
                <w:szCs w:val="16"/>
                <w:vertAlign w:val="superscript"/>
                <w:lang w:eastAsia="es-CR"/>
              </w:rPr>
              <w:t xml:space="preserve"> </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Camiones de carga &lt;3500 kg</w:t>
            </w:r>
            <w:r w:rsidRPr="00E63502">
              <w:rPr>
                <w:rFonts w:ascii="Times New Roman" w:eastAsia="Times New Roman" w:hAnsi="Times New Roman" w:cs="Times New Roman"/>
                <w:b/>
                <w:bCs/>
                <w:color w:val="000000"/>
                <w:sz w:val="18"/>
                <w:szCs w:val="16"/>
                <w:vertAlign w:val="superscript"/>
                <w:lang w:eastAsia="es-CR"/>
              </w:rPr>
              <w:t xml:space="preserve"> </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Camiones de carga &gt;3500 kg</w:t>
            </w:r>
            <w:r w:rsidRPr="00E63502">
              <w:rPr>
                <w:rFonts w:ascii="Times New Roman" w:eastAsia="Times New Roman" w:hAnsi="Times New Roman" w:cs="Times New Roman"/>
                <w:b/>
                <w:bCs/>
                <w:color w:val="000000"/>
                <w:sz w:val="18"/>
                <w:szCs w:val="16"/>
                <w:vertAlign w:val="superscript"/>
                <w:lang w:eastAsia="es-CR"/>
              </w:rPr>
              <w:t xml:space="preserve"> </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587"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 xml:space="preserve">Taxis </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754"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Equipo Especial</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c>
          <w:tcPr>
            <w:tcW w:w="1070"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 xml:space="preserve">Motocicletas </w:t>
            </w:r>
          </w:p>
        </w:tc>
        <w:tc>
          <w:tcPr>
            <w:tcW w:w="869" w:type="dxa"/>
            <w:tcBorders>
              <w:top w:val="single" w:sz="4" w:space="0" w:color="auto"/>
              <w:left w:val="nil"/>
              <w:bottom w:val="single" w:sz="4" w:space="0" w:color="auto"/>
              <w:right w:val="single" w:sz="4" w:space="0" w:color="auto"/>
            </w:tcBorders>
            <w:shd w:val="clear" w:color="000000" w:fill="F2F2F2"/>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Variación Anual</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2008</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892660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571651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13765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136162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14999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11431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8543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 </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136109</w:t>
            </w:r>
          </w:p>
        </w:tc>
        <w:tc>
          <w:tcPr>
            <w:tcW w:w="869" w:type="dxa"/>
            <w:tcBorders>
              <w:top w:val="nil"/>
              <w:left w:val="nil"/>
              <w:bottom w:val="single" w:sz="4" w:space="0" w:color="auto"/>
              <w:right w:val="single" w:sz="4" w:space="0" w:color="auto"/>
            </w:tcBorders>
            <w:shd w:val="clear" w:color="auto" w:fill="auto"/>
            <w:noWrap/>
            <w:vAlign w:val="bottom"/>
            <w:hideMark/>
          </w:tcPr>
          <w:p w:rsidR="00FF0D18" w:rsidRPr="00E63502" w:rsidRDefault="00FF0D18" w:rsidP="00FF0D18">
            <w:pPr>
              <w:spacing w:after="0" w:line="240" w:lineRule="auto"/>
              <w:rPr>
                <w:rFonts w:ascii="Calibri" w:eastAsia="Times New Roman" w:hAnsi="Calibri" w:cs="Times New Roman"/>
                <w:color w:val="000000"/>
                <w:sz w:val="18"/>
                <w:szCs w:val="16"/>
                <w:lang w:eastAsia="es-CR"/>
              </w:rPr>
            </w:pPr>
            <w:r w:rsidRPr="00E63502">
              <w:rPr>
                <w:rFonts w:ascii="Calibri" w:eastAsia="Times New Roman" w:hAnsi="Calibri" w:cs="Times New Roman"/>
                <w:color w:val="000000"/>
                <w:sz w:val="18"/>
                <w:szCs w:val="16"/>
                <w:lang w:eastAsia="es-CR"/>
              </w:rPr>
              <w:t> </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2009</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923791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3,5%</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594192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3,9%</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13999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140972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12520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-16,5%</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11751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2,8%</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8687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141470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3,9%</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2010</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997367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8,0%</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629325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5,9%</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15545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148050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32985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163,5%</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11982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2,0%</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9597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10,5%</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149883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5,9%</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2011</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1059076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6,2%</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673894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7,1%</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15621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0,5%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154062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33959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3,0%</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12051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0,6%</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9905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3,2%</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159584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6,5%</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2012</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1134373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7,1%</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722020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7,1%</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16354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160742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35042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3,2%</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12150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0,8%</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11791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19,0%</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176274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10,5%</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2013</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1187624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4,7%</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754689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4,5%</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17411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164736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35392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1,0%</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12261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0,9%</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12879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9,2%</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190256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7,9%</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2014</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1258183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5,9%</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789260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4,6%</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18554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169864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35897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12420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13455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4,5%</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218733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15,0%</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2015</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1346344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7,0%</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833570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5,6%</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17237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176091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36868</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2,7%</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12635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14026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4,2%</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255917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17,0%</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2016</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1429928</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6,2%</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877023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5,2%</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17908</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182596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37937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2,9%</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12455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14454</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3,1%</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287555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12,4%</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2017</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1506932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5,4%</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921668</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5,1%</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18472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188529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39695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4,6%</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11987</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-3,8%</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15606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8,0%</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310975</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8,1%</w:t>
            </w:r>
          </w:p>
        </w:tc>
      </w:tr>
      <w:tr w:rsidR="00FF0D18" w:rsidRPr="00E63502" w:rsidTr="00FF0D18">
        <w:trPr>
          <w:trHeight w:val="371"/>
          <w:jc w:val="center"/>
        </w:trPr>
        <w:tc>
          <w:tcPr>
            <w:tcW w:w="747" w:type="dxa"/>
            <w:tcBorders>
              <w:top w:val="nil"/>
              <w:left w:val="single" w:sz="4" w:space="0" w:color="auto"/>
              <w:bottom w:val="single" w:sz="4" w:space="0" w:color="auto"/>
              <w:right w:val="single" w:sz="4" w:space="0" w:color="auto"/>
            </w:tcBorders>
            <w:shd w:val="clear" w:color="000000" w:fill="F2F2F2"/>
            <w:noWrap/>
            <w:vAlign w:val="center"/>
            <w:hideMark/>
          </w:tcPr>
          <w:p w:rsidR="00FF0D18" w:rsidRPr="00E63502" w:rsidRDefault="00FF0D18" w:rsidP="00FF0D18">
            <w:pPr>
              <w:spacing w:after="0" w:line="240" w:lineRule="auto"/>
              <w:jc w:val="center"/>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 2018</w:t>
            </w:r>
          </w:p>
        </w:tc>
        <w:tc>
          <w:tcPr>
            <w:tcW w:w="74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1554846</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3,2%</w:t>
            </w:r>
          </w:p>
        </w:tc>
        <w:tc>
          <w:tcPr>
            <w:tcW w:w="916"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959342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4,1%</w:t>
            </w:r>
          </w:p>
        </w:tc>
        <w:tc>
          <w:tcPr>
            <w:tcW w:w="908"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18842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194309</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3,1%</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41283</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4,0%</w:t>
            </w:r>
          </w:p>
        </w:tc>
        <w:tc>
          <w:tcPr>
            <w:tcW w:w="587"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11380</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-5,1%</w:t>
            </w:r>
          </w:p>
        </w:tc>
        <w:tc>
          <w:tcPr>
            <w:tcW w:w="754"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16742</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7,3%</w:t>
            </w:r>
          </w:p>
        </w:tc>
        <w:tc>
          <w:tcPr>
            <w:tcW w:w="1070"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312948</w:t>
            </w:r>
          </w:p>
        </w:tc>
        <w:tc>
          <w:tcPr>
            <w:tcW w:w="869" w:type="dxa"/>
            <w:tcBorders>
              <w:top w:val="nil"/>
              <w:left w:val="nil"/>
              <w:bottom w:val="single" w:sz="4" w:space="0" w:color="auto"/>
              <w:right w:val="single" w:sz="4" w:space="0" w:color="auto"/>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0,6%</w:t>
            </w:r>
          </w:p>
        </w:tc>
      </w:tr>
      <w:tr w:rsidR="00FF0D18" w:rsidRPr="00E63502" w:rsidTr="00FF0D18">
        <w:trPr>
          <w:trHeight w:val="371"/>
          <w:jc w:val="center"/>
        </w:trPr>
        <w:tc>
          <w:tcPr>
            <w:tcW w:w="1492" w:type="dxa"/>
            <w:gridSpan w:val="2"/>
            <w:tcBorders>
              <w:top w:val="nil"/>
              <w:left w:val="nil"/>
              <w:bottom w:val="nil"/>
              <w:right w:val="nil"/>
            </w:tcBorders>
            <w:shd w:val="clear" w:color="auto" w:fill="auto"/>
            <w:noWrap/>
            <w:vAlign w:val="center"/>
            <w:hideMark/>
          </w:tcPr>
          <w:p w:rsidR="00FF0D18" w:rsidRDefault="00FF0D18" w:rsidP="00FF0D18">
            <w:pPr>
              <w:spacing w:after="0" w:line="240" w:lineRule="auto"/>
              <w:rPr>
                <w:rFonts w:ascii="Times New Roman" w:eastAsia="Times New Roman" w:hAnsi="Times New Roman" w:cs="Times New Roman"/>
                <w:b/>
                <w:bCs/>
                <w:color w:val="000000"/>
                <w:sz w:val="18"/>
                <w:szCs w:val="16"/>
                <w:lang w:eastAsia="es-CR"/>
              </w:rPr>
            </w:pPr>
          </w:p>
          <w:p w:rsidR="00FF0D18" w:rsidRPr="00E63502" w:rsidRDefault="00FF0D18" w:rsidP="00FF0D18">
            <w:pPr>
              <w:spacing w:after="0" w:line="240" w:lineRule="auto"/>
              <w:rPr>
                <w:rFonts w:ascii="Times New Roman" w:eastAsia="Times New Roman" w:hAnsi="Times New Roman" w:cs="Times New Roman"/>
                <w:b/>
                <w:bCs/>
                <w:color w:val="000000"/>
                <w:sz w:val="18"/>
                <w:szCs w:val="16"/>
                <w:lang w:eastAsia="es-CR"/>
              </w:rPr>
            </w:pPr>
            <w:r w:rsidRPr="00E63502">
              <w:rPr>
                <w:rFonts w:ascii="Times New Roman" w:eastAsia="Times New Roman" w:hAnsi="Times New Roman" w:cs="Times New Roman"/>
                <w:b/>
                <w:bCs/>
                <w:color w:val="000000"/>
                <w:sz w:val="18"/>
                <w:szCs w:val="16"/>
                <w:lang w:eastAsia="es-CR"/>
              </w:rPr>
              <w:t>Porcentaje según estilo año 2018</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rPr>
                <w:rFonts w:ascii="Times New Roman" w:eastAsia="Times New Roman" w:hAnsi="Times New Roman" w:cs="Times New Roman"/>
                <w:b/>
                <w:bCs/>
                <w:color w:val="000000"/>
                <w:sz w:val="18"/>
                <w:szCs w:val="16"/>
                <w:lang w:eastAsia="es-CR"/>
              </w:rPr>
            </w:pPr>
          </w:p>
        </w:tc>
        <w:tc>
          <w:tcPr>
            <w:tcW w:w="916"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61,70%</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c>
          <w:tcPr>
            <w:tcW w:w="908"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1,20%</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12,49%</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2,65%</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c>
          <w:tcPr>
            <w:tcW w:w="587"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0,73%</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c>
          <w:tcPr>
            <w:tcW w:w="754"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1,08%</w:t>
            </w:r>
          </w:p>
        </w:tc>
        <w:tc>
          <w:tcPr>
            <w:tcW w:w="869"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c>
          <w:tcPr>
            <w:tcW w:w="1070" w:type="dxa"/>
            <w:tcBorders>
              <w:top w:val="nil"/>
              <w:left w:val="nil"/>
              <w:bottom w:val="nil"/>
              <w:right w:val="nil"/>
            </w:tcBorders>
            <w:shd w:val="clear" w:color="auto" w:fill="auto"/>
            <w:noWrap/>
            <w:vAlign w:val="center"/>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r w:rsidRPr="00E63502">
              <w:rPr>
                <w:rFonts w:ascii="Times New Roman" w:eastAsia="Times New Roman" w:hAnsi="Times New Roman" w:cs="Times New Roman"/>
                <w:color w:val="000000"/>
                <w:sz w:val="18"/>
                <w:szCs w:val="16"/>
                <w:lang w:eastAsia="es-CR"/>
              </w:rPr>
              <w:t>20,12%</w:t>
            </w:r>
          </w:p>
        </w:tc>
        <w:tc>
          <w:tcPr>
            <w:tcW w:w="869" w:type="dxa"/>
            <w:tcBorders>
              <w:top w:val="nil"/>
              <w:left w:val="nil"/>
              <w:bottom w:val="nil"/>
              <w:right w:val="nil"/>
            </w:tcBorders>
            <w:shd w:val="clear" w:color="auto" w:fill="auto"/>
            <w:noWrap/>
            <w:vAlign w:val="bottom"/>
            <w:hideMark/>
          </w:tcPr>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p w:rsidR="00FF0D18" w:rsidRPr="00E63502" w:rsidRDefault="00FF0D18" w:rsidP="00FF0D18">
            <w:pPr>
              <w:spacing w:after="0" w:line="240" w:lineRule="auto"/>
              <w:jc w:val="right"/>
              <w:rPr>
                <w:rFonts w:ascii="Times New Roman" w:eastAsia="Times New Roman" w:hAnsi="Times New Roman" w:cs="Times New Roman"/>
                <w:color w:val="000000"/>
                <w:sz w:val="18"/>
                <w:szCs w:val="16"/>
                <w:lang w:eastAsia="es-CR"/>
              </w:rPr>
            </w:pPr>
          </w:p>
        </w:tc>
      </w:tr>
    </w:tbl>
    <w:p w:rsidR="00FF0D18" w:rsidRPr="00E63502" w:rsidRDefault="00FF0D18" w:rsidP="00FF0D18">
      <w:pPr>
        <w:spacing w:after="0" w:line="240" w:lineRule="auto"/>
        <w:jc w:val="center"/>
        <w:rPr>
          <w:rFonts w:ascii="Times New Roman" w:eastAsia="Calibri" w:hAnsi="Times New Roman" w:cs="Times New Roman"/>
          <w:b/>
          <w:bCs/>
          <w:sz w:val="24"/>
          <w:szCs w:val="24"/>
        </w:rPr>
      </w:pPr>
    </w:p>
    <w:p w:rsidR="00FF0D18" w:rsidRPr="00E63502" w:rsidRDefault="00FF0D18" w:rsidP="00FF0D18">
      <w:pPr>
        <w:spacing w:after="0" w:line="240" w:lineRule="auto"/>
        <w:rPr>
          <w:rFonts w:ascii="Times New Roman" w:eastAsia="Calibri" w:hAnsi="Times New Roman" w:cs="Times New Roman"/>
          <w:b/>
          <w:bCs/>
          <w:sz w:val="20"/>
          <w:szCs w:val="20"/>
        </w:rPr>
      </w:pPr>
      <w:r w:rsidRPr="00E63502">
        <w:rPr>
          <w:rFonts w:ascii="Times New Roman" w:eastAsia="Calibri" w:hAnsi="Times New Roman" w:cs="Times New Roman"/>
          <w:b/>
          <w:bCs/>
          <w:sz w:val="20"/>
          <w:szCs w:val="20"/>
        </w:rPr>
        <w:t>Fuente:</w:t>
      </w:r>
      <w:r w:rsidR="00C1446B">
        <w:rPr>
          <w:rFonts w:ascii="Times New Roman" w:eastAsia="Calibri" w:hAnsi="Times New Roman" w:cs="Times New Roman"/>
          <w:b/>
          <w:bCs/>
          <w:sz w:val="20"/>
          <w:szCs w:val="20"/>
        </w:rPr>
        <w:t xml:space="preserve"> </w:t>
      </w:r>
      <w:r w:rsidRPr="00E63502">
        <w:rPr>
          <w:rFonts w:ascii="Times New Roman" w:eastAsia="Calibri" w:hAnsi="Times New Roman" w:cs="Times New Roman"/>
          <w:b/>
          <w:bCs/>
          <w:sz w:val="20"/>
          <w:szCs w:val="20"/>
        </w:rPr>
        <w:t xml:space="preserve"> </w:t>
      </w:r>
      <w:r w:rsidRPr="00E63502">
        <w:rPr>
          <w:rFonts w:ascii="Times New Roman" w:eastAsia="Calibri" w:hAnsi="Times New Roman" w:cs="Times New Roman"/>
          <w:sz w:val="20"/>
          <w:szCs w:val="20"/>
        </w:rPr>
        <w:t>Instituto Nacional de Seguros, Estadísticas 2019.</w:t>
      </w:r>
    </w:p>
    <w:bookmarkEnd w:id="2"/>
    <w:p w:rsidR="00FF0D18" w:rsidRPr="00E63502" w:rsidRDefault="00FF0D18" w:rsidP="00FF0D18">
      <w:pPr>
        <w:spacing w:after="0" w:line="240" w:lineRule="auto"/>
        <w:rPr>
          <w:rFonts w:ascii="Times New Roman" w:eastAsia="Calibri" w:hAnsi="Times New Roman" w:cs="Times New Roman"/>
          <w:bCs/>
          <w:sz w:val="24"/>
          <w:szCs w:val="24"/>
        </w:rPr>
      </w:pPr>
      <w:r w:rsidRPr="00E63502">
        <w:rPr>
          <w:rFonts w:ascii="Times New Roman" w:eastAsia="Calibri" w:hAnsi="Times New Roman" w:cs="Times New Roman"/>
          <w:bCs/>
          <w:sz w:val="24"/>
          <w:szCs w:val="24"/>
        </w:rPr>
        <w:br w:type="page"/>
      </w:r>
    </w:p>
    <w:p w:rsidR="00FF0D18" w:rsidRPr="00E63502" w:rsidRDefault="00FF0D18" w:rsidP="00FF0D18">
      <w:pPr>
        <w:spacing w:before="100" w:beforeAutospacing="1" w:after="100" w:afterAutospacing="1" w:line="276" w:lineRule="auto"/>
        <w:jc w:val="both"/>
        <w:rPr>
          <w:rFonts w:ascii="Times New Roman" w:eastAsia="Calibri" w:hAnsi="Times New Roman" w:cs="Times New Roman"/>
          <w:bCs/>
          <w:sz w:val="24"/>
          <w:szCs w:val="24"/>
        </w:rPr>
        <w:sectPr w:rsidR="00FF0D18" w:rsidRPr="00E63502" w:rsidSect="00532E98">
          <w:pgSz w:w="15840" w:h="12240" w:orient="landscape"/>
          <w:pgMar w:top="1701" w:right="851" w:bottom="1701" w:left="709" w:header="709" w:footer="709" w:gutter="0"/>
          <w:pgNumType w:start="2"/>
          <w:cols w:space="708"/>
          <w:docGrid w:linePitch="360"/>
        </w:sectPr>
      </w:pPr>
    </w:p>
    <w:p w:rsidR="00FF0D18" w:rsidRDefault="00FF0D18" w:rsidP="00FF0D18">
      <w:pPr>
        <w:spacing w:after="0" w:line="240" w:lineRule="auto"/>
        <w:jc w:val="both"/>
        <w:rPr>
          <w:rFonts w:ascii="Arial" w:eastAsia="Calibri" w:hAnsi="Arial" w:cs="Arial"/>
          <w:bCs/>
          <w:sz w:val="24"/>
          <w:szCs w:val="24"/>
        </w:rPr>
      </w:pPr>
      <w:r w:rsidRPr="00E63502">
        <w:rPr>
          <w:rFonts w:ascii="Arial" w:eastAsia="Calibri" w:hAnsi="Arial" w:cs="Arial"/>
          <w:bCs/>
          <w:sz w:val="24"/>
          <w:szCs w:val="24"/>
        </w:rPr>
        <w:lastRenderedPageBreak/>
        <w:t>Además, de esta caracterización, se puede indicar que existe un crecimiento exponencial a un ritmo del 5,72% en promedio de toda la flota, siendo la carga pesada la que posee en promedio un crecimiento del 16,97% inter anual y la modalidad taxis, la que posee solamente un -0,01% de crecimiento en promedio inter anual.</w:t>
      </w:r>
    </w:p>
    <w:p w:rsidR="00FF0D18" w:rsidRPr="00E63502" w:rsidRDefault="00FF0D18" w:rsidP="00FF0D18">
      <w:pPr>
        <w:spacing w:after="0" w:line="240" w:lineRule="auto"/>
        <w:jc w:val="both"/>
        <w:rPr>
          <w:rFonts w:ascii="Arial" w:eastAsia="Calibri" w:hAnsi="Arial" w:cs="Arial"/>
          <w:bCs/>
          <w:sz w:val="24"/>
          <w:szCs w:val="24"/>
        </w:rPr>
      </w:pPr>
    </w:p>
    <w:p w:rsidR="00FF0D18" w:rsidRPr="00E63502" w:rsidRDefault="00FF0D18" w:rsidP="00FF0D18">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Adicionalmente, como se puede observar en el cuadro anterior, la flota vehicular crece de forma acelerada cada año, entre 2008 y 2018 aumentó a un ritmo de casi un 75% en todo el período, mientras la población creció́ en el mismo período un 10,8%, a una tasa de un 1,2% anual.</w:t>
      </w:r>
      <w:r>
        <w:rPr>
          <w:rFonts w:ascii="Arial" w:eastAsia="Calibri" w:hAnsi="Arial" w:cs="Arial"/>
          <w:bCs/>
          <w:sz w:val="24"/>
          <w:szCs w:val="24"/>
        </w:rPr>
        <w:t xml:space="preserve"> </w:t>
      </w:r>
      <w:r w:rsidRPr="00E63502">
        <w:rPr>
          <w:rFonts w:ascii="Arial" w:eastAsia="Calibri" w:hAnsi="Arial" w:cs="Arial"/>
          <w:bCs/>
          <w:sz w:val="24"/>
          <w:szCs w:val="24"/>
        </w:rPr>
        <w:t xml:space="preserve"> Los automóviles agrupan el 61,7% del total de la flota vehicular.</w:t>
      </w:r>
    </w:p>
    <w:p w:rsidR="00FF0D18" w:rsidRPr="00E63502" w:rsidRDefault="00FF0D18" w:rsidP="00FF0D18">
      <w:pPr>
        <w:spacing w:after="0" w:line="240" w:lineRule="auto"/>
        <w:jc w:val="both"/>
        <w:rPr>
          <w:rFonts w:ascii="Arial" w:eastAsia="Calibri" w:hAnsi="Arial" w:cs="Arial"/>
          <w:bCs/>
          <w:sz w:val="24"/>
          <w:szCs w:val="24"/>
        </w:rPr>
      </w:pPr>
    </w:p>
    <w:p w:rsidR="00FF0D18" w:rsidRPr="00E63502" w:rsidRDefault="00FF0D18" w:rsidP="00FF0D18">
      <w:pPr>
        <w:spacing w:after="0" w:line="240" w:lineRule="auto"/>
        <w:jc w:val="both"/>
        <w:rPr>
          <w:rFonts w:ascii="Arial" w:eastAsia="Calibri" w:hAnsi="Arial" w:cs="Arial"/>
          <w:bCs/>
          <w:color w:val="000000"/>
          <w:sz w:val="24"/>
          <w:szCs w:val="24"/>
        </w:rPr>
      </w:pPr>
      <w:r w:rsidRPr="00E63502">
        <w:rPr>
          <w:rFonts w:ascii="Arial" w:eastAsia="Calibri" w:hAnsi="Arial" w:cs="Arial"/>
          <w:bCs/>
          <w:color w:val="000000"/>
          <w:sz w:val="24"/>
          <w:szCs w:val="24"/>
        </w:rPr>
        <w:t>En el Informe del Estado de La Nación, para el año 2018, se indica que hay 231 unidades de vehículos por cada mil habitantes, que provocan congestión, contaminación, pérd</w:t>
      </w:r>
      <w:r w:rsidR="00A37750">
        <w:rPr>
          <w:rFonts w:ascii="Arial" w:eastAsia="Calibri" w:hAnsi="Arial" w:cs="Arial"/>
          <w:bCs/>
          <w:color w:val="000000"/>
          <w:sz w:val="24"/>
          <w:szCs w:val="24"/>
        </w:rPr>
        <w:t>ida de dinero y competitividad.</w:t>
      </w:r>
    </w:p>
    <w:p w:rsidR="00FF0D18" w:rsidRPr="00E63502" w:rsidRDefault="00FF0D18" w:rsidP="00FF0D18">
      <w:pPr>
        <w:spacing w:after="0" w:line="240" w:lineRule="auto"/>
        <w:jc w:val="both"/>
        <w:rPr>
          <w:rFonts w:ascii="Arial" w:eastAsia="Calibri" w:hAnsi="Arial" w:cs="Arial"/>
          <w:bCs/>
          <w:color w:val="000000"/>
          <w:sz w:val="24"/>
          <w:szCs w:val="24"/>
        </w:rPr>
      </w:pPr>
    </w:p>
    <w:p w:rsidR="00FF0D18" w:rsidRDefault="00FF0D18" w:rsidP="00FF0D18">
      <w:pPr>
        <w:spacing w:after="0" w:line="240" w:lineRule="auto"/>
        <w:jc w:val="both"/>
        <w:rPr>
          <w:rFonts w:ascii="Arial" w:eastAsia="Calibri" w:hAnsi="Arial" w:cs="Arial"/>
          <w:bCs/>
          <w:color w:val="000000"/>
          <w:sz w:val="24"/>
          <w:szCs w:val="24"/>
        </w:rPr>
      </w:pPr>
      <w:r w:rsidRPr="00E63502">
        <w:rPr>
          <w:rFonts w:ascii="Arial" w:eastAsia="Calibri" w:hAnsi="Arial" w:cs="Arial"/>
          <w:bCs/>
          <w:color w:val="000000"/>
          <w:sz w:val="24"/>
          <w:szCs w:val="24"/>
        </w:rPr>
        <w:t xml:space="preserve">El dato indicado previamente, se complementa con lo señalado por </w:t>
      </w:r>
      <w:r w:rsidRPr="00E63502">
        <w:rPr>
          <w:rFonts w:ascii="Arial" w:eastAsia="Calibri" w:hAnsi="Arial" w:cs="Arial"/>
          <w:bCs/>
          <w:i/>
          <w:color w:val="000000"/>
          <w:sz w:val="24"/>
          <w:szCs w:val="24"/>
        </w:rPr>
        <w:t xml:space="preserve">EY, Building a Better Working – La encrucijada de la Infraestructura de Costa Rica, </w:t>
      </w:r>
      <w:r w:rsidRPr="00E63502">
        <w:rPr>
          <w:rFonts w:ascii="Arial" w:eastAsia="Calibri" w:hAnsi="Arial" w:cs="Arial"/>
          <w:bCs/>
          <w:color w:val="000000"/>
          <w:sz w:val="24"/>
          <w:szCs w:val="24"/>
        </w:rPr>
        <w:t>donde indica que: “El parque vehicular registra una tasa anual de crecimiento promedio del 6%, esto significa que el parque vehicular se duplica cada 12 años. Entre 1993 y el 2018 el parque automotor creció un 306%.</w:t>
      </w:r>
      <w:r w:rsidR="00A37750">
        <w:rPr>
          <w:rFonts w:ascii="Arial" w:eastAsia="Calibri" w:hAnsi="Arial" w:cs="Arial"/>
          <w:bCs/>
          <w:color w:val="000000"/>
          <w:sz w:val="24"/>
          <w:szCs w:val="24"/>
        </w:rPr>
        <w:t xml:space="preserve"> </w:t>
      </w:r>
      <w:r w:rsidRPr="00E63502">
        <w:rPr>
          <w:rFonts w:ascii="Arial" w:eastAsia="Calibri" w:hAnsi="Arial" w:cs="Arial"/>
          <w:bCs/>
          <w:color w:val="000000"/>
          <w:sz w:val="24"/>
          <w:szCs w:val="24"/>
        </w:rPr>
        <w:t xml:space="preserve"> Pero prácticamente, tenemos la misma cantidad de carreteras de hace 30 años. En Costa Rica simplemente se dejó́ de construir carreteras hace décadas. </w:t>
      </w:r>
      <w:r w:rsidR="00A37750">
        <w:rPr>
          <w:rFonts w:ascii="Arial" w:eastAsia="Calibri" w:hAnsi="Arial" w:cs="Arial"/>
          <w:bCs/>
          <w:color w:val="000000"/>
          <w:sz w:val="24"/>
          <w:szCs w:val="24"/>
        </w:rPr>
        <w:t xml:space="preserve"> </w:t>
      </w:r>
      <w:r w:rsidRPr="00E63502">
        <w:rPr>
          <w:rFonts w:ascii="Arial" w:eastAsia="Calibri" w:hAnsi="Arial" w:cs="Arial"/>
          <w:bCs/>
          <w:color w:val="000000"/>
          <w:sz w:val="24"/>
          <w:szCs w:val="24"/>
        </w:rPr>
        <w:t>Se estima que el atraso en la red de carreteras del país es de 35 años”.</w:t>
      </w:r>
    </w:p>
    <w:p w:rsidR="00A37750" w:rsidRPr="00E63502" w:rsidRDefault="00A37750" w:rsidP="00FF0D18">
      <w:pPr>
        <w:spacing w:after="0" w:line="240" w:lineRule="auto"/>
        <w:jc w:val="both"/>
        <w:rPr>
          <w:rFonts w:ascii="Arial" w:eastAsia="Calibri" w:hAnsi="Arial" w:cs="Arial"/>
          <w:bCs/>
          <w:color w:val="000000"/>
          <w:sz w:val="24"/>
          <w:szCs w:val="24"/>
        </w:rPr>
      </w:pPr>
    </w:p>
    <w:p w:rsidR="00FF0D18" w:rsidRPr="00E63502" w:rsidRDefault="00FF0D18" w:rsidP="00FF0D18">
      <w:pPr>
        <w:spacing w:after="0" w:line="240" w:lineRule="auto"/>
        <w:jc w:val="both"/>
        <w:rPr>
          <w:rFonts w:ascii="Arial" w:eastAsia="Calibri" w:hAnsi="Arial" w:cs="Arial"/>
          <w:bCs/>
          <w:color w:val="000000"/>
          <w:sz w:val="24"/>
          <w:szCs w:val="24"/>
        </w:rPr>
      </w:pPr>
      <w:r w:rsidRPr="00E63502">
        <w:rPr>
          <w:rFonts w:ascii="Arial" w:eastAsia="Calibri" w:hAnsi="Arial" w:cs="Arial"/>
          <w:bCs/>
          <w:color w:val="000000"/>
          <w:sz w:val="24"/>
          <w:szCs w:val="24"/>
        </w:rPr>
        <w:t>De contar con esta tendencia, la proyección del parque vehicular al año 2038, será de 759 unidades de vehículos por cada 1000 habitantes.</w:t>
      </w:r>
    </w:p>
    <w:p w:rsidR="00FF0D18" w:rsidRPr="00E63502" w:rsidRDefault="00FF0D18" w:rsidP="00FF0D18">
      <w:pPr>
        <w:spacing w:after="0" w:line="240" w:lineRule="auto"/>
        <w:jc w:val="both"/>
        <w:rPr>
          <w:rFonts w:ascii="Arial" w:eastAsia="Times New Roman" w:hAnsi="Arial" w:cs="Arial"/>
          <w:bCs/>
          <w:sz w:val="24"/>
          <w:szCs w:val="24"/>
          <w:lang w:val="es-ES" w:eastAsia="es-ES"/>
        </w:rPr>
      </w:pPr>
    </w:p>
    <w:p w:rsidR="00FF0D18" w:rsidRPr="00E63502" w:rsidRDefault="00FF0D18" w:rsidP="00FF0D18">
      <w:pPr>
        <w:spacing w:after="0" w:line="240" w:lineRule="auto"/>
        <w:jc w:val="center"/>
        <w:rPr>
          <w:rFonts w:ascii="Times New Roman" w:eastAsia="Calibri" w:hAnsi="Times New Roman" w:cs="Times New Roman"/>
          <w:b/>
          <w:bCs/>
          <w:color w:val="000000"/>
          <w:sz w:val="24"/>
          <w:szCs w:val="24"/>
        </w:rPr>
      </w:pPr>
      <w:r w:rsidRPr="00E63502">
        <w:rPr>
          <w:rFonts w:ascii="Times New Roman" w:eastAsia="Calibri" w:hAnsi="Times New Roman" w:cs="Times New Roman"/>
          <w:b/>
          <w:bCs/>
          <w:color w:val="000000"/>
          <w:sz w:val="24"/>
          <w:szCs w:val="24"/>
        </w:rPr>
        <w:t>Figura N° 1</w:t>
      </w:r>
    </w:p>
    <w:p w:rsidR="00FF0D18" w:rsidRPr="00E63502" w:rsidRDefault="00FF0D18" w:rsidP="00FF0D18">
      <w:pPr>
        <w:spacing w:after="0" w:line="240" w:lineRule="auto"/>
        <w:jc w:val="center"/>
        <w:rPr>
          <w:rFonts w:ascii="Times New Roman" w:eastAsia="Times New Roman" w:hAnsi="Times New Roman" w:cs="Times New Roman"/>
          <w:b/>
          <w:bCs/>
          <w:color w:val="000000"/>
          <w:sz w:val="24"/>
          <w:szCs w:val="24"/>
          <w:lang w:val="es-ES" w:eastAsia="es-ES"/>
        </w:rPr>
      </w:pPr>
      <w:r w:rsidRPr="00E63502">
        <w:rPr>
          <w:rFonts w:ascii="Times New Roman" w:eastAsia="Calibri" w:hAnsi="Times New Roman" w:cs="Times New Roman"/>
          <w:b/>
          <w:bCs/>
          <w:color w:val="000000"/>
          <w:sz w:val="24"/>
          <w:szCs w:val="24"/>
        </w:rPr>
        <w:t>Proyección vehicular en Costa Rica, año 2018</w:t>
      </w:r>
    </w:p>
    <w:p w:rsidR="00FF0D18" w:rsidRPr="00E63502" w:rsidRDefault="00FF0D18" w:rsidP="00FF0D18">
      <w:pPr>
        <w:spacing w:before="100" w:beforeAutospacing="1" w:after="100" w:afterAutospacing="1" w:line="276" w:lineRule="auto"/>
        <w:jc w:val="both"/>
        <w:rPr>
          <w:rFonts w:ascii="Times New Roman" w:eastAsia="Calibri" w:hAnsi="Times New Roman" w:cs="Times New Roman"/>
          <w:bCs/>
          <w:sz w:val="24"/>
          <w:szCs w:val="24"/>
        </w:rPr>
      </w:pPr>
      <w:r w:rsidRPr="00E63502">
        <w:rPr>
          <w:rFonts w:ascii="Times New Roman" w:eastAsia="Calibri" w:hAnsi="Times New Roman" w:cs="Times New Roman"/>
          <w:bCs/>
          <w:noProof/>
          <w:sz w:val="24"/>
          <w:szCs w:val="24"/>
          <w:lang w:eastAsia="es-CR"/>
        </w:rPr>
        <w:drawing>
          <wp:inline distT="0" distB="0" distL="0" distR="0" wp14:anchorId="46767346" wp14:editId="493114E7">
            <wp:extent cx="5248275" cy="1914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11-14 a la(s) 14.05.42.png"/>
                    <pic:cNvPicPr/>
                  </pic:nvPicPr>
                  <pic:blipFill>
                    <a:blip r:embed="rId8">
                      <a:extLst>
                        <a:ext uri="{28A0092B-C50C-407E-A947-70E740481C1C}">
                          <a14:useLocalDpi xmlns:a14="http://schemas.microsoft.com/office/drawing/2010/main" val="0"/>
                        </a:ext>
                      </a:extLst>
                    </a:blip>
                    <a:stretch>
                      <a:fillRect/>
                    </a:stretch>
                  </pic:blipFill>
                  <pic:spPr>
                    <a:xfrm>
                      <a:off x="0" y="0"/>
                      <a:ext cx="5289510" cy="1929567"/>
                    </a:xfrm>
                    <a:prstGeom prst="rect">
                      <a:avLst/>
                    </a:prstGeom>
                  </pic:spPr>
                </pic:pic>
              </a:graphicData>
            </a:graphic>
          </wp:inline>
        </w:drawing>
      </w:r>
    </w:p>
    <w:p w:rsidR="00FF0D18" w:rsidRPr="003A3ECA" w:rsidRDefault="00FF0D18" w:rsidP="00FF0D18">
      <w:pPr>
        <w:spacing w:before="100" w:beforeAutospacing="1" w:after="100" w:afterAutospacing="1" w:line="276" w:lineRule="auto"/>
        <w:jc w:val="both"/>
        <w:rPr>
          <w:rFonts w:ascii="Times New Roman" w:eastAsia="Calibri" w:hAnsi="Times New Roman" w:cs="Times New Roman"/>
          <w:b/>
          <w:bCs/>
          <w:sz w:val="20"/>
          <w:szCs w:val="20"/>
        </w:rPr>
      </w:pPr>
      <w:r w:rsidRPr="003A3ECA">
        <w:rPr>
          <w:rFonts w:ascii="Times New Roman" w:eastAsia="Calibri" w:hAnsi="Times New Roman" w:cs="Times New Roman"/>
          <w:b/>
          <w:bCs/>
          <w:sz w:val="20"/>
          <w:szCs w:val="20"/>
        </w:rPr>
        <w:t>Fuente: EY, Building a Better Working – La encrucijada de la Infraestructura de Costa Rica.</w:t>
      </w:r>
    </w:p>
    <w:p w:rsidR="00FF0D18" w:rsidRPr="00E63502" w:rsidRDefault="00FF0D18" w:rsidP="00FF0D18">
      <w:pPr>
        <w:spacing w:before="100" w:beforeAutospacing="1" w:after="100" w:afterAutospacing="1" w:line="480" w:lineRule="auto"/>
        <w:jc w:val="both"/>
        <w:rPr>
          <w:rFonts w:ascii="Times New Roman" w:eastAsia="Calibri" w:hAnsi="Times New Roman" w:cs="Times New Roman"/>
          <w:bCs/>
          <w:sz w:val="24"/>
          <w:szCs w:val="24"/>
        </w:rPr>
      </w:pPr>
    </w:p>
    <w:p w:rsidR="00FF0D18" w:rsidRDefault="00FF0D18" w:rsidP="00A37750">
      <w:pPr>
        <w:spacing w:after="0" w:line="240" w:lineRule="auto"/>
        <w:jc w:val="both"/>
        <w:rPr>
          <w:rFonts w:ascii="Arial" w:eastAsia="Calibri" w:hAnsi="Arial" w:cs="Arial"/>
          <w:bCs/>
          <w:color w:val="000000"/>
          <w:sz w:val="24"/>
          <w:szCs w:val="24"/>
        </w:rPr>
      </w:pPr>
      <w:r w:rsidRPr="00E63502">
        <w:rPr>
          <w:rFonts w:ascii="Arial" w:eastAsia="Calibri" w:hAnsi="Arial" w:cs="Arial"/>
          <w:bCs/>
          <w:color w:val="000000"/>
          <w:sz w:val="24"/>
          <w:szCs w:val="24"/>
        </w:rPr>
        <w:lastRenderedPageBreak/>
        <w:t xml:space="preserve">Según el Informe Estado de la Nación del 2018, en el Capítulo de Infraestructura y Transporte, los problemas urbanos generados por el congestionamiento vial provocan un impacto ambiental, </w:t>
      </w:r>
      <w:r w:rsidR="00A37750" w:rsidRPr="00E63502">
        <w:rPr>
          <w:rFonts w:ascii="Arial" w:eastAsia="Calibri" w:hAnsi="Arial" w:cs="Arial"/>
          <w:bCs/>
          <w:color w:val="000000"/>
          <w:sz w:val="24"/>
          <w:szCs w:val="24"/>
        </w:rPr>
        <w:t>pérdida</w:t>
      </w:r>
      <w:r w:rsidRPr="00E63502">
        <w:rPr>
          <w:rFonts w:ascii="Arial" w:eastAsia="Calibri" w:hAnsi="Arial" w:cs="Arial"/>
          <w:bCs/>
          <w:color w:val="000000"/>
          <w:sz w:val="24"/>
          <w:szCs w:val="24"/>
        </w:rPr>
        <w:t xml:space="preserve"> de competitividad y deterioro de la calidad de vida, especialmente por una combinación de rezago en infraestructura, una flota vehicular creciente y un sistema de transporte público ineficiente, que repercute especialmente en la Gran Área Metropolitana (GAM).  En el mismo Informe, se indica que las personas se desplazan sobre todo por motivos laborales, compras, visitas familiares y estudio. </w:t>
      </w:r>
      <w:r w:rsidR="00A37750">
        <w:rPr>
          <w:rFonts w:ascii="Arial" w:eastAsia="Calibri" w:hAnsi="Arial" w:cs="Arial"/>
          <w:bCs/>
          <w:color w:val="000000"/>
          <w:sz w:val="24"/>
          <w:szCs w:val="24"/>
        </w:rPr>
        <w:t xml:space="preserve"> </w:t>
      </w:r>
      <w:r w:rsidRPr="00E63502">
        <w:rPr>
          <w:rFonts w:ascii="Arial" w:eastAsia="Calibri" w:hAnsi="Arial" w:cs="Arial"/>
          <w:bCs/>
          <w:color w:val="000000"/>
          <w:sz w:val="24"/>
          <w:szCs w:val="24"/>
        </w:rPr>
        <w:t>El autobús (34%) y el vehículo privado (33%), el 67% de los viajes realizados son para ir a trabajar. Solo un 17% se hace caminando del domicilio al lugar de trabajo, un 10% en motocicleta y un 6% en taxi.</w:t>
      </w:r>
      <w:r w:rsidR="00A37750">
        <w:rPr>
          <w:rFonts w:ascii="Arial" w:eastAsia="Calibri" w:hAnsi="Arial" w:cs="Arial"/>
          <w:bCs/>
          <w:color w:val="000000"/>
          <w:sz w:val="24"/>
          <w:szCs w:val="24"/>
        </w:rPr>
        <w:t xml:space="preserve"> </w:t>
      </w:r>
      <w:r w:rsidRPr="00E63502">
        <w:rPr>
          <w:rFonts w:ascii="Arial" w:eastAsia="Calibri" w:hAnsi="Arial" w:cs="Arial"/>
          <w:bCs/>
          <w:color w:val="000000"/>
          <w:sz w:val="24"/>
          <w:szCs w:val="24"/>
        </w:rPr>
        <w:t xml:space="preserve"> Los estudiantes viajan principalmente en autobús (41%) y a pie (39%). (Informe del Estado de La Nación, Capítulo 6, Página 236).</w:t>
      </w:r>
    </w:p>
    <w:p w:rsidR="00A37750" w:rsidRDefault="00A37750" w:rsidP="00A37750">
      <w:pPr>
        <w:spacing w:after="0" w:line="240" w:lineRule="auto"/>
        <w:jc w:val="both"/>
        <w:rPr>
          <w:rFonts w:ascii="Arial" w:eastAsia="Calibri" w:hAnsi="Arial" w:cs="Arial"/>
          <w:bCs/>
          <w:color w:val="000000"/>
          <w:sz w:val="24"/>
          <w:szCs w:val="24"/>
        </w:rPr>
      </w:pPr>
    </w:p>
    <w:p w:rsidR="00A37750" w:rsidRPr="00E63502" w:rsidRDefault="00A37750" w:rsidP="00A37750">
      <w:pPr>
        <w:spacing w:after="0" w:line="240" w:lineRule="auto"/>
        <w:jc w:val="both"/>
        <w:rPr>
          <w:rFonts w:ascii="Arial" w:eastAsia="Calibri" w:hAnsi="Arial" w:cs="Arial"/>
          <w:bCs/>
          <w:color w:val="000000"/>
          <w:sz w:val="24"/>
          <w:szCs w:val="24"/>
        </w:rPr>
      </w:pPr>
    </w:p>
    <w:p w:rsidR="00FF0D18" w:rsidRPr="00E63502" w:rsidRDefault="00FF0D18" w:rsidP="00FF0D18">
      <w:pPr>
        <w:spacing w:after="0" w:line="276" w:lineRule="auto"/>
        <w:jc w:val="center"/>
        <w:rPr>
          <w:rFonts w:ascii="Times New Roman" w:eastAsia="Times New Roman" w:hAnsi="Times New Roman" w:cs="Times New Roman"/>
          <w:b/>
          <w:sz w:val="24"/>
          <w:szCs w:val="24"/>
          <w:lang w:val="es-ES" w:eastAsia="es-ES"/>
        </w:rPr>
      </w:pPr>
      <w:r w:rsidRPr="00E63502">
        <w:rPr>
          <w:rFonts w:ascii="Times New Roman" w:eastAsia="Times New Roman" w:hAnsi="Times New Roman" w:cs="Times New Roman"/>
          <w:b/>
          <w:sz w:val="24"/>
          <w:szCs w:val="24"/>
          <w:lang w:val="es-ES" w:eastAsia="es-ES"/>
        </w:rPr>
        <w:t>Cuadro N° 2</w:t>
      </w:r>
    </w:p>
    <w:p w:rsidR="00FF0D18" w:rsidRPr="00E63502" w:rsidRDefault="00FF0D18" w:rsidP="00FF0D18">
      <w:pPr>
        <w:spacing w:after="0" w:line="276" w:lineRule="auto"/>
        <w:jc w:val="center"/>
        <w:rPr>
          <w:rFonts w:ascii="Times New Roman" w:eastAsia="Times New Roman" w:hAnsi="Times New Roman" w:cs="Times New Roman"/>
          <w:b/>
          <w:sz w:val="24"/>
          <w:szCs w:val="24"/>
          <w:lang w:val="es-ES" w:eastAsia="es-ES"/>
        </w:rPr>
      </w:pPr>
      <w:r w:rsidRPr="00E63502">
        <w:rPr>
          <w:rFonts w:ascii="Times New Roman" w:eastAsia="Times New Roman" w:hAnsi="Times New Roman" w:cs="Times New Roman"/>
          <w:b/>
          <w:sz w:val="24"/>
          <w:szCs w:val="24"/>
          <w:lang w:val="es-ES" w:eastAsia="es-ES"/>
        </w:rPr>
        <w:t>Porcentaje de la población por medio de transporte</w:t>
      </w:r>
    </w:p>
    <w:p w:rsidR="00FF0D18" w:rsidRPr="00E63502" w:rsidRDefault="00FF0D18" w:rsidP="00FF0D18">
      <w:pPr>
        <w:spacing w:after="0" w:line="276" w:lineRule="auto"/>
        <w:jc w:val="center"/>
        <w:rPr>
          <w:rFonts w:ascii="Times New Roman" w:eastAsia="Times New Roman" w:hAnsi="Times New Roman" w:cs="Times New Roman"/>
          <w:b/>
          <w:sz w:val="24"/>
          <w:szCs w:val="24"/>
          <w:lang w:val="es-ES" w:eastAsia="es-ES"/>
        </w:rPr>
      </w:pPr>
    </w:p>
    <w:tbl>
      <w:tblPr>
        <w:tblStyle w:val="Tablaconcuadrcula6concolores-nfasis11"/>
        <w:tblW w:w="0" w:type="auto"/>
        <w:jc w:val="center"/>
        <w:tblLook w:val="04A0" w:firstRow="1" w:lastRow="0" w:firstColumn="1" w:lastColumn="0" w:noHBand="0" w:noVBand="1"/>
      </w:tblPr>
      <w:tblGrid>
        <w:gridCol w:w="3078"/>
        <w:gridCol w:w="2120"/>
      </w:tblGrid>
      <w:tr w:rsidR="00FF0D18" w:rsidRPr="00E63502" w:rsidTr="00FF0D18">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3078" w:type="dxa"/>
          </w:tcPr>
          <w:p w:rsidR="00FF0D18" w:rsidRPr="00E63502" w:rsidRDefault="00FF0D18" w:rsidP="00FF0D18">
            <w:pPr>
              <w:spacing w:before="100" w:beforeAutospacing="1" w:after="100" w:afterAutospacing="1" w:line="276" w:lineRule="auto"/>
              <w:jc w:val="both"/>
              <w:rPr>
                <w:rFonts w:ascii="Arial" w:eastAsia="Calibri" w:hAnsi="Arial" w:cs="Arial"/>
                <w:color w:val="000000"/>
              </w:rPr>
            </w:pPr>
            <w:r w:rsidRPr="00E63502">
              <w:rPr>
                <w:rFonts w:ascii="Arial" w:eastAsia="Calibri" w:hAnsi="Arial" w:cs="Arial"/>
                <w:color w:val="000000"/>
              </w:rPr>
              <w:t>Medio de Transporte</w:t>
            </w:r>
          </w:p>
        </w:tc>
        <w:tc>
          <w:tcPr>
            <w:tcW w:w="2120" w:type="dxa"/>
          </w:tcPr>
          <w:p w:rsidR="00FF0D18" w:rsidRPr="00E63502" w:rsidRDefault="00FF0D18" w:rsidP="00FF0D18">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r w:rsidRPr="00E63502">
              <w:rPr>
                <w:rFonts w:ascii="Arial" w:eastAsia="Calibri" w:hAnsi="Arial" w:cs="Arial"/>
                <w:color w:val="000000"/>
              </w:rPr>
              <w:t>Porcentaje</w:t>
            </w:r>
          </w:p>
        </w:tc>
      </w:tr>
      <w:tr w:rsidR="00FF0D18" w:rsidRPr="00E63502" w:rsidTr="00FF0D18">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078" w:type="dxa"/>
          </w:tcPr>
          <w:p w:rsidR="00FF0D18" w:rsidRPr="00E63502" w:rsidRDefault="00FF0D18" w:rsidP="00FF0D18">
            <w:pPr>
              <w:spacing w:before="100" w:beforeAutospacing="1" w:after="100" w:afterAutospacing="1" w:line="276" w:lineRule="auto"/>
              <w:jc w:val="both"/>
              <w:rPr>
                <w:rFonts w:ascii="Arial" w:eastAsia="Calibri" w:hAnsi="Arial" w:cs="Arial"/>
                <w:color w:val="000000"/>
              </w:rPr>
            </w:pPr>
            <w:r w:rsidRPr="00E63502">
              <w:rPr>
                <w:rFonts w:ascii="Arial" w:eastAsia="Calibri" w:hAnsi="Arial" w:cs="Arial"/>
                <w:color w:val="000000"/>
              </w:rPr>
              <w:t>Autobús</w:t>
            </w:r>
          </w:p>
        </w:tc>
        <w:tc>
          <w:tcPr>
            <w:tcW w:w="2120" w:type="dxa"/>
          </w:tcPr>
          <w:p w:rsidR="00FF0D18" w:rsidRPr="00E63502" w:rsidRDefault="00FF0D18" w:rsidP="00FF0D18">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rPr>
            </w:pPr>
            <w:r w:rsidRPr="00E63502">
              <w:rPr>
                <w:rFonts w:ascii="Arial" w:eastAsia="Calibri" w:hAnsi="Arial" w:cs="Arial"/>
                <w:bCs/>
                <w:color w:val="000000"/>
              </w:rPr>
              <w:t>34%</w:t>
            </w:r>
          </w:p>
        </w:tc>
      </w:tr>
      <w:tr w:rsidR="00FF0D18" w:rsidRPr="00E63502" w:rsidTr="00FF0D18">
        <w:trPr>
          <w:trHeight w:val="244"/>
          <w:jc w:val="center"/>
        </w:trPr>
        <w:tc>
          <w:tcPr>
            <w:cnfStyle w:val="001000000000" w:firstRow="0" w:lastRow="0" w:firstColumn="1" w:lastColumn="0" w:oddVBand="0" w:evenVBand="0" w:oddHBand="0" w:evenHBand="0" w:firstRowFirstColumn="0" w:firstRowLastColumn="0" w:lastRowFirstColumn="0" w:lastRowLastColumn="0"/>
            <w:tcW w:w="3078" w:type="dxa"/>
          </w:tcPr>
          <w:p w:rsidR="00FF0D18" w:rsidRPr="00E63502" w:rsidRDefault="00FF0D18" w:rsidP="00FF0D18">
            <w:pPr>
              <w:spacing w:before="100" w:beforeAutospacing="1" w:after="100" w:afterAutospacing="1" w:line="276" w:lineRule="auto"/>
              <w:jc w:val="both"/>
              <w:rPr>
                <w:rFonts w:ascii="Arial" w:eastAsia="Calibri" w:hAnsi="Arial" w:cs="Arial"/>
                <w:color w:val="000000"/>
              </w:rPr>
            </w:pPr>
            <w:r w:rsidRPr="00E63502">
              <w:rPr>
                <w:rFonts w:ascii="Arial" w:eastAsia="Calibri" w:hAnsi="Arial" w:cs="Arial"/>
                <w:color w:val="000000"/>
              </w:rPr>
              <w:t>Vehículo privado</w:t>
            </w:r>
          </w:p>
        </w:tc>
        <w:tc>
          <w:tcPr>
            <w:tcW w:w="2120" w:type="dxa"/>
          </w:tcPr>
          <w:p w:rsidR="00FF0D18" w:rsidRPr="00E63502" w:rsidRDefault="00FF0D18" w:rsidP="00FF0D1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rPr>
            </w:pPr>
            <w:r w:rsidRPr="00E63502">
              <w:rPr>
                <w:rFonts w:ascii="Arial" w:eastAsia="Calibri" w:hAnsi="Arial" w:cs="Arial"/>
                <w:bCs/>
                <w:color w:val="000000"/>
              </w:rPr>
              <w:t>33%</w:t>
            </w:r>
          </w:p>
        </w:tc>
      </w:tr>
      <w:tr w:rsidR="00FF0D18" w:rsidRPr="00E63502" w:rsidTr="00FF0D18">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3078" w:type="dxa"/>
          </w:tcPr>
          <w:p w:rsidR="00FF0D18" w:rsidRPr="00E63502" w:rsidRDefault="00FF0D18" w:rsidP="00FF0D18">
            <w:pPr>
              <w:spacing w:before="100" w:beforeAutospacing="1" w:after="100" w:afterAutospacing="1" w:line="276" w:lineRule="auto"/>
              <w:jc w:val="both"/>
              <w:rPr>
                <w:rFonts w:ascii="Arial" w:eastAsia="Calibri" w:hAnsi="Arial" w:cs="Arial"/>
                <w:color w:val="000000"/>
              </w:rPr>
            </w:pPr>
            <w:r w:rsidRPr="00E63502">
              <w:rPr>
                <w:rFonts w:ascii="Arial" w:eastAsia="Calibri" w:hAnsi="Arial" w:cs="Arial"/>
                <w:color w:val="000000"/>
              </w:rPr>
              <w:t>Caminando</w:t>
            </w:r>
          </w:p>
        </w:tc>
        <w:tc>
          <w:tcPr>
            <w:tcW w:w="2120" w:type="dxa"/>
          </w:tcPr>
          <w:p w:rsidR="00FF0D18" w:rsidRPr="00E63502" w:rsidRDefault="00FF0D18" w:rsidP="00FF0D18">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rPr>
            </w:pPr>
            <w:r w:rsidRPr="00E63502">
              <w:rPr>
                <w:rFonts w:ascii="Arial" w:eastAsia="Calibri" w:hAnsi="Arial" w:cs="Arial"/>
                <w:bCs/>
                <w:color w:val="000000"/>
              </w:rPr>
              <w:t>17%</w:t>
            </w:r>
          </w:p>
        </w:tc>
      </w:tr>
      <w:tr w:rsidR="00FF0D18" w:rsidRPr="00E63502" w:rsidTr="00FF0D18">
        <w:trPr>
          <w:trHeight w:val="294"/>
          <w:jc w:val="center"/>
        </w:trPr>
        <w:tc>
          <w:tcPr>
            <w:cnfStyle w:val="001000000000" w:firstRow="0" w:lastRow="0" w:firstColumn="1" w:lastColumn="0" w:oddVBand="0" w:evenVBand="0" w:oddHBand="0" w:evenHBand="0" w:firstRowFirstColumn="0" w:firstRowLastColumn="0" w:lastRowFirstColumn="0" w:lastRowLastColumn="0"/>
            <w:tcW w:w="3078" w:type="dxa"/>
          </w:tcPr>
          <w:p w:rsidR="00FF0D18" w:rsidRPr="00E63502" w:rsidRDefault="00FF0D18" w:rsidP="00FF0D18">
            <w:pPr>
              <w:spacing w:before="100" w:beforeAutospacing="1" w:after="100" w:afterAutospacing="1" w:line="276" w:lineRule="auto"/>
              <w:jc w:val="both"/>
              <w:rPr>
                <w:rFonts w:ascii="Arial" w:eastAsia="Calibri" w:hAnsi="Arial" w:cs="Arial"/>
                <w:color w:val="000000"/>
              </w:rPr>
            </w:pPr>
            <w:r w:rsidRPr="00E63502">
              <w:rPr>
                <w:rFonts w:ascii="Arial" w:eastAsia="Calibri" w:hAnsi="Arial" w:cs="Arial"/>
                <w:color w:val="000000"/>
              </w:rPr>
              <w:t>Motocicleta</w:t>
            </w:r>
          </w:p>
        </w:tc>
        <w:tc>
          <w:tcPr>
            <w:tcW w:w="2120" w:type="dxa"/>
          </w:tcPr>
          <w:p w:rsidR="00FF0D18" w:rsidRPr="00E63502" w:rsidRDefault="00FF0D18" w:rsidP="00FF0D1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rPr>
            </w:pPr>
            <w:r w:rsidRPr="00E63502">
              <w:rPr>
                <w:rFonts w:ascii="Arial" w:eastAsia="Calibri" w:hAnsi="Arial" w:cs="Arial"/>
                <w:bCs/>
                <w:color w:val="000000"/>
              </w:rPr>
              <w:t>10%</w:t>
            </w:r>
          </w:p>
        </w:tc>
      </w:tr>
      <w:tr w:rsidR="00FF0D18" w:rsidRPr="00E63502" w:rsidTr="00FF0D1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078" w:type="dxa"/>
          </w:tcPr>
          <w:p w:rsidR="00FF0D18" w:rsidRPr="00E63502" w:rsidRDefault="00FF0D18" w:rsidP="00FF0D18">
            <w:pPr>
              <w:spacing w:before="100" w:beforeAutospacing="1" w:after="100" w:afterAutospacing="1" w:line="276" w:lineRule="auto"/>
              <w:jc w:val="both"/>
              <w:rPr>
                <w:rFonts w:ascii="Arial" w:eastAsia="Calibri" w:hAnsi="Arial" w:cs="Arial"/>
                <w:color w:val="000000"/>
              </w:rPr>
            </w:pPr>
            <w:r w:rsidRPr="00E63502">
              <w:rPr>
                <w:rFonts w:ascii="Arial" w:eastAsia="Calibri" w:hAnsi="Arial" w:cs="Arial"/>
                <w:color w:val="000000"/>
              </w:rPr>
              <w:t>Taxi</w:t>
            </w:r>
          </w:p>
        </w:tc>
        <w:tc>
          <w:tcPr>
            <w:tcW w:w="2120" w:type="dxa"/>
          </w:tcPr>
          <w:p w:rsidR="00FF0D18" w:rsidRPr="00E63502" w:rsidRDefault="00FF0D18" w:rsidP="00FF0D18">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rPr>
            </w:pPr>
            <w:r w:rsidRPr="00E63502">
              <w:rPr>
                <w:rFonts w:ascii="Arial" w:eastAsia="Calibri" w:hAnsi="Arial" w:cs="Arial"/>
                <w:bCs/>
                <w:color w:val="000000"/>
              </w:rPr>
              <w:t xml:space="preserve">  6%</w:t>
            </w:r>
          </w:p>
        </w:tc>
      </w:tr>
    </w:tbl>
    <w:p w:rsidR="00FF0D18" w:rsidRPr="003A3ECA" w:rsidRDefault="00FF0D18" w:rsidP="00FF0D18">
      <w:pPr>
        <w:spacing w:before="100" w:beforeAutospacing="1" w:after="100" w:afterAutospacing="1" w:line="276" w:lineRule="auto"/>
        <w:jc w:val="both"/>
        <w:rPr>
          <w:rFonts w:ascii="Times New Roman" w:eastAsia="Times New Roman" w:hAnsi="Times New Roman" w:cs="Times New Roman"/>
          <w:b/>
          <w:sz w:val="20"/>
          <w:szCs w:val="20"/>
          <w:lang w:val="es-ES" w:eastAsia="es-ES"/>
        </w:rPr>
      </w:pPr>
      <w:r w:rsidRPr="003A3ECA">
        <w:rPr>
          <w:rFonts w:ascii="Times New Roman" w:eastAsia="Times New Roman" w:hAnsi="Times New Roman" w:cs="Times New Roman"/>
          <w:b/>
          <w:sz w:val="20"/>
          <w:szCs w:val="20"/>
          <w:lang w:val="es-ES" w:eastAsia="es-ES"/>
        </w:rPr>
        <w:t xml:space="preserve">Fuente: Elaboración propia a partir del </w:t>
      </w:r>
      <w:bookmarkStart w:id="3" w:name="_Hlk26179416"/>
      <w:r w:rsidRPr="003A3ECA">
        <w:rPr>
          <w:rFonts w:ascii="Times New Roman" w:eastAsia="Times New Roman" w:hAnsi="Times New Roman" w:cs="Times New Roman"/>
          <w:b/>
          <w:sz w:val="20"/>
          <w:szCs w:val="20"/>
          <w:lang w:val="es-ES" w:eastAsia="es-ES"/>
        </w:rPr>
        <w:t>Informe de Estado de la Nación, 2018, Capítulo Transporte y Movilidad, pág. 238.</w:t>
      </w:r>
    </w:p>
    <w:bookmarkEnd w:id="3"/>
    <w:p w:rsidR="00FF0D18" w:rsidRDefault="00FF0D18" w:rsidP="00A37750">
      <w:pPr>
        <w:spacing w:after="0" w:line="240" w:lineRule="auto"/>
        <w:jc w:val="both"/>
        <w:rPr>
          <w:rFonts w:ascii="Arial" w:eastAsia="Times New Roman" w:hAnsi="Arial" w:cs="Arial"/>
          <w:color w:val="222222"/>
          <w:sz w:val="23"/>
          <w:szCs w:val="23"/>
          <w:lang w:val="es-ES" w:eastAsia="es-ES"/>
        </w:rPr>
      </w:pPr>
      <w:r w:rsidRPr="00E63502">
        <w:rPr>
          <w:rFonts w:ascii="Arial" w:eastAsia="Calibri" w:hAnsi="Arial" w:cs="Arial"/>
          <w:bCs/>
          <w:sz w:val="24"/>
          <w:szCs w:val="24"/>
          <w:lang w:val="es-ES"/>
        </w:rPr>
        <w:t>Con relación a la tipología de los medios de transporte</w:t>
      </w:r>
      <w:r w:rsidRPr="00E63502">
        <w:rPr>
          <w:rFonts w:ascii="Arial" w:eastAsia="Calibri" w:hAnsi="Arial" w:cs="Arial"/>
          <w:bCs/>
          <w:sz w:val="24"/>
          <w:szCs w:val="24"/>
        </w:rPr>
        <w:t>, y su demanda, según el Informe referido, el 67% de los viajes por carretera son por motivos laborales y los que más utilizan el transporte público son los estudiantes, el 41% de ellos viajan en transporte público de autobús.</w:t>
      </w:r>
    </w:p>
    <w:p w:rsidR="00A37750" w:rsidRPr="00E63502" w:rsidRDefault="00A37750" w:rsidP="00A37750">
      <w:pPr>
        <w:spacing w:after="0" w:line="240" w:lineRule="auto"/>
        <w:jc w:val="both"/>
        <w:rPr>
          <w:rFonts w:ascii="Arial" w:eastAsia="Times New Roman" w:hAnsi="Arial" w:cs="Arial"/>
          <w:color w:val="222222"/>
          <w:sz w:val="23"/>
          <w:szCs w:val="23"/>
          <w:lang w:val="es-ES" w:eastAsia="es-ES"/>
        </w:rPr>
      </w:pPr>
    </w:p>
    <w:p w:rsidR="00FF0D18"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Por otra parte, en el Plan Nacional de Transportes de Costa Rica, 2011-2035, indica que en Costa Rica se realizan 2,2 millones de viajes diarios en transporte público de autobús, y que en la GAM cerca del 70% de los viajeros, u</w:t>
      </w:r>
      <w:r w:rsidR="00A37750">
        <w:rPr>
          <w:rFonts w:ascii="Arial" w:eastAsia="Calibri" w:hAnsi="Arial" w:cs="Arial"/>
          <w:bCs/>
          <w:sz w:val="24"/>
          <w:szCs w:val="24"/>
        </w:rPr>
        <w:t>tiliza ese medio de transporte.</w:t>
      </w:r>
    </w:p>
    <w:p w:rsidR="00A37750" w:rsidRPr="00E63502" w:rsidRDefault="00A37750"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color w:val="000000"/>
          <w:sz w:val="24"/>
          <w:szCs w:val="24"/>
        </w:rPr>
      </w:pPr>
      <w:r w:rsidRPr="00E63502">
        <w:rPr>
          <w:rFonts w:ascii="Arial" w:eastAsia="Calibri" w:hAnsi="Arial" w:cs="Arial"/>
          <w:bCs/>
          <w:sz w:val="24"/>
          <w:szCs w:val="24"/>
        </w:rPr>
        <w:t>El siguiente mapa, presenta el costo per cápita por congestionamiento vial de la GAM según el cantón, observándose que los cantones de color rojo, que corresponden a Barva y Coronado, cada trabajador incurre en un gasto promedio anual de entre $ 4.000 y más, luego le sigue Moravia donde los trabajadores incurren en un costo entre $ 3.500 y $ 4.000 dólares anuales.  Se observa también que los Cantones con menores costos per cápita son Tibás, San José, Cartago, Santa Ana, Escazú, El Guarco, Atenas, Alajuela y Alvarado</w:t>
      </w:r>
      <w:r w:rsidRPr="00E63502">
        <w:rPr>
          <w:rFonts w:ascii="Arial" w:eastAsia="Calibri" w:hAnsi="Arial" w:cs="Arial"/>
          <w:color w:val="000000"/>
          <w:sz w:val="24"/>
          <w:szCs w:val="24"/>
        </w:rPr>
        <w:t>.</w:t>
      </w:r>
    </w:p>
    <w:p w:rsidR="00FF0D18" w:rsidRPr="00A37750" w:rsidRDefault="00FF0D18" w:rsidP="00A37750">
      <w:pPr>
        <w:jc w:val="center"/>
        <w:rPr>
          <w:rFonts w:ascii="Arial" w:hAnsi="Arial" w:cs="Arial"/>
          <w:b/>
          <w:lang w:bidi="en-US"/>
        </w:rPr>
      </w:pPr>
      <w:bookmarkStart w:id="4" w:name="_Ref19002073"/>
      <w:bookmarkStart w:id="5" w:name="_Toc22559499"/>
      <w:bookmarkStart w:id="6" w:name="_Ref25579224"/>
      <w:bookmarkStart w:id="7" w:name="_Toc25582737"/>
      <w:r w:rsidRPr="00A37750">
        <w:rPr>
          <w:rFonts w:ascii="Arial" w:hAnsi="Arial" w:cs="Arial"/>
          <w:b/>
          <w:lang w:bidi="en-US"/>
        </w:rPr>
        <w:lastRenderedPageBreak/>
        <w:t>Mapa N° 1</w:t>
      </w:r>
      <w:bookmarkEnd w:id="4"/>
    </w:p>
    <w:p w:rsidR="00FF0D18" w:rsidRPr="00A37750" w:rsidRDefault="00FF0D18" w:rsidP="00A37750">
      <w:pPr>
        <w:jc w:val="center"/>
        <w:rPr>
          <w:rFonts w:ascii="Arial" w:hAnsi="Arial" w:cs="Arial"/>
          <w:b/>
          <w:i/>
          <w:lang w:bidi="en-US"/>
        </w:rPr>
      </w:pPr>
      <w:r w:rsidRPr="00A37750">
        <w:rPr>
          <w:rFonts w:ascii="Arial" w:hAnsi="Arial" w:cs="Arial"/>
          <w:b/>
          <w:lang w:bidi="en-US"/>
        </w:rPr>
        <w:t>Costo per cápita por congestionamiento vial GAM</w:t>
      </w:r>
      <w:bookmarkEnd w:id="5"/>
      <w:bookmarkEnd w:id="6"/>
      <w:bookmarkEnd w:id="7"/>
    </w:p>
    <w:p w:rsidR="00FF0D18" w:rsidRPr="00E63502" w:rsidRDefault="00A37750" w:rsidP="00A37750">
      <w:r w:rsidRPr="00E63502">
        <w:rPr>
          <w:noProof/>
          <w:lang w:eastAsia="es-CR"/>
        </w:rPr>
        <w:drawing>
          <wp:anchor distT="0" distB="0" distL="114300" distR="114300" simplePos="0" relativeHeight="251658240" behindDoc="0" locked="0" layoutInCell="1" allowOverlap="1">
            <wp:simplePos x="0" y="0"/>
            <wp:positionH relativeFrom="column">
              <wp:posOffset>527258</wp:posOffset>
            </wp:positionH>
            <wp:positionV relativeFrom="paragraph">
              <wp:posOffset>81450</wp:posOffset>
            </wp:positionV>
            <wp:extent cx="4905375" cy="3629025"/>
            <wp:effectExtent l="0" t="0" r="952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05375" cy="3629025"/>
                    </a:xfrm>
                    <a:prstGeom prst="rect">
                      <a:avLst/>
                    </a:prstGeom>
                  </pic:spPr>
                </pic:pic>
              </a:graphicData>
            </a:graphic>
          </wp:anchor>
        </w:drawing>
      </w:r>
      <w:r>
        <w:br w:type="textWrapping" w:clear="all"/>
      </w:r>
    </w:p>
    <w:p w:rsidR="00FF0D18" w:rsidRPr="003A3ECA" w:rsidRDefault="00FF0D18" w:rsidP="00FF0D18">
      <w:pPr>
        <w:spacing w:before="100" w:beforeAutospacing="1" w:after="100" w:afterAutospacing="1" w:line="276" w:lineRule="auto"/>
        <w:jc w:val="both"/>
        <w:rPr>
          <w:rFonts w:ascii="Times New Roman" w:eastAsia="Times New Roman" w:hAnsi="Times New Roman" w:cs="Times New Roman"/>
          <w:b/>
          <w:sz w:val="20"/>
          <w:szCs w:val="20"/>
          <w:lang w:val="es-ES" w:eastAsia="es-ES"/>
        </w:rPr>
      </w:pPr>
      <w:r w:rsidRPr="003A3ECA">
        <w:rPr>
          <w:rFonts w:ascii="Times New Roman" w:eastAsia="Times New Roman" w:hAnsi="Times New Roman" w:cs="Times New Roman"/>
          <w:b/>
          <w:sz w:val="20"/>
          <w:szCs w:val="20"/>
          <w:lang w:val="es-ES" w:eastAsia="es-ES"/>
        </w:rPr>
        <w:t>Fuente:</w:t>
      </w:r>
      <w:r w:rsidR="001E25AA">
        <w:rPr>
          <w:rFonts w:ascii="Times New Roman" w:eastAsia="Times New Roman" w:hAnsi="Times New Roman" w:cs="Times New Roman"/>
          <w:b/>
          <w:sz w:val="20"/>
          <w:szCs w:val="20"/>
          <w:lang w:val="es-ES" w:eastAsia="es-ES"/>
        </w:rPr>
        <w:t xml:space="preserve"> </w:t>
      </w:r>
      <w:r w:rsidRPr="003A3ECA">
        <w:rPr>
          <w:rFonts w:ascii="Times New Roman" w:eastAsia="Times New Roman" w:hAnsi="Times New Roman" w:cs="Times New Roman"/>
          <w:b/>
          <w:sz w:val="20"/>
          <w:szCs w:val="20"/>
          <w:lang w:val="es-ES" w:eastAsia="es-ES"/>
        </w:rPr>
        <w:t xml:space="preserve"> Informe de Estado de la Nación, 2018, Capítulo Transporte y Movilidad, pág. 243.</w:t>
      </w:r>
    </w:p>
    <w:p w:rsidR="00A37750" w:rsidRPr="00E63502" w:rsidRDefault="00A37750" w:rsidP="00A37750">
      <w:pPr>
        <w:spacing w:after="0" w:line="240" w:lineRule="auto"/>
        <w:jc w:val="both"/>
        <w:rPr>
          <w:rFonts w:ascii="Times New Roman" w:eastAsia="Times New Roman" w:hAnsi="Times New Roman" w:cs="Times New Roman"/>
          <w:sz w:val="20"/>
          <w:szCs w:val="20"/>
          <w:lang w:val="es-ES" w:eastAsia="es-ES"/>
        </w:rPr>
      </w:pPr>
    </w:p>
    <w:p w:rsidR="00FF0D18"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Como medio alternativo de transporte en el Área Metropolitana de San José, existe el servicio de Tren Inter Urbano de Pasajeros, los taxis, los servicios informales como son los “piratas”, los Uber/Didi</w:t>
      </w:r>
      <w:r w:rsidR="00A37750">
        <w:rPr>
          <w:rFonts w:ascii="Arial" w:eastAsia="Calibri" w:hAnsi="Arial" w:cs="Arial"/>
          <w:bCs/>
          <w:sz w:val="24"/>
          <w:szCs w:val="24"/>
        </w:rPr>
        <w:t>, servicios especiales y otros.</w:t>
      </w:r>
    </w:p>
    <w:p w:rsidR="00A37750" w:rsidRPr="00E63502" w:rsidRDefault="00A37750" w:rsidP="00A37750">
      <w:pPr>
        <w:spacing w:after="0" w:line="240" w:lineRule="auto"/>
        <w:jc w:val="both"/>
        <w:rPr>
          <w:rFonts w:ascii="Arial" w:eastAsia="Calibri" w:hAnsi="Arial" w:cs="Arial"/>
          <w:bCs/>
          <w:sz w:val="24"/>
          <w:szCs w:val="24"/>
        </w:rPr>
      </w:pPr>
    </w:p>
    <w:p w:rsidR="00FF0D18" w:rsidRDefault="00FF0D18" w:rsidP="00A37750">
      <w:pPr>
        <w:spacing w:after="0" w:line="240" w:lineRule="auto"/>
        <w:rPr>
          <w:rFonts w:ascii="Arial" w:eastAsia="Calibri" w:hAnsi="Arial" w:cs="Arial"/>
          <w:b/>
          <w:bCs/>
          <w:sz w:val="24"/>
          <w:szCs w:val="24"/>
        </w:rPr>
      </w:pPr>
      <w:r w:rsidRPr="00E63502">
        <w:rPr>
          <w:rFonts w:ascii="Arial" w:eastAsia="Calibri" w:hAnsi="Arial" w:cs="Arial"/>
          <w:b/>
          <w:bCs/>
          <w:sz w:val="24"/>
          <w:szCs w:val="24"/>
        </w:rPr>
        <w:t>Brecha de Inversión infraestructura nueva</w:t>
      </w:r>
    </w:p>
    <w:p w:rsidR="00A37750" w:rsidRPr="00E63502" w:rsidRDefault="00A37750" w:rsidP="00A37750">
      <w:pPr>
        <w:spacing w:after="0" w:line="240" w:lineRule="auto"/>
        <w:rPr>
          <w:rFonts w:ascii="Arial" w:eastAsia="Calibri" w:hAnsi="Arial" w:cs="Arial"/>
          <w:b/>
          <w:bCs/>
          <w:sz w:val="24"/>
          <w:szCs w:val="24"/>
        </w:rPr>
      </w:pPr>
    </w:p>
    <w:p w:rsidR="00FF0D18"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En Costa Rica, existen carreteras de mediana y larga distancia que conectan las principales bases logísticas de comercio internacional. </w:t>
      </w:r>
      <w:r w:rsidR="00A37750">
        <w:rPr>
          <w:rFonts w:ascii="Arial" w:eastAsia="Calibri" w:hAnsi="Arial" w:cs="Arial"/>
          <w:bCs/>
          <w:sz w:val="24"/>
          <w:szCs w:val="24"/>
        </w:rPr>
        <w:t xml:space="preserve"> </w:t>
      </w:r>
      <w:r w:rsidRPr="00E63502">
        <w:rPr>
          <w:rFonts w:ascii="Arial" w:eastAsia="Calibri" w:hAnsi="Arial" w:cs="Arial"/>
          <w:bCs/>
          <w:sz w:val="24"/>
          <w:szCs w:val="24"/>
        </w:rPr>
        <w:t>Los corredores viales estratégicos para la logística internacional deben presentar condiciones específicas en cuanto a diseño geométrico, capacidad y seguridad vial.</w:t>
      </w:r>
    </w:p>
    <w:p w:rsidR="00A37750" w:rsidRPr="00E63502" w:rsidRDefault="00A37750"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Times New Roman" w:hAnsi="Arial" w:cs="Arial"/>
          <w:sz w:val="24"/>
          <w:szCs w:val="24"/>
          <w:lang w:eastAsia="es-ES_tradnl"/>
        </w:rPr>
      </w:pPr>
      <w:r w:rsidRPr="00E63502">
        <w:rPr>
          <w:rFonts w:ascii="Arial" w:eastAsia="Times New Roman" w:hAnsi="Arial" w:cs="Arial"/>
          <w:sz w:val="24"/>
          <w:szCs w:val="24"/>
          <w:lang w:eastAsia="es-ES_tradnl"/>
        </w:rPr>
        <w:t>Aunado a lo anterior, existe un deterioro de los puentes, desde el punto de vista estructural e hidráulico, además de su capacidad funcional, que además se han convertido en “cuellos de botella” o puntos de estrangulamiento vial.</w:t>
      </w:r>
    </w:p>
    <w:p w:rsidR="00FF0D18" w:rsidRPr="00E63502" w:rsidRDefault="00FF0D18" w:rsidP="00A37750">
      <w:pPr>
        <w:spacing w:after="0" w:line="240" w:lineRule="auto"/>
        <w:jc w:val="both"/>
        <w:rPr>
          <w:rFonts w:ascii="Arial" w:eastAsia="Times New Roman" w:hAnsi="Arial" w:cs="Arial"/>
          <w:sz w:val="24"/>
          <w:szCs w:val="24"/>
          <w:lang w:eastAsia="es-ES_tradnl"/>
        </w:rPr>
      </w:pPr>
    </w:p>
    <w:p w:rsidR="00FF0D18" w:rsidRDefault="00FF0D18" w:rsidP="00A37750">
      <w:pPr>
        <w:spacing w:after="0" w:line="240" w:lineRule="auto"/>
        <w:jc w:val="both"/>
        <w:rPr>
          <w:rFonts w:ascii="Arial" w:eastAsia="Times New Roman" w:hAnsi="Arial" w:cs="Arial"/>
          <w:sz w:val="24"/>
          <w:szCs w:val="24"/>
          <w:lang w:eastAsia="es-ES_tradnl"/>
        </w:rPr>
      </w:pPr>
      <w:r w:rsidRPr="00E63502">
        <w:rPr>
          <w:rFonts w:ascii="Arial" w:eastAsia="Times New Roman" w:hAnsi="Arial" w:cs="Arial"/>
          <w:sz w:val="24"/>
          <w:szCs w:val="24"/>
          <w:lang w:eastAsia="es-ES_tradnl"/>
        </w:rPr>
        <w:t xml:space="preserve">El nivel de inversión actual de CR en infraestructura de transporte es menor del 1% del PIB. Según el Plan Nacional de Transportes (PNT), sería necesario elevar el </w:t>
      </w:r>
      <w:r w:rsidRPr="00E63502">
        <w:rPr>
          <w:rFonts w:ascii="Arial" w:eastAsia="Times New Roman" w:hAnsi="Arial" w:cs="Arial"/>
          <w:sz w:val="24"/>
          <w:szCs w:val="24"/>
          <w:lang w:eastAsia="es-ES_tradnl"/>
        </w:rPr>
        <w:lastRenderedPageBreak/>
        <w:t xml:space="preserve">nivel de </w:t>
      </w:r>
      <w:r w:rsidR="00A37750" w:rsidRPr="00E63502">
        <w:rPr>
          <w:rFonts w:ascii="Arial" w:eastAsia="Times New Roman" w:hAnsi="Arial" w:cs="Arial"/>
          <w:sz w:val="24"/>
          <w:szCs w:val="24"/>
          <w:lang w:eastAsia="es-ES_tradnl"/>
        </w:rPr>
        <w:t>inversión</w:t>
      </w:r>
      <w:r w:rsidRPr="00E63502">
        <w:rPr>
          <w:rFonts w:ascii="Arial" w:eastAsia="Times New Roman" w:hAnsi="Arial" w:cs="Arial"/>
          <w:sz w:val="24"/>
          <w:szCs w:val="24"/>
          <w:lang w:eastAsia="es-ES_tradnl"/>
        </w:rPr>
        <w:t xml:space="preserve"> a más del 2% del PIB anual e incrementarlo paulati</w:t>
      </w:r>
      <w:r w:rsidR="00A37750">
        <w:rPr>
          <w:rFonts w:ascii="Arial" w:eastAsia="Times New Roman" w:hAnsi="Arial" w:cs="Arial"/>
          <w:sz w:val="24"/>
          <w:szCs w:val="24"/>
          <w:lang w:eastAsia="es-ES_tradnl"/>
        </w:rPr>
        <w:t>namente en los próximos años.</w:t>
      </w:r>
    </w:p>
    <w:p w:rsidR="00A37750" w:rsidRPr="00E63502" w:rsidRDefault="00A37750" w:rsidP="00A37750">
      <w:pPr>
        <w:spacing w:after="0" w:line="240" w:lineRule="auto"/>
        <w:jc w:val="both"/>
        <w:rPr>
          <w:rFonts w:ascii="Arial" w:eastAsia="Times New Roman" w:hAnsi="Arial" w:cs="Arial"/>
          <w:sz w:val="24"/>
          <w:szCs w:val="24"/>
          <w:lang w:eastAsia="es-ES_tradnl"/>
        </w:rPr>
      </w:pPr>
    </w:p>
    <w:p w:rsidR="00FF0D18" w:rsidRDefault="00FF0D18" w:rsidP="00A37750">
      <w:pPr>
        <w:spacing w:after="0" w:line="240" w:lineRule="auto"/>
        <w:jc w:val="both"/>
        <w:rPr>
          <w:rFonts w:ascii="Arial" w:eastAsia="Times New Roman" w:hAnsi="Arial" w:cs="Arial"/>
          <w:sz w:val="24"/>
          <w:szCs w:val="24"/>
          <w:lang w:eastAsia="es-ES_tradnl"/>
        </w:rPr>
      </w:pPr>
      <w:r w:rsidRPr="00E63502">
        <w:rPr>
          <w:rFonts w:ascii="Arial" w:eastAsia="Times New Roman" w:hAnsi="Arial" w:cs="Arial"/>
          <w:sz w:val="24"/>
          <w:szCs w:val="24"/>
          <w:lang w:eastAsia="es-ES_tradnl"/>
        </w:rPr>
        <w:t>Se observa en el siguiente cuadro 3, que al año 2018, la inversión nominal con respecto al sector transportes, llegó al 1,06%, lo cual es insuficiente para la demanda de inversión en proyectos del sector, y es</w:t>
      </w:r>
      <w:r w:rsidR="00A37750">
        <w:rPr>
          <w:rFonts w:ascii="Arial" w:eastAsia="Times New Roman" w:hAnsi="Arial" w:cs="Arial"/>
          <w:sz w:val="24"/>
          <w:szCs w:val="24"/>
          <w:lang w:eastAsia="es-ES_tradnl"/>
        </w:rPr>
        <w:t>timada en al menos un 2% o más.</w:t>
      </w:r>
    </w:p>
    <w:p w:rsidR="00A37750" w:rsidRDefault="00A37750" w:rsidP="00A37750">
      <w:pPr>
        <w:spacing w:after="0" w:line="240" w:lineRule="auto"/>
        <w:jc w:val="both"/>
        <w:rPr>
          <w:rFonts w:ascii="Arial" w:eastAsia="Times New Roman" w:hAnsi="Arial" w:cs="Arial"/>
          <w:sz w:val="24"/>
          <w:szCs w:val="24"/>
          <w:lang w:eastAsia="es-ES_tradnl"/>
        </w:rPr>
      </w:pPr>
    </w:p>
    <w:p w:rsidR="00A37750" w:rsidRPr="00E63502" w:rsidRDefault="00A37750" w:rsidP="00A37750">
      <w:pPr>
        <w:spacing w:after="0" w:line="240" w:lineRule="auto"/>
        <w:jc w:val="both"/>
        <w:rPr>
          <w:rFonts w:ascii="Arial" w:eastAsia="Times New Roman" w:hAnsi="Arial" w:cs="Arial"/>
          <w:sz w:val="24"/>
          <w:szCs w:val="24"/>
          <w:lang w:eastAsia="es-ES_tradnl"/>
        </w:rPr>
      </w:pPr>
    </w:p>
    <w:p w:rsidR="00FF0D18" w:rsidRPr="00E63502" w:rsidRDefault="00FF0D18" w:rsidP="00FF0D18">
      <w:pPr>
        <w:spacing w:after="0" w:line="276" w:lineRule="auto"/>
        <w:jc w:val="center"/>
        <w:rPr>
          <w:rFonts w:ascii="Times New Roman" w:eastAsia="Times New Roman" w:hAnsi="Times New Roman" w:cs="Times New Roman"/>
          <w:b/>
          <w:sz w:val="24"/>
          <w:szCs w:val="24"/>
          <w:lang w:eastAsia="es-ES_tradnl"/>
        </w:rPr>
      </w:pPr>
      <w:r w:rsidRPr="00E63502">
        <w:rPr>
          <w:rFonts w:ascii="Times New Roman" w:eastAsia="Times New Roman" w:hAnsi="Times New Roman" w:cs="Times New Roman"/>
          <w:b/>
          <w:sz w:val="24"/>
          <w:szCs w:val="24"/>
          <w:lang w:eastAsia="es-ES_tradnl"/>
        </w:rPr>
        <w:t>Cuadro N° 3</w:t>
      </w:r>
    </w:p>
    <w:p w:rsidR="00FF0D18" w:rsidRPr="00E63502" w:rsidRDefault="00FF0D18" w:rsidP="00FF0D18">
      <w:pPr>
        <w:spacing w:after="0" w:line="276" w:lineRule="auto"/>
        <w:jc w:val="center"/>
        <w:rPr>
          <w:rFonts w:ascii="Times New Roman" w:eastAsia="Times New Roman" w:hAnsi="Times New Roman" w:cs="Times New Roman"/>
          <w:b/>
          <w:sz w:val="24"/>
          <w:szCs w:val="24"/>
          <w:lang w:eastAsia="es-ES_tradnl"/>
        </w:rPr>
      </w:pPr>
      <w:r w:rsidRPr="00E63502">
        <w:rPr>
          <w:rFonts w:ascii="Times New Roman" w:eastAsia="Times New Roman" w:hAnsi="Times New Roman" w:cs="Times New Roman"/>
          <w:b/>
          <w:sz w:val="24"/>
          <w:szCs w:val="24"/>
          <w:lang w:eastAsia="es-ES_tradnl"/>
        </w:rPr>
        <w:t>Cifras nominales y reales de inversión en Infraestructura de Transporte respecto al PIB</w:t>
      </w:r>
    </w:p>
    <w:p w:rsidR="00FF0D18" w:rsidRPr="00A37750" w:rsidRDefault="00FF0D18" w:rsidP="00A37750">
      <w:pPr>
        <w:spacing w:before="100" w:beforeAutospacing="1" w:after="100" w:afterAutospacing="1" w:line="276" w:lineRule="auto"/>
        <w:jc w:val="center"/>
        <w:rPr>
          <w:rFonts w:ascii="Times New Roman" w:eastAsia="Times New Roman" w:hAnsi="Times New Roman" w:cs="Times New Roman"/>
          <w:b/>
          <w:sz w:val="24"/>
          <w:szCs w:val="24"/>
          <w:lang w:eastAsia="es-ES_tradnl"/>
        </w:rPr>
      </w:pPr>
      <w:r w:rsidRPr="00E63502">
        <w:rPr>
          <w:rFonts w:ascii="Times New Roman" w:eastAsia="Times New Roman" w:hAnsi="Times New Roman" w:cs="Times New Roman"/>
          <w:b/>
          <w:noProof/>
          <w:sz w:val="24"/>
          <w:szCs w:val="24"/>
          <w:lang w:eastAsia="es-CR"/>
        </w:rPr>
        <w:drawing>
          <wp:inline distT="0" distB="0" distL="0" distR="0" wp14:anchorId="3664919A" wp14:editId="4B329EE8">
            <wp:extent cx="5362043" cy="29615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9-11-28 a la(s) 09.32.03.png"/>
                    <pic:cNvPicPr/>
                  </pic:nvPicPr>
                  <pic:blipFill>
                    <a:blip r:embed="rId10">
                      <a:extLst>
                        <a:ext uri="{28A0092B-C50C-407E-A947-70E740481C1C}">
                          <a14:useLocalDpi xmlns:a14="http://schemas.microsoft.com/office/drawing/2010/main" val="0"/>
                        </a:ext>
                      </a:extLst>
                    </a:blip>
                    <a:stretch>
                      <a:fillRect/>
                    </a:stretch>
                  </pic:blipFill>
                  <pic:spPr>
                    <a:xfrm>
                      <a:off x="0" y="0"/>
                      <a:ext cx="5396968" cy="2980854"/>
                    </a:xfrm>
                    <a:prstGeom prst="rect">
                      <a:avLst/>
                    </a:prstGeom>
                  </pic:spPr>
                </pic:pic>
              </a:graphicData>
            </a:graphic>
          </wp:inline>
        </w:drawing>
      </w:r>
    </w:p>
    <w:p w:rsidR="00FF0D18"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Con respecto al cuadro anterior, en el análisis efectuado en la revista “La encrucijada de la Infraestructur</w:t>
      </w:r>
      <w:r w:rsidR="00A37750">
        <w:rPr>
          <w:rFonts w:ascii="Arial" w:eastAsia="Calibri" w:hAnsi="Arial" w:cs="Arial"/>
          <w:bCs/>
          <w:sz w:val="24"/>
          <w:szCs w:val="24"/>
        </w:rPr>
        <w:t xml:space="preserve">a de Costa Rica” publicada por </w:t>
      </w:r>
      <w:r w:rsidRPr="00E63502">
        <w:rPr>
          <w:rFonts w:ascii="Arial" w:eastAsia="Calibri" w:hAnsi="Arial" w:cs="Arial"/>
          <w:bCs/>
          <w:sz w:val="24"/>
          <w:szCs w:val="24"/>
        </w:rPr>
        <w:t>EY, Building a Better Working, se estimó que la inversión en transporte debería de ser entre el 2% y 3% del PIB, pero históricamente apenas ha representado un 1%.</w:t>
      </w:r>
    </w:p>
    <w:p w:rsidR="00A37750" w:rsidRPr="00E63502" w:rsidRDefault="00A37750"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bCs/>
          <w:sz w:val="24"/>
          <w:szCs w:val="24"/>
        </w:rPr>
      </w:pPr>
      <w:r w:rsidRPr="00E63502">
        <w:rPr>
          <w:rFonts w:ascii="Arial" w:eastAsia="Times New Roman" w:hAnsi="Arial" w:cs="Arial"/>
          <w:sz w:val="24"/>
          <w:szCs w:val="24"/>
          <w:lang w:eastAsia="es-ES_tradnl"/>
        </w:rPr>
        <w:t>“En el país se invierte en infraestructura en promedio el 4% del PIB (Agua 5%, Energía 47%, Transporte 33% y Telecomunicaciones 15%).</w:t>
      </w:r>
      <w:r w:rsidR="00A37750">
        <w:rPr>
          <w:rFonts w:ascii="Arial" w:eastAsia="Times New Roman" w:hAnsi="Arial" w:cs="Arial"/>
          <w:sz w:val="24"/>
          <w:szCs w:val="24"/>
          <w:lang w:eastAsia="es-ES_tradnl"/>
        </w:rPr>
        <w:t xml:space="preserve"> </w:t>
      </w:r>
      <w:r w:rsidRPr="00E63502">
        <w:rPr>
          <w:rFonts w:ascii="Arial" w:eastAsia="Times New Roman" w:hAnsi="Arial" w:cs="Arial"/>
          <w:sz w:val="24"/>
          <w:szCs w:val="24"/>
          <w:lang w:eastAsia="es-ES_tradnl"/>
        </w:rPr>
        <w:t xml:space="preserve"> Se estima que la inversión necesaria para mejorar la brecha en infraestructura en América Latina (AL), debería de rondar entre un 4% y un 8% del PIB. </w:t>
      </w:r>
      <w:r w:rsidR="00A37750">
        <w:rPr>
          <w:rFonts w:ascii="Arial" w:eastAsia="Times New Roman" w:hAnsi="Arial" w:cs="Arial"/>
          <w:sz w:val="24"/>
          <w:szCs w:val="24"/>
          <w:lang w:eastAsia="es-ES_tradnl"/>
        </w:rPr>
        <w:t xml:space="preserve"> </w:t>
      </w:r>
      <w:r w:rsidRPr="00E63502">
        <w:rPr>
          <w:rFonts w:ascii="Arial" w:eastAsia="Times New Roman" w:hAnsi="Arial" w:cs="Arial"/>
          <w:sz w:val="24"/>
          <w:szCs w:val="24"/>
          <w:lang w:eastAsia="es-ES_tradnl"/>
        </w:rPr>
        <w:t>La inversión por medio de Asociaciones Público- Privadas (APP) en AL, representa el 40% de la inversión total, mientras que en Costa Rica ha sido del 26%. Costa Rica es el país de Centro América que menos participación privada tiene en el suministro de infraestructura y también el país con la peor infraestructura.”</w:t>
      </w:r>
      <w:r w:rsidRPr="00E63502">
        <w:rPr>
          <w:rFonts w:ascii="Arial" w:eastAsia="Calibri" w:hAnsi="Arial" w:cs="Arial"/>
          <w:bCs/>
          <w:sz w:val="24"/>
          <w:szCs w:val="24"/>
        </w:rPr>
        <w:t xml:space="preserve"> EY, Buil</w:t>
      </w:r>
      <w:r w:rsidR="00A37750">
        <w:rPr>
          <w:rFonts w:ascii="Arial" w:eastAsia="Calibri" w:hAnsi="Arial" w:cs="Arial"/>
          <w:bCs/>
          <w:sz w:val="24"/>
          <w:szCs w:val="24"/>
        </w:rPr>
        <w:t xml:space="preserve">ding a Better Working, (2018), </w:t>
      </w:r>
      <w:r w:rsidRPr="00E63502">
        <w:rPr>
          <w:rFonts w:ascii="Arial" w:eastAsia="Calibri" w:hAnsi="Arial" w:cs="Arial"/>
          <w:bCs/>
          <w:sz w:val="24"/>
          <w:szCs w:val="24"/>
        </w:rPr>
        <w:t>La encrucijada de la Infraestructura de Costa Rica, pág. 4.</w:t>
      </w:r>
    </w:p>
    <w:p w:rsidR="00FF0D18" w:rsidRPr="00E63502" w:rsidRDefault="00FF0D18" w:rsidP="00A37750">
      <w:pPr>
        <w:spacing w:after="0" w:line="240" w:lineRule="auto"/>
        <w:rPr>
          <w:rFonts w:ascii="Arial" w:eastAsia="Times New Roman" w:hAnsi="Arial" w:cs="Arial"/>
          <w:b/>
          <w:sz w:val="24"/>
          <w:szCs w:val="24"/>
          <w:lang w:eastAsia="es-ES_tradnl"/>
        </w:rPr>
      </w:pPr>
    </w:p>
    <w:p w:rsidR="00FF0D18" w:rsidRDefault="00FF0D18" w:rsidP="00A37750">
      <w:pPr>
        <w:spacing w:after="0" w:line="240" w:lineRule="auto"/>
        <w:rPr>
          <w:rFonts w:ascii="Arial" w:eastAsia="Times New Roman" w:hAnsi="Arial" w:cs="Arial"/>
          <w:b/>
          <w:sz w:val="24"/>
          <w:szCs w:val="24"/>
          <w:lang w:eastAsia="es-ES_tradnl"/>
        </w:rPr>
      </w:pPr>
      <w:r w:rsidRPr="00E63502">
        <w:rPr>
          <w:rFonts w:ascii="Arial" w:eastAsia="Times New Roman" w:hAnsi="Arial" w:cs="Arial"/>
          <w:b/>
          <w:sz w:val="24"/>
          <w:szCs w:val="24"/>
          <w:lang w:eastAsia="es-ES_tradnl"/>
        </w:rPr>
        <w:lastRenderedPageBreak/>
        <w:t>Estado de la Red Vial en Costa Rica</w:t>
      </w:r>
    </w:p>
    <w:p w:rsidR="00A37750" w:rsidRPr="00E63502" w:rsidRDefault="00A37750" w:rsidP="00A37750">
      <w:pPr>
        <w:spacing w:after="0" w:line="240" w:lineRule="auto"/>
        <w:rPr>
          <w:rFonts w:ascii="Arial" w:eastAsia="Times New Roman" w:hAnsi="Arial" w:cs="Arial"/>
          <w:b/>
          <w:sz w:val="24"/>
          <w:szCs w:val="24"/>
          <w:lang w:eastAsia="es-ES_tradnl"/>
        </w:rPr>
      </w:pPr>
    </w:p>
    <w:p w:rsidR="00FF0D18" w:rsidRDefault="00FF0D18" w:rsidP="00A37750">
      <w:pPr>
        <w:spacing w:after="0" w:line="240" w:lineRule="auto"/>
        <w:jc w:val="both"/>
        <w:rPr>
          <w:rFonts w:ascii="Arial" w:eastAsia="Times New Roman" w:hAnsi="Arial" w:cs="Arial"/>
          <w:sz w:val="24"/>
          <w:szCs w:val="24"/>
          <w:lang w:eastAsia="es-ES_tradnl"/>
        </w:rPr>
      </w:pPr>
      <w:r w:rsidRPr="00E63502">
        <w:rPr>
          <w:rFonts w:ascii="Arial" w:eastAsia="Times New Roman" w:hAnsi="Arial" w:cs="Arial"/>
          <w:sz w:val="24"/>
          <w:szCs w:val="24"/>
          <w:lang w:eastAsia="es-ES_tradnl"/>
        </w:rPr>
        <w:t>Costa Rica, cuenta con 44.316 km de carreteras, de las cuales 7.821 km corresponden a la Red Vial Nacional (RVN) y es administrado por el MOPT a</w:t>
      </w:r>
      <w:r w:rsidR="00A37750">
        <w:rPr>
          <w:rFonts w:ascii="Arial" w:eastAsia="Times New Roman" w:hAnsi="Arial" w:cs="Arial"/>
          <w:sz w:val="24"/>
          <w:szCs w:val="24"/>
          <w:lang w:eastAsia="es-ES_tradnl"/>
        </w:rPr>
        <w:t xml:space="preserve"> través del CONAVI y 36.495 km </w:t>
      </w:r>
      <w:r w:rsidRPr="00E63502">
        <w:rPr>
          <w:rFonts w:ascii="Arial" w:eastAsia="Times New Roman" w:hAnsi="Arial" w:cs="Arial"/>
          <w:sz w:val="24"/>
          <w:szCs w:val="24"/>
          <w:lang w:eastAsia="es-ES_tradnl"/>
        </w:rPr>
        <w:t>corresponden a la Red Vial Cantonal, que son competencia de las Municipalidades, sin embargo, el MOPT interviene en su recuperación mediante convenios de cooperación y progr</w:t>
      </w:r>
      <w:r w:rsidR="00A37750">
        <w:rPr>
          <w:rFonts w:ascii="Arial" w:eastAsia="Times New Roman" w:hAnsi="Arial" w:cs="Arial"/>
          <w:sz w:val="24"/>
          <w:szCs w:val="24"/>
          <w:lang w:eastAsia="es-ES_tradnl"/>
        </w:rPr>
        <w:t>amas de financiamiento externo.</w:t>
      </w:r>
    </w:p>
    <w:p w:rsidR="00A37750" w:rsidRPr="00E63502" w:rsidRDefault="00A37750" w:rsidP="00A37750">
      <w:pPr>
        <w:spacing w:after="0" w:line="240" w:lineRule="auto"/>
        <w:jc w:val="both"/>
        <w:rPr>
          <w:rFonts w:ascii="Arial" w:eastAsia="Times New Roman" w:hAnsi="Arial" w:cs="Arial"/>
          <w:sz w:val="24"/>
          <w:szCs w:val="24"/>
          <w:lang w:eastAsia="es-ES_tradnl"/>
        </w:rPr>
      </w:pPr>
    </w:p>
    <w:p w:rsidR="00FF0D18" w:rsidRPr="00E63502" w:rsidRDefault="00FF0D18" w:rsidP="00FF0D18">
      <w:pPr>
        <w:autoSpaceDE w:val="0"/>
        <w:autoSpaceDN w:val="0"/>
        <w:adjustRightInd w:val="0"/>
        <w:spacing w:after="0" w:line="360" w:lineRule="auto"/>
        <w:jc w:val="center"/>
        <w:rPr>
          <w:rFonts w:ascii="Arial" w:eastAsia="Times New Roman" w:hAnsi="Arial" w:cs="Arial"/>
          <w:b/>
          <w:color w:val="000000"/>
          <w:sz w:val="24"/>
          <w:szCs w:val="24"/>
          <w:lang w:eastAsia="es-ES_tradnl"/>
        </w:rPr>
      </w:pPr>
      <w:r w:rsidRPr="00E63502">
        <w:rPr>
          <w:rFonts w:ascii="Arial" w:eastAsia="Times New Roman" w:hAnsi="Arial" w:cs="Arial"/>
          <w:b/>
          <w:color w:val="000000"/>
          <w:sz w:val="24"/>
          <w:szCs w:val="24"/>
          <w:lang w:eastAsia="es-ES_tradnl"/>
        </w:rPr>
        <w:t>Cuadro N° 4</w:t>
      </w:r>
    </w:p>
    <w:p w:rsidR="00FF0D18" w:rsidRPr="00E63502" w:rsidRDefault="00FF0D18" w:rsidP="00FF0D18">
      <w:pPr>
        <w:autoSpaceDE w:val="0"/>
        <w:autoSpaceDN w:val="0"/>
        <w:adjustRightInd w:val="0"/>
        <w:spacing w:after="0" w:line="360" w:lineRule="auto"/>
        <w:jc w:val="center"/>
        <w:rPr>
          <w:rFonts w:ascii="Arial" w:eastAsia="Times New Roman" w:hAnsi="Arial" w:cs="Arial"/>
          <w:b/>
          <w:color w:val="000000"/>
          <w:sz w:val="24"/>
          <w:szCs w:val="24"/>
          <w:lang w:eastAsia="es-ES_tradnl"/>
        </w:rPr>
      </w:pPr>
      <w:r w:rsidRPr="00E63502">
        <w:rPr>
          <w:rFonts w:ascii="Arial" w:eastAsia="Times New Roman" w:hAnsi="Arial" w:cs="Arial"/>
          <w:b/>
          <w:color w:val="000000"/>
          <w:sz w:val="24"/>
          <w:szCs w:val="24"/>
          <w:lang w:eastAsia="es-ES_tradnl"/>
        </w:rPr>
        <w:t>Longitud de la Red Vial en Costa Rica</w:t>
      </w:r>
    </w:p>
    <w:p w:rsidR="00FF0D18" w:rsidRPr="00E63502" w:rsidRDefault="00FF0D18" w:rsidP="00FF0D18">
      <w:pPr>
        <w:autoSpaceDE w:val="0"/>
        <w:autoSpaceDN w:val="0"/>
        <w:adjustRightInd w:val="0"/>
        <w:spacing w:after="0" w:line="276" w:lineRule="auto"/>
        <w:jc w:val="center"/>
        <w:rPr>
          <w:rFonts w:ascii="Times New Roman" w:eastAsia="Times New Roman" w:hAnsi="Times New Roman" w:cs="Times New Roman"/>
          <w:b/>
          <w:color w:val="000000"/>
          <w:sz w:val="24"/>
          <w:szCs w:val="24"/>
          <w:lang w:eastAsia="es-ES_tradnl"/>
        </w:rPr>
      </w:pPr>
    </w:p>
    <w:p w:rsidR="00FF0D18" w:rsidRPr="00E63502" w:rsidRDefault="00FF0D18" w:rsidP="00FF0D18">
      <w:pPr>
        <w:spacing w:after="200" w:line="276" w:lineRule="auto"/>
        <w:jc w:val="center"/>
        <w:rPr>
          <w:rFonts w:ascii="Times New Roman" w:eastAsia="Calibri" w:hAnsi="Times New Roman" w:cs="Times New Roman"/>
          <w:sz w:val="24"/>
          <w:szCs w:val="24"/>
        </w:rPr>
      </w:pPr>
      <w:r w:rsidRPr="00E63502">
        <w:rPr>
          <w:rFonts w:ascii="Times New Roman" w:eastAsia="Calibri" w:hAnsi="Times New Roman" w:cs="Times New Roman"/>
          <w:b/>
          <w:bCs/>
          <w:noProof/>
          <w:sz w:val="24"/>
          <w:szCs w:val="24"/>
          <w:lang w:eastAsia="es-CR"/>
        </w:rPr>
        <w:drawing>
          <wp:inline distT="0" distB="0" distL="0" distR="0" wp14:anchorId="7006FB93" wp14:editId="56EE39AD">
            <wp:extent cx="4899660" cy="273570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11-28 a la(s) 09.43.40.png"/>
                    <pic:cNvPicPr/>
                  </pic:nvPicPr>
                  <pic:blipFill>
                    <a:blip r:embed="rId11">
                      <a:extLst>
                        <a:ext uri="{28A0092B-C50C-407E-A947-70E740481C1C}">
                          <a14:useLocalDpi xmlns:a14="http://schemas.microsoft.com/office/drawing/2010/main" val="0"/>
                        </a:ext>
                      </a:extLst>
                    </a:blip>
                    <a:stretch>
                      <a:fillRect/>
                    </a:stretch>
                  </pic:blipFill>
                  <pic:spPr>
                    <a:xfrm>
                      <a:off x="0" y="0"/>
                      <a:ext cx="4918348" cy="2746139"/>
                    </a:xfrm>
                    <a:prstGeom prst="rect">
                      <a:avLst/>
                    </a:prstGeom>
                  </pic:spPr>
                </pic:pic>
              </a:graphicData>
            </a:graphic>
          </wp:inline>
        </w:drawing>
      </w:r>
    </w:p>
    <w:p w:rsidR="00A37750" w:rsidRDefault="00A37750" w:rsidP="00A37750">
      <w:pPr>
        <w:spacing w:after="0" w:line="240" w:lineRule="auto"/>
        <w:jc w:val="both"/>
        <w:rPr>
          <w:rFonts w:ascii="Arial" w:eastAsia="Calibri" w:hAnsi="Arial" w:cs="Arial"/>
          <w:sz w:val="24"/>
          <w:szCs w:val="24"/>
        </w:rPr>
      </w:pPr>
    </w:p>
    <w:p w:rsidR="00FF0D18" w:rsidRPr="00E63502" w:rsidRDefault="00FF0D18" w:rsidP="00A37750">
      <w:pPr>
        <w:spacing w:after="0" w:line="240" w:lineRule="auto"/>
        <w:jc w:val="both"/>
        <w:rPr>
          <w:rFonts w:ascii="Arial" w:eastAsia="Calibri" w:hAnsi="Arial" w:cs="Arial"/>
          <w:sz w:val="24"/>
          <w:szCs w:val="24"/>
        </w:rPr>
      </w:pPr>
      <w:r w:rsidRPr="00E63502">
        <w:rPr>
          <w:rFonts w:ascii="Arial" w:eastAsia="Calibri" w:hAnsi="Arial" w:cs="Arial"/>
          <w:sz w:val="24"/>
          <w:szCs w:val="24"/>
        </w:rPr>
        <w:t>Se observa en el cuadro Nº 5, que de la Red Vial Nacional Asfaltada que es responsabilidad del CONAVI, el 10,81% se encuentra en buen estado, se observa también que el 52,23% se encuentra en estado regular, todo lo anterior como consecuencia de la baja inversión en el sector, y específicamente en carreteras.</w:t>
      </w:r>
    </w:p>
    <w:p w:rsidR="00A37750" w:rsidRDefault="00A37750">
      <w:pPr>
        <w:spacing w:after="0" w:line="240" w:lineRule="auto"/>
        <w:jc w:val="both"/>
        <w:rPr>
          <w:rFonts w:ascii="Arial" w:eastAsia="Calibri" w:hAnsi="Arial" w:cs="Arial"/>
          <w:b/>
          <w:sz w:val="24"/>
          <w:szCs w:val="24"/>
        </w:rPr>
      </w:pPr>
      <w:r>
        <w:rPr>
          <w:rFonts w:ascii="Arial" w:eastAsia="Calibri" w:hAnsi="Arial" w:cs="Arial"/>
          <w:b/>
          <w:sz w:val="24"/>
          <w:szCs w:val="24"/>
        </w:rPr>
        <w:br w:type="page"/>
      </w:r>
    </w:p>
    <w:p w:rsidR="00FF0D18" w:rsidRPr="00E63502" w:rsidRDefault="00A37750" w:rsidP="00FF0D18">
      <w:pPr>
        <w:spacing w:after="0" w:line="360" w:lineRule="auto"/>
        <w:jc w:val="center"/>
        <w:rPr>
          <w:rFonts w:ascii="Arial" w:eastAsia="Calibri" w:hAnsi="Arial" w:cs="Arial"/>
          <w:b/>
          <w:sz w:val="24"/>
          <w:szCs w:val="24"/>
        </w:rPr>
      </w:pPr>
      <w:r>
        <w:rPr>
          <w:rFonts w:ascii="Arial" w:eastAsia="Calibri" w:hAnsi="Arial" w:cs="Arial"/>
          <w:b/>
          <w:sz w:val="24"/>
          <w:szCs w:val="24"/>
        </w:rPr>
        <w:lastRenderedPageBreak/>
        <w:t>Cuadro N° 5</w:t>
      </w:r>
    </w:p>
    <w:p w:rsidR="00FF0D18" w:rsidRPr="00E63502" w:rsidRDefault="00FF0D18" w:rsidP="00FF0D18">
      <w:pPr>
        <w:spacing w:after="0" w:line="360" w:lineRule="auto"/>
        <w:jc w:val="center"/>
        <w:rPr>
          <w:rFonts w:ascii="Arial" w:eastAsia="Calibri" w:hAnsi="Arial" w:cs="Arial"/>
          <w:b/>
          <w:sz w:val="24"/>
          <w:szCs w:val="24"/>
        </w:rPr>
      </w:pPr>
      <w:r w:rsidRPr="00E63502">
        <w:rPr>
          <w:rFonts w:ascii="Arial" w:eastAsia="Calibri" w:hAnsi="Arial" w:cs="Arial"/>
          <w:b/>
          <w:sz w:val="24"/>
          <w:szCs w:val="24"/>
        </w:rPr>
        <w:t>Condición de la Red Vial Nacional Asfaltada, según IRI</w:t>
      </w:r>
    </w:p>
    <w:p w:rsidR="00FF0D18" w:rsidRPr="00E63502" w:rsidRDefault="00FF0D18" w:rsidP="00FF0D18">
      <w:pPr>
        <w:spacing w:after="200" w:line="276" w:lineRule="auto"/>
        <w:jc w:val="center"/>
        <w:rPr>
          <w:rFonts w:ascii="Times New Roman" w:eastAsia="Calibri" w:hAnsi="Times New Roman" w:cs="Times New Roman"/>
          <w:sz w:val="24"/>
          <w:szCs w:val="24"/>
        </w:rPr>
      </w:pPr>
      <w:r w:rsidRPr="00E63502">
        <w:rPr>
          <w:rFonts w:ascii="Times New Roman" w:eastAsia="Calibri" w:hAnsi="Times New Roman" w:cs="Times New Roman"/>
          <w:b/>
          <w:bCs/>
          <w:noProof/>
          <w:sz w:val="24"/>
          <w:szCs w:val="24"/>
          <w:lang w:eastAsia="es-CR"/>
        </w:rPr>
        <w:drawing>
          <wp:inline distT="0" distB="0" distL="0" distR="0" wp14:anchorId="0C2784AE" wp14:editId="6319D117">
            <wp:extent cx="4661941" cy="30286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9-11-28 a la(s) 09.44.12.png"/>
                    <pic:cNvPicPr/>
                  </pic:nvPicPr>
                  <pic:blipFill>
                    <a:blip r:embed="rId12">
                      <a:extLst>
                        <a:ext uri="{28A0092B-C50C-407E-A947-70E740481C1C}">
                          <a14:useLocalDpi xmlns:a14="http://schemas.microsoft.com/office/drawing/2010/main" val="0"/>
                        </a:ext>
                      </a:extLst>
                    </a:blip>
                    <a:stretch>
                      <a:fillRect/>
                    </a:stretch>
                  </pic:blipFill>
                  <pic:spPr>
                    <a:xfrm>
                      <a:off x="0" y="0"/>
                      <a:ext cx="4684506" cy="3043273"/>
                    </a:xfrm>
                    <a:prstGeom prst="rect">
                      <a:avLst/>
                    </a:prstGeom>
                  </pic:spPr>
                </pic:pic>
              </a:graphicData>
            </a:graphic>
          </wp:inline>
        </w:drawing>
      </w:r>
    </w:p>
    <w:p w:rsidR="00460E1E" w:rsidRDefault="00460E1E" w:rsidP="00A37750">
      <w:pPr>
        <w:autoSpaceDE w:val="0"/>
        <w:autoSpaceDN w:val="0"/>
        <w:adjustRightInd w:val="0"/>
        <w:spacing w:after="0" w:line="240" w:lineRule="auto"/>
        <w:jc w:val="both"/>
        <w:rPr>
          <w:rFonts w:ascii="Arial" w:eastAsia="Calibri" w:hAnsi="Arial" w:cs="Arial"/>
          <w:bCs/>
          <w:sz w:val="24"/>
          <w:szCs w:val="24"/>
        </w:rPr>
      </w:pPr>
    </w:p>
    <w:p w:rsidR="00FF0D18" w:rsidRDefault="00FF0D18" w:rsidP="00A37750">
      <w:pPr>
        <w:autoSpaceDE w:val="0"/>
        <w:autoSpaceDN w:val="0"/>
        <w:adjustRightInd w:val="0"/>
        <w:spacing w:after="0" w:line="240" w:lineRule="auto"/>
        <w:jc w:val="both"/>
        <w:rPr>
          <w:rFonts w:ascii="Arial" w:eastAsia="Calibri" w:hAnsi="Arial" w:cs="Arial"/>
          <w:bCs/>
          <w:sz w:val="24"/>
          <w:szCs w:val="24"/>
        </w:rPr>
      </w:pPr>
      <w:r w:rsidRPr="00E63502">
        <w:rPr>
          <w:rFonts w:ascii="Arial" w:eastAsia="Calibri" w:hAnsi="Arial" w:cs="Arial"/>
          <w:bCs/>
          <w:sz w:val="24"/>
          <w:szCs w:val="24"/>
        </w:rPr>
        <w:t>En este sentido, el sector de infraestructura vial, debe superar un conjunto de retos que requieren aunar esfuerzos para la consecución de recursos para atender las necesidades. El rezago de inversión en vialidad durante muchos años, ha llevado a que la red se encuentre en muy malas condiciones, ha provocado también aumento en los costos de mantenimiento, incremento de accidentalidad y aumento de costos de operación que repercuten</w:t>
      </w:r>
      <w:r w:rsidR="00460E1E">
        <w:rPr>
          <w:rFonts w:ascii="Arial" w:eastAsia="Calibri" w:hAnsi="Arial" w:cs="Arial"/>
          <w:bCs/>
          <w:sz w:val="24"/>
          <w:szCs w:val="24"/>
        </w:rPr>
        <w:t xml:space="preserve"> en la competitividad del país.</w:t>
      </w:r>
    </w:p>
    <w:p w:rsidR="00460E1E" w:rsidRPr="00E63502" w:rsidRDefault="00460E1E" w:rsidP="00A37750">
      <w:pPr>
        <w:autoSpaceDE w:val="0"/>
        <w:autoSpaceDN w:val="0"/>
        <w:adjustRightInd w:val="0"/>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Los principales retos para el sistema de transportes son:</w:t>
      </w:r>
    </w:p>
    <w:p w:rsidR="00FF0D18" w:rsidRPr="00E63502" w:rsidRDefault="00FF0D18" w:rsidP="00A37750">
      <w:pPr>
        <w:spacing w:after="0" w:line="240" w:lineRule="auto"/>
        <w:jc w:val="both"/>
        <w:rPr>
          <w:rFonts w:ascii="Arial" w:eastAsia="Calibri" w:hAnsi="Arial" w:cs="Arial"/>
          <w:bCs/>
          <w:sz w:val="24"/>
          <w:szCs w:val="24"/>
        </w:rPr>
      </w:pPr>
    </w:p>
    <w:p w:rsidR="00FF0D18" w:rsidRPr="00E63502" w:rsidRDefault="00460E1E" w:rsidP="00460E1E">
      <w:pPr>
        <w:spacing w:after="0" w:line="240" w:lineRule="auto"/>
        <w:ind w:left="705" w:hanging="705"/>
        <w:contextualSpacing/>
        <w:jc w:val="both"/>
        <w:rPr>
          <w:rFonts w:ascii="Arial" w:eastAsia="Times New Roman" w:hAnsi="Arial" w:cs="Arial"/>
          <w:bCs/>
          <w:sz w:val="24"/>
          <w:szCs w:val="24"/>
        </w:rPr>
      </w:pPr>
      <w:r>
        <w:rPr>
          <w:rFonts w:ascii="Arial" w:eastAsia="Times New Roman" w:hAnsi="Arial" w:cs="Arial"/>
          <w:bCs/>
          <w:sz w:val="24"/>
          <w:szCs w:val="24"/>
        </w:rPr>
        <w:t>-</w:t>
      </w:r>
      <w:r>
        <w:rPr>
          <w:rFonts w:ascii="Arial" w:eastAsia="Times New Roman" w:hAnsi="Arial" w:cs="Arial"/>
          <w:bCs/>
          <w:sz w:val="24"/>
          <w:szCs w:val="24"/>
        </w:rPr>
        <w:tab/>
      </w:r>
      <w:r w:rsidR="00FF0D18" w:rsidRPr="00E63502">
        <w:rPr>
          <w:rFonts w:ascii="Arial" w:eastAsia="Times New Roman" w:hAnsi="Arial" w:cs="Arial"/>
          <w:bCs/>
          <w:sz w:val="24"/>
          <w:szCs w:val="24"/>
        </w:rPr>
        <w:t>Lograr que sea uno de los pilares que sostiene la actividad económica y productiva del país.</w:t>
      </w:r>
    </w:p>
    <w:p w:rsidR="00FF0D18" w:rsidRPr="00E63502" w:rsidRDefault="00FF0D18" w:rsidP="00A37750">
      <w:pPr>
        <w:spacing w:after="0" w:line="240" w:lineRule="auto"/>
        <w:jc w:val="both"/>
        <w:rPr>
          <w:rFonts w:ascii="Arial" w:eastAsia="Calibri" w:hAnsi="Arial" w:cs="Arial"/>
          <w:bCs/>
          <w:sz w:val="24"/>
          <w:szCs w:val="24"/>
        </w:rPr>
      </w:pPr>
    </w:p>
    <w:p w:rsidR="00FF0D18" w:rsidRPr="00E63502" w:rsidRDefault="00460E1E" w:rsidP="00460E1E">
      <w:pPr>
        <w:spacing w:after="0" w:line="240" w:lineRule="auto"/>
        <w:ind w:left="705" w:hanging="705"/>
        <w:contextualSpacing/>
        <w:jc w:val="both"/>
        <w:rPr>
          <w:rFonts w:ascii="Arial" w:eastAsia="Times New Roman" w:hAnsi="Arial" w:cs="Arial"/>
          <w:bCs/>
          <w:sz w:val="24"/>
          <w:szCs w:val="24"/>
        </w:rPr>
      </w:pPr>
      <w:r>
        <w:rPr>
          <w:rFonts w:ascii="Arial" w:eastAsia="Times New Roman" w:hAnsi="Arial" w:cs="Arial"/>
          <w:bCs/>
          <w:sz w:val="24"/>
          <w:szCs w:val="24"/>
        </w:rPr>
        <w:t>-</w:t>
      </w:r>
      <w:r>
        <w:rPr>
          <w:rFonts w:ascii="Arial" w:eastAsia="Times New Roman" w:hAnsi="Arial" w:cs="Arial"/>
          <w:bCs/>
          <w:sz w:val="24"/>
          <w:szCs w:val="24"/>
        </w:rPr>
        <w:tab/>
      </w:r>
      <w:r w:rsidR="00FF0D18" w:rsidRPr="00E63502">
        <w:rPr>
          <w:rFonts w:ascii="Arial" w:eastAsia="Times New Roman" w:hAnsi="Arial" w:cs="Arial"/>
          <w:bCs/>
          <w:sz w:val="24"/>
          <w:szCs w:val="24"/>
        </w:rPr>
        <w:t>Conseguir que constituya la plataforma sobre la cual, las instituciones responsables en la materia, establezcan y acometan las distintas políticas de organización, promoción y mejora del turismo.</w:t>
      </w:r>
    </w:p>
    <w:p w:rsidR="00FF0D18" w:rsidRPr="00E63502" w:rsidRDefault="00FF0D18" w:rsidP="00A37750">
      <w:pPr>
        <w:spacing w:after="0" w:line="240" w:lineRule="auto"/>
        <w:contextualSpacing/>
        <w:rPr>
          <w:rFonts w:ascii="Arial" w:eastAsia="Times New Roman" w:hAnsi="Arial" w:cs="Arial"/>
          <w:bCs/>
          <w:sz w:val="24"/>
          <w:szCs w:val="24"/>
        </w:rPr>
      </w:pPr>
    </w:p>
    <w:p w:rsidR="00FF0D18" w:rsidRPr="00E63502" w:rsidRDefault="00460E1E" w:rsidP="00460E1E">
      <w:pPr>
        <w:spacing w:after="0" w:line="240" w:lineRule="auto"/>
        <w:ind w:left="705" w:hanging="705"/>
        <w:contextualSpacing/>
        <w:jc w:val="both"/>
        <w:rPr>
          <w:rFonts w:ascii="Arial" w:eastAsia="Times New Roman" w:hAnsi="Arial" w:cs="Arial"/>
          <w:bCs/>
          <w:sz w:val="24"/>
          <w:szCs w:val="24"/>
        </w:rPr>
      </w:pPr>
      <w:r>
        <w:rPr>
          <w:rFonts w:ascii="Arial" w:eastAsia="Times New Roman" w:hAnsi="Arial" w:cs="Arial"/>
          <w:bCs/>
          <w:sz w:val="24"/>
          <w:szCs w:val="24"/>
        </w:rPr>
        <w:t>-</w:t>
      </w:r>
      <w:r>
        <w:rPr>
          <w:rFonts w:ascii="Arial" w:eastAsia="Times New Roman" w:hAnsi="Arial" w:cs="Arial"/>
          <w:bCs/>
          <w:sz w:val="24"/>
          <w:szCs w:val="24"/>
        </w:rPr>
        <w:tab/>
      </w:r>
      <w:r w:rsidR="00FF0D18" w:rsidRPr="00E63502">
        <w:rPr>
          <w:rFonts w:ascii="Arial" w:eastAsia="Times New Roman" w:hAnsi="Arial" w:cs="Arial"/>
          <w:bCs/>
          <w:sz w:val="24"/>
          <w:szCs w:val="24"/>
        </w:rPr>
        <w:t>Alcanzar el objetivo que facilite el comercio exterior en vez de que sea un obstáculo para el mismo, mejorando la movilización de las mercancías, reduciendo los tiempos de tránsito, disminuyendo los costos de transporte y agilizando los trámites asociados.</w:t>
      </w:r>
    </w:p>
    <w:p w:rsidR="00FF0D18" w:rsidRPr="00E63502" w:rsidRDefault="00FF0D18" w:rsidP="00A37750">
      <w:pPr>
        <w:spacing w:after="0" w:line="240" w:lineRule="auto"/>
        <w:contextualSpacing/>
        <w:jc w:val="both"/>
        <w:rPr>
          <w:rFonts w:ascii="Arial" w:eastAsia="Times New Roman" w:hAnsi="Arial" w:cs="Arial"/>
          <w:bCs/>
          <w:sz w:val="24"/>
          <w:szCs w:val="24"/>
        </w:rPr>
      </w:pPr>
    </w:p>
    <w:p w:rsidR="00FF0D18" w:rsidRPr="00E63502" w:rsidRDefault="00460E1E" w:rsidP="00460E1E">
      <w:pPr>
        <w:spacing w:after="0" w:line="240" w:lineRule="auto"/>
        <w:ind w:left="705" w:hanging="705"/>
        <w:contextualSpacing/>
        <w:jc w:val="both"/>
        <w:rPr>
          <w:rFonts w:ascii="Arial" w:eastAsia="Times New Roman" w:hAnsi="Arial" w:cs="Arial"/>
          <w:bCs/>
          <w:sz w:val="24"/>
          <w:szCs w:val="24"/>
        </w:rPr>
      </w:pPr>
      <w:r>
        <w:rPr>
          <w:rFonts w:ascii="Arial" w:eastAsia="Times New Roman" w:hAnsi="Arial" w:cs="Arial"/>
          <w:bCs/>
          <w:sz w:val="24"/>
          <w:szCs w:val="24"/>
        </w:rPr>
        <w:t>-</w:t>
      </w:r>
      <w:r>
        <w:rPr>
          <w:rFonts w:ascii="Arial" w:eastAsia="Times New Roman" w:hAnsi="Arial" w:cs="Arial"/>
          <w:bCs/>
          <w:sz w:val="24"/>
          <w:szCs w:val="24"/>
        </w:rPr>
        <w:tab/>
      </w:r>
      <w:r w:rsidR="00FF0D18" w:rsidRPr="00E63502">
        <w:rPr>
          <w:rFonts w:ascii="Arial" w:eastAsia="Times New Roman" w:hAnsi="Arial" w:cs="Arial"/>
          <w:bCs/>
          <w:sz w:val="24"/>
          <w:szCs w:val="24"/>
        </w:rPr>
        <w:t xml:space="preserve">Facilitar a la población una infraestructura vial que conecta a todos los modos, agilizando los procesos de intercambio (intermodalidad), y </w:t>
      </w:r>
      <w:r w:rsidR="00FF0D18" w:rsidRPr="00E63502">
        <w:rPr>
          <w:rFonts w:ascii="Arial" w:eastAsia="Times New Roman" w:hAnsi="Arial" w:cs="Arial"/>
          <w:bCs/>
          <w:sz w:val="24"/>
          <w:szCs w:val="24"/>
        </w:rPr>
        <w:lastRenderedPageBreak/>
        <w:t>permitiendo igualmente el transporte de mercancías de forma eficiente hacia los centros logísticos de distribución.</w:t>
      </w:r>
    </w:p>
    <w:p w:rsidR="00FF0D18" w:rsidRPr="00E63502" w:rsidRDefault="00FF0D18" w:rsidP="00A37750">
      <w:pPr>
        <w:spacing w:after="0" w:line="240" w:lineRule="auto"/>
        <w:contextualSpacing/>
        <w:rPr>
          <w:rFonts w:ascii="Arial" w:eastAsia="Times New Roman" w:hAnsi="Arial" w:cs="Arial"/>
          <w:bCs/>
          <w:sz w:val="24"/>
          <w:szCs w:val="24"/>
        </w:rPr>
      </w:pPr>
    </w:p>
    <w:p w:rsidR="00FF0D18" w:rsidRPr="00E63502" w:rsidRDefault="00460E1E" w:rsidP="00460E1E">
      <w:pPr>
        <w:spacing w:after="0" w:line="240" w:lineRule="auto"/>
        <w:ind w:left="705" w:hanging="705"/>
        <w:contextualSpacing/>
        <w:jc w:val="both"/>
        <w:rPr>
          <w:rFonts w:ascii="Arial" w:eastAsia="Times New Roman" w:hAnsi="Arial" w:cs="Arial"/>
          <w:bCs/>
          <w:sz w:val="24"/>
          <w:szCs w:val="24"/>
        </w:rPr>
      </w:pPr>
      <w:r>
        <w:rPr>
          <w:rFonts w:ascii="Arial" w:eastAsia="Times New Roman" w:hAnsi="Arial" w:cs="Arial"/>
          <w:bCs/>
          <w:sz w:val="24"/>
          <w:szCs w:val="24"/>
        </w:rPr>
        <w:t>-</w:t>
      </w:r>
      <w:r>
        <w:rPr>
          <w:rFonts w:ascii="Arial" w:eastAsia="Times New Roman" w:hAnsi="Arial" w:cs="Arial"/>
          <w:bCs/>
          <w:sz w:val="24"/>
          <w:szCs w:val="24"/>
        </w:rPr>
        <w:tab/>
      </w:r>
      <w:r w:rsidR="00FF0D18" w:rsidRPr="00E63502">
        <w:rPr>
          <w:rFonts w:ascii="Arial" w:eastAsia="Times New Roman" w:hAnsi="Arial" w:cs="Arial"/>
          <w:bCs/>
          <w:sz w:val="24"/>
          <w:szCs w:val="24"/>
        </w:rPr>
        <w:t>Conseguir que las infraestructuras existentes se encuentren adecuadas a la demanda, a pleno rendimiento y con un estado operativo adecuado a sus capacidades y características, de forma que su estado de conservación no merme sus prestaciones y funcionalidad.</w:t>
      </w:r>
    </w:p>
    <w:p w:rsidR="00FF0D18" w:rsidRPr="00E63502" w:rsidRDefault="00FF0D18" w:rsidP="00A37750">
      <w:pPr>
        <w:spacing w:after="0" w:line="240" w:lineRule="auto"/>
        <w:contextualSpacing/>
        <w:jc w:val="both"/>
        <w:rPr>
          <w:rFonts w:ascii="Arial" w:eastAsia="Times New Roman" w:hAnsi="Arial" w:cs="Arial"/>
          <w:bCs/>
          <w:sz w:val="24"/>
          <w:szCs w:val="24"/>
        </w:rPr>
      </w:pPr>
    </w:p>
    <w:p w:rsidR="00FF0D18" w:rsidRPr="00E63502" w:rsidRDefault="00460E1E" w:rsidP="00460E1E">
      <w:pPr>
        <w:spacing w:after="0" w:line="240" w:lineRule="auto"/>
        <w:ind w:left="705" w:hanging="705"/>
        <w:contextualSpacing/>
        <w:jc w:val="both"/>
        <w:rPr>
          <w:rFonts w:ascii="Arial" w:eastAsia="Times New Roman" w:hAnsi="Arial" w:cs="Arial"/>
          <w:bCs/>
          <w:sz w:val="24"/>
          <w:szCs w:val="24"/>
        </w:rPr>
      </w:pPr>
      <w:r>
        <w:rPr>
          <w:rFonts w:ascii="Arial" w:eastAsia="Times New Roman" w:hAnsi="Arial" w:cs="Arial"/>
          <w:bCs/>
          <w:sz w:val="24"/>
          <w:szCs w:val="24"/>
        </w:rPr>
        <w:t>-</w:t>
      </w:r>
      <w:r>
        <w:rPr>
          <w:rFonts w:ascii="Arial" w:eastAsia="Times New Roman" w:hAnsi="Arial" w:cs="Arial"/>
          <w:bCs/>
          <w:sz w:val="24"/>
          <w:szCs w:val="24"/>
        </w:rPr>
        <w:tab/>
      </w:r>
      <w:r w:rsidR="00FF0D18" w:rsidRPr="00E63502">
        <w:rPr>
          <w:rFonts w:ascii="Arial" w:eastAsia="Times New Roman" w:hAnsi="Arial" w:cs="Arial"/>
          <w:bCs/>
          <w:sz w:val="24"/>
          <w:szCs w:val="24"/>
        </w:rPr>
        <w:t>Alcanzar niveles de seguridad acordes con los estándares y buenas prácticas internacionales, reduciendo la siniestralidad, minimizando el efecto del ambiente sobre las infraestructuras (tormentas, deslizamientos de tierras, etc.) y adecuando las instalaciones y las labores de control para el tráfico nacional, el tráfico internacional, y en particular, el tráfico de mercancías peligrosas.</w:t>
      </w:r>
    </w:p>
    <w:p w:rsidR="00FF0D18" w:rsidRPr="00E63502" w:rsidRDefault="00FF0D18" w:rsidP="00A37750">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A37750">
      <w:pPr>
        <w:autoSpaceDE w:val="0"/>
        <w:autoSpaceDN w:val="0"/>
        <w:adjustRightInd w:val="0"/>
        <w:spacing w:after="0" w:line="240" w:lineRule="auto"/>
        <w:jc w:val="both"/>
        <w:rPr>
          <w:rFonts w:ascii="Arial" w:eastAsia="Times New Roman" w:hAnsi="Arial" w:cs="Arial"/>
          <w:b/>
          <w:sz w:val="24"/>
          <w:szCs w:val="24"/>
          <w:lang w:val="es-ES_tradnl" w:eastAsia="es-ES"/>
        </w:rPr>
      </w:pPr>
      <w:r w:rsidRPr="00E63502">
        <w:rPr>
          <w:rFonts w:ascii="Arial" w:eastAsia="Times New Roman" w:hAnsi="Arial" w:cs="Arial"/>
          <w:b/>
          <w:sz w:val="24"/>
          <w:szCs w:val="24"/>
          <w:lang w:val="es-ES_tradnl" w:eastAsia="es-ES"/>
        </w:rPr>
        <w:t>Plan Nacional de Transportes (PNT)</w:t>
      </w:r>
    </w:p>
    <w:p w:rsidR="00FF0D18" w:rsidRPr="00E63502" w:rsidRDefault="00FF0D18" w:rsidP="00A37750">
      <w:pPr>
        <w:autoSpaceDE w:val="0"/>
        <w:autoSpaceDN w:val="0"/>
        <w:adjustRightInd w:val="0"/>
        <w:spacing w:after="0" w:line="240" w:lineRule="auto"/>
        <w:jc w:val="both"/>
        <w:rPr>
          <w:rFonts w:ascii="Arial" w:eastAsia="Times New Roman" w:hAnsi="Arial" w:cs="Arial"/>
          <w:sz w:val="24"/>
          <w:szCs w:val="24"/>
          <w:lang w:val="es-ES_tradnl" w:eastAsia="es-ES"/>
        </w:rPr>
      </w:pPr>
    </w:p>
    <w:p w:rsidR="00FF0D18" w:rsidRPr="00E63502" w:rsidRDefault="00FF0D18" w:rsidP="00A37750">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Times New Roman" w:hAnsi="Arial" w:cs="Arial"/>
          <w:sz w:val="24"/>
          <w:szCs w:val="24"/>
          <w:lang w:val="es-ES_tradnl" w:eastAsia="es-ES"/>
        </w:rPr>
        <w:t>El</w:t>
      </w:r>
      <w:r w:rsidRPr="00E63502">
        <w:rPr>
          <w:rFonts w:ascii="Arial" w:eastAsia="Times New Roman" w:hAnsi="Arial" w:cs="Arial"/>
          <w:sz w:val="24"/>
          <w:szCs w:val="24"/>
          <w:lang w:eastAsia="es-ES"/>
        </w:rPr>
        <w:t xml:space="preserve"> MOPT concluyó en setiembre de 2011 la actualización del Plan Nacional de Transportes (PNT) 2011-2035, con lo cual este Ministerio ha decidido </w:t>
      </w:r>
      <w:r w:rsidRPr="00E63502">
        <w:rPr>
          <w:rFonts w:ascii="Arial" w:eastAsia="Times New Roman" w:hAnsi="Arial" w:cs="Arial"/>
          <w:bCs/>
          <w:sz w:val="24"/>
          <w:szCs w:val="24"/>
          <w:lang w:eastAsia="es-ES"/>
        </w:rPr>
        <w:t xml:space="preserve">apostar abiertamente por la planificación </w:t>
      </w:r>
      <w:r w:rsidRPr="00E63502">
        <w:rPr>
          <w:rFonts w:ascii="Arial" w:eastAsia="Times New Roman" w:hAnsi="Arial" w:cs="Arial"/>
          <w:sz w:val="24"/>
          <w:szCs w:val="24"/>
          <w:lang w:eastAsia="es-ES"/>
        </w:rPr>
        <w:t xml:space="preserve">del sistema de transportes a corto, mediano y largo plazo y establece que su </w:t>
      </w:r>
      <w:r w:rsidRPr="00E63502">
        <w:rPr>
          <w:rFonts w:ascii="Arial" w:eastAsia="Calibri" w:hAnsi="Arial" w:cs="Arial"/>
          <w:sz w:val="24"/>
          <w:szCs w:val="24"/>
          <w:lang w:eastAsia="es-CR"/>
        </w:rPr>
        <w:t xml:space="preserve">misión es apoyar la </w:t>
      </w:r>
      <w:r w:rsidRPr="00E63502">
        <w:rPr>
          <w:rFonts w:ascii="Arial" w:eastAsia="Calibri" w:hAnsi="Arial" w:cs="Arial"/>
          <w:b/>
          <w:sz w:val="24"/>
          <w:szCs w:val="24"/>
          <w:lang w:eastAsia="es-CR"/>
        </w:rPr>
        <w:t>“Visión País”</w:t>
      </w:r>
      <w:r w:rsidRPr="00E63502">
        <w:rPr>
          <w:rFonts w:ascii="Arial" w:eastAsia="Calibri" w:hAnsi="Arial" w:cs="Arial"/>
          <w:sz w:val="24"/>
          <w:szCs w:val="24"/>
          <w:lang w:eastAsia="es-CR"/>
        </w:rPr>
        <w:t xml:space="preserve"> que persigue el Gobierno de la República.</w:t>
      </w:r>
    </w:p>
    <w:p w:rsidR="00FF0D18" w:rsidRPr="00E63502" w:rsidRDefault="00FF0D18" w:rsidP="00A37750">
      <w:pPr>
        <w:spacing w:after="0" w:line="240" w:lineRule="auto"/>
        <w:jc w:val="both"/>
        <w:rPr>
          <w:rFonts w:ascii="Arial" w:eastAsia="Calibri" w:hAnsi="Arial" w:cs="Arial"/>
          <w:sz w:val="24"/>
          <w:szCs w:val="24"/>
          <w:lang w:eastAsia="es-CR"/>
        </w:rPr>
      </w:pPr>
    </w:p>
    <w:p w:rsidR="00FF0D18" w:rsidRPr="00E63502" w:rsidRDefault="00FF0D18" w:rsidP="00A37750">
      <w:pPr>
        <w:spacing w:after="0" w:line="240" w:lineRule="auto"/>
        <w:jc w:val="both"/>
        <w:rPr>
          <w:rFonts w:ascii="Arial" w:eastAsia="Times New Roman" w:hAnsi="Arial" w:cs="Arial"/>
          <w:sz w:val="24"/>
          <w:szCs w:val="24"/>
          <w:lang w:val="es-ES_tradnl" w:eastAsia="es-ES"/>
        </w:rPr>
      </w:pPr>
      <w:r w:rsidRPr="00E63502">
        <w:rPr>
          <w:rFonts w:ascii="Arial" w:eastAsia="Calibri" w:hAnsi="Arial" w:cs="Arial"/>
          <w:sz w:val="24"/>
          <w:szCs w:val="24"/>
          <w:lang w:eastAsia="es-CR"/>
        </w:rPr>
        <w:t>Este</w:t>
      </w:r>
      <w:r w:rsidRPr="00E63502">
        <w:rPr>
          <w:rFonts w:ascii="Arial" w:eastAsia="Times New Roman" w:hAnsi="Arial" w:cs="Arial"/>
          <w:sz w:val="24"/>
          <w:szCs w:val="24"/>
          <w:lang w:eastAsia="es-ES"/>
        </w:rPr>
        <w:t xml:space="preserve"> Plan dota al MOPT de un instrumento que aseguraría la modernización y adecuación de todas las redes de transporte a las necesidades del país y, además, </w:t>
      </w:r>
      <w:r w:rsidRPr="00E63502">
        <w:rPr>
          <w:rFonts w:ascii="Arial" w:eastAsia="Times New Roman" w:hAnsi="Arial" w:cs="Arial"/>
          <w:sz w:val="24"/>
          <w:szCs w:val="24"/>
          <w:lang w:val="es-ES_tradnl" w:eastAsia="es-ES"/>
        </w:rPr>
        <w:t xml:space="preserve">permitiría canalizar los esfuerzos, recursos e inversiones necesarias para asegurar el éxito futuro del sistema de transportes de Costa Rica, por lo que se convierte en la </w:t>
      </w:r>
      <w:r w:rsidRPr="00E63502">
        <w:rPr>
          <w:rFonts w:ascii="Arial" w:eastAsia="Times New Roman" w:hAnsi="Arial" w:cs="Arial"/>
          <w:i/>
          <w:iCs/>
          <w:sz w:val="24"/>
          <w:szCs w:val="24"/>
          <w:lang w:val="es-ES_tradnl" w:eastAsia="es-ES"/>
        </w:rPr>
        <w:t>hoja de ruta</w:t>
      </w:r>
      <w:r w:rsidRPr="00E63502">
        <w:rPr>
          <w:rFonts w:ascii="Arial" w:eastAsia="Times New Roman" w:hAnsi="Arial" w:cs="Arial"/>
          <w:iCs/>
          <w:sz w:val="24"/>
          <w:szCs w:val="24"/>
          <w:lang w:val="es-ES_tradnl" w:eastAsia="es-ES"/>
        </w:rPr>
        <w:t xml:space="preserve"> </w:t>
      </w:r>
      <w:r w:rsidRPr="00E63502">
        <w:rPr>
          <w:rFonts w:ascii="Arial" w:eastAsia="Times New Roman" w:hAnsi="Arial" w:cs="Arial"/>
          <w:sz w:val="24"/>
          <w:szCs w:val="24"/>
          <w:lang w:val="es-ES_tradnl" w:eastAsia="es-ES"/>
        </w:rPr>
        <w:t>para la toma de decisiones en materia de inversiones en el sistema de transportes, por parte de los sectores público y privado.</w:t>
      </w:r>
    </w:p>
    <w:p w:rsidR="00FF0D18" w:rsidRPr="00E63502" w:rsidRDefault="00FF0D18" w:rsidP="00A37750">
      <w:pPr>
        <w:overflowPunct w:val="0"/>
        <w:autoSpaceDE w:val="0"/>
        <w:autoSpaceDN w:val="0"/>
        <w:adjustRightInd w:val="0"/>
        <w:spacing w:after="0" w:line="240" w:lineRule="auto"/>
        <w:jc w:val="both"/>
        <w:textAlignment w:val="baseline"/>
        <w:rPr>
          <w:rFonts w:ascii="Arial" w:eastAsia="Times New Roman" w:hAnsi="Arial" w:cs="Arial"/>
          <w:sz w:val="24"/>
          <w:szCs w:val="24"/>
          <w:lang w:val="es-ES_tradnl" w:eastAsia="es-ES"/>
        </w:rPr>
      </w:pPr>
    </w:p>
    <w:p w:rsidR="00FF0D18" w:rsidRDefault="00FF0D18" w:rsidP="00A37750">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Por tanto, el objetivo superior del PNT es elaborar estudios sectoriales de transporte que se sustenten en este y que, a su vez, permita orientar a las autoridades superiores sobre las posibles alternativas de financiamiento para ejecutar las diversas obras identificadas en el referido Plan, de manera que se formule un plan de inversiones escalonado para los próximos veinticinco años.</w:t>
      </w:r>
    </w:p>
    <w:p w:rsidR="00460E1E" w:rsidRPr="00E63502" w:rsidRDefault="00460E1E" w:rsidP="00A37750">
      <w:pPr>
        <w:spacing w:after="0" w:line="240" w:lineRule="auto"/>
        <w:jc w:val="both"/>
        <w:rPr>
          <w:rFonts w:ascii="Arial" w:eastAsia="Calibri" w:hAnsi="Arial" w:cs="Arial"/>
          <w:bCs/>
          <w:sz w:val="24"/>
          <w:szCs w:val="24"/>
          <w:lang w:val="es-ES_tradnl"/>
        </w:rPr>
      </w:pPr>
    </w:p>
    <w:p w:rsidR="00FF0D18" w:rsidRPr="00E63502" w:rsidRDefault="00FF0D18" w:rsidP="00A37750">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En este contexto, este Ministerio estima conveniente y oportuno la aprobación del Convenio de Cooperación para el financiamiento de Proyectos de Inversión (CCLIP) CR-O0005 para el financiamiento del Programa de Infraestructura Vial y Movilidad Urbana, por un monto de US$ 350.000.000,00</w:t>
      </w:r>
      <w:r>
        <w:rPr>
          <w:rFonts w:ascii="Arial" w:eastAsia="Calibri" w:hAnsi="Arial" w:cs="Arial"/>
          <w:bCs/>
          <w:sz w:val="24"/>
          <w:szCs w:val="24"/>
          <w:lang w:val="es-ES_tradnl"/>
        </w:rPr>
        <w:t xml:space="preserve"> de dólares.</w:t>
      </w:r>
    </w:p>
    <w:p w:rsidR="00FF0D18" w:rsidRPr="00E63502" w:rsidRDefault="00FF0D18" w:rsidP="00A37750">
      <w:pPr>
        <w:spacing w:after="0" w:line="240" w:lineRule="auto"/>
        <w:jc w:val="both"/>
        <w:rPr>
          <w:rFonts w:ascii="Arial" w:eastAsia="Calibri" w:hAnsi="Arial" w:cs="Arial"/>
          <w:b/>
          <w:bCs/>
          <w:sz w:val="24"/>
          <w:szCs w:val="24"/>
          <w:lang w:val="es-ES_tradnl"/>
        </w:rPr>
      </w:pPr>
    </w:p>
    <w:p w:rsidR="00FF0D18" w:rsidRPr="00E63502" w:rsidRDefault="00FF0D18" w:rsidP="00A37750">
      <w:pPr>
        <w:spacing w:after="0" w:line="240" w:lineRule="auto"/>
        <w:jc w:val="both"/>
        <w:rPr>
          <w:rFonts w:ascii="Arial" w:eastAsia="Calibri" w:hAnsi="Arial" w:cs="Arial"/>
          <w:b/>
          <w:bCs/>
          <w:sz w:val="24"/>
          <w:szCs w:val="24"/>
          <w:lang w:val="es-ES_tradnl"/>
        </w:rPr>
      </w:pPr>
      <w:r w:rsidRPr="00E63502">
        <w:rPr>
          <w:rFonts w:ascii="Arial" w:eastAsia="Calibri" w:hAnsi="Arial" w:cs="Arial"/>
          <w:b/>
          <w:bCs/>
          <w:sz w:val="24"/>
          <w:szCs w:val="24"/>
          <w:lang w:val="es-ES_tradnl"/>
        </w:rPr>
        <w:t>Marco Económico y Financiero del PNT</w:t>
      </w:r>
    </w:p>
    <w:p w:rsidR="00FF0D18" w:rsidRPr="00E63502" w:rsidRDefault="00FF0D18" w:rsidP="00A37750">
      <w:pPr>
        <w:spacing w:after="0" w:line="240" w:lineRule="auto"/>
        <w:jc w:val="both"/>
        <w:rPr>
          <w:rFonts w:ascii="Arial" w:eastAsia="Calibri" w:hAnsi="Arial" w:cs="Arial"/>
          <w:bCs/>
          <w:sz w:val="24"/>
          <w:szCs w:val="24"/>
          <w:lang w:val="es-ES_tradnl"/>
        </w:rPr>
      </w:pPr>
    </w:p>
    <w:p w:rsidR="00FF0D18" w:rsidRPr="00E63502" w:rsidRDefault="00FF0D18" w:rsidP="00A37750">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 xml:space="preserve">Para elaborar el marco de financiación de los programas y acciones del PNT, el MOPT se ha planteado en primer término la necesidad de afrontar a corto plazo el atraso de inversión acumulada a lo largo de los últimos años, cuyo efecto más </w:t>
      </w:r>
      <w:r w:rsidRPr="00E63502">
        <w:rPr>
          <w:rFonts w:ascii="Arial" w:eastAsia="Calibri" w:hAnsi="Arial" w:cs="Arial"/>
          <w:bCs/>
          <w:sz w:val="24"/>
          <w:szCs w:val="24"/>
          <w:lang w:val="es-ES_tradnl"/>
        </w:rPr>
        <w:lastRenderedPageBreak/>
        <w:t>ostensible ha sido el proceso de descapitalización progresiva de las infraestructuras de transporte en el país.</w:t>
      </w:r>
    </w:p>
    <w:p w:rsidR="00FF0D18" w:rsidRPr="00E63502" w:rsidRDefault="00FF0D18" w:rsidP="00A37750">
      <w:pPr>
        <w:spacing w:after="0" w:line="240" w:lineRule="auto"/>
        <w:jc w:val="both"/>
        <w:rPr>
          <w:rFonts w:ascii="Arial" w:eastAsia="Calibri" w:hAnsi="Arial" w:cs="Arial"/>
          <w:bCs/>
          <w:sz w:val="24"/>
          <w:szCs w:val="24"/>
          <w:lang w:val="es-ES_tradnl"/>
        </w:rPr>
      </w:pPr>
    </w:p>
    <w:p w:rsidR="00FF0D18" w:rsidRDefault="00FF0D18" w:rsidP="00A37750">
      <w:pPr>
        <w:autoSpaceDE w:val="0"/>
        <w:autoSpaceDN w:val="0"/>
        <w:adjustRightInd w:val="0"/>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En los años noventa, se redujo drásticamente, en términos reales, el presupuesto destinado a la inversión en carreteras, como consecuencia de las políticas macroeconómicas de contención del gasto público, en el marco de los programas de reajuste estructural con el Fondo Monetario Internacional, lo que se reflejó en un deterioro progresivo de la red de carreteras.</w:t>
      </w:r>
    </w:p>
    <w:p w:rsidR="00460E1E" w:rsidRPr="00E63502" w:rsidRDefault="00460E1E" w:rsidP="00A37750">
      <w:pPr>
        <w:autoSpaceDE w:val="0"/>
        <w:autoSpaceDN w:val="0"/>
        <w:adjustRightInd w:val="0"/>
        <w:spacing w:after="0" w:line="240" w:lineRule="auto"/>
        <w:jc w:val="both"/>
        <w:rPr>
          <w:rFonts w:ascii="Arial" w:eastAsia="Calibri" w:hAnsi="Arial" w:cs="Arial"/>
          <w:bCs/>
          <w:sz w:val="24"/>
          <w:szCs w:val="24"/>
          <w:lang w:val="es-ES_tradnl"/>
        </w:rPr>
      </w:pPr>
    </w:p>
    <w:p w:rsidR="00FF0D18" w:rsidRDefault="00FF0D18" w:rsidP="00A37750">
      <w:pPr>
        <w:autoSpaceDE w:val="0"/>
        <w:autoSpaceDN w:val="0"/>
        <w:adjustRightInd w:val="0"/>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En adición a lo anterior, existían una serie de obstáculos para ejecutar las obras por administración y por contrato de forma expedita, en razón del complejo proceso de contratación y la poca flexibilidad para ejecutar el presupuesto.</w:t>
      </w:r>
    </w:p>
    <w:p w:rsidR="00460E1E" w:rsidRPr="00E63502" w:rsidRDefault="00460E1E" w:rsidP="00A37750">
      <w:pPr>
        <w:autoSpaceDE w:val="0"/>
        <w:autoSpaceDN w:val="0"/>
        <w:adjustRightInd w:val="0"/>
        <w:spacing w:after="0" w:line="240" w:lineRule="auto"/>
        <w:jc w:val="both"/>
        <w:rPr>
          <w:rFonts w:ascii="Arial" w:eastAsia="Calibri" w:hAnsi="Arial" w:cs="Arial"/>
          <w:bCs/>
          <w:sz w:val="24"/>
          <w:szCs w:val="24"/>
          <w:lang w:val="es-ES_tradnl"/>
        </w:rPr>
      </w:pPr>
    </w:p>
    <w:p w:rsidR="00FF0D18" w:rsidRDefault="00FF0D18" w:rsidP="00A37750">
      <w:pPr>
        <w:spacing w:after="0" w:line="240" w:lineRule="auto"/>
        <w:jc w:val="both"/>
        <w:rPr>
          <w:rFonts w:ascii="Arial" w:eastAsia="Times New Roman" w:hAnsi="Arial" w:cs="Arial"/>
          <w:bCs/>
          <w:sz w:val="24"/>
          <w:szCs w:val="24"/>
          <w:lang w:val="es-ES_tradnl" w:eastAsia="es-ES"/>
        </w:rPr>
      </w:pPr>
      <w:bookmarkStart w:id="8" w:name="_Ref16066867"/>
      <w:r w:rsidRPr="00E63502">
        <w:rPr>
          <w:rFonts w:ascii="Arial" w:eastAsia="Times New Roman" w:hAnsi="Arial" w:cs="Arial"/>
          <w:bCs/>
          <w:sz w:val="24"/>
          <w:szCs w:val="24"/>
          <w:lang w:val="es-ES_tradnl" w:eastAsia="es-ES"/>
        </w:rPr>
        <w:t xml:space="preserve">El efecto más dramático de este proceso se ha puesto de manifiesto a través de la intensidad y extensión de las emergencias viales registradas durante los últimos años, que propician que estas situaciones de emergencia hayan sustituido a las políticas activas de conservación, de forma que se hace necesaria la recuperación patrimonial de la Red Vial Nacional. </w:t>
      </w:r>
      <w:r w:rsidR="00460E1E">
        <w:rPr>
          <w:rFonts w:ascii="Arial" w:eastAsia="Times New Roman" w:hAnsi="Arial" w:cs="Arial"/>
          <w:bCs/>
          <w:sz w:val="24"/>
          <w:szCs w:val="24"/>
          <w:lang w:val="es-ES_tradnl" w:eastAsia="es-ES"/>
        </w:rPr>
        <w:t xml:space="preserve"> </w:t>
      </w:r>
      <w:r w:rsidRPr="00E63502">
        <w:rPr>
          <w:rFonts w:ascii="Arial" w:eastAsia="Times New Roman" w:hAnsi="Arial" w:cs="Arial"/>
          <w:bCs/>
          <w:sz w:val="24"/>
          <w:szCs w:val="24"/>
          <w:lang w:val="es-ES_tradnl" w:eastAsia="es-ES"/>
        </w:rPr>
        <w:t xml:space="preserve">Tal es el caso de los huracanes conocidos </w:t>
      </w:r>
      <w:r w:rsidRPr="00E63502">
        <w:rPr>
          <w:rFonts w:ascii="Arial" w:eastAsia="Times New Roman" w:hAnsi="Arial" w:cs="Arial"/>
          <w:color w:val="222222"/>
          <w:sz w:val="23"/>
          <w:szCs w:val="23"/>
          <w:lang w:eastAsia="es-ES_tradnl"/>
        </w:rPr>
        <w:t>como</w:t>
      </w:r>
      <w:r w:rsidRPr="00E63502">
        <w:rPr>
          <w:rFonts w:ascii="Arial" w:eastAsia="Times New Roman" w:hAnsi="Arial" w:cs="Arial"/>
          <w:bCs/>
          <w:sz w:val="24"/>
          <w:szCs w:val="24"/>
          <w:lang w:val="es-ES_tradnl" w:eastAsia="es-ES"/>
        </w:rPr>
        <w:t xml:space="preserve"> Juana en el año 1988, y César en el año 1996, en la Zona Sur y en Guanacaste respectivamente, dejando falseadas decenas de puentes y carreteras destruidas causando bloqueos.</w:t>
      </w:r>
    </w:p>
    <w:p w:rsidR="00460E1E" w:rsidRPr="00E63502" w:rsidRDefault="00460E1E" w:rsidP="00A37750">
      <w:pPr>
        <w:spacing w:after="0" w:line="240" w:lineRule="auto"/>
        <w:jc w:val="both"/>
        <w:rPr>
          <w:rFonts w:ascii="Arial" w:eastAsia="Times New Roman" w:hAnsi="Arial" w:cs="Arial"/>
          <w:bCs/>
          <w:sz w:val="24"/>
          <w:szCs w:val="24"/>
          <w:lang w:val="es-ES_tradnl" w:eastAsia="es-ES"/>
        </w:rPr>
      </w:pPr>
    </w:p>
    <w:bookmarkEnd w:id="8"/>
    <w:p w:rsidR="00FF0D18" w:rsidRPr="00E63502" w:rsidRDefault="00FF0D18" w:rsidP="00A37750">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 xml:space="preserve">El PNT supone una estimación inicial de los recursos necesarios para garantizar la recuperación y consolidación del patrimonio vial del país, que correspondería una inversión en los 25 años de vigencia del Plan de aproximadamente </w:t>
      </w:r>
      <w:r w:rsidRPr="00E63502">
        <w:rPr>
          <w:rFonts w:ascii="Arial" w:eastAsia="Calibri" w:hAnsi="Arial" w:cs="Arial"/>
          <w:bCs/>
          <w:color w:val="000000"/>
          <w:sz w:val="24"/>
          <w:szCs w:val="24"/>
          <w:lang w:val="es-ES_tradnl"/>
        </w:rPr>
        <w:t xml:space="preserve">USD 44.836,1 </w:t>
      </w:r>
      <w:r w:rsidRPr="00E63502">
        <w:rPr>
          <w:rFonts w:ascii="Arial" w:eastAsia="Calibri" w:hAnsi="Arial" w:cs="Arial"/>
          <w:bCs/>
          <w:sz w:val="24"/>
          <w:szCs w:val="24"/>
          <w:lang w:val="es-ES_tradnl"/>
        </w:rPr>
        <w:t>millones</w:t>
      </w:r>
      <w:r>
        <w:rPr>
          <w:rFonts w:ascii="Arial" w:eastAsia="Calibri" w:hAnsi="Arial" w:cs="Arial"/>
          <w:bCs/>
          <w:sz w:val="24"/>
          <w:szCs w:val="24"/>
          <w:lang w:val="es-ES_tradnl"/>
        </w:rPr>
        <w:t xml:space="preserve"> de dólares</w:t>
      </w:r>
      <w:r w:rsidR="00460E1E">
        <w:rPr>
          <w:rFonts w:ascii="Arial" w:eastAsia="Calibri" w:hAnsi="Arial" w:cs="Arial"/>
          <w:bCs/>
          <w:sz w:val="24"/>
          <w:szCs w:val="24"/>
          <w:lang w:val="es-ES_tradnl"/>
        </w:rPr>
        <w:t>.</w:t>
      </w:r>
    </w:p>
    <w:p w:rsidR="00FF0D18" w:rsidRPr="00E63502" w:rsidRDefault="00FF0D18" w:rsidP="00A37750">
      <w:pPr>
        <w:spacing w:after="0" w:line="240" w:lineRule="auto"/>
        <w:jc w:val="both"/>
        <w:rPr>
          <w:rFonts w:ascii="Arial" w:eastAsia="Calibri" w:hAnsi="Arial" w:cs="Arial"/>
          <w:bCs/>
          <w:sz w:val="24"/>
          <w:szCs w:val="24"/>
          <w:lang w:val="es-ES_tradnl"/>
        </w:rPr>
      </w:pPr>
    </w:p>
    <w:p w:rsidR="00FF0D18" w:rsidRPr="00E63502" w:rsidRDefault="00FF0D18" w:rsidP="00A37750">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En estas condiciones, al tiempo que se detiene el proceso de inversión que ha generado una pérdida patrimonial, de la que da idea la estimación anterior, deberán emprenderse las acciones necesarias para la modernización y racionalización del sistema de transporte como requisito imprescindible para un desarrollo a la altura de las potencialidades del país en el ámbito económico y com</w:t>
      </w:r>
      <w:r w:rsidR="00460E1E">
        <w:rPr>
          <w:rFonts w:ascii="Arial" w:eastAsia="Calibri" w:hAnsi="Arial" w:cs="Arial"/>
          <w:bCs/>
          <w:sz w:val="24"/>
          <w:szCs w:val="24"/>
          <w:lang w:val="es-ES_tradnl"/>
        </w:rPr>
        <w:t>ercial a mediano y largo plazo.</w:t>
      </w:r>
    </w:p>
    <w:p w:rsidR="00FF0D18" w:rsidRPr="00E63502" w:rsidRDefault="00FF0D18" w:rsidP="00A37750">
      <w:pPr>
        <w:spacing w:after="0" w:line="240" w:lineRule="auto"/>
        <w:jc w:val="both"/>
        <w:rPr>
          <w:rFonts w:ascii="Arial" w:eastAsia="Calibri" w:hAnsi="Arial" w:cs="Arial"/>
          <w:bCs/>
          <w:sz w:val="24"/>
          <w:szCs w:val="24"/>
          <w:lang w:val="es-ES_tradnl"/>
        </w:rPr>
      </w:pPr>
    </w:p>
    <w:p w:rsidR="00FF0D18" w:rsidRPr="00E63502" w:rsidRDefault="00FF0D18" w:rsidP="00A37750">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Este esfuerzo inversor requerirá, como primer paso, desvelar con claridad las necesidades de recursos para acometer las acciones previstas en</w:t>
      </w:r>
      <w:r w:rsidR="00460E1E">
        <w:rPr>
          <w:rFonts w:ascii="Arial" w:eastAsia="Calibri" w:hAnsi="Arial" w:cs="Arial"/>
          <w:bCs/>
          <w:sz w:val="24"/>
          <w:szCs w:val="24"/>
          <w:lang w:val="es-ES_tradnl"/>
        </w:rPr>
        <w:t xml:space="preserve"> las distintas etapas del Plan.</w:t>
      </w:r>
    </w:p>
    <w:p w:rsidR="00FF0D18" w:rsidRPr="00E63502" w:rsidRDefault="00FF0D18" w:rsidP="00A37750">
      <w:pPr>
        <w:spacing w:after="0" w:line="240" w:lineRule="auto"/>
        <w:jc w:val="both"/>
        <w:rPr>
          <w:rFonts w:ascii="Arial" w:eastAsia="Calibri" w:hAnsi="Arial" w:cs="Arial"/>
          <w:bCs/>
          <w:sz w:val="24"/>
          <w:szCs w:val="24"/>
          <w:lang w:val="es-ES_tradnl"/>
        </w:rPr>
      </w:pPr>
    </w:p>
    <w:p w:rsidR="00FF0D18" w:rsidRPr="00E63502" w:rsidRDefault="00FF0D18" w:rsidP="00A37750">
      <w:pPr>
        <w:spacing w:after="0" w:line="240" w:lineRule="auto"/>
        <w:jc w:val="both"/>
        <w:rPr>
          <w:rFonts w:ascii="Arial" w:eastAsia="Calibri" w:hAnsi="Arial" w:cs="Arial"/>
          <w:bCs/>
          <w:sz w:val="24"/>
          <w:szCs w:val="24"/>
          <w:lang w:val="es-ES"/>
        </w:rPr>
      </w:pPr>
      <w:r w:rsidRPr="00E63502">
        <w:rPr>
          <w:rFonts w:ascii="Arial" w:eastAsia="Calibri" w:hAnsi="Arial" w:cs="Arial"/>
          <w:bCs/>
          <w:sz w:val="24"/>
          <w:szCs w:val="24"/>
          <w:lang w:val="es-ES"/>
        </w:rPr>
        <w:t>Para poder ejecutar las políticas diseñadas será imprescindible plantear diferentes esquemas de financiamiento de las actuaciones, donde se establezca la necesidad de obtener recursos extrapresupuestarios (aparte del presupuesto nacional) para atraer inversiones a través del endeudamient</w:t>
      </w:r>
      <w:r w:rsidR="00460E1E">
        <w:rPr>
          <w:rFonts w:ascii="Arial" w:eastAsia="Calibri" w:hAnsi="Arial" w:cs="Arial"/>
          <w:bCs/>
          <w:sz w:val="24"/>
          <w:szCs w:val="24"/>
          <w:lang w:val="es-ES"/>
        </w:rPr>
        <w:t>o externo y de esquemas de APP.</w:t>
      </w:r>
    </w:p>
    <w:p w:rsidR="00FF0D18" w:rsidRPr="00E63502" w:rsidRDefault="00FF0D18" w:rsidP="00A37750">
      <w:pPr>
        <w:spacing w:after="0" w:line="240" w:lineRule="auto"/>
        <w:jc w:val="both"/>
        <w:rPr>
          <w:rFonts w:ascii="Arial" w:eastAsia="Calibri" w:hAnsi="Arial" w:cs="Arial"/>
          <w:bCs/>
          <w:sz w:val="24"/>
          <w:szCs w:val="24"/>
          <w:lang w:val="es-ES"/>
        </w:rPr>
      </w:pPr>
    </w:p>
    <w:p w:rsidR="00FF0D18" w:rsidRPr="00E63502" w:rsidRDefault="00FF0D18" w:rsidP="00A37750">
      <w:pPr>
        <w:spacing w:after="0" w:line="240" w:lineRule="auto"/>
        <w:jc w:val="both"/>
        <w:rPr>
          <w:rFonts w:ascii="Arial" w:eastAsia="Calibri" w:hAnsi="Arial" w:cs="Arial"/>
          <w:bCs/>
          <w:sz w:val="24"/>
          <w:szCs w:val="24"/>
          <w:lang w:val="es-ES"/>
        </w:rPr>
      </w:pPr>
      <w:r w:rsidRPr="00E63502">
        <w:rPr>
          <w:rFonts w:ascii="Arial" w:eastAsia="Calibri" w:hAnsi="Arial" w:cs="Arial"/>
          <w:bCs/>
          <w:sz w:val="24"/>
          <w:szCs w:val="24"/>
          <w:lang w:val="es-ES"/>
        </w:rPr>
        <w:t xml:space="preserve">Los recursos provenientes de fuentes ordinarias de parte de las instituciones, se consideran insuficientes para cumplir con la programación realizada, aunque constituirán un soporte fundamental del Plan, siendo la inversión privada un complemento necesario para llevar a buen término todas las acciones a través de </w:t>
      </w:r>
      <w:r w:rsidRPr="00E63502">
        <w:rPr>
          <w:rFonts w:ascii="Arial" w:eastAsia="Calibri" w:hAnsi="Arial" w:cs="Arial"/>
          <w:bCs/>
          <w:sz w:val="24"/>
          <w:szCs w:val="24"/>
          <w:lang w:val="es-ES"/>
        </w:rPr>
        <w:lastRenderedPageBreak/>
        <w:t>esquemas de Asociaciones Público – Privadas, sistemas de tarificación y criterios alternativos como el financiamiento base suelo, que apoyen en tres sectores fundamentales:</w:t>
      </w:r>
      <w:r w:rsidR="001E25AA">
        <w:rPr>
          <w:rFonts w:ascii="Arial" w:eastAsia="Calibri" w:hAnsi="Arial" w:cs="Arial"/>
          <w:bCs/>
          <w:sz w:val="24"/>
          <w:szCs w:val="24"/>
          <w:lang w:val="es-ES"/>
        </w:rPr>
        <w:t xml:space="preserve"> </w:t>
      </w:r>
      <w:r w:rsidRPr="00E63502">
        <w:rPr>
          <w:rFonts w:ascii="Arial" w:eastAsia="Calibri" w:hAnsi="Arial" w:cs="Arial"/>
          <w:bCs/>
          <w:sz w:val="24"/>
          <w:szCs w:val="24"/>
          <w:lang w:val="es-ES"/>
        </w:rPr>
        <w:t xml:space="preserve"> ferrocarriles, puentes</w:t>
      </w:r>
      <w:r w:rsidR="00460E1E">
        <w:rPr>
          <w:rFonts w:ascii="Arial" w:eastAsia="Calibri" w:hAnsi="Arial" w:cs="Arial"/>
          <w:bCs/>
          <w:sz w:val="24"/>
          <w:szCs w:val="24"/>
          <w:lang w:val="es-ES"/>
        </w:rPr>
        <w:t xml:space="preserve"> y carreteras de alto tránsito.</w:t>
      </w:r>
    </w:p>
    <w:p w:rsidR="00FF0D18" w:rsidRPr="00E63502" w:rsidRDefault="00FF0D18" w:rsidP="00A37750">
      <w:pPr>
        <w:spacing w:after="0" w:line="240" w:lineRule="auto"/>
        <w:jc w:val="both"/>
        <w:rPr>
          <w:rFonts w:ascii="Arial" w:eastAsia="Calibri" w:hAnsi="Arial" w:cs="Arial"/>
          <w:bCs/>
          <w:sz w:val="24"/>
          <w:szCs w:val="24"/>
          <w:lang w:val="es-ES"/>
        </w:rPr>
      </w:pPr>
    </w:p>
    <w:p w:rsidR="00FF0D18" w:rsidRPr="00E63502" w:rsidRDefault="00FF0D18" w:rsidP="00A37750">
      <w:pPr>
        <w:spacing w:after="0" w:line="240" w:lineRule="auto"/>
        <w:jc w:val="both"/>
        <w:rPr>
          <w:rFonts w:ascii="Arial" w:eastAsia="Calibri" w:hAnsi="Arial" w:cs="Arial"/>
          <w:bCs/>
          <w:sz w:val="24"/>
          <w:szCs w:val="24"/>
          <w:lang w:val="es-ES"/>
        </w:rPr>
      </w:pPr>
      <w:r w:rsidRPr="00E63502">
        <w:rPr>
          <w:rFonts w:ascii="Arial" w:eastAsia="Calibri" w:hAnsi="Arial" w:cs="Arial"/>
          <w:bCs/>
          <w:sz w:val="24"/>
          <w:szCs w:val="24"/>
          <w:lang w:val="es-ES"/>
        </w:rPr>
        <w:t>Al respecto, los resultados que arroja la actualización del PNT son congruentes con la política de financiamiento asumida por las autoridades superiores del MOPT, de potenciar con recursos externos y otros esquemas de financiamiento novedosos el desarrollo de las infraestructuras viales, debido principalmente a:</w:t>
      </w:r>
    </w:p>
    <w:p w:rsidR="00FF0D18" w:rsidRPr="00E63502" w:rsidRDefault="00FF0D18" w:rsidP="00A37750">
      <w:pPr>
        <w:spacing w:after="0" w:line="240" w:lineRule="auto"/>
        <w:jc w:val="both"/>
        <w:rPr>
          <w:rFonts w:ascii="Arial" w:eastAsia="Calibri" w:hAnsi="Arial" w:cs="Arial"/>
          <w:bCs/>
          <w:sz w:val="24"/>
          <w:szCs w:val="24"/>
          <w:lang w:val="es-ES"/>
        </w:rPr>
      </w:pPr>
    </w:p>
    <w:p w:rsidR="00FF0D18" w:rsidRPr="00E63502" w:rsidRDefault="00460E1E" w:rsidP="00FC313C">
      <w:pPr>
        <w:spacing w:after="0" w:line="240" w:lineRule="auto"/>
        <w:ind w:left="705" w:hanging="345"/>
        <w:jc w:val="both"/>
        <w:rPr>
          <w:rFonts w:ascii="Arial" w:eastAsia="Calibri" w:hAnsi="Arial" w:cs="Arial"/>
          <w:bCs/>
          <w:sz w:val="24"/>
          <w:szCs w:val="24"/>
        </w:rPr>
      </w:pPr>
      <w:r>
        <w:rPr>
          <w:rFonts w:ascii="Arial" w:eastAsia="Calibri" w:hAnsi="Arial" w:cs="Arial"/>
          <w:bCs/>
          <w:sz w:val="24"/>
          <w:szCs w:val="24"/>
          <w:lang w:val="es-ES_tradnl"/>
        </w:rPr>
        <w:t>-</w:t>
      </w:r>
      <w:r>
        <w:rPr>
          <w:rFonts w:ascii="Arial" w:eastAsia="Calibri" w:hAnsi="Arial" w:cs="Arial"/>
          <w:bCs/>
          <w:sz w:val="24"/>
          <w:szCs w:val="24"/>
          <w:lang w:val="es-ES_tradnl"/>
        </w:rPr>
        <w:tab/>
      </w:r>
      <w:r w:rsidR="00FF0D18" w:rsidRPr="00E63502">
        <w:rPr>
          <w:rFonts w:ascii="Arial" w:eastAsia="Calibri" w:hAnsi="Arial" w:cs="Arial"/>
          <w:bCs/>
          <w:sz w:val="24"/>
          <w:szCs w:val="24"/>
          <w:lang w:val="es-ES_tradnl"/>
        </w:rPr>
        <w:t>El transporte por carretera y mar, son los principales medios de movilización de personas y bienes con que cuenta el país y por tal razón resulta un objetivo principal lograr una mejora en las condiciones de infraestructura y seguridad.</w:t>
      </w:r>
    </w:p>
    <w:p w:rsidR="00FF0D18" w:rsidRPr="00E63502" w:rsidRDefault="00FF0D18" w:rsidP="00A37750">
      <w:pPr>
        <w:spacing w:after="0" w:line="240" w:lineRule="auto"/>
        <w:jc w:val="both"/>
        <w:rPr>
          <w:rFonts w:ascii="Arial" w:eastAsia="Calibri" w:hAnsi="Arial" w:cs="Arial"/>
          <w:bCs/>
          <w:sz w:val="24"/>
          <w:szCs w:val="24"/>
        </w:rPr>
      </w:pPr>
    </w:p>
    <w:p w:rsidR="00FF0D18" w:rsidRPr="00460E1E" w:rsidRDefault="00FF0D18" w:rsidP="00460E1E">
      <w:pPr>
        <w:pStyle w:val="Prrafodelista"/>
        <w:numPr>
          <w:ilvl w:val="0"/>
          <w:numId w:val="38"/>
        </w:numPr>
        <w:jc w:val="both"/>
        <w:rPr>
          <w:rFonts w:ascii="Arial" w:eastAsia="Calibri" w:hAnsi="Arial" w:cs="Arial"/>
          <w:bCs/>
        </w:rPr>
      </w:pPr>
      <w:r w:rsidRPr="00460E1E">
        <w:rPr>
          <w:rFonts w:ascii="Arial" w:eastAsia="Calibri" w:hAnsi="Arial" w:cs="Arial"/>
          <w:bCs/>
        </w:rPr>
        <w:t>Las necesidades de inversión son de tal magnitud, que los recursos disponibles para su atención, son claramente insuficientes para llevar a cabo su gestión.</w:t>
      </w:r>
    </w:p>
    <w:p w:rsidR="00FF0D18" w:rsidRPr="00E63502" w:rsidRDefault="00FF0D18" w:rsidP="00A37750">
      <w:pPr>
        <w:spacing w:after="0" w:line="240" w:lineRule="auto"/>
        <w:jc w:val="both"/>
        <w:rPr>
          <w:rFonts w:ascii="Arial" w:eastAsia="Calibri" w:hAnsi="Arial" w:cs="Arial"/>
          <w:b/>
          <w:bCs/>
          <w:sz w:val="24"/>
          <w:szCs w:val="24"/>
          <w:lang w:val="es-ES_tradnl"/>
        </w:rPr>
      </w:pPr>
    </w:p>
    <w:p w:rsidR="00FF0D18" w:rsidRPr="00E63502" w:rsidRDefault="00FF0D18" w:rsidP="00A37750">
      <w:pPr>
        <w:spacing w:after="0" w:line="240" w:lineRule="auto"/>
        <w:jc w:val="both"/>
        <w:rPr>
          <w:rFonts w:ascii="Arial" w:eastAsia="Calibri" w:hAnsi="Arial" w:cs="Arial"/>
          <w:b/>
          <w:bCs/>
          <w:sz w:val="24"/>
          <w:szCs w:val="24"/>
          <w:lang w:val="es-ES_tradnl"/>
        </w:rPr>
      </w:pPr>
      <w:r w:rsidRPr="00E63502">
        <w:rPr>
          <w:rFonts w:ascii="Arial" w:eastAsia="Calibri" w:hAnsi="Arial" w:cs="Arial"/>
          <w:b/>
          <w:bCs/>
          <w:sz w:val="24"/>
          <w:szCs w:val="24"/>
          <w:lang w:val="es-ES_tradnl"/>
        </w:rPr>
        <w:t>Retos para la Modernización del Sistema de Transporte Vial de Costa Rica</w:t>
      </w:r>
    </w:p>
    <w:p w:rsidR="00FF0D18" w:rsidRPr="00E63502" w:rsidRDefault="00FF0D18"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Dentro del capítulo de carreteras del PNT, el Programa de Desarrollo de la Red Vial Estratégica constituye el elemento de mayor fuerza y ambición del Plan, ya que representa el espíritu de éste, pues sintetiza con contundencia su objetivo dominante: </w:t>
      </w:r>
      <w:r w:rsidR="001E25AA">
        <w:rPr>
          <w:rFonts w:ascii="Arial" w:eastAsia="Calibri" w:hAnsi="Arial" w:cs="Arial"/>
          <w:bCs/>
          <w:sz w:val="24"/>
          <w:szCs w:val="24"/>
        </w:rPr>
        <w:t xml:space="preserve"> </w:t>
      </w:r>
      <w:r w:rsidRPr="00E63502">
        <w:rPr>
          <w:rFonts w:ascii="Arial" w:eastAsia="Calibri" w:hAnsi="Arial" w:cs="Arial"/>
          <w:b/>
          <w:bCs/>
          <w:i/>
          <w:sz w:val="24"/>
          <w:szCs w:val="24"/>
        </w:rPr>
        <w:t xml:space="preserve">Dar un </w:t>
      </w:r>
      <w:r w:rsidRPr="00E63502">
        <w:rPr>
          <w:rFonts w:ascii="Arial" w:eastAsia="Calibri" w:hAnsi="Arial" w:cs="Arial"/>
          <w:b/>
          <w:bCs/>
          <w:i/>
          <w:iCs/>
          <w:sz w:val="24"/>
          <w:szCs w:val="24"/>
        </w:rPr>
        <w:t xml:space="preserve">salto cualitativo inequívoco </w:t>
      </w:r>
      <w:r w:rsidRPr="00E63502">
        <w:rPr>
          <w:rFonts w:ascii="Arial" w:eastAsia="Calibri" w:hAnsi="Arial" w:cs="Arial"/>
          <w:b/>
          <w:bCs/>
          <w:i/>
          <w:sz w:val="24"/>
          <w:szCs w:val="24"/>
        </w:rPr>
        <w:t xml:space="preserve">hacia un sistema de transportes de calidad, en sus prestaciones y en sus formas de gestión.  </w:t>
      </w:r>
      <w:r w:rsidRPr="00E63502">
        <w:rPr>
          <w:rFonts w:ascii="Arial" w:eastAsia="Calibri" w:hAnsi="Arial" w:cs="Arial"/>
          <w:bCs/>
          <w:sz w:val="24"/>
          <w:szCs w:val="24"/>
        </w:rPr>
        <w:t>Este sistema de trasportes proporcionaría a los ciudadanos del país un sistema único que integre a cada uno de los distintos modos que lo conforman, para facilitar el acceso a la red y la movilidad de las personas y de las mercancías.</w:t>
      </w:r>
      <w:r w:rsidR="00F05214">
        <w:rPr>
          <w:rFonts w:ascii="Arial" w:eastAsia="Calibri" w:hAnsi="Arial" w:cs="Arial"/>
          <w:bCs/>
          <w:sz w:val="24"/>
          <w:szCs w:val="24"/>
        </w:rPr>
        <w:t xml:space="preserve"> </w:t>
      </w:r>
      <w:r w:rsidRPr="00E63502">
        <w:rPr>
          <w:rFonts w:ascii="Arial" w:eastAsia="Calibri" w:hAnsi="Arial" w:cs="Arial"/>
          <w:bCs/>
          <w:sz w:val="24"/>
          <w:szCs w:val="24"/>
        </w:rPr>
        <w:t xml:space="preserve"> Esta meta implica que cualquier actuación en materia de transportes deberá partir desde la globalidad del sistema y no desde estrategias aisladas.</w:t>
      </w:r>
    </w:p>
    <w:p w:rsidR="00FF0D18" w:rsidRPr="00E63502" w:rsidRDefault="00FF0D18"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Por otra parte, el PNT propone disponer de un sistema de transporte orientado a la facilitación del comercio, tanto local como regional y en especial el internacional, de forma que constituya una herramienta, no solo para la actividad económica y productiva del país, sino para potenciar la integración de Costa Rica en el mercado internacional a través de la mejora de sus exportaciones. </w:t>
      </w:r>
      <w:r w:rsidR="00951011">
        <w:rPr>
          <w:rFonts w:ascii="Arial" w:eastAsia="Calibri" w:hAnsi="Arial" w:cs="Arial"/>
          <w:bCs/>
          <w:sz w:val="24"/>
          <w:szCs w:val="24"/>
        </w:rPr>
        <w:t xml:space="preserve"> </w:t>
      </w:r>
      <w:r w:rsidRPr="00E63502">
        <w:rPr>
          <w:rFonts w:ascii="Arial" w:eastAsia="Calibri" w:hAnsi="Arial" w:cs="Arial"/>
          <w:bCs/>
          <w:sz w:val="24"/>
          <w:szCs w:val="24"/>
        </w:rPr>
        <w:t>Este aspecto de facilitación del comercio internacional tiene una relación directa con la competitividad del país.</w:t>
      </w:r>
    </w:p>
    <w:p w:rsidR="00FF0D18" w:rsidRPr="00E63502" w:rsidRDefault="00FF0D18"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Adicionalmente, se debe asegurar la sostenibilidad del sistema de transportes como vía para minimizar su impacto en el ambiente, potenciando la imagen del país como destino privilegiado para actividades de turismo y especialmente de ecoturismo. </w:t>
      </w:r>
      <w:r w:rsidR="00F05214">
        <w:rPr>
          <w:rFonts w:ascii="Arial" w:eastAsia="Calibri" w:hAnsi="Arial" w:cs="Arial"/>
          <w:bCs/>
          <w:sz w:val="24"/>
          <w:szCs w:val="24"/>
        </w:rPr>
        <w:t xml:space="preserve"> </w:t>
      </w:r>
      <w:r w:rsidRPr="00E63502">
        <w:rPr>
          <w:rFonts w:ascii="Arial" w:eastAsia="Calibri" w:hAnsi="Arial" w:cs="Arial"/>
          <w:bCs/>
          <w:sz w:val="24"/>
          <w:szCs w:val="24"/>
        </w:rPr>
        <w:t>Se trata de contribuir a que Costa Rica continúe a la vanguardia del turismo mundial, proporcionando a los visitantes un entorno inigualable y una red de transportes que les permita acceder de forma rápida y eficiente a cad</w:t>
      </w:r>
      <w:r w:rsidR="00F05214">
        <w:rPr>
          <w:rFonts w:ascii="Arial" w:eastAsia="Calibri" w:hAnsi="Arial" w:cs="Arial"/>
          <w:bCs/>
          <w:sz w:val="24"/>
          <w:szCs w:val="24"/>
        </w:rPr>
        <w:t>a uno de los destinos del país.</w:t>
      </w:r>
    </w:p>
    <w:p w:rsidR="00FF0D18" w:rsidRPr="00E63502" w:rsidRDefault="00FF0D18" w:rsidP="00A37750">
      <w:pPr>
        <w:spacing w:after="0" w:line="240" w:lineRule="auto"/>
        <w:jc w:val="both"/>
        <w:rPr>
          <w:rFonts w:ascii="Arial" w:eastAsia="Calibri" w:hAnsi="Arial" w:cs="Arial"/>
          <w:bCs/>
          <w:sz w:val="24"/>
          <w:szCs w:val="24"/>
        </w:rPr>
      </w:pPr>
    </w:p>
    <w:p w:rsidR="00FF0D18" w:rsidRPr="00E63502" w:rsidRDefault="00FF0D18" w:rsidP="00A37750">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A continuación, se muestra la Figura que contiene el Mapa </w:t>
      </w:r>
      <w:r w:rsidRPr="00E63502">
        <w:rPr>
          <w:rFonts w:ascii="Arial" w:eastAsia="Calibri" w:hAnsi="Arial" w:cs="Arial"/>
          <w:bCs/>
          <w:i/>
          <w:sz w:val="24"/>
          <w:szCs w:val="24"/>
        </w:rPr>
        <w:t xml:space="preserve">“Red Vial Estratégica”, </w:t>
      </w:r>
      <w:r w:rsidRPr="00E63502">
        <w:rPr>
          <w:rFonts w:ascii="Arial" w:eastAsia="Calibri" w:hAnsi="Arial" w:cs="Arial"/>
          <w:bCs/>
          <w:sz w:val="24"/>
          <w:szCs w:val="24"/>
        </w:rPr>
        <w:t xml:space="preserve">en donde los tramos están representados con los códigos de colores </w:t>
      </w:r>
      <w:r w:rsidRPr="00E63502">
        <w:rPr>
          <w:rFonts w:ascii="Arial" w:eastAsia="Calibri" w:hAnsi="Arial" w:cs="Arial"/>
          <w:bCs/>
          <w:sz w:val="24"/>
          <w:szCs w:val="24"/>
        </w:rPr>
        <w:lastRenderedPageBreak/>
        <w:t>correspondientes a sus perfiles funcionales definitivos o provisionales, por ejemplo, los tramos prioritar</w:t>
      </w:r>
      <w:r w:rsidR="00951011">
        <w:rPr>
          <w:rFonts w:ascii="Arial" w:eastAsia="Calibri" w:hAnsi="Arial" w:cs="Arial"/>
          <w:bCs/>
          <w:sz w:val="24"/>
          <w:szCs w:val="24"/>
        </w:rPr>
        <w:t>ios se muestran en color rojo.</w:t>
      </w:r>
    </w:p>
    <w:p w:rsidR="00FF0D18" w:rsidRPr="00E63502" w:rsidRDefault="00FF0D18" w:rsidP="00FF0D18">
      <w:pPr>
        <w:spacing w:after="0" w:line="360" w:lineRule="auto"/>
        <w:jc w:val="both"/>
        <w:rPr>
          <w:rFonts w:ascii="Arial" w:eastAsia="Calibri" w:hAnsi="Arial" w:cs="Arial"/>
          <w:bCs/>
          <w:sz w:val="24"/>
          <w:szCs w:val="24"/>
        </w:rPr>
      </w:pPr>
    </w:p>
    <w:p w:rsidR="00FF0D18" w:rsidRPr="00E63502" w:rsidRDefault="00FF0D18" w:rsidP="00FF0D18">
      <w:pPr>
        <w:spacing w:after="0" w:line="360" w:lineRule="auto"/>
        <w:jc w:val="center"/>
        <w:rPr>
          <w:rFonts w:ascii="Arial" w:eastAsia="Calibri" w:hAnsi="Arial" w:cs="Arial"/>
          <w:b/>
          <w:sz w:val="24"/>
          <w:szCs w:val="24"/>
        </w:rPr>
      </w:pPr>
      <w:r w:rsidRPr="00E63502">
        <w:rPr>
          <w:rFonts w:ascii="Arial" w:eastAsia="Calibri" w:hAnsi="Arial" w:cs="Arial"/>
          <w:b/>
          <w:sz w:val="24"/>
          <w:szCs w:val="24"/>
        </w:rPr>
        <w:t xml:space="preserve">Figura N° 2 </w:t>
      </w:r>
    </w:p>
    <w:p w:rsidR="00FF0D18" w:rsidRPr="00E63502" w:rsidRDefault="00FF0D18" w:rsidP="00FF0D18">
      <w:pPr>
        <w:spacing w:after="0" w:line="360" w:lineRule="auto"/>
        <w:jc w:val="center"/>
        <w:rPr>
          <w:rFonts w:ascii="Arial" w:eastAsia="Calibri" w:hAnsi="Arial" w:cs="Arial"/>
          <w:b/>
          <w:bCs/>
          <w:sz w:val="24"/>
          <w:szCs w:val="24"/>
        </w:rPr>
      </w:pPr>
      <w:r w:rsidRPr="00E63502">
        <w:rPr>
          <w:rFonts w:ascii="Arial" w:eastAsia="Calibri" w:hAnsi="Arial" w:cs="Arial"/>
          <w:b/>
          <w:bCs/>
          <w:sz w:val="24"/>
          <w:szCs w:val="24"/>
        </w:rPr>
        <w:t>Mapa: Red Vial Estratégica</w:t>
      </w:r>
    </w:p>
    <w:p w:rsidR="00FF0D18" w:rsidRPr="00E63502" w:rsidRDefault="00FF0D18" w:rsidP="00FF0D18">
      <w:pPr>
        <w:spacing w:after="0" w:line="276" w:lineRule="auto"/>
        <w:jc w:val="center"/>
        <w:rPr>
          <w:rFonts w:ascii="Times New Roman" w:eastAsia="Calibri" w:hAnsi="Times New Roman" w:cs="Times New Roman"/>
          <w:b/>
          <w:bCs/>
          <w:sz w:val="24"/>
          <w:szCs w:val="24"/>
        </w:rPr>
      </w:pPr>
      <w:r w:rsidRPr="00E63502">
        <w:rPr>
          <w:rFonts w:ascii="Times New Roman" w:eastAsia="Calibri" w:hAnsi="Times New Roman" w:cs="Times New Roman"/>
          <w:b/>
          <w:bCs/>
          <w:noProof/>
          <w:sz w:val="24"/>
          <w:szCs w:val="24"/>
          <w:lang w:eastAsia="es-CR"/>
        </w:rPr>
        <w:drawing>
          <wp:inline distT="0" distB="0" distL="0" distR="0" wp14:anchorId="70773CF0" wp14:editId="2969BE5F">
            <wp:extent cx="5943600" cy="38214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2-25 a la(s) 10.23.5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21430"/>
                    </a:xfrm>
                    <a:prstGeom prst="rect">
                      <a:avLst/>
                    </a:prstGeom>
                  </pic:spPr>
                </pic:pic>
              </a:graphicData>
            </a:graphic>
          </wp:inline>
        </w:drawing>
      </w:r>
    </w:p>
    <w:p w:rsidR="00FF0D18" w:rsidRPr="00E63502" w:rsidRDefault="00FF0D18" w:rsidP="00FF0D18">
      <w:pPr>
        <w:autoSpaceDE w:val="0"/>
        <w:autoSpaceDN w:val="0"/>
        <w:adjustRightInd w:val="0"/>
        <w:spacing w:after="0" w:line="276" w:lineRule="auto"/>
        <w:rPr>
          <w:rFonts w:ascii="Times New Roman" w:eastAsia="Calibri" w:hAnsi="Times New Roman" w:cs="Times New Roman"/>
          <w:sz w:val="20"/>
          <w:szCs w:val="20"/>
          <w:lang w:eastAsia="es-CR"/>
        </w:rPr>
      </w:pPr>
    </w:p>
    <w:p w:rsidR="00FF0D18" w:rsidRPr="00951011" w:rsidRDefault="00FF0D18" w:rsidP="00FF0D18">
      <w:pPr>
        <w:autoSpaceDE w:val="0"/>
        <w:autoSpaceDN w:val="0"/>
        <w:adjustRightInd w:val="0"/>
        <w:spacing w:after="0" w:line="276" w:lineRule="auto"/>
        <w:rPr>
          <w:rFonts w:ascii="Times New Roman" w:eastAsia="Calibri" w:hAnsi="Times New Roman" w:cs="Times New Roman"/>
          <w:b/>
          <w:sz w:val="20"/>
          <w:szCs w:val="20"/>
          <w:lang w:eastAsia="es-CR"/>
        </w:rPr>
      </w:pPr>
      <w:r w:rsidRPr="00951011">
        <w:rPr>
          <w:rFonts w:ascii="Times New Roman" w:eastAsia="Calibri" w:hAnsi="Times New Roman" w:cs="Times New Roman"/>
          <w:b/>
          <w:sz w:val="20"/>
          <w:szCs w:val="20"/>
          <w:lang w:eastAsia="es-CR"/>
        </w:rPr>
        <w:t>Fuente: Secretaría de Planificación Sectorial, MOPT, febrero 2020.</w:t>
      </w:r>
    </w:p>
    <w:p w:rsidR="00FF0D18" w:rsidRPr="00E63502" w:rsidRDefault="00FF0D18" w:rsidP="00FF0D18">
      <w:pPr>
        <w:tabs>
          <w:tab w:val="left" w:pos="180"/>
        </w:tabs>
        <w:spacing w:before="120" w:after="120" w:line="276" w:lineRule="auto"/>
        <w:ind w:left="180"/>
        <w:jc w:val="both"/>
        <w:outlineLvl w:val="1"/>
        <w:rPr>
          <w:rFonts w:ascii="Times New Roman" w:eastAsia="Calibri" w:hAnsi="Times New Roman" w:cs="Times New Roman"/>
          <w:bCs/>
          <w:sz w:val="24"/>
          <w:szCs w:val="24"/>
        </w:rPr>
      </w:pPr>
    </w:p>
    <w:p w:rsidR="00FF0D18" w:rsidRPr="00E63502" w:rsidRDefault="00FF0D18" w:rsidP="00F05214">
      <w:pPr>
        <w:spacing w:after="0" w:line="240" w:lineRule="auto"/>
        <w:jc w:val="both"/>
        <w:rPr>
          <w:rFonts w:ascii="Arial" w:eastAsia="Calibri" w:hAnsi="Arial" w:cs="Arial"/>
          <w:bCs/>
          <w:sz w:val="24"/>
          <w:szCs w:val="24"/>
        </w:rPr>
      </w:pPr>
      <w:r w:rsidRPr="00E63502">
        <w:rPr>
          <w:rFonts w:ascii="Arial" w:eastAsia="Calibri" w:hAnsi="Arial" w:cs="Arial"/>
          <w:bCs/>
          <w:sz w:val="24"/>
          <w:szCs w:val="24"/>
        </w:rPr>
        <w:t xml:space="preserve">El Plan Nacional de Transportes 2011-2035, definió 15 corredores troncales de la RVAC. Cinco de estos corredores fueron priorizados en </w:t>
      </w:r>
      <w:r w:rsidR="00F05214">
        <w:rPr>
          <w:rFonts w:ascii="Arial" w:eastAsia="Calibri" w:hAnsi="Arial" w:cs="Arial"/>
          <w:bCs/>
          <w:sz w:val="24"/>
          <w:szCs w:val="24"/>
        </w:rPr>
        <w:t xml:space="preserve">el Plan Nacional de Desarrollo </w:t>
      </w:r>
      <w:r w:rsidRPr="00E63502">
        <w:rPr>
          <w:rFonts w:ascii="Arial" w:eastAsia="Calibri" w:hAnsi="Arial" w:cs="Arial"/>
          <w:bCs/>
          <w:sz w:val="24"/>
          <w:szCs w:val="24"/>
        </w:rPr>
        <w:t>y de Inversión Pública 2019-20</w:t>
      </w:r>
      <w:r w:rsidR="00F05214">
        <w:rPr>
          <w:rFonts w:ascii="Arial" w:eastAsia="Calibri" w:hAnsi="Arial" w:cs="Arial"/>
          <w:bCs/>
          <w:sz w:val="24"/>
          <w:szCs w:val="24"/>
        </w:rPr>
        <w:t>22:</w:t>
      </w:r>
    </w:p>
    <w:p w:rsidR="00FF0D18" w:rsidRPr="00E63502" w:rsidRDefault="00FF0D18" w:rsidP="00F05214">
      <w:pPr>
        <w:tabs>
          <w:tab w:val="left" w:pos="180"/>
        </w:tabs>
        <w:spacing w:after="0" w:line="240" w:lineRule="auto"/>
        <w:jc w:val="both"/>
        <w:outlineLvl w:val="1"/>
        <w:rPr>
          <w:rFonts w:ascii="Arial" w:eastAsia="Calibri" w:hAnsi="Arial" w:cs="Arial"/>
          <w:bCs/>
          <w:sz w:val="24"/>
          <w:szCs w:val="24"/>
        </w:rPr>
      </w:pPr>
    </w:p>
    <w:p w:rsidR="00FF0D18" w:rsidRDefault="00F05214" w:rsidP="00F05214">
      <w:pPr>
        <w:tabs>
          <w:tab w:val="left" w:pos="180"/>
        </w:tabs>
        <w:spacing w:after="0" w:line="240" w:lineRule="auto"/>
        <w:ind w:left="705" w:hanging="705"/>
        <w:jc w:val="both"/>
        <w:outlineLvl w:val="1"/>
        <w:rPr>
          <w:rFonts w:ascii="Arial" w:eastAsia="Calibri" w:hAnsi="Arial" w:cs="Arial"/>
          <w:bCs/>
          <w:sz w:val="24"/>
          <w:szCs w:val="24"/>
        </w:rPr>
      </w:pPr>
      <w:r>
        <w:rPr>
          <w:rFonts w:ascii="Arial" w:eastAsia="Calibri" w:hAnsi="Arial" w:cs="Arial"/>
          <w:bCs/>
          <w:sz w:val="24"/>
          <w:szCs w:val="24"/>
        </w:rPr>
        <w:t>1-</w:t>
      </w:r>
      <w:r>
        <w:rPr>
          <w:rFonts w:ascii="Arial" w:eastAsia="Calibri" w:hAnsi="Arial" w:cs="Arial"/>
          <w:bCs/>
          <w:sz w:val="24"/>
          <w:szCs w:val="24"/>
        </w:rPr>
        <w:tab/>
      </w:r>
      <w:r w:rsidR="00FF0D18" w:rsidRPr="00E63502">
        <w:rPr>
          <w:rFonts w:ascii="Arial" w:eastAsia="Calibri" w:hAnsi="Arial" w:cs="Arial"/>
          <w:bCs/>
          <w:sz w:val="24"/>
          <w:szCs w:val="24"/>
        </w:rPr>
        <w:t>Rehabilitación y ampliación de la Ruta Nacional 32 entre la intersección con Ruta 4 y Limón (Financiación Eximbank China)</w:t>
      </w:r>
    </w:p>
    <w:p w:rsidR="00F05214" w:rsidRPr="00E63502" w:rsidRDefault="00F05214" w:rsidP="00F05214">
      <w:pPr>
        <w:tabs>
          <w:tab w:val="left" w:pos="180"/>
        </w:tabs>
        <w:spacing w:after="0" w:line="240" w:lineRule="auto"/>
        <w:ind w:left="113" w:hanging="113"/>
        <w:jc w:val="both"/>
        <w:outlineLvl w:val="1"/>
        <w:rPr>
          <w:rFonts w:ascii="Arial" w:eastAsia="Calibri" w:hAnsi="Arial" w:cs="Arial"/>
          <w:bCs/>
          <w:sz w:val="24"/>
          <w:szCs w:val="24"/>
        </w:rPr>
      </w:pPr>
    </w:p>
    <w:p w:rsidR="00FF0D18" w:rsidRDefault="00F05214" w:rsidP="00F05214">
      <w:pPr>
        <w:tabs>
          <w:tab w:val="left" w:pos="180"/>
        </w:tabs>
        <w:spacing w:after="0" w:line="240" w:lineRule="auto"/>
        <w:ind w:left="705" w:hanging="705"/>
        <w:jc w:val="both"/>
        <w:outlineLvl w:val="1"/>
        <w:rPr>
          <w:rFonts w:ascii="Arial" w:eastAsia="Calibri" w:hAnsi="Arial" w:cs="Arial"/>
          <w:bCs/>
          <w:sz w:val="24"/>
          <w:szCs w:val="24"/>
        </w:rPr>
      </w:pPr>
      <w:r>
        <w:rPr>
          <w:rFonts w:ascii="Arial" w:eastAsia="Calibri" w:hAnsi="Arial" w:cs="Arial"/>
          <w:bCs/>
          <w:sz w:val="24"/>
          <w:szCs w:val="24"/>
        </w:rPr>
        <w:t>2-</w:t>
      </w:r>
      <w:r>
        <w:rPr>
          <w:rFonts w:ascii="Arial" w:eastAsia="Calibri" w:hAnsi="Arial" w:cs="Arial"/>
          <w:bCs/>
          <w:sz w:val="24"/>
          <w:szCs w:val="24"/>
        </w:rPr>
        <w:tab/>
      </w:r>
      <w:r w:rsidR="00FF0D18" w:rsidRPr="00E63502">
        <w:rPr>
          <w:rFonts w:ascii="Arial" w:eastAsia="Calibri" w:hAnsi="Arial" w:cs="Arial"/>
          <w:bCs/>
          <w:sz w:val="24"/>
          <w:szCs w:val="24"/>
        </w:rPr>
        <w:t>Ampliación y rehabilitación de la Ruta 1 entre Barranca y Cañas (Financiación BID)</w:t>
      </w:r>
    </w:p>
    <w:p w:rsidR="00F05214" w:rsidRPr="00E63502" w:rsidRDefault="00F05214" w:rsidP="00F05214">
      <w:pPr>
        <w:tabs>
          <w:tab w:val="left" w:pos="180"/>
        </w:tabs>
        <w:spacing w:after="0" w:line="240" w:lineRule="auto"/>
        <w:ind w:left="705" w:hanging="705"/>
        <w:jc w:val="both"/>
        <w:outlineLvl w:val="1"/>
        <w:rPr>
          <w:rFonts w:ascii="Arial" w:eastAsia="Calibri" w:hAnsi="Arial" w:cs="Arial"/>
          <w:bCs/>
          <w:sz w:val="24"/>
          <w:szCs w:val="24"/>
        </w:rPr>
      </w:pPr>
    </w:p>
    <w:p w:rsidR="00FF0D18" w:rsidRDefault="00F05214" w:rsidP="00F05214">
      <w:pPr>
        <w:tabs>
          <w:tab w:val="left" w:pos="180"/>
        </w:tabs>
        <w:spacing w:after="0" w:line="240" w:lineRule="auto"/>
        <w:jc w:val="both"/>
        <w:outlineLvl w:val="1"/>
        <w:rPr>
          <w:rFonts w:ascii="Arial" w:eastAsia="Calibri" w:hAnsi="Arial" w:cs="Arial"/>
          <w:bCs/>
          <w:sz w:val="24"/>
          <w:szCs w:val="24"/>
        </w:rPr>
      </w:pPr>
      <w:r>
        <w:rPr>
          <w:rFonts w:ascii="Arial" w:eastAsia="Calibri" w:hAnsi="Arial" w:cs="Arial"/>
          <w:bCs/>
          <w:sz w:val="24"/>
          <w:szCs w:val="24"/>
        </w:rPr>
        <w:t>3-</w:t>
      </w:r>
      <w:r>
        <w:rPr>
          <w:rFonts w:ascii="Arial" w:eastAsia="Calibri" w:hAnsi="Arial" w:cs="Arial"/>
          <w:bCs/>
          <w:sz w:val="24"/>
          <w:szCs w:val="24"/>
        </w:rPr>
        <w:tab/>
      </w:r>
      <w:r w:rsidR="00FF0D18" w:rsidRPr="00E63502">
        <w:rPr>
          <w:rFonts w:ascii="Arial" w:eastAsia="Calibri" w:hAnsi="Arial" w:cs="Arial"/>
          <w:bCs/>
          <w:sz w:val="24"/>
          <w:szCs w:val="24"/>
        </w:rPr>
        <w:t>Construcción de la nueva carretera a San Carlos</w:t>
      </w:r>
    </w:p>
    <w:p w:rsidR="00F05214" w:rsidRPr="00E63502" w:rsidRDefault="00F05214" w:rsidP="00F05214">
      <w:pPr>
        <w:tabs>
          <w:tab w:val="left" w:pos="180"/>
        </w:tabs>
        <w:spacing w:after="0" w:line="240" w:lineRule="auto"/>
        <w:jc w:val="both"/>
        <w:outlineLvl w:val="1"/>
        <w:rPr>
          <w:rFonts w:ascii="Arial" w:eastAsia="Calibri" w:hAnsi="Arial" w:cs="Arial"/>
          <w:bCs/>
          <w:sz w:val="24"/>
          <w:szCs w:val="24"/>
        </w:rPr>
      </w:pPr>
    </w:p>
    <w:p w:rsidR="00FF0D18" w:rsidRDefault="00F05214" w:rsidP="00F05214">
      <w:pPr>
        <w:tabs>
          <w:tab w:val="left" w:pos="180"/>
        </w:tabs>
        <w:spacing w:after="0" w:line="240" w:lineRule="auto"/>
        <w:jc w:val="both"/>
        <w:outlineLvl w:val="1"/>
        <w:rPr>
          <w:rFonts w:ascii="Arial" w:eastAsia="Calibri" w:hAnsi="Arial" w:cs="Arial"/>
          <w:bCs/>
          <w:sz w:val="24"/>
          <w:szCs w:val="24"/>
        </w:rPr>
      </w:pPr>
      <w:r>
        <w:rPr>
          <w:rFonts w:ascii="Arial" w:eastAsia="Calibri" w:hAnsi="Arial" w:cs="Arial"/>
          <w:bCs/>
          <w:sz w:val="24"/>
          <w:szCs w:val="24"/>
        </w:rPr>
        <w:t>4-</w:t>
      </w:r>
      <w:r>
        <w:rPr>
          <w:rFonts w:ascii="Arial" w:eastAsia="Calibri" w:hAnsi="Arial" w:cs="Arial"/>
          <w:bCs/>
          <w:sz w:val="24"/>
          <w:szCs w:val="24"/>
        </w:rPr>
        <w:tab/>
      </w:r>
      <w:r w:rsidR="00FF0D18" w:rsidRPr="00E63502">
        <w:rPr>
          <w:rFonts w:ascii="Arial" w:eastAsia="Calibri" w:hAnsi="Arial" w:cs="Arial"/>
          <w:bCs/>
          <w:sz w:val="24"/>
          <w:szCs w:val="24"/>
        </w:rPr>
        <w:t>Ampliación del corredor San José – Cartago, entre Taras y La Lima</w:t>
      </w:r>
    </w:p>
    <w:p w:rsidR="00F05214" w:rsidRPr="00E63502" w:rsidRDefault="00F05214" w:rsidP="00F05214">
      <w:pPr>
        <w:tabs>
          <w:tab w:val="left" w:pos="180"/>
        </w:tabs>
        <w:spacing w:after="0" w:line="240" w:lineRule="auto"/>
        <w:jc w:val="both"/>
        <w:outlineLvl w:val="1"/>
        <w:rPr>
          <w:rFonts w:ascii="Arial" w:eastAsia="Calibri" w:hAnsi="Arial" w:cs="Arial"/>
          <w:bCs/>
          <w:sz w:val="24"/>
          <w:szCs w:val="24"/>
        </w:rPr>
      </w:pPr>
    </w:p>
    <w:p w:rsidR="00FF0D18" w:rsidRPr="00E63502" w:rsidRDefault="00F05214" w:rsidP="00F05214">
      <w:pPr>
        <w:tabs>
          <w:tab w:val="left" w:pos="180"/>
        </w:tabs>
        <w:spacing w:before="120" w:after="120" w:line="480" w:lineRule="auto"/>
        <w:jc w:val="both"/>
        <w:outlineLvl w:val="1"/>
        <w:rPr>
          <w:rFonts w:ascii="Arial" w:eastAsia="Calibri" w:hAnsi="Arial" w:cs="Arial"/>
          <w:bCs/>
          <w:sz w:val="24"/>
          <w:szCs w:val="24"/>
        </w:rPr>
      </w:pPr>
      <w:r>
        <w:rPr>
          <w:rFonts w:ascii="Arial" w:eastAsia="Calibri" w:hAnsi="Arial" w:cs="Arial"/>
          <w:bCs/>
          <w:sz w:val="24"/>
          <w:szCs w:val="24"/>
        </w:rPr>
        <w:lastRenderedPageBreak/>
        <w:t>5-</w:t>
      </w:r>
      <w:r>
        <w:rPr>
          <w:rFonts w:ascii="Arial" w:eastAsia="Calibri" w:hAnsi="Arial" w:cs="Arial"/>
          <w:bCs/>
          <w:sz w:val="24"/>
          <w:szCs w:val="24"/>
        </w:rPr>
        <w:tab/>
      </w:r>
      <w:r w:rsidR="00FF0D18" w:rsidRPr="00E63502">
        <w:rPr>
          <w:rFonts w:ascii="Arial" w:eastAsia="Calibri" w:hAnsi="Arial" w:cs="Arial"/>
          <w:bCs/>
          <w:sz w:val="24"/>
          <w:szCs w:val="24"/>
        </w:rPr>
        <w:t>Ampliación y mejoramiento del corredor San José - San Ramón</w:t>
      </w:r>
    </w:p>
    <w:p w:rsidR="00FF0D18" w:rsidRPr="00E63502" w:rsidRDefault="00FF0D18" w:rsidP="00F05214">
      <w:pPr>
        <w:tabs>
          <w:tab w:val="left" w:pos="180"/>
        </w:tabs>
        <w:spacing w:after="0" w:line="240" w:lineRule="auto"/>
        <w:jc w:val="both"/>
        <w:outlineLvl w:val="1"/>
        <w:rPr>
          <w:rFonts w:ascii="Arial" w:eastAsia="Calibri" w:hAnsi="Arial" w:cs="Arial"/>
          <w:bCs/>
          <w:sz w:val="24"/>
          <w:szCs w:val="24"/>
        </w:rPr>
      </w:pPr>
      <w:r w:rsidRPr="00E63502">
        <w:rPr>
          <w:rFonts w:ascii="Arial" w:eastAsia="Times New Roman" w:hAnsi="Arial" w:cs="Arial"/>
          <w:bCs/>
          <w:kern w:val="1"/>
          <w:sz w:val="24"/>
          <w:szCs w:val="24"/>
          <w:lang w:val="es-ES_tradnl" w:eastAsia="ar-SA"/>
        </w:rPr>
        <w:t>El presente Convenio de Cooperación (CCLIP)</w:t>
      </w:r>
      <w:r w:rsidRPr="00E63502">
        <w:rPr>
          <w:rFonts w:ascii="Arial" w:eastAsia="Times New Roman" w:hAnsi="Arial" w:cs="Arial"/>
          <w:kern w:val="1"/>
          <w:sz w:val="24"/>
          <w:szCs w:val="20"/>
          <w:lang w:val="es-US" w:eastAsia="ar-SA"/>
        </w:rPr>
        <w:t xml:space="preserve"> </w:t>
      </w:r>
      <w:r w:rsidRPr="00E63502">
        <w:rPr>
          <w:rFonts w:ascii="Arial" w:eastAsia="Calibri" w:hAnsi="Arial" w:cs="Arial"/>
          <w:bCs/>
          <w:sz w:val="24"/>
          <w:szCs w:val="24"/>
        </w:rPr>
        <w:t>comprende inversiones para desarrollar los proyectos indicados en los ítems 3, 4 y 5.</w:t>
      </w:r>
    </w:p>
    <w:p w:rsidR="00FF0D18" w:rsidRPr="00E63502" w:rsidRDefault="00FF0D18" w:rsidP="00F05214">
      <w:pPr>
        <w:autoSpaceDE w:val="0"/>
        <w:autoSpaceDN w:val="0"/>
        <w:adjustRightInd w:val="0"/>
        <w:spacing w:after="0" w:line="240" w:lineRule="auto"/>
        <w:jc w:val="both"/>
        <w:rPr>
          <w:rFonts w:ascii="Arial" w:eastAsia="Calibri" w:hAnsi="Arial" w:cs="Arial"/>
          <w:b/>
          <w:sz w:val="24"/>
          <w:szCs w:val="24"/>
          <w:lang w:eastAsia="es-CR"/>
        </w:rPr>
      </w:pPr>
    </w:p>
    <w:p w:rsidR="00FF0D18" w:rsidRDefault="00FF0D18" w:rsidP="00F05214">
      <w:pPr>
        <w:autoSpaceDE w:val="0"/>
        <w:autoSpaceDN w:val="0"/>
        <w:adjustRightInd w:val="0"/>
        <w:spacing w:after="0" w:line="240" w:lineRule="auto"/>
        <w:jc w:val="both"/>
        <w:rPr>
          <w:rFonts w:ascii="Arial" w:eastAsia="Calibri" w:hAnsi="Arial" w:cs="Arial"/>
          <w:b/>
          <w:sz w:val="24"/>
          <w:szCs w:val="24"/>
          <w:lang w:eastAsia="es-CR"/>
        </w:rPr>
      </w:pPr>
      <w:r w:rsidRPr="00E63502">
        <w:rPr>
          <w:rFonts w:ascii="Arial" w:eastAsia="Calibri" w:hAnsi="Arial" w:cs="Arial"/>
          <w:b/>
          <w:sz w:val="24"/>
          <w:szCs w:val="24"/>
          <w:lang w:eastAsia="es-CR"/>
        </w:rPr>
        <w:t>Competitividad del País</w:t>
      </w:r>
    </w:p>
    <w:p w:rsidR="00F05214" w:rsidRPr="00E63502" w:rsidRDefault="00F05214" w:rsidP="00F05214">
      <w:pPr>
        <w:autoSpaceDE w:val="0"/>
        <w:autoSpaceDN w:val="0"/>
        <w:adjustRightInd w:val="0"/>
        <w:spacing w:after="0" w:line="240" w:lineRule="auto"/>
        <w:jc w:val="both"/>
        <w:rPr>
          <w:rFonts w:ascii="Arial" w:eastAsia="Calibri" w:hAnsi="Arial" w:cs="Arial"/>
          <w:b/>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b/>
          <w:sz w:val="24"/>
          <w:szCs w:val="24"/>
          <w:lang w:val="es-ES" w:eastAsia="es-CR"/>
        </w:rPr>
      </w:pPr>
      <w:r w:rsidRPr="00E63502">
        <w:rPr>
          <w:rFonts w:ascii="Arial" w:eastAsia="Calibri" w:hAnsi="Arial" w:cs="Arial"/>
          <w:b/>
          <w:sz w:val="24"/>
          <w:szCs w:val="24"/>
          <w:lang w:eastAsia="es-CR"/>
        </w:rPr>
        <w:t xml:space="preserve">Oportunidades de mejora en infraestructura. </w:t>
      </w:r>
      <w:r w:rsidRPr="00E63502">
        <w:rPr>
          <w:rFonts w:ascii="Arial" w:eastAsia="Calibri" w:hAnsi="Arial" w:cs="Arial"/>
          <w:b/>
          <w:sz w:val="24"/>
          <w:szCs w:val="24"/>
          <w:lang w:val="es-ES" w:eastAsia="es-CR"/>
        </w:rPr>
        <w:t>Ranking Índice Competitividad Infraestructuras, período 2018</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El siguiente cuadro, muestra que Costa Rica, para el año 2018, se ubica e</w:t>
      </w:r>
      <w:r w:rsidR="001E25AA">
        <w:rPr>
          <w:rFonts w:ascii="Arial" w:eastAsia="Calibri" w:hAnsi="Arial" w:cs="Arial"/>
          <w:sz w:val="24"/>
          <w:szCs w:val="24"/>
          <w:lang w:eastAsia="es-CR"/>
        </w:rPr>
        <w:t xml:space="preserve">n la categoría de oportunidades </w:t>
      </w:r>
      <w:r w:rsidRPr="00E63502">
        <w:rPr>
          <w:rFonts w:ascii="Arial" w:eastAsia="Calibri" w:hAnsi="Arial" w:cs="Arial"/>
          <w:sz w:val="24"/>
          <w:szCs w:val="24"/>
          <w:lang w:eastAsia="es-CR"/>
        </w:rPr>
        <w:t>de mejora de infraestructura en el sector carretero en el puesto No. 123, y Panamá en el No. 49, se observa también que en los modos de transporte aéreo y portuario Costa Rica ocupa los lugares 98 y 64 respectivamente, mientras que Panamá ocupa los lugares 6 y 11.  Se observa la gran brecha entre estos dos países vecinos.</w:t>
      </w:r>
    </w:p>
    <w:p w:rsidR="00FF0D18" w:rsidRPr="00E63502" w:rsidRDefault="00FF0D18" w:rsidP="00FF0D18">
      <w:pPr>
        <w:autoSpaceDE w:val="0"/>
        <w:autoSpaceDN w:val="0"/>
        <w:adjustRightInd w:val="0"/>
        <w:spacing w:after="0" w:line="360" w:lineRule="auto"/>
        <w:jc w:val="both"/>
        <w:rPr>
          <w:rFonts w:ascii="Arial" w:eastAsia="Calibri" w:hAnsi="Arial" w:cs="Arial"/>
          <w:sz w:val="24"/>
          <w:szCs w:val="24"/>
          <w:lang w:eastAsia="es-CR"/>
        </w:rPr>
      </w:pPr>
    </w:p>
    <w:p w:rsidR="00FF0D18" w:rsidRPr="00E63502" w:rsidRDefault="00F05214" w:rsidP="00FF0D18">
      <w:pPr>
        <w:autoSpaceDE w:val="0"/>
        <w:autoSpaceDN w:val="0"/>
        <w:adjustRightInd w:val="0"/>
        <w:spacing w:after="0" w:line="360" w:lineRule="auto"/>
        <w:jc w:val="center"/>
        <w:rPr>
          <w:rFonts w:ascii="Arial" w:eastAsia="Calibri" w:hAnsi="Arial" w:cs="Arial"/>
          <w:b/>
          <w:sz w:val="24"/>
          <w:szCs w:val="24"/>
          <w:lang w:eastAsia="es-CR"/>
        </w:rPr>
      </w:pPr>
      <w:r>
        <w:rPr>
          <w:rFonts w:ascii="Arial" w:eastAsia="Calibri" w:hAnsi="Arial" w:cs="Arial"/>
          <w:b/>
          <w:sz w:val="24"/>
          <w:szCs w:val="24"/>
          <w:lang w:eastAsia="es-CR"/>
        </w:rPr>
        <w:t>Gráfico N° 1</w:t>
      </w:r>
    </w:p>
    <w:p w:rsidR="00FF0D18" w:rsidRPr="00E63502" w:rsidRDefault="00FF0D18" w:rsidP="00FF0D18">
      <w:pPr>
        <w:autoSpaceDE w:val="0"/>
        <w:autoSpaceDN w:val="0"/>
        <w:adjustRightInd w:val="0"/>
        <w:spacing w:after="0" w:line="360" w:lineRule="auto"/>
        <w:jc w:val="center"/>
        <w:rPr>
          <w:rFonts w:ascii="Arial" w:eastAsia="Calibri" w:hAnsi="Arial" w:cs="Arial"/>
          <w:b/>
          <w:sz w:val="24"/>
          <w:szCs w:val="24"/>
          <w:lang w:eastAsia="es-CR"/>
        </w:rPr>
      </w:pPr>
      <w:r w:rsidRPr="00E63502">
        <w:rPr>
          <w:rFonts w:ascii="Arial" w:eastAsia="Calibri" w:hAnsi="Arial" w:cs="Arial"/>
          <w:b/>
          <w:sz w:val="24"/>
          <w:szCs w:val="24"/>
          <w:lang w:eastAsia="es-CR"/>
        </w:rPr>
        <w:t>Oportunidades de Mejora en Infraestructura 2018</w:t>
      </w:r>
    </w:p>
    <w:p w:rsidR="00FF0D18" w:rsidRPr="00E63502" w:rsidRDefault="00FF0D18" w:rsidP="00FF0D18">
      <w:pPr>
        <w:autoSpaceDE w:val="0"/>
        <w:autoSpaceDN w:val="0"/>
        <w:adjustRightInd w:val="0"/>
        <w:spacing w:after="0" w:line="276" w:lineRule="auto"/>
        <w:jc w:val="center"/>
        <w:rPr>
          <w:rFonts w:ascii="Times New Roman" w:eastAsia="Calibri" w:hAnsi="Times New Roman" w:cs="Times New Roman"/>
          <w:b/>
          <w:sz w:val="24"/>
          <w:szCs w:val="24"/>
          <w:lang w:eastAsia="es-CR"/>
        </w:rPr>
      </w:pPr>
    </w:p>
    <w:p w:rsidR="00FF0D18" w:rsidRPr="00E63502" w:rsidRDefault="00FF0D18" w:rsidP="00FF0D18">
      <w:pPr>
        <w:autoSpaceDE w:val="0"/>
        <w:autoSpaceDN w:val="0"/>
        <w:adjustRightInd w:val="0"/>
        <w:spacing w:after="0" w:line="276" w:lineRule="auto"/>
        <w:jc w:val="center"/>
        <w:rPr>
          <w:rFonts w:ascii="Times New Roman" w:eastAsia="Calibri" w:hAnsi="Times New Roman" w:cs="Times New Roman"/>
          <w:sz w:val="24"/>
          <w:szCs w:val="24"/>
          <w:lang w:val="en-US" w:eastAsia="es-CR"/>
        </w:rPr>
      </w:pPr>
      <w:r w:rsidRPr="00E63502">
        <w:rPr>
          <w:rFonts w:ascii="Times New Roman" w:eastAsia="Calibri" w:hAnsi="Times New Roman" w:cs="Times New Roman"/>
          <w:noProof/>
          <w:sz w:val="24"/>
          <w:szCs w:val="24"/>
          <w:lang w:eastAsia="es-CR"/>
        </w:rPr>
        <w:drawing>
          <wp:inline distT="0" distB="0" distL="0" distR="0" wp14:anchorId="58B90DAA" wp14:editId="4E4E13B7">
            <wp:extent cx="4873486" cy="19431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6786" cy="1968338"/>
                    </a:xfrm>
                    <a:prstGeom prst="rect">
                      <a:avLst/>
                    </a:prstGeom>
                  </pic:spPr>
                </pic:pic>
              </a:graphicData>
            </a:graphic>
          </wp:inline>
        </w:drawing>
      </w:r>
    </w:p>
    <w:p w:rsidR="00F05214" w:rsidRDefault="00F05214" w:rsidP="00FF0D18">
      <w:pPr>
        <w:autoSpaceDE w:val="0"/>
        <w:autoSpaceDN w:val="0"/>
        <w:adjustRightInd w:val="0"/>
        <w:spacing w:after="0" w:line="276" w:lineRule="auto"/>
        <w:jc w:val="both"/>
        <w:rPr>
          <w:rFonts w:ascii="Times New Roman" w:eastAsia="Calibri" w:hAnsi="Times New Roman" w:cs="Times New Roman"/>
          <w:i/>
          <w:iCs/>
          <w:sz w:val="20"/>
          <w:szCs w:val="20"/>
          <w:lang w:val="en-US" w:eastAsia="es-CR"/>
        </w:rPr>
      </w:pPr>
      <w:bookmarkStart w:id="9" w:name="_Hlk24962394"/>
    </w:p>
    <w:p w:rsidR="00FF0D18" w:rsidRPr="00951011" w:rsidRDefault="00FF0D18" w:rsidP="00FF0D18">
      <w:pPr>
        <w:autoSpaceDE w:val="0"/>
        <w:autoSpaceDN w:val="0"/>
        <w:adjustRightInd w:val="0"/>
        <w:spacing w:after="0" w:line="276" w:lineRule="auto"/>
        <w:jc w:val="both"/>
        <w:rPr>
          <w:rFonts w:ascii="Times New Roman" w:eastAsia="Calibri" w:hAnsi="Times New Roman" w:cs="Times New Roman"/>
          <w:b/>
          <w:i/>
          <w:iCs/>
          <w:sz w:val="20"/>
          <w:szCs w:val="20"/>
          <w:lang w:eastAsia="es-CR"/>
        </w:rPr>
      </w:pPr>
      <w:r w:rsidRPr="00951011">
        <w:rPr>
          <w:rFonts w:ascii="Times New Roman" w:eastAsia="Calibri" w:hAnsi="Times New Roman" w:cs="Times New Roman"/>
          <w:b/>
          <w:i/>
          <w:iCs/>
          <w:sz w:val="20"/>
          <w:szCs w:val="20"/>
          <w:lang w:val="en-US" w:eastAsia="es-CR"/>
        </w:rPr>
        <w:t xml:space="preserve">Fuente: INCAE. Latin American Leadership the Global Competitiveness Report 2018. </w:t>
      </w:r>
      <w:r w:rsidRPr="00951011">
        <w:rPr>
          <w:rFonts w:ascii="Times New Roman" w:eastAsia="Calibri" w:hAnsi="Times New Roman" w:cs="Times New Roman"/>
          <w:b/>
          <w:i/>
          <w:iCs/>
          <w:sz w:val="20"/>
          <w:szCs w:val="20"/>
          <w:lang w:eastAsia="es-CR"/>
        </w:rPr>
        <w:t xml:space="preserve">The World Economic Forum. </w:t>
      </w:r>
    </w:p>
    <w:p w:rsidR="00FF0D18" w:rsidRPr="00F05214" w:rsidRDefault="00FF0D18" w:rsidP="00FF0D18">
      <w:pPr>
        <w:autoSpaceDE w:val="0"/>
        <w:autoSpaceDN w:val="0"/>
        <w:adjustRightInd w:val="0"/>
        <w:spacing w:after="0" w:line="276" w:lineRule="auto"/>
        <w:jc w:val="both"/>
        <w:rPr>
          <w:rFonts w:ascii="Arial" w:eastAsia="Calibri" w:hAnsi="Arial" w:cs="Arial"/>
          <w:sz w:val="24"/>
          <w:szCs w:val="24"/>
          <w:lang w:eastAsia="es-CR"/>
        </w:rPr>
      </w:pPr>
      <w:bookmarkStart w:id="10" w:name="_Ref15847858"/>
      <w:bookmarkEnd w:id="9"/>
    </w:p>
    <w:p w:rsidR="00FF0D18" w:rsidRPr="00F05214" w:rsidRDefault="00FF0D18" w:rsidP="00FF0D18">
      <w:pPr>
        <w:autoSpaceDE w:val="0"/>
        <w:autoSpaceDN w:val="0"/>
        <w:adjustRightInd w:val="0"/>
        <w:spacing w:after="0" w:line="276"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La insuficiente inversión en infraestructura vial generó problemas de congestión en los principales corredores del GAM, lo que repercute en el desempeño logístico del país y en los bajos indicadores de calidad y conectividad de las carreteras (puestos 111 y 124 respectivamente entre 140 países según el Foro Económico Mundial 2018).</w:t>
      </w:r>
    </w:p>
    <w:bookmarkEnd w:id="10"/>
    <w:p w:rsidR="00FF0D18" w:rsidRPr="00E63502" w:rsidRDefault="00FF0D18" w:rsidP="00F05214">
      <w:pPr>
        <w:autoSpaceDE w:val="0"/>
        <w:autoSpaceDN w:val="0"/>
        <w:adjustRightInd w:val="0"/>
        <w:spacing w:after="0" w:line="240" w:lineRule="auto"/>
        <w:jc w:val="both"/>
        <w:rPr>
          <w:rFonts w:ascii="Arial" w:eastAsia="Calibri" w:hAnsi="Arial" w:cs="Arial"/>
          <w:color w:val="000000"/>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lastRenderedPageBreak/>
        <w:t>La meta del Gobierno es mejorar estas posiciones del sistema de transporte para cada uno de los modos y para esto es necesario ejecutar el PNT, en donde los proyectos financiados en este empréstito se enmarcan en este Plan.</w:t>
      </w:r>
    </w:p>
    <w:p w:rsidR="00FF0D18" w:rsidRPr="00E63502" w:rsidRDefault="00FF0D18" w:rsidP="00F05214">
      <w:pPr>
        <w:autoSpaceDE w:val="0"/>
        <w:autoSpaceDN w:val="0"/>
        <w:adjustRightInd w:val="0"/>
        <w:spacing w:after="0" w:line="240" w:lineRule="auto"/>
        <w:jc w:val="both"/>
        <w:rPr>
          <w:rFonts w:ascii="Arial" w:eastAsia="Calibri" w:hAnsi="Arial" w:cs="Arial"/>
          <w:color w:val="000000"/>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color w:val="000000"/>
          <w:sz w:val="24"/>
          <w:szCs w:val="24"/>
          <w:lang w:eastAsia="es-CR"/>
        </w:rPr>
      </w:pPr>
      <w:r w:rsidRPr="00E63502">
        <w:rPr>
          <w:rFonts w:ascii="Arial" w:eastAsia="Calibri" w:hAnsi="Arial" w:cs="Arial"/>
          <w:color w:val="000000"/>
          <w:sz w:val="24"/>
          <w:szCs w:val="24"/>
          <w:lang w:eastAsia="es-CR"/>
        </w:rPr>
        <w:t>Se observa en el siguiente gráfico la evolución del Índice de Competitividad Global de Costa Rica, que pasa en el año 2006 de la posición 68 a la posición 47 en el año 2017.</w:t>
      </w:r>
    </w:p>
    <w:p w:rsidR="00FF0D18" w:rsidRPr="00E63502" w:rsidRDefault="00FF0D18" w:rsidP="00FF0D18">
      <w:pPr>
        <w:autoSpaceDE w:val="0"/>
        <w:autoSpaceDN w:val="0"/>
        <w:adjustRightInd w:val="0"/>
        <w:spacing w:after="0" w:line="480" w:lineRule="auto"/>
        <w:jc w:val="both"/>
        <w:rPr>
          <w:rFonts w:ascii="Arial" w:eastAsia="Calibri" w:hAnsi="Arial" w:cs="Arial"/>
          <w:color w:val="000000"/>
          <w:sz w:val="24"/>
          <w:szCs w:val="24"/>
          <w:lang w:eastAsia="es-CR"/>
        </w:rPr>
      </w:pPr>
    </w:p>
    <w:p w:rsidR="00FF0D18" w:rsidRPr="00E63502" w:rsidRDefault="00FF0D18" w:rsidP="00FF0D18">
      <w:pPr>
        <w:autoSpaceDE w:val="0"/>
        <w:autoSpaceDN w:val="0"/>
        <w:adjustRightInd w:val="0"/>
        <w:spacing w:after="0" w:line="240" w:lineRule="auto"/>
        <w:jc w:val="center"/>
        <w:rPr>
          <w:rFonts w:ascii="Arial" w:eastAsia="Calibri" w:hAnsi="Arial" w:cs="Arial"/>
          <w:b/>
          <w:color w:val="000000"/>
          <w:sz w:val="24"/>
          <w:szCs w:val="24"/>
          <w:lang w:eastAsia="es-CR"/>
        </w:rPr>
      </w:pPr>
      <w:r w:rsidRPr="00E63502">
        <w:rPr>
          <w:rFonts w:ascii="Arial" w:eastAsia="Calibri" w:hAnsi="Arial" w:cs="Arial"/>
          <w:b/>
          <w:color w:val="000000"/>
          <w:sz w:val="24"/>
          <w:szCs w:val="24"/>
          <w:lang w:eastAsia="es-CR"/>
        </w:rPr>
        <w:t>Gráfico N° 2</w:t>
      </w:r>
    </w:p>
    <w:p w:rsidR="00FF0D18" w:rsidRPr="00E63502" w:rsidRDefault="00FF0D18" w:rsidP="00FF0D18">
      <w:pPr>
        <w:autoSpaceDE w:val="0"/>
        <w:autoSpaceDN w:val="0"/>
        <w:adjustRightInd w:val="0"/>
        <w:spacing w:after="0" w:line="240" w:lineRule="auto"/>
        <w:jc w:val="center"/>
        <w:rPr>
          <w:rFonts w:ascii="Times New Roman" w:eastAsia="Calibri" w:hAnsi="Times New Roman" w:cs="Times New Roman"/>
          <w:b/>
          <w:color w:val="000000"/>
          <w:sz w:val="24"/>
          <w:szCs w:val="24"/>
          <w:lang w:eastAsia="es-CR"/>
        </w:rPr>
      </w:pPr>
      <w:r w:rsidRPr="00E63502">
        <w:rPr>
          <w:rFonts w:ascii="Arial" w:eastAsia="Calibri" w:hAnsi="Arial" w:cs="Arial"/>
          <w:b/>
          <w:color w:val="000000"/>
          <w:sz w:val="24"/>
          <w:szCs w:val="24"/>
          <w:lang w:eastAsia="es-CR"/>
        </w:rPr>
        <w:t>Evolución del índice General de Competitividad 2006 – 2018</w:t>
      </w:r>
    </w:p>
    <w:p w:rsidR="00FF0D18" w:rsidRPr="00E63502" w:rsidRDefault="00FF0D18" w:rsidP="00FF0D18">
      <w:pPr>
        <w:autoSpaceDE w:val="0"/>
        <w:autoSpaceDN w:val="0"/>
        <w:adjustRightInd w:val="0"/>
        <w:spacing w:after="0" w:line="240" w:lineRule="auto"/>
        <w:jc w:val="center"/>
        <w:rPr>
          <w:rFonts w:ascii="Times New Roman" w:eastAsia="Calibri" w:hAnsi="Times New Roman" w:cs="Times New Roman"/>
          <w:b/>
          <w:color w:val="FF0000"/>
          <w:sz w:val="24"/>
          <w:szCs w:val="24"/>
          <w:lang w:val="es-ES" w:eastAsia="es-CR"/>
        </w:rPr>
      </w:pPr>
    </w:p>
    <w:p w:rsidR="00FF0D18" w:rsidRPr="00E63502" w:rsidRDefault="00FF0D18" w:rsidP="00FF0D18">
      <w:pPr>
        <w:tabs>
          <w:tab w:val="left" w:pos="180"/>
        </w:tabs>
        <w:spacing w:before="120" w:after="120" w:line="276" w:lineRule="auto"/>
        <w:ind w:left="180"/>
        <w:jc w:val="both"/>
        <w:outlineLvl w:val="1"/>
        <w:rPr>
          <w:rFonts w:ascii="Times New Roman" w:eastAsia="Times New Roman" w:hAnsi="Times New Roman" w:cs="Times New Roman"/>
          <w:color w:val="C0504D"/>
          <w:kern w:val="1"/>
          <w:sz w:val="24"/>
          <w:szCs w:val="24"/>
          <w:lang w:val="en-US" w:eastAsia="ar-SA"/>
        </w:rPr>
      </w:pPr>
      <w:r w:rsidRPr="00E63502">
        <w:rPr>
          <w:rFonts w:ascii="Times New Roman" w:eastAsia="Times New Roman" w:hAnsi="Times New Roman" w:cs="Times New Roman"/>
          <w:noProof/>
          <w:kern w:val="1"/>
          <w:sz w:val="24"/>
          <w:szCs w:val="24"/>
          <w:lang w:eastAsia="es-CR"/>
        </w:rPr>
        <w:drawing>
          <wp:inline distT="0" distB="0" distL="0" distR="0" wp14:anchorId="24572EF8" wp14:editId="3FB1B19E">
            <wp:extent cx="5249545" cy="2616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1291" cy="2622054"/>
                    </a:xfrm>
                    <a:prstGeom prst="rect">
                      <a:avLst/>
                    </a:prstGeom>
                  </pic:spPr>
                </pic:pic>
              </a:graphicData>
            </a:graphic>
          </wp:inline>
        </w:drawing>
      </w:r>
    </w:p>
    <w:p w:rsidR="00FF0D18" w:rsidRPr="00951011" w:rsidRDefault="00FF0D18" w:rsidP="00FF0D18">
      <w:pPr>
        <w:autoSpaceDE w:val="0"/>
        <w:autoSpaceDN w:val="0"/>
        <w:adjustRightInd w:val="0"/>
        <w:spacing w:after="0" w:line="276" w:lineRule="auto"/>
        <w:jc w:val="both"/>
        <w:rPr>
          <w:rFonts w:ascii="Times New Roman" w:eastAsia="Calibri" w:hAnsi="Times New Roman" w:cs="Times New Roman"/>
          <w:b/>
          <w:i/>
          <w:iCs/>
          <w:sz w:val="20"/>
          <w:szCs w:val="20"/>
          <w:lang w:eastAsia="es-CR"/>
        </w:rPr>
      </w:pPr>
      <w:r w:rsidRPr="00951011">
        <w:rPr>
          <w:rFonts w:ascii="Times New Roman" w:eastAsia="Calibri" w:hAnsi="Times New Roman" w:cs="Times New Roman"/>
          <w:b/>
          <w:i/>
          <w:iCs/>
          <w:sz w:val="20"/>
          <w:szCs w:val="20"/>
          <w:lang w:val="en-US" w:eastAsia="es-CR"/>
        </w:rPr>
        <w:t xml:space="preserve">Fuente: INCAE. Latin American Leadership the Global Competitiveness Report 2018. </w:t>
      </w:r>
      <w:r w:rsidRPr="00951011">
        <w:rPr>
          <w:rFonts w:ascii="Times New Roman" w:eastAsia="Calibri" w:hAnsi="Times New Roman" w:cs="Times New Roman"/>
          <w:b/>
          <w:i/>
          <w:iCs/>
          <w:sz w:val="20"/>
          <w:szCs w:val="20"/>
          <w:lang w:eastAsia="es-CR"/>
        </w:rPr>
        <w:t>The World Economic Forum.</w:t>
      </w:r>
    </w:p>
    <w:p w:rsidR="00F05214" w:rsidRDefault="00F05214" w:rsidP="00F05214">
      <w:pPr>
        <w:spacing w:after="0" w:line="240" w:lineRule="auto"/>
        <w:jc w:val="both"/>
        <w:rPr>
          <w:rFonts w:ascii="Arial" w:eastAsia="Calibri" w:hAnsi="Arial" w:cs="Arial"/>
          <w:color w:val="000000"/>
          <w:sz w:val="24"/>
          <w:szCs w:val="24"/>
          <w:lang w:eastAsia="es-CR"/>
        </w:rPr>
      </w:pPr>
    </w:p>
    <w:p w:rsidR="00F05214" w:rsidRDefault="00F05214" w:rsidP="00F05214">
      <w:pPr>
        <w:spacing w:after="0" w:line="240" w:lineRule="auto"/>
        <w:jc w:val="both"/>
        <w:rPr>
          <w:rFonts w:ascii="Arial" w:eastAsia="Calibri" w:hAnsi="Arial" w:cs="Arial"/>
          <w:color w:val="000000"/>
          <w:sz w:val="24"/>
          <w:szCs w:val="24"/>
          <w:lang w:eastAsia="es-CR"/>
        </w:rPr>
      </w:pPr>
    </w:p>
    <w:p w:rsidR="00FF0D18" w:rsidRDefault="00FF0D18" w:rsidP="00F05214">
      <w:pPr>
        <w:spacing w:after="0" w:line="240" w:lineRule="auto"/>
        <w:jc w:val="both"/>
        <w:rPr>
          <w:rFonts w:ascii="Arial" w:eastAsia="Calibri" w:hAnsi="Arial" w:cs="Arial"/>
          <w:color w:val="000000"/>
          <w:sz w:val="24"/>
          <w:szCs w:val="24"/>
          <w:lang w:eastAsia="es-CR"/>
        </w:rPr>
      </w:pPr>
      <w:r w:rsidRPr="00E63502">
        <w:rPr>
          <w:rFonts w:ascii="Arial" w:eastAsia="Calibri" w:hAnsi="Arial" w:cs="Arial"/>
          <w:color w:val="000000"/>
          <w:sz w:val="24"/>
          <w:szCs w:val="24"/>
          <w:lang w:eastAsia="es-CR"/>
        </w:rPr>
        <w:t>En cuanto a la competitividad de Costa Rica, es importante que se incremente la inversión en la infraestructura de transporte, para mejorar la eficiencia con que se maneja la misma.</w:t>
      </w:r>
      <w:r w:rsidR="00F05214">
        <w:rPr>
          <w:rFonts w:ascii="Arial" w:eastAsia="Calibri" w:hAnsi="Arial" w:cs="Arial"/>
          <w:color w:val="000000"/>
          <w:sz w:val="24"/>
          <w:szCs w:val="24"/>
          <w:lang w:eastAsia="es-CR"/>
        </w:rPr>
        <w:t xml:space="preserve"> </w:t>
      </w:r>
      <w:r w:rsidRPr="00E63502">
        <w:rPr>
          <w:rFonts w:ascii="Arial" w:eastAsia="Calibri" w:hAnsi="Arial" w:cs="Arial"/>
          <w:color w:val="000000"/>
          <w:sz w:val="24"/>
          <w:szCs w:val="24"/>
          <w:lang w:eastAsia="es-CR"/>
        </w:rPr>
        <w:t xml:space="preserve"> Se d</w:t>
      </w:r>
      <w:r w:rsidR="00F05214">
        <w:rPr>
          <w:rFonts w:ascii="Arial" w:eastAsia="Calibri" w:hAnsi="Arial" w:cs="Arial"/>
          <w:color w:val="000000"/>
          <w:sz w:val="24"/>
          <w:szCs w:val="24"/>
          <w:lang w:eastAsia="es-CR"/>
        </w:rPr>
        <w:t xml:space="preserve">eben destinar más recursos del </w:t>
      </w:r>
      <w:r w:rsidRPr="00E63502">
        <w:rPr>
          <w:rFonts w:ascii="Arial" w:eastAsia="Calibri" w:hAnsi="Arial" w:cs="Arial"/>
          <w:color w:val="000000"/>
          <w:sz w:val="24"/>
          <w:szCs w:val="24"/>
          <w:lang w:eastAsia="es-CR"/>
        </w:rPr>
        <w:t xml:space="preserve">presupuesto del Estado y buscar otras fuentes alternativas de financiamiento como Asociaciones Público–Privadas (APPs), así como recursos de financiamiento externo, tal como el que se están </w:t>
      </w:r>
      <w:r w:rsidR="00951011">
        <w:rPr>
          <w:rFonts w:ascii="Arial" w:eastAsia="Calibri" w:hAnsi="Arial" w:cs="Arial"/>
          <w:color w:val="000000"/>
          <w:sz w:val="24"/>
          <w:szCs w:val="24"/>
          <w:lang w:eastAsia="es-CR"/>
        </w:rPr>
        <w:t xml:space="preserve">solicitando al BID, mismos que </w:t>
      </w:r>
      <w:r w:rsidRPr="00E63502">
        <w:rPr>
          <w:rFonts w:ascii="Arial" w:eastAsia="Calibri" w:hAnsi="Arial" w:cs="Arial"/>
          <w:color w:val="000000"/>
          <w:sz w:val="24"/>
          <w:szCs w:val="24"/>
          <w:lang w:eastAsia="es-CR"/>
        </w:rPr>
        <w:t>ayudará al fortalecimiento institucional del MOPT, del CNC y del Ministerio de Hacienda en el tema de APPs.</w:t>
      </w:r>
    </w:p>
    <w:p w:rsidR="00F05214" w:rsidRPr="00E63502" w:rsidRDefault="00F05214" w:rsidP="00F05214">
      <w:pPr>
        <w:spacing w:after="0" w:line="240" w:lineRule="auto"/>
        <w:jc w:val="both"/>
        <w:rPr>
          <w:rFonts w:ascii="Arial" w:eastAsia="Calibri" w:hAnsi="Arial" w:cs="Arial"/>
          <w:color w:val="000000"/>
          <w:sz w:val="24"/>
          <w:szCs w:val="24"/>
          <w:lang w:eastAsia="es-CR"/>
        </w:rPr>
      </w:pPr>
    </w:p>
    <w:p w:rsidR="00FF0D18" w:rsidRPr="00E63502" w:rsidRDefault="00FF0D18" w:rsidP="00F05214">
      <w:pPr>
        <w:spacing w:after="0" w:line="240" w:lineRule="auto"/>
        <w:jc w:val="both"/>
        <w:rPr>
          <w:rFonts w:ascii="Arial" w:eastAsia="Calibri" w:hAnsi="Arial" w:cs="Arial"/>
          <w:color w:val="000000"/>
          <w:sz w:val="24"/>
          <w:szCs w:val="24"/>
          <w:lang w:eastAsia="es-CR"/>
        </w:rPr>
      </w:pPr>
      <w:r w:rsidRPr="00E63502">
        <w:rPr>
          <w:rFonts w:ascii="Arial" w:eastAsia="Calibri" w:hAnsi="Arial" w:cs="Arial"/>
          <w:color w:val="000000"/>
          <w:sz w:val="24"/>
          <w:szCs w:val="24"/>
          <w:lang w:eastAsia="es-CR"/>
        </w:rPr>
        <w:t>La utilización de las APPs como una alternativa de financiamiento de los grandes proyectos de infraestructura por medio del aporte de recursos del sector privado, contribuirían a la competitividad de Costa Rica en un menor plazo que con recursos propios por el alto déficit fiscal y endeudamiento del país, es importante valorar medidas alternas para financiar el desarrollo de los proyectos de infraestructura que el país necesita para mejorar su competitividad.</w:t>
      </w:r>
    </w:p>
    <w:p w:rsidR="00FF0D18" w:rsidRDefault="00FF0D18" w:rsidP="00F05214">
      <w:pPr>
        <w:spacing w:after="0" w:line="240" w:lineRule="auto"/>
        <w:jc w:val="both"/>
        <w:rPr>
          <w:rFonts w:ascii="Arial" w:eastAsia="Calibri" w:hAnsi="Arial" w:cs="Arial"/>
          <w:color w:val="000000"/>
          <w:sz w:val="24"/>
          <w:szCs w:val="24"/>
          <w:lang w:eastAsia="es-CR"/>
        </w:rPr>
      </w:pPr>
      <w:r w:rsidRPr="00E63502">
        <w:rPr>
          <w:rFonts w:ascii="Arial" w:eastAsia="Calibri" w:hAnsi="Arial" w:cs="Arial"/>
          <w:color w:val="000000"/>
          <w:sz w:val="24"/>
          <w:szCs w:val="24"/>
          <w:lang w:eastAsia="es-CR"/>
        </w:rPr>
        <w:lastRenderedPageBreak/>
        <w:t xml:space="preserve">Además, parte de los recursos del BID, serán destinados a la carretera San José – San Ramón, como medida de inyectarle al Fideicomiso, recursos que contribuirán con la economía de los usuarios (reducción de tarifa de peaje), al haber un aporte estatal al costo total del proyecto a través de las obras que se desarrollarían con la primera operación individual que derivaría de la CCLIP. </w:t>
      </w:r>
      <w:r w:rsidR="00F05214">
        <w:rPr>
          <w:rFonts w:ascii="Arial" w:eastAsia="Calibri" w:hAnsi="Arial" w:cs="Arial"/>
          <w:color w:val="000000"/>
          <w:sz w:val="24"/>
          <w:szCs w:val="24"/>
          <w:lang w:eastAsia="es-CR"/>
        </w:rPr>
        <w:t xml:space="preserve"> </w:t>
      </w:r>
      <w:r w:rsidRPr="00E63502">
        <w:rPr>
          <w:rFonts w:ascii="Arial" w:eastAsia="Calibri" w:hAnsi="Arial" w:cs="Arial"/>
          <w:color w:val="000000"/>
          <w:sz w:val="24"/>
          <w:szCs w:val="24"/>
          <w:lang w:eastAsia="es-CR"/>
        </w:rPr>
        <w:t>Este mismo criterio aplica para las gestiones que se desarrollan para la gestión de análisis de la iniciativa privada presentada para análisis para desarrollo de la Ruta Nacional 2, (San José – Cartago).</w:t>
      </w:r>
    </w:p>
    <w:p w:rsidR="00F05214" w:rsidRPr="00E63502" w:rsidRDefault="00F05214" w:rsidP="00F05214">
      <w:pPr>
        <w:spacing w:after="0" w:line="240" w:lineRule="auto"/>
        <w:jc w:val="both"/>
        <w:rPr>
          <w:rFonts w:ascii="Arial" w:eastAsia="Calibri" w:hAnsi="Arial" w:cs="Arial"/>
          <w:color w:val="000000"/>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color w:val="000000"/>
          <w:sz w:val="24"/>
          <w:szCs w:val="24"/>
          <w:lang w:eastAsia="es-CR"/>
        </w:rPr>
      </w:pPr>
      <w:r w:rsidRPr="00E63502">
        <w:rPr>
          <w:rFonts w:ascii="Arial" w:eastAsia="Calibri" w:hAnsi="Arial" w:cs="Arial"/>
          <w:color w:val="000000"/>
          <w:sz w:val="24"/>
          <w:szCs w:val="24"/>
          <w:lang w:eastAsia="es-CR"/>
        </w:rPr>
        <w:t>Los proyectos que se plantean financiar en esta CCLIP son de suma urgencia para el mejoramiento de la competitividad del país, y son convenientes desde el punto de vista económico y social, y ambiental, principalmente por lo siguiente:</w:t>
      </w:r>
    </w:p>
    <w:p w:rsidR="00FF0D18" w:rsidRPr="00E63502" w:rsidRDefault="00FF0D18" w:rsidP="00F05214">
      <w:pPr>
        <w:autoSpaceDE w:val="0"/>
        <w:autoSpaceDN w:val="0"/>
        <w:adjustRightInd w:val="0"/>
        <w:spacing w:after="0" w:line="240" w:lineRule="auto"/>
        <w:jc w:val="both"/>
        <w:rPr>
          <w:rFonts w:ascii="Arial" w:eastAsia="Calibri" w:hAnsi="Arial" w:cs="Arial"/>
          <w:color w:val="000000"/>
          <w:sz w:val="24"/>
          <w:szCs w:val="24"/>
          <w:lang w:eastAsia="es-CR"/>
        </w:rPr>
      </w:pPr>
    </w:p>
    <w:p w:rsidR="00FF0D18" w:rsidRPr="00E63502" w:rsidRDefault="00F05214" w:rsidP="00F05214">
      <w:pPr>
        <w:spacing w:after="0" w:line="240" w:lineRule="auto"/>
        <w:ind w:left="705" w:hanging="705"/>
        <w:jc w:val="both"/>
        <w:rPr>
          <w:rFonts w:ascii="Arial" w:eastAsia="MS Mincho" w:hAnsi="Arial" w:cs="Arial"/>
          <w:sz w:val="24"/>
          <w:szCs w:val="24"/>
          <w:lang w:eastAsia="ja-JP"/>
        </w:rPr>
      </w:pPr>
      <w:r>
        <w:rPr>
          <w:rFonts w:ascii="Arial" w:eastAsia="MS Mincho" w:hAnsi="Arial" w:cs="Arial"/>
          <w:sz w:val="24"/>
          <w:szCs w:val="24"/>
          <w:lang w:eastAsia="ja-JP"/>
        </w:rPr>
        <w:t>-</w:t>
      </w:r>
      <w:r>
        <w:rPr>
          <w:rFonts w:ascii="Arial" w:eastAsia="MS Mincho" w:hAnsi="Arial" w:cs="Arial"/>
          <w:sz w:val="24"/>
          <w:szCs w:val="24"/>
          <w:lang w:eastAsia="ja-JP"/>
        </w:rPr>
        <w:tab/>
      </w:r>
      <w:r w:rsidR="00FF0D18" w:rsidRPr="00E63502">
        <w:rPr>
          <w:rFonts w:ascii="Arial" w:eastAsia="MS Mincho" w:hAnsi="Arial" w:cs="Arial"/>
          <w:sz w:val="24"/>
          <w:szCs w:val="24"/>
          <w:lang w:eastAsia="ja-JP"/>
        </w:rPr>
        <w:t>El gran rezago que se tiene en las inversiones viales en el país, que es de tal magnitud que pone en riesgo el mantenimiento del gran patrimonio nacional que constituye el disponer de una extensa red vial (ver cuadro Nº4 pag.6) en adecuadas condiciones de circulación.</w:t>
      </w:r>
    </w:p>
    <w:p w:rsidR="00FF0D18" w:rsidRPr="00E63502" w:rsidRDefault="00FF0D18" w:rsidP="00F05214">
      <w:pPr>
        <w:spacing w:after="0" w:line="240" w:lineRule="auto"/>
        <w:jc w:val="both"/>
        <w:rPr>
          <w:rFonts w:ascii="Arial" w:eastAsia="MS Mincho" w:hAnsi="Arial" w:cs="Arial"/>
          <w:sz w:val="24"/>
          <w:szCs w:val="24"/>
          <w:lang w:eastAsia="ja-JP"/>
        </w:rPr>
      </w:pPr>
    </w:p>
    <w:p w:rsidR="00FF0D18" w:rsidRPr="00E63502" w:rsidRDefault="00F05214" w:rsidP="00F05214">
      <w:pPr>
        <w:spacing w:after="0" w:line="240" w:lineRule="auto"/>
        <w:ind w:left="705" w:hanging="705"/>
        <w:jc w:val="both"/>
        <w:rPr>
          <w:rFonts w:ascii="Arial" w:eastAsia="MS Mincho" w:hAnsi="Arial" w:cs="Arial"/>
          <w:sz w:val="24"/>
          <w:szCs w:val="24"/>
          <w:lang w:eastAsia="ja-JP"/>
        </w:rPr>
      </w:pPr>
      <w:r>
        <w:rPr>
          <w:rFonts w:ascii="Arial" w:eastAsia="MS Mincho" w:hAnsi="Arial" w:cs="Arial"/>
          <w:sz w:val="24"/>
          <w:szCs w:val="24"/>
          <w:lang w:eastAsia="ja-JP"/>
        </w:rPr>
        <w:t>-</w:t>
      </w:r>
      <w:r>
        <w:rPr>
          <w:rFonts w:ascii="Arial" w:eastAsia="MS Mincho" w:hAnsi="Arial" w:cs="Arial"/>
          <w:sz w:val="24"/>
          <w:szCs w:val="24"/>
          <w:lang w:eastAsia="ja-JP"/>
        </w:rPr>
        <w:tab/>
      </w:r>
      <w:r w:rsidR="00FF0D18" w:rsidRPr="00E63502">
        <w:rPr>
          <w:rFonts w:ascii="Arial" w:eastAsia="MS Mincho" w:hAnsi="Arial" w:cs="Arial"/>
          <w:sz w:val="24"/>
          <w:szCs w:val="24"/>
          <w:lang w:eastAsia="ja-JP"/>
        </w:rPr>
        <w:t>Estos proyectos aportan al desarrollo del sector turismo, a la integración regional y al transporte de la producción destinada al consumo interno y a la exportación, así como las importaciones, que, en un país como Costa Rica, con una gran área urbana en el centro del país, implican, en cualquier caso, elementos fundamentales para mejorar la competitividad.</w:t>
      </w:r>
    </w:p>
    <w:p w:rsidR="00FF0D18" w:rsidRPr="00E63502" w:rsidRDefault="00FF0D18" w:rsidP="00F05214">
      <w:pPr>
        <w:spacing w:after="0" w:line="240" w:lineRule="auto"/>
        <w:jc w:val="both"/>
        <w:rPr>
          <w:rFonts w:ascii="Arial" w:eastAsia="MS Mincho" w:hAnsi="Arial" w:cs="Arial"/>
          <w:sz w:val="24"/>
          <w:szCs w:val="24"/>
          <w:lang w:val="es-ES" w:eastAsia="ja-JP"/>
        </w:rPr>
      </w:pPr>
    </w:p>
    <w:p w:rsidR="00FF0D18" w:rsidRPr="00E63502" w:rsidRDefault="00FF0D18" w:rsidP="00F05214">
      <w:pPr>
        <w:spacing w:after="0" w:line="240" w:lineRule="auto"/>
        <w:contextualSpacing/>
        <w:jc w:val="both"/>
        <w:rPr>
          <w:rFonts w:ascii="Arial" w:eastAsia="Times New Roman" w:hAnsi="Arial" w:cs="Arial"/>
          <w:b/>
          <w:bCs/>
          <w:sz w:val="24"/>
          <w:szCs w:val="24"/>
        </w:rPr>
      </w:pPr>
    </w:p>
    <w:p w:rsidR="00FF0D18" w:rsidRPr="00E63502" w:rsidRDefault="00FE3C4C" w:rsidP="00FE3C4C">
      <w:pPr>
        <w:spacing w:after="0" w:line="240" w:lineRule="auto"/>
        <w:contextualSpacing/>
        <w:jc w:val="both"/>
        <w:rPr>
          <w:rFonts w:ascii="Arial" w:eastAsia="Times New Roman" w:hAnsi="Arial" w:cs="Arial"/>
          <w:b/>
          <w:bCs/>
          <w:sz w:val="24"/>
          <w:szCs w:val="24"/>
        </w:rPr>
      </w:pPr>
      <w:r>
        <w:rPr>
          <w:rFonts w:ascii="Arial" w:eastAsia="Times New Roman" w:hAnsi="Arial" w:cs="Arial"/>
          <w:b/>
          <w:bCs/>
          <w:sz w:val="24"/>
          <w:szCs w:val="24"/>
        </w:rPr>
        <w:t>2-</w:t>
      </w:r>
      <w:r>
        <w:rPr>
          <w:rFonts w:ascii="Arial" w:eastAsia="Times New Roman" w:hAnsi="Arial" w:cs="Arial"/>
          <w:b/>
          <w:bCs/>
          <w:sz w:val="24"/>
          <w:szCs w:val="24"/>
        </w:rPr>
        <w:tab/>
      </w:r>
      <w:r w:rsidR="00FF0D18" w:rsidRPr="00E63502">
        <w:rPr>
          <w:rFonts w:ascii="Arial" w:eastAsia="Times New Roman" w:hAnsi="Arial" w:cs="Arial"/>
          <w:b/>
          <w:bCs/>
          <w:sz w:val="24"/>
          <w:szCs w:val="24"/>
        </w:rPr>
        <w:t>SOBRE EL FINANCIAMIENTO</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 xml:space="preserve">En Costa Rica a pesar que la longitud de la red vial no ha experimentado cambios importantes en los últimos 20 años, continúa siendo una red nacional de considerable extensión si se la compara con la de </w:t>
      </w:r>
      <w:r w:rsidR="00FE3C4C">
        <w:rPr>
          <w:rFonts w:ascii="Arial" w:eastAsia="Calibri" w:hAnsi="Arial" w:cs="Arial"/>
          <w:sz w:val="24"/>
          <w:szCs w:val="24"/>
          <w:lang w:eastAsia="es-CR"/>
        </w:rPr>
        <w:t xml:space="preserve">otros países latinoamericanos. </w:t>
      </w:r>
      <w:r w:rsidRPr="00E63502">
        <w:rPr>
          <w:rFonts w:ascii="Arial" w:eastAsia="Calibri" w:hAnsi="Arial" w:cs="Arial"/>
          <w:sz w:val="24"/>
          <w:szCs w:val="24"/>
          <w:lang w:eastAsia="es-CR"/>
        </w:rPr>
        <w:t xml:space="preserve">La densidad poblacional de la red vial costarricense es de aproximadamente 9 km de vía por cada 1,000 habitantes, es más del doble que la de México y Nicaragua, y más de cuatro veces la de Honduras, El Salvador y Guatemala. </w:t>
      </w:r>
      <w:r w:rsidR="00FE3C4C">
        <w:rPr>
          <w:rFonts w:ascii="Arial" w:eastAsia="Calibri" w:hAnsi="Arial" w:cs="Arial"/>
          <w:sz w:val="24"/>
          <w:szCs w:val="24"/>
          <w:lang w:eastAsia="es-CR"/>
        </w:rPr>
        <w:t xml:space="preserve"> </w:t>
      </w:r>
      <w:r w:rsidRPr="00E63502">
        <w:rPr>
          <w:rFonts w:ascii="Arial" w:eastAsia="Calibri" w:hAnsi="Arial" w:cs="Arial"/>
          <w:sz w:val="24"/>
          <w:szCs w:val="24"/>
          <w:lang w:eastAsia="es-CR"/>
        </w:rPr>
        <w:t>A su vez, la densidad geográfica de la red, es de aproximadamente 0,7 km de vía por cada km2 de territorio nacional, es más de 4 veces la de México, más de 5 veces la de Nicaragua, Honduras y Guatemala, y más de 6 veces la de Chile</w:t>
      </w:r>
      <w:r w:rsidRPr="00951011">
        <w:rPr>
          <w:rFonts w:ascii="Arial" w:eastAsia="Calibri" w:hAnsi="Arial" w:cs="Arial"/>
          <w:b/>
          <w:color w:val="000000"/>
          <w:sz w:val="24"/>
          <w:szCs w:val="24"/>
          <w:vertAlign w:val="superscript"/>
          <w:lang w:eastAsia="es-CR"/>
        </w:rPr>
        <w:footnoteReference w:customMarkFollows="1" w:id="3"/>
        <w:t>2</w:t>
      </w:r>
      <w:r w:rsidRPr="00951011">
        <w:rPr>
          <w:rFonts w:ascii="Arial" w:eastAsia="Calibri" w:hAnsi="Arial" w:cs="Arial"/>
          <w:b/>
          <w:color w:val="000000"/>
          <w:sz w:val="24"/>
          <w:szCs w:val="24"/>
          <w:lang w:eastAsia="es-CR"/>
        </w:rPr>
        <w:t xml:space="preserve"> </w:t>
      </w:r>
      <w:r w:rsidRPr="00E63502">
        <w:rPr>
          <w:rFonts w:ascii="Arial" w:eastAsia="Calibri" w:hAnsi="Arial" w:cs="Arial"/>
          <w:sz w:val="24"/>
          <w:szCs w:val="24"/>
          <w:lang w:eastAsia="es-CR"/>
        </w:rPr>
        <w:t>.</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Default="00FF0D18" w:rsidP="00F05214">
      <w:pPr>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Puede decirse que Costa Rica, a nivel centroamericano, es el país con la mayor extensión de red vial y con los índices más altos de red por cada 1.000 habitantes (9 km) y por kilómetro cuadrado de superficie (0,70). Dicha red vial ha permitido a sus habitantes movilizarse a diversos puntos del territorio nacional.</w:t>
      </w:r>
    </w:p>
    <w:p w:rsidR="00FE3C4C" w:rsidRPr="00E63502" w:rsidRDefault="00FE3C4C" w:rsidP="00F05214">
      <w:pPr>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 xml:space="preserve">A pesar de su considerable densidad, la configuración de la red vial costarricense no es muy apta para el flujo eficiente de personas y mercancías en el territorio nacional.  Prueba de ello es que las carreteras nacionales confluyen todas en el </w:t>
      </w:r>
      <w:r w:rsidRPr="00E63502">
        <w:rPr>
          <w:rFonts w:ascii="Arial" w:eastAsia="Calibri" w:hAnsi="Arial" w:cs="Arial"/>
          <w:sz w:val="24"/>
          <w:szCs w:val="24"/>
          <w:lang w:eastAsia="es-CR"/>
        </w:rPr>
        <w:lastRenderedPageBreak/>
        <w:t>Valle Central, lo cual obliga a que la mayoría de los vehículos que deben atravesar el país, a lo largo o a lo ancho, no tengan más opción que pasar por la Gran Área Metropolitana (GAM).</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 xml:space="preserve">Por otra parte, la GAM genera cerca del 60% del empleo del país y solo los cantones de San José, Alajuela, Heredia y Cartago, conectados por las Rutas 1 y 2, generan uno de cada dos empleos en el GAM, motivando el desplazamiento diario de cerca de 1,5 millones de personas. </w:t>
      </w:r>
      <w:r w:rsidR="00994E33">
        <w:rPr>
          <w:rFonts w:ascii="Arial" w:eastAsia="Calibri" w:hAnsi="Arial" w:cs="Arial"/>
          <w:sz w:val="24"/>
          <w:szCs w:val="24"/>
          <w:lang w:eastAsia="es-CR"/>
        </w:rPr>
        <w:t xml:space="preserve"> </w:t>
      </w:r>
      <w:r w:rsidRPr="00E63502">
        <w:rPr>
          <w:rFonts w:ascii="Arial" w:eastAsia="Calibri" w:hAnsi="Arial" w:cs="Arial"/>
          <w:sz w:val="24"/>
          <w:szCs w:val="24"/>
          <w:lang w:eastAsia="es-CR"/>
        </w:rPr>
        <w:t xml:space="preserve">Adicionalmente, cerca de 37 mil personas se desplazan al GAM por trabajo de los cantones periféricos (resto de la región central) y alrededor de 12.500 de las otras regiones del país. </w:t>
      </w:r>
      <w:r w:rsidR="00994E33">
        <w:rPr>
          <w:rFonts w:ascii="Arial" w:eastAsia="Calibri" w:hAnsi="Arial" w:cs="Arial"/>
          <w:sz w:val="24"/>
          <w:szCs w:val="24"/>
          <w:lang w:eastAsia="es-CR"/>
        </w:rPr>
        <w:t xml:space="preserve"> </w:t>
      </w:r>
      <w:r w:rsidRPr="00E63502">
        <w:rPr>
          <w:rFonts w:ascii="Arial" w:eastAsia="Calibri" w:hAnsi="Arial" w:cs="Arial"/>
          <w:sz w:val="24"/>
          <w:szCs w:val="24"/>
          <w:lang w:eastAsia="es-CR"/>
        </w:rPr>
        <w:t>Un 50% de los trabajadores del GAM están empleados en un cantón diferente al que habitan, mientras que fuera del GAM esta cifra disminuye un 18%.  El transporte público representa</w:t>
      </w:r>
      <w:r w:rsidR="00951011">
        <w:rPr>
          <w:rFonts w:ascii="Arial" w:eastAsia="Calibri" w:hAnsi="Arial" w:cs="Arial"/>
          <w:sz w:val="24"/>
          <w:szCs w:val="24"/>
          <w:lang w:eastAsia="es-CR"/>
        </w:rPr>
        <w:t xml:space="preserve"> el 27% de la demanda de viajes</w:t>
      </w:r>
      <w:r w:rsidRPr="00951011">
        <w:rPr>
          <w:rFonts w:ascii="Arial" w:eastAsia="Calibri" w:hAnsi="Arial" w:cs="Arial"/>
          <w:b/>
          <w:color w:val="000000"/>
          <w:sz w:val="24"/>
          <w:szCs w:val="24"/>
          <w:vertAlign w:val="superscript"/>
          <w:lang w:eastAsia="es-CR"/>
        </w:rPr>
        <w:footnoteReference w:customMarkFollows="1" w:id="4"/>
        <w:t>3</w:t>
      </w:r>
      <w:r w:rsidRPr="00E63502">
        <w:rPr>
          <w:rFonts w:ascii="Arial" w:eastAsia="Calibri" w:hAnsi="Arial" w:cs="Arial"/>
          <w:color w:val="000000"/>
          <w:sz w:val="24"/>
          <w:szCs w:val="24"/>
          <w:lang w:eastAsia="es-CR"/>
        </w:rPr>
        <w:t xml:space="preserve"> </w:t>
      </w:r>
      <w:r w:rsidRPr="00E63502">
        <w:rPr>
          <w:rFonts w:ascii="Arial" w:eastAsia="Calibri" w:hAnsi="Arial" w:cs="Arial"/>
          <w:sz w:val="24"/>
          <w:szCs w:val="24"/>
          <w:lang w:eastAsia="es-CR"/>
        </w:rPr>
        <w:t xml:space="preserve">del GAM, y la alta congestión que se genera en los principales corredores (Ruta 1 y 2) desincentivan cada vez más a usarlo. </w:t>
      </w:r>
      <w:r w:rsidR="00994E33">
        <w:rPr>
          <w:rFonts w:ascii="Arial" w:eastAsia="Calibri" w:hAnsi="Arial" w:cs="Arial"/>
          <w:sz w:val="24"/>
          <w:szCs w:val="24"/>
          <w:lang w:eastAsia="es-CR"/>
        </w:rPr>
        <w:t xml:space="preserve"> </w:t>
      </w:r>
      <w:r w:rsidRPr="00E63502">
        <w:rPr>
          <w:rFonts w:ascii="Arial" w:eastAsia="Calibri" w:hAnsi="Arial" w:cs="Arial"/>
          <w:sz w:val="24"/>
          <w:szCs w:val="24"/>
          <w:lang w:eastAsia="es-CR"/>
        </w:rPr>
        <w:t>Apenas 2,6 km de vías cada 100.000 habitantes están dedicadas en forma exclusiva al transporte público (cuya flota presenta una antigüedad promedio de 15 años, y solo un 55% de la población del GAM lo utiliza como medio principal para ir al trabajo. Además, el GAM cuenta sólo con 500 metros de ciclovías, a pesar de tener corredores naturales de movilidad</w:t>
      </w:r>
      <w:r w:rsidRPr="00951011">
        <w:rPr>
          <w:rFonts w:ascii="Arial" w:eastAsia="Calibri" w:hAnsi="Arial" w:cs="Arial"/>
          <w:b/>
          <w:color w:val="000000"/>
          <w:sz w:val="24"/>
          <w:szCs w:val="24"/>
          <w:vertAlign w:val="superscript"/>
          <w:lang w:eastAsia="es-CR"/>
        </w:rPr>
        <w:footnoteReference w:customMarkFollows="1" w:id="5"/>
        <w:t>4</w:t>
      </w:r>
      <w:r w:rsidRPr="00E63502">
        <w:rPr>
          <w:rFonts w:ascii="Arial" w:eastAsia="Calibri" w:hAnsi="Arial" w:cs="Arial"/>
          <w:color w:val="000000"/>
          <w:sz w:val="24"/>
          <w:szCs w:val="24"/>
          <w:lang w:eastAsia="es-CR"/>
        </w:rPr>
        <w:t>.</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La capacidad del sistema vial costarricense es insuficiente para ofrecer un eficiente flujo de vehículos, mostrando además un avanzado grado de deterioro que requiere una atención inmediata, que, con la llegada de la época lluviosa, se agrava más su estado e implica, mayores inversiones para su rehabilitación y recuperación a condiciones aceptables de rodamiento.</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La crisis económica de la década de los años ochenta, caracterizada por una acelerada devaluación, limitó el endeudamiento externo de Costa Rica, que había representado hasta la fecha, la principal fuente de financiamiento para grandes obras de infraestructura.  A su vez, en el año 1998 se generaron importantes reformas institucionales en el Ministerio de Obras Públicas y Transportes; como fueron las Leyes de creación tanto del Consejo Nacional de Concesiones (CNC), como del Consejo Nacional de Vialidad (CONAVI).</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I</w:t>
      </w:r>
      <w:r w:rsidR="00994E33">
        <w:rPr>
          <w:rFonts w:ascii="Arial" w:eastAsia="Calibri" w:hAnsi="Arial" w:cs="Arial"/>
          <w:sz w:val="24"/>
          <w:szCs w:val="24"/>
          <w:lang w:eastAsia="es-CR"/>
        </w:rPr>
        <w:t xml:space="preserve">gualmente, se aprobó la Ley N° </w:t>
      </w:r>
      <w:r w:rsidRPr="00E63502">
        <w:rPr>
          <w:rFonts w:ascii="Arial" w:eastAsia="Calibri" w:hAnsi="Arial" w:cs="Arial"/>
          <w:sz w:val="24"/>
          <w:szCs w:val="24"/>
          <w:lang w:eastAsia="es-CR"/>
        </w:rPr>
        <w:t>8114 de “Simplificación y Eficiencia Tributaria”, que soporta el Fondo Vial Nacional (FVN), a partir de la asignación de un porcentaje del ingreso único del impuesto a los combustibles; con el propósito de destinar recursos constantes y permanentes a la vialidad, tanto nacional como cantonal del país.</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 xml:space="preserve">Mediante la Ley N° 7798, se creó el Consejo Nacional de Vialidad (CONAVI), con el objetivo de planear, programar, administrar, financiar, ejecutar y controlar la conservación y la construcción de la Red Vial Nacional. CONAVI es un organismo </w:t>
      </w:r>
      <w:r w:rsidRPr="00E63502">
        <w:rPr>
          <w:rFonts w:ascii="Arial" w:eastAsia="Calibri" w:hAnsi="Arial" w:cs="Arial"/>
          <w:sz w:val="24"/>
          <w:szCs w:val="24"/>
          <w:lang w:eastAsia="es-CR"/>
        </w:rPr>
        <w:lastRenderedPageBreak/>
        <w:t>con desconcentración máxima, adscrito al MOPT, con personería jurídica instrumental y presupuestaria para administrar el Fondo Vial.</w:t>
      </w:r>
    </w:p>
    <w:p w:rsidR="00994E33" w:rsidRPr="00E63502" w:rsidRDefault="00994E33"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A pe</w:t>
      </w:r>
      <w:r w:rsidR="00994E33">
        <w:rPr>
          <w:rFonts w:ascii="Arial" w:eastAsia="Calibri" w:hAnsi="Arial" w:cs="Arial"/>
          <w:sz w:val="24"/>
          <w:szCs w:val="24"/>
          <w:lang w:eastAsia="es-CR"/>
        </w:rPr>
        <w:t>sar de la vigencia de la Ley N°</w:t>
      </w:r>
      <w:r w:rsidRPr="00E63502">
        <w:rPr>
          <w:rFonts w:ascii="Arial" w:eastAsia="Calibri" w:hAnsi="Arial" w:cs="Arial"/>
          <w:sz w:val="24"/>
          <w:szCs w:val="24"/>
          <w:lang w:eastAsia="es-CR"/>
        </w:rPr>
        <w:t xml:space="preserve"> 8114, el país continúa presentando un rezago importante en infraestructura vial; destinándose, en los últimos años, recursos adicionales de financiamiento externo, para poder construir, reconstruir, rehabilitar y mantener nuestra infraestructura vial.</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Los servicios de conservación de la Red Vial Nacional bajo responsabilidad de CONAVI buscan mantener el patrimonio nacional, preservando la vida útil inicialmente proyectada de las carreteras y proporcionando mayor seguridad, transitabilidad y comodidad a los usuarios, sin embargo, se carece de recursos para obra nueva.</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Default="00FF0D18" w:rsidP="00F05214">
      <w:pPr>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 xml:space="preserve">El principal problema que tiene la red vial es el ya mencionado de la falta de inversión en el sector, lo que ha ocasionado un importante deterioro de la infraestructura, el que puede comprobarse en el Cuadro Nº 5 pág. 6 del estado de la Red Vial Nacional Pavimentada. </w:t>
      </w:r>
      <w:r w:rsidR="00994E33">
        <w:rPr>
          <w:rFonts w:ascii="Arial" w:eastAsia="Calibri" w:hAnsi="Arial" w:cs="Arial"/>
          <w:sz w:val="24"/>
          <w:szCs w:val="24"/>
          <w:lang w:eastAsia="es-CR"/>
        </w:rPr>
        <w:t xml:space="preserve"> </w:t>
      </w:r>
      <w:r w:rsidRPr="00E63502">
        <w:rPr>
          <w:rFonts w:ascii="Arial" w:eastAsia="Calibri" w:hAnsi="Arial" w:cs="Arial"/>
          <w:sz w:val="24"/>
          <w:szCs w:val="24"/>
          <w:lang w:eastAsia="es-CR"/>
        </w:rPr>
        <w:t>De no recibir el subsector vial rápidamente inversiones, se puede producir una sustancial pérdida del patrimonio vial de Costa Rica, perdiéndose de esa forma logros importantes ya alcanzados por el país, en términos de la calidad de vida de sus habitantes y la ventaja competitiva importante en términos productivos.</w:t>
      </w:r>
    </w:p>
    <w:p w:rsidR="00994E33" w:rsidRPr="00E63502" w:rsidRDefault="00994E33" w:rsidP="00F05214">
      <w:pPr>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bookmarkStart w:id="11" w:name="_Ref17447841"/>
      <w:bookmarkStart w:id="12" w:name="_Ref17211092"/>
      <w:r w:rsidRPr="00E63502">
        <w:rPr>
          <w:rFonts w:ascii="Arial" w:eastAsia="Calibri" w:hAnsi="Arial" w:cs="Arial"/>
          <w:sz w:val="24"/>
          <w:szCs w:val="24"/>
          <w:lang w:eastAsia="es-CR"/>
        </w:rPr>
        <w:t>Por lo anterior, es que se requiere financiamiento de fuentes externas que contribuyan al desarrollo y ejecución de proyectos y se plantea el financiamiento con recursos de Banco Interamericano de Desarrollo (BID), el cual ya ha tenido exitosas experiencias en Costa Rica mediante la preparación y financiamiento de numerosos proyectos de transporte, como se ha venido demostrando en los siguientes créditos:</w:t>
      </w: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p>
    <w:p w:rsidR="00FF0D18" w:rsidRPr="00E63502" w:rsidRDefault="00FF0D18" w:rsidP="00F05214">
      <w:pPr>
        <w:autoSpaceDE w:val="0"/>
        <w:autoSpaceDN w:val="0"/>
        <w:adjustRightInd w:val="0"/>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En 2008, se aprobó una CCLIP (CR-X1007), por hasta US$850 millones</w:t>
      </w:r>
      <w:r>
        <w:rPr>
          <w:rFonts w:ascii="Arial" w:eastAsia="Calibri" w:hAnsi="Arial" w:cs="Arial"/>
          <w:sz w:val="24"/>
          <w:szCs w:val="24"/>
          <w:lang w:eastAsia="es-CR"/>
        </w:rPr>
        <w:t xml:space="preserve"> de dólares</w:t>
      </w:r>
      <w:r w:rsidRPr="00E63502">
        <w:rPr>
          <w:rFonts w:ascii="Arial" w:eastAsia="Calibri" w:hAnsi="Arial" w:cs="Arial"/>
          <w:sz w:val="24"/>
          <w:szCs w:val="24"/>
          <w:lang w:eastAsia="es-CR"/>
        </w:rPr>
        <w:t>, bajo la cual se ejecutaron satisfactoriamente el primer P</w:t>
      </w:r>
      <w:r w:rsidR="00994E33">
        <w:rPr>
          <w:rFonts w:ascii="Arial" w:eastAsia="Calibri" w:hAnsi="Arial" w:cs="Arial"/>
          <w:sz w:val="24"/>
          <w:szCs w:val="24"/>
          <w:lang w:eastAsia="es-CR"/>
        </w:rPr>
        <w:t xml:space="preserve">rograma de Infraestructura Vial </w:t>
      </w:r>
      <w:r w:rsidRPr="00E63502">
        <w:rPr>
          <w:rFonts w:ascii="Arial" w:eastAsia="Calibri" w:hAnsi="Arial" w:cs="Arial"/>
          <w:sz w:val="24"/>
          <w:szCs w:val="24"/>
          <w:lang w:eastAsia="es-CR"/>
        </w:rPr>
        <w:t>(PIV-I) (contrato de préstamo 2007/OC-CR), por US$300 millones</w:t>
      </w:r>
      <w:r>
        <w:rPr>
          <w:rFonts w:ascii="Arial" w:eastAsia="Calibri" w:hAnsi="Arial" w:cs="Arial"/>
          <w:sz w:val="24"/>
          <w:szCs w:val="24"/>
          <w:lang w:eastAsia="es-CR"/>
        </w:rPr>
        <w:t xml:space="preserve"> de dólares</w:t>
      </w:r>
      <w:r w:rsidRPr="00E63502">
        <w:rPr>
          <w:rFonts w:ascii="Arial" w:eastAsia="Calibri" w:hAnsi="Arial" w:cs="Arial"/>
          <w:sz w:val="24"/>
          <w:szCs w:val="24"/>
          <w:lang w:eastAsia="es-CR"/>
        </w:rPr>
        <w:t xml:space="preserve"> y el Primer Programa de la Red Vial Cantonal (PRVC) (contrato de préstamo 2098/OC-CR), por un monto de</w:t>
      </w:r>
      <w:r>
        <w:rPr>
          <w:rFonts w:ascii="Arial" w:eastAsia="Calibri" w:hAnsi="Arial" w:cs="Arial"/>
          <w:sz w:val="24"/>
          <w:szCs w:val="24"/>
          <w:lang w:eastAsia="es-CR"/>
        </w:rPr>
        <w:t xml:space="preserve"> </w:t>
      </w:r>
      <w:r w:rsidRPr="00E63502">
        <w:rPr>
          <w:rFonts w:ascii="Arial" w:eastAsia="Calibri" w:hAnsi="Arial" w:cs="Arial"/>
          <w:sz w:val="24"/>
          <w:szCs w:val="24"/>
          <w:lang w:eastAsia="es-CR"/>
        </w:rPr>
        <w:t>US$60 millones</w:t>
      </w:r>
      <w:r>
        <w:rPr>
          <w:rFonts w:ascii="Arial" w:eastAsia="Calibri" w:hAnsi="Arial" w:cs="Arial"/>
          <w:sz w:val="24"/>
          <w:szCs w:val="24"/>
          <w:lang w:eastAsia="es-CR"/>
        </w:rPr>
        <w:t xml:space="preserve"> de dólares</w:t>
      </w:r>
      <w:r w:rsidR="00994E33">
        <w:rPr>
          <w:rFonts w:ascii="Arial" w:eastAsia="Calibri" w:hAnsi="Arial" w:cs="Arial"/>
          <w:sz w:val="24"/>
          <w:szCs w:val="24"/>
          <w:lang w:eastAsia="es-CR"/>
        </w:rPr>
        <w:t xml:space="preserve">.  </w:t>
      </w:r>
      <w:r w:rsidRPr="00E63502">
        <w:rPr>
          <w:rFonts w:ascii="Arial" w:eastAsia="Calibri" w:hAnsi="Arial" w:cs="Arial"/>
          <w:sz w:val="24"/>
          <w:szCs w:val="24"/>
          <w:lang w:eastAsia="es-CR"/>
        </w:rPr>
        <w:t>Actualmente, se ejecuta por parte del MOPT, el segundo PRVC (contrato de préstamo 4507/OC-CR) por un monto de US$144 millones</w:t>
      </w:r>
      <w:r>
        <w:rPr>
          <w:rFonts w:ascii="Arial" w:eastAsia="Calibri" w:hAnsi="Arial" w:cs="Arial"/>
          <w:sz w:val="24"/>
          <w:szCs w:val="24"/>
          <w:lang w:eastAsia="es-CR"/>
        </w:rPr>
        <w:t xml:space="preserve"> de dólares</w:t>
      </w:r>
      <w:r w:rsidRPr="00E63502">
        <w:rPr>
          <w:rFonts w:ascii="Arial" w:eastAsia="Calibri" w:hAnsi="Arial" w:cs="Arial"/>
          <w:sz w:val="24"/>
          <w:szCs w:val="24"/>
          <w:lang w:eastAsia="es-CR"/>
        </w:rPr>
        <w:t xml:space="preserve"> y el Programa de Infraestructura de Transporte (PIT) (</w:t>
      </w:r>
      <w:bookmarkStart w:id="13" w:name="_Hlk16975577"/>
      <w:r w:rsidRPr="00E63502">
        <w:rPr>
          <w:rFonts w:ascii="Arial" w:eastAsia="Calibri" w:hAnsi="Arial" w:cs="Arial"/>
          <w:sz w:val="24"/>
          <w:szCs w:val="24"/>
          <w:lang w:eastAsia="es-CR"/>
        </w:rPr>
        <w:t xml:space="preserve">contratos de préstamo 3071/OC-CR </w:t>
      </w:r>
      <w:bookmarkEnd w:id="13"/>
      <w:r w:rsidRPr="00E63502">
        <w:rPr>
          <w:rFonts w:ascii="Arial" w:eastAsia="Calibri" w:hAnsi="Arial" w:cs="Arial"/>
          <w:sz w:val="24"/>
          <w:szCs w:val="24"/>
          <w:lang w:eastAsia="es-CR"/>
        </w:rPr>
        <w:t>y 3072/CH-CR) para rehabilitación de la RVN, por un monto de US$450 millones</w:t>
      </w:r>
      <w:r>
        <w:rPr>
          <w:rFonts w:ascii="Arial" w:eastAsia="Calibri" w:hAnsi="Arial" w:cs="Arial"/>
          <w:sz w:val="24"/>
          <w:szCs w:val="24"/>
          <w:lang w:eastAsia="es-CR"/>
        </w:rPr>
        <w:t xml:space="preserve"> de dólares</w:t>
      </w:r>
      <w:r w:rsidRPr="00E63502">
        <w:rPr>
          <w:rFonts w:ascii="Arial" w:eastAsia="Calibri" w:hAnsi="Arial" w:cs="Arial"/>
          <w:sz w:val="24"/>
          <w:szCs w:val="24"/>
          <w:lang w:eastAsia="es-CR"/>
        </w:rPr>
        <w:t>, todos en asociación con la planificación de largo plazo del MOPT, Planes Nacionales de Desarrollo y vinculación con distintos sectores.</w:t>
      </w:r>
      <w:bookmarkEnd w:id="11"/>
      <w:bookmarkEnd w:id="12"/>
    </w:p>
    <w:p w:rsidR="00FF0D18" w:rsidRPr="00E63502" w:rsidRDefault="00994E33" w:rsidP="00F05214">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br w:type="page"/>
      </w:r>
    </w:p>
    <w:p w:rsidR="00994E33" w:rsidRDefault="00994E33" w:rsidP="00994E33">
      <w:pPr>
        <w:spacing w:after="0" w:line="240" w:lineRule="auto"/>
        <w:ind w:left="705" w:hanging="705"/>
        <w:contextualSpacing/>
        <w:jc w:val="both"/>
        <w:rPr>
          <w:rFonts w:ascii="Arial" w:eastAsia="Times New Roman" w:hAnsi="Arial" w:cs="Arial"/>
          <w:b/>
          <w:bCs/>
          <w:sz w:val="24"/>
          <w:szCs w:val="24"/>
        </w:rPr>
      </w:pPr>
      <w:r w:rsidRPr="00951011">
        <w:rPr>
          <w:rFonts w:ascii="Arial" w:eastAsia="Times New Roman" w:hAnsi="Arial" w:cs="Arial"/>
          <w:b/>
          <w:bCs/>
          <w:sz w:val="24"/>
          <w:szCs w:val="24"/>
        </w:rPr>
        <w:lastRenderedPageBreak/>
        <w:t>3-</w:t>
      </w:r>
      <w:r w:rsidRPr="00951011">
        <w:rPr>
          <w:rFonts w:ascii="Arial" w:eastAsia="Times New Roman" w:hAnsi="Arial" w:cs="Arial"/>
          <w:b/>
          <w:bCs/>
          <w:sz w:val="24"/>
          <w:szCs w:val="24"/>
        </w:rPr>
        <w:tab/>
      </w:r>
      <w:r w:rsidR="00FF0D18" w:rsidRPr="00951011">
        <w:rPr>
          <w:rFonts w:ascii="Arial" w:eastAsia="Times New Roman" w:hAnsi="Arial" w:cs="Arial"/>
          <w:b/>
          <w:bCs/>
          <w:sz w:val="24"/>
          <w:szCs w:val="24"/>
        </w:rPr>
        <w:t xml:space="preserve">DESCRIPCIÓN </w:t>
      </w:r>
      <w:r w:rsidR="00FF0D18" w:rsidRPr="00951011">
        <w:rPr>
          <w:rFonts w:ascii="Arial" w:eastAsia="Times New Roman" w:hAnsi="Arial" w:cs="Arial"/>
          <w:b/>
          <w:bCs/>
          <w:smallCaps/>
          <w:spacing w:val="-6"/>
          <w:sz w:val="24"/>
          <w:szCs w:val="24"/>
          <w:lang w:val="es-ES_tradnl"/>
        </w:rPr>
        <w:t xml:space="preserve">DEL CONVENIO DE </w:t>
      </w:r>
      <w:r w:rsidR="00FF0D18" w:rsidRPr="007013C0">
        <w:rPr>
          <w:rFonts w:ascii="Arial" w:eastAsia="Times New Roman" w:hAnsi="Arial" w:cs="Arial"/>
          <w:b/>
          <w:bCs/>
          <w:smallCaps/>
          <w:spacing w:val="-6"/>
          <w:sz w:val="24"/>
          <w:szCs w:val="24"/>
          <w:lang w:val="es-ES_tradnl"/>
        </w:rPr>
        <w:t>COOPERACIÓN PARA EL FINANCIAMIENTO DE PROYECTOS DE INVERSIÓN</w:t>
      </w:r>
      <w:r w:rsidRPr="007013C0">
        <w:rPr>
          <w:rFonts w:ascii="Arial" w:eastAsia="Times New Roman" w:hAnsi="Arial" w:cs="Arial"/>
          <w:b/>
          <w:bCs/>
          <w:sz w:val="24"/>
          <w:szCs w:val="24"/>
        </w:rPr>
        <w:t xml:space="preserve"> (CCLIP) CR-O0005</w:t>
      </w:r>
    </w:p>
    <w:p w:rsidR="00994E33" w:rsidRDefault="00994E33" w:rsidP="00994E33">
      <w:pPr>
        <w:spacing w:after="0" w:line="240" w:lineRule="auto"/>
        <w:ind w:left="705" w:hanging="705"/>
        <w:contextualSpacing/>
        <w:jc w:val="both"/>
        <w:rPr>
          <w:rFonts w:ascii="Arial" w:eastAsia="Times New Roman" w:hAnsi="Arial" w:cs="Arial"/>
          <w:b/>
          <w:bCs/>
          <w:sz w:val="24"/>
          <w:szCs w:val="24"/>
        </w:rPr>
      </w:pPr>
    </w:p>
    <w:p w:rsidR="00994E33" w:rsidRDefault="00FF0D18" w:rsidP="00994E33">
      <w:pPr>
        <w:spacing w:after="0" w:line="240" w:lineRule="auto"/>
        <w:contextualSpacing/>
        <w:jc w:val="both"/>
        <w:rPr>
          <w:rFonts w:ascii="Arial" w:eastAsia="Times New Roman" w:hAnsi="Arial" w:cs="Arial"/>
          <w:b/>
          <w:bCs/>
          <w:sz w:val="24"/>
          <w:szCs w:val="24"/>
        </w:rPr>
      </w:pPr>
      <w:r w:rsidRPr="00E63502">
        <w:rPr>
          <w:rFonts w:ascii="Arial" w:eastAsia="Calibri" w:hAnsi="Arial" w:cs="Arial"/>
          <w:sz w:val="24"/>
          <w:szCs w:val="24"/>
          <w:lang w:eastAsia="es-CR"/>
        </w:rPr>
        <w:t>El Convenio de Cooperación CCLIP establece un marco de cooperación para el</w:t>
      </w:r>
      <w:r w:rsidR="00994E33">
        <w:rPr>
          <w:rFonts w:ascii="Arial" w:eastAsia="Calibri" w:hAnsi="Arial" w:cs="Arial"/>
          <w:sz w:val="24"/>
          <w:szCs w:val="24"/>
          <w:lang w:eastAsia="es-CR"/>
        </w:rPr>
        <w:t xml:space="preserve"> </w:t>
      </w:r>
      <w:r w:rsidRPr="00E63502">
        <w:rPr>
          <w:rFonts w:ascii="Arial" w:eastAsia="Calibri" w:hAnsi="Arial" w:cs="Arial"/>
          <w:sz w:val="24"/>
          <w:szCs w:val="24"/>
          <w:lang w:eastAsia="es-CR"/>
        </w:rPr>
        <w:t xml:space="preserve">financiamiento de proyectos de inversión a </w:t>
      </w:r>
      <w:r w:rsidR="00994E33">
        <w:rPr>
          <w:rFonts w:ascii="Arial" w:eastAsia="Calibri" w:hAnsi="Arial" w:cs="Arial"/>
          <w:sz w:val="24"/>
          <w:szCs w:val="24"/>
          <w:lang w:eastAsia="es-CR"/>
        </w:rPr>
        <w:t xml:space="preserve">través de contratos de préstamo </w:t>
      </w:r>
      <w:r w:rsidRPr="00E63502">
        <w:rPr>
          <w:rFonts w:ascii="Arial" w:eastAsia="Calibri" w:hAnsi="Arial" w:cs="Arial"/>
          <w:sz w:val="24"/>
          <w:szCs w:val="24"/>
          <w:lang w:eastAsia="es-CR"/>
        </w:rPr>
        <w:t>individual dentro del Programa de Infraestructura Vial y Movilidad Urbana.</w:t>
      </w:r>
    </w:p>
    <w:p w:rsidR="00994E33" w:rsidRDefault="00994E33" w:rsidP="00994E33">
      <w:pPr>
        <w:spacing w:after="0" w:line="240" w:lineRule="auto"/>
        <w:contextualSpacing/>
        <w:jc w:val="both"/>
        <w:rPr>
          <w:rFonts w:ascii="Arial" w:eastAsia="Times New Roman" w:hAnsi="Arial" w:cs="Arial"/>
          <w:b/>
          <w:bCs/>
          <w:sz w:val="24"/>
          <w:szCs w:val="24"/>
        </w:rPr>
      </w:pPr>
    </w:p>
    <w:p w:rsidR="00994E33" w:rsidRDefault="00FF0D18" w:rsidP="00994E33">
      <w:pPr>
        <w:spacing w:after="0" w:line="240" w:lineRule="auto"/>
        <w:contextualSpacing/>
        <w:jc w:val="both"/>
        <w:rPr>
          <w:rFonts w:ascii="Arial" w:eastAsia="Times New Roman" w:hAnsi="Arial" w:cs="Arial"/>
          <w:b/>
          <w:bCs/>
          <w:sz w:val="24"/>
          <w:szCs w:val="24"/>
        </w:rPr>
      </w:pPr>
      <w:r w:rsidRPr="00E63502">
        <w:rPr>
          <w:rFonts w:ascii="Arial" w:eastAsia="Calibri" w:hAnsi="Arial" w:cs="Arial"/>
          <w:b/>
          <w:sz w:val="24"/>
          <w:szCs w:val="24"/>
          <w:lang w:eastAsia="es-CR"/>
        </w:rPr>
        <w:t>Objetivo de la CCLIP</w:t>
      </w:r>
    </w:p>
    <w:p w:rsidR="00994E33" w:rsidRDefault="00994E33" w:rsidP="00994E33">
      <w:pPr>
        <w:spacing w:after="0" w:line="240" w:lineRule="auto"/>
        <w:contextualSpacing/>
        <w:jc w:val="both"/>
        <w:rPr>
          <w:rFonts w:ascii="Arial" w:eastAsia="Times New Roman" w:hAnsi="Arial" w:cs="Arial"/>
          <w:b/>
          <w:bCs/>
          <w:sz w:val="24"/>
          <w:szCs w:val="24"/>
        </w:rPr>
      </w:pPr>
    </w:p>
    <w:p w:rsidR="00FF0D18" w:rsidRPr="00994E33" w:rsidRDefault="00FF0D18" w:rsidP="00994E33">
      <w:pPr>
        <w:spacing w:after="0" w:line="240" w:lineRule="auto"/>
        <w:contextualSpacing/>
        <w:jc w:val="both"/>
        <w:rPr>
          <w:rFonts w:ascii="Arial" w:eastAsia="Times New Roman" w:hAnsi="Arial" w:cs="Arial"/>
          <w:b/>
          <w:bCs/>
          <w:sz w:val="24"/>
          <w:szCs w:val="24"/>
        </w:rPr>
      </w:pPr>
      <w:r w:rsidRPr="00E63502">
        <w:rPr>
          <w:rFonts w:ascii="Arial" w:eastAsia="Calibri" w:hAnsi="Arial" w:cs="Arial"/>
          <w:sz w:val="24"/>
          <w:szCs w:val="24"/>
          <w:lang w:eastAsia="es-CR"/>
        </w:rPr>
        <w:t>Facilitar el acceso a financiamiento a largo plazo para invertir en proyectos sostenibles de mejora y ampliación de la Red Vial Estratégica de Costa Rica (RVE), y de mejora del desarrollo y la movilidad urbanas en la Gran Área Metropolitana (GAM), que promuevan la competitividad como mecanismo para impulsar el cre</w:t>
      </w:r>
      <w:r w:rsidR="007013C0">
        <w:rPr>
          <w:rFonts w:ascii="Arial" w:eastAsia="Calibri" w:hAnsi="Arial" w:cs="Arial"/>
          <w:sz w:val="24"/>
          <w:szCs w:val="24"/>
          <w:lang w:eastAsia="es-CR"/>
        </w:rPr>
        <w:t>cimiento económico del país.</w:t>
      </w:r>
    </w:p>
    <w:p w:rsidR="00951011" w:rsidRDefault="00951011" w:rsidP="007013C0">
      <w:pPr>
        <w:rPr>
          <w:rFonts w:ascii="Arial" w:hAnsi="Arial" w:cs="Arial"/>
          <w:sz w:val="24"/>
          <w:szCs w:val="24"/>
          <w:lang w:eastAsia="es-CR"/>
        </w:rPr>
      </w:pPr>
    </w:p>
    <w:p w:rsidR="00FF0D18" w:rsidRDefault="00FF0D18" w:rsidP="00951011">
      <w:pPr>
        <w:spacing w:after="0"/>
        <w:rPr>
          <w:rFonts w:ascii="Arial" w:hAnsi="Arial" w:cs="Arial"/>
          <w:sz w:val="24"/>
          <w:szCs w:val="24"/>
          <w:lang w:eastAsia="es-CR"/>
        </w:rPr>
      </w:pPr>
      <w:r w:rsidRPr="007013C0">
        <w:rPr>
          <w:rFonts w:ascii="Arial" w:hAnsi="Arial" w:cs="Arial"/>
          <w:sz w:val="24"/>
          <w:szCs w:val="24"/>
          <w:lang w:eastAsia="es-CR"/>
        </w:rPr>
        <w:t xml:space="preserve">El monto de la CCLIP es de US$350 millones de dólares a ejecutarse en un </w:t>
      </w:r>
      <w:r w:rsidR="007013C0">
        <w:rPr>
          <w:rFonts w:ascii="Arial" w:hAnsi="Arial" w:cs="Arial"/>
          <w:sz w:val="24"/>
          <w:szCs w:val="24"/>
          <w:lang w:eastAsia="es-CR"/>
        </w:rPr>
        <w:t>plazo de desembolso de 10 años.</w:t>
      </w:r>
    </w:p>
    <w:p w:rsidR="00951011" w:rsidRPr="007013C0" w:rsidRDefault="00951011" w:rsidP="00951011">
      <w:pPr>
        <w:spacing w:after="0"/>
        <w:rPr>
          <w:rFonts w:ascii="Arial" w:hAnsi="Arial" w:cs="Arial"/>
          <w:sz w:val="24"/>
          <w:szCs w:val="24"/>
          <w:lang w:eastAsia="es-CR"/>
        </w:rPr>
      </w:pPr>
    </w:p>
    <w:p w:rsidR="00FF0D18" w:rsidRPr="007013C0" w:rsidRDefault="00FF0D18" w:rsidP="007013C0">
      <w:pPr>
        <w:rPr>
          <w:rFonts w:ascii="Arial" w:hAnsi="Arial" w:cs="Arial"/>
          <w:sz w:val="24"/>
          <w:szCs w:val="24"/>
          <w:lang w:eastAsia="es-CR"/>
        </w:rPr>
      </w:pPr>
      <w:r w:rsidRPr="007013C0">
        <w:rPr>
          <w:rFonts w:ascii="Arial" w:hAnsi="Arial" w:cs="Arial"/>
          <w:sz w:val="24"/>
          <w:szCs w:val="24"/>
          <w:lang w:eastAsia="es-CR"/>
        </w:rPr>
        <w:t>Dichos recursos serán utilizados para financiar dos Préstamos Individuales:</w:t>
      </w:r>
    </w:p>
    <w:p w:rsidR="00FF0D18" w:rsidRPr="00624BF6" w:rsidRDefault="00FF0D18" w:rsidP="00624BF6">
      <w:pPr>
        <w:pStyle w:val="Prrafodelista"/>
        <w:numPr>
          <w:ilvl w:val="0"/>
          <w:numId w:val="43"/>
        </w:numPr>
        <w:jc w:val="both"/>
        <w:rPr>
          <w:rFonts w:ascii="Arial" w:hAnsi="Arial" w:cs="Arial"/>
          <w:lang w:eastAsia="es-CR"/>
        </w:rPr>
      </w:pPr>
      <w:r w:rsidRPr="00624BF6">
        <w:rPr>
          <w:rFonts w:ascii="Arial" w:hAnsi="Arial" w:cs="Arial"/>
          <w:lang w:eastAsia="es-CR"/>
        </w:rPr>
        <w:t xml:space="preserve">Primer préstamo, hasta por la suma de US$125.000.000 de dólares, para financiar el “Programa de Infraestructura Vial y Promoción de Asociaciones Público Privadas” </w:t>
      </w:r>
    </w:p>
    <w:p w:rsidR="00951011" w:rsidRPr="00624BF6" w:rsidRDefault="00951011" w:rsidP="00624BF6">
      <w:pPr>
        <w:pStyle w:val="Prrafodelista"/>
        <w:ind w:left="850"/>
        <w:jc w:val="both"/>
        <w:rPr>
          <w:rFonts w:ascii="Arial" w:hAnsi="Arial" w:cs="Arial"/>
          <w:lang w:eastAsia="es-CR"/>
        </w:rPr>
      </w:pPr>
    </w:p>
    <w:p w:rsidR="00FF0D18" w:rsidRDefault="00951011" w:rsidP="00624BF6">
      <w:pPr>
        <w:spacing w:after="0" w:line="240" w:lineRule="auto"/>
        <w:ind w:left="1418" w:hanging="568"/>
        <w:jc w:val="both"/>
        <w:rPr>
          <w:rFonts w:ascii="Arial" w:hAnsi="Arial" w:cs="Arial"/>
          <w:sz w:val="24"/>
          <w:szCs w:val="24"/>
          <w:lang w:eastAsia="es-CR"/>
        </w:rPr>
      </w:pPr>
      <w:r w:rsidRPr="00624BF6">
        <w:rPr>
          <w:rFonts w:ascii="Arial" w:eastAsia="Times New Roman" w:hAnsi="Arial" w:cs="Arial"/>
          <w:sz w:val="24"/>
          <w:szCs w:val="24"/>
          <w:lang w:eastAsia="es-CR"/>
        </w:rPr>
        <w:t>(ii)</w:t>
      </w:r>
      <w:r w:rsidRPr="00624BF6">
        <w:rPr>
          <w:rFonts w:ascii="Arial" w:eastAsia="Times New Roman" w:hAnsi="Arial" w:cs="Arial"/>
          <w:sz w:val="24"/>
          <w:szCs w:val="24"/>
          <w:lang w:eastAsia="es-CR"/>
        </w:rPr>
        <w:tab/>
      </w:r>
      <w:r w:rsidR="00FF0D18" w:rsidRPr="00624BF6">
        <w:rPr>
          <w:rFonts w:ascii="Arial" w:hAnsi="Arial" w:cs="Arial"/>
          <w:sz w:val="24"/>
          <w:szCs w:val="24"/>
          <w:lang w:eastAsia="es-CR"/>
        </w:rPr>
        <w:t>Segundo p</w:t>
      </w:r>
      <w:r w:rsidR="00FF0D18" w:rsidRPr="0043379A">
        <w:rPr>
          <w:rFonts w:ascii="Arial" w:hAnsi="Arial" w:cs="Arial"/>
          <w:sz w:val="24"/>
          <w:szCs w:val="24"/>
          <w:lang w:eastAsia="es-CR"/>
        </w:rPr>
        <w:t>réstamo, hasta por la suma de US$125.000.000 de dólares, para la terminación de la nueva vía a San Carlos y promoción del mantenimiento vial por estándares de servicio; así como el desarrollo y movilidad urbana a lo largo de los ejes viales bajo el concepto del Desarrollo Orientado al Transporte (DOT) y se financiaría la infraestructura para habilitación de vías y obras complementarias inclusivas con base en los diseños que se elaborarían con la primera operación.</w:t>
      </w:r>
    </w:p>
    <w:p w:rsidR="00951011" w:rsidRPr="0043379A" w:rsidRDefault="00951011" w:rsidP="00951011">
      <w:pPr>
        <w:spacing w:after="0" w:line="240" w:lineRule="auto"/>
        <w:ind w:left="850"/>
        <w:jc w:val="both"/>
        <w:rPr>
          <w:rFonts w:ascii="Arial" w:hAnsi="Arial" w:cs="Arial"/>
          <w:sz w:val="24"/>
          <w:szCs w:val="24"/>
          <w:lang w:eastAsia="es-CR"/>
        </w:rPr>
      </w:pPr>
    </w:p>
    <w:p w:rsidR="00FF0D18" w:rsidRPr="0043379A" w:rsidRDefault="00FF0D18" w:rsidP="007013C0">
      <w:pPr>
        <w:rPr>
          <w:rFonts w:ascii="Arial" w:eastAsia="Calibri" w:hAnsi="Arial" w:cs="Arial"/>
          <w:b/>
          <w:sz w:val="24"/>
          <w:szCs w:val="24"/>
          <w:lang w:val="es-ES_tradnl"/>
        </w:rPr>
      </w:pPr>
      <w:bookmarkStart w:id="14" w:name="_Ref368564177"/>
      <w:bookmarkStart w:id="15" w:name="_Ref368564160"/>
      <w:bookmarkEnd w:id="14"/>
      <w:bookmarkEnd w:id="15"/>
      <w:r w:rsidRPr="0043379A">
        <w:rPr>
          <w:rFonts w:ascii="Arial" w:eastAsia="Calibri" w:hAnsi="Arial" w:cs="Arial"/>
          <w:b/>
          <w:sz w:val="24"/>
          <w:szCs w:val="24"/>
          <w:lang w:val="es-ES_tradnl"/>
        </w:rPr>
        <w:t>Importancia de los Proyectos a financiar</w:t>
      </w:r>
    </w:p>
    <w:p w:rsidR="00FF0D18" w:rsidRPr="0043379A" w:rsidRDefault="00FF0D18" w:rsidP="0043379A">
      <w:pPr>
        <w:jc w:val="both"/>
        <w:rPr>
          <w:rFonts w:ascii="Arial" w:eastAsia="Calibri" w:hAnsi="Arial" w:cs="Arial"/>
          <w:sz w:val="24"/>
          <w:szCs w:val="24"/>
          <w:lang w:val="es-ES_tradnl"/>
        </w:rPr>
      </w:pPr>
      <w:bookmarkStart w:id="16" w:name="_Ref15847874"/>
      <w:bookmarkStart w:id="17" w:name="_Ref453320044"/>
      <w:bookmarkStart w:id="18" w:name="_Ref457465346"/>
      <w:bookmarkStart w:id="19" w:name="_Toc181075041"/>
      <w:r w:rsidRPr="0043379A">
        <w:rPr>
          <w:rFonts w:ascii="Arial" w:eastAsia="Calibri" w:hAnsi="Arial" w:cs="Arial"/>
          <w:sz w:val="24"/>
          <w:szCs w:val="24"/>
          <w:lang w:val="es-ES_tradnl"/>
        </w:rPr>
        <w:t>Como consecuencia del modelo de desarrollo urbano y económico de Costa Rica, los flujos de carga de producción y consumo se han ido concentrando en el GAM, esto ha provocado un aumento desmedido del tráfico vehicular y alta congestión en esa zona geográfi</w:t>
      </w:r>
      <w:r w:rsidR="0043379A">
        <w:rPr>
          <w:rFonts w:ascii="Arial" w:eastAsia="Calibri" w:hAnsi="Arial" w:cs="Arial"/>
          <w:sz w:val="24"/>
          <w:szCs w:val="24"/>
          <w:lang w:val="es-ES_tradnl"/>
        </w:rPr>
        <w:t>ca.</w:t>
      </w:r>
    </w:p>
    <w:p w:rsidR="00FF0D18" w:rsidRPr="0043379A" w:rsidRDefault="00FF0D18" w:rsidP="0043379A">
      <w:pPr>
        <w:jc w:val="both"/>
        <w:rPr>
          <w:rFonts w:ascii="Arial" w:eastAsia="Calibri" w:hAnsi="Arial" w:cs="Arial"/>
          <w:sz w:val="24"/>
          <w:szCs w:val="24"/>
          <w:lang w:val="es-ES_tradnl"/>
        </w:rPr>
      </w:pPr>
      <w:r w:rsidRPr="0043379A">
        <w:rPr>
          <w:rFonts w:ascii="Arial" w:eastAsia="Calibri" w:hAnsi="Arial" w:cs="Arial"/>
          <w:sz w:val="24"/>
          <w:szCs w:val="24"/>
          <w:lang w:val="es-ES_tradnl"/>
        </w:rPr>
        <w:t>El corredor vial San José – Cartago (Ruta 2), cuenta con un crecimiento de tráfico Promedio Diario (TPD) en los últimos 20 años del 67%; y en el corredor San José – San Ramón (Ruta 1) creció 50%.</w:t>
      </w:r>
      <w:r w:rsidR="0043379A">
        <w:rPr>
          <w:rFonts w:ascii="Arial" w:eastAsia="Calibri" w:hAnsi="Arial" w:cs="Arial"/>
          <w:sz w:val="24"/>
          <w:szCs w:val="24"/>
          <w:lang w:val="es-ES_tradnl"/>
        </w:rPr>
        <w:t xml:space="preserve"> </w:t>
      </w:r>
      <w:r w:rsidRPr="0043379A">
        <w:rPr>
          <w:rFonts w:ascii="Arial" w:eastAsia="Calibri" w:hAnsi="Arial" w:cs="Arial"/>
          <w:sz w:val="24"/>
          <w:szCs w:val="24"/>
          <w:lang w:val="es-ES_tradnl"/>
        </w:rPr>
        <w:t xml:space="preserve"> Estudios del BID han medido el reflejo de estos aumentos como un incremento de costos de transporte entre 4% y 12%.  Esto ha provocado aumentos en tiempos de viaje y disminución de la competitividad del país.</w:t>
      </w:r>
    </w:p>
    <w:bookmarkEnd w:id="16"/>
    <w:p w:rsidR="00FF0D18" w:rsidRPr="00E63502" w:rsidRDefault="00FF0D18" w:rsidP="00F05214">
      <w:pPr>
        <w:spacing w:after="0" w:line="240" w:lineRule="auto"/>
        <w:jc w:val="both"/>
        <w:rPr>
          <w:rFonts w:ascii="Arial" w:eastAsia="Calibri" w:hAnsi="Arial" w:cs="Arial"/>
          <w:sz w:val="24"/>
          <w:szCs w:val="24"/>
          <w:lang w:val="es-ES_tradnl"/>
        </w:rPr>
      </w:pPr>
      <w:r w:rsidRPr="00E63502">
        <w:rPr>
          <w:rFonts w:ascii="Arial" w:eastAsia="Calibri" w:hAnsi="Arial" w:cs="Arial"/>
          <w:sz w:val="24"/>
          <w:szCs w:val="24"/>
          <w:lang w:val="es-ES_tradnl"/>
        </w:rPr>
        <w:lastRenderedPageBreak/>
        <w:t>Los Proyectos financiarse con la CCLIP se justifican por su contribución a resolver problemas de congestión generados en la GAM (contaminación sónica, aire, calentamiento global, aumento costo de operación vehicular, entre otros), con el fin último de mejorar la calidad de vida de la población.</w:t>
      </w:r>
    </w:p>
    <w:p w:rsidR="00FF0D18" w:rsidRPr="00E63502" w:rsidRDefault="00FF0D18" w:rsidP="00F05214">
      <w:pPr>
        <w:spacing w:after="0" w:line="240" w:lineRule="auto"/>
        <w:jc w:val="both"/>
        <w:rPr>
          <w:rFonts w:ascii="Arial" w:eastAsia="Calibri" w:hAnsi="Arial" w:cs="Arial"/>
          <w:sz w:val="24"/>
          <w:szCs w:val="24"/>
          <w:lang w:val="es-ES_tradnl"/>
        </w:rPr>
      </w:pPr>
    </w:p>
    <w:p w:rsidR="00FF0D18" w:rsidRPr="00E63502" w:rsidRDefault="00FF0D18" w:rsidP="00F05214">
      <w:pPr>
        <w:spacing w:after="0" w:line="240" w:lineRule="auto"/>
        <w:jc w:val="both"/>
        <w:rPr>
          <w:rFonts w:ascii="Arial" w:eastAsia="Calibri" w:hAnsi="Arial" w:cs="Arial"/>
          <w:sz w:val="24"/>
          <w:szCs w:val="24"/>
          <w:lang w:val="es-ES_tradnl"/>
        </w:rPr>
      </w:pPr>
      <w:r w:rsidRPr="00E63502">
        <w:rPr>
          <w:rFonts w:ascii="Arial" w:eastAsia="Calibri" w:hAnsi="Arial" w:cs="Arial"/>
          <w:sz w:val="24"/>
          <w:szCs w:val="24"/>
          <w:lang w:val="es-ES_tradnl"/>
        </w:rPr>
        <w:t xml:space="preserve">Además, las ampliaciones de las obras viales privilegiarán el transporte público limpio sobre el transporte privado de combustión interna, a través de la implementación, donde sea factible, de carriles exclusivos sobre los cuales se desplazarán los vehículos de servicio público. </w:t>
      </w:r>
      <w:r w:rsidR="0043379A">
        <w:rPr>
          <w:rFonts w:ascii="Arial" w:eastAsia="Calibri" w:hAnsi="Arial" w:cs="Arial"/>
          <w:sz w:val="24"/>
          <w:szCs w:val="24"/>
          <w:lang w:val="es-ES_tradnl"/>
        </w:rPr>
        <w:t xml:space="preserve"> </w:t>
      </w:r>
      <w:r w:rsidRPr="00E63502">
        <w:rPr>
          <w:rFonts w:ascii="Arial" w:eastAsia="Calibri" w:hAnsi="Arial" w:cs="Arial"/>
          <w:sz w:val="24"/>
          <w:szCs w:val="24"/>
          <w:lang w:val="es-ES_tradnl"/>
        </w:rPr>
        <w:t>Además, las ampliaciones están diseñadas en cumplimento de toda la normativa de seguridad vial y serán construidas para ser acompañadas de obras urbanas complementarias (Parque Lineal Taras-La Lima; Circuito Recreativo de Occidente de San Ramón y Parque Metropolitano de Alajuela) que faciliten la intermodalidad con modos no motorizados y la accesibilidad a personas con discapacidad.</w:t>
      </w:r>
    </w:p>
    <w:p w:rsidR="00FF0D18" w:rsidRPr="00E63502" w:rsidRDefault="00FF0D18" w:rsidP="00F05214">
      <w:pPr>
        <w:spacing w:after="0" w:line="240" w:lineRule="auto"/>
        <w:jc w:val="both"/>
        <w:rPr>
          <w:rFonts w:ascii="Arial" w:eastAsia="Calibri" w:hAnsi="Arial" w:cs="Arial"/>
          <w:bCs/>
          <w:sz w:val="24"/>
          <w:szCs w:val="24"/>
          <w:lang w:val="es-ES_tradnl"/>
        </w:rPr>
      </w:pPr>
    </w:p>
    <w:p w:rsidR="00FF0D18" w:rsidRPr="00E63502" w:rsidRDefault="00FF0D18" w:rsidP="00F05214">
      <w:pPr>
        <w:spacing w:after="0" w:line="240" w:lineRule="auto"/>
        <w:jc w:val="both"/>
        <w:rPr>
          <w:rFonts w:ascii="Arial" w:eastAsia="Calibri" w:hAnsi="Arial" w:cs="Arial"/>
          <w:sz w:val="24"/>
          <w:szCs w:val="24"/>
          <w:lang w:val="es-ES_tradnl"/>
        </w:rPr>
      </w:pPr>
      <w:r w:rsidRPr="00E63502">
        <w:rPr>
          <w:rFonts w:ascii="Arial" w:eastAsia="Calibri" w:hAnsi="Arial" w:cs="Arial"/>
          <w:bCs/>
          <w:sz w:val="24"/>
          <w:szCs w:val="24"/>
          <w:lang w:val="es-ES_tradnl"/>
        </w:rPr>
        <w:t>De igual forma se financiarán actividades de</w:t>
      </w:r>
      <w:r w:rsidRPr="00E63502">
        <w:rPr>
          <w:rFonts w:ascii="Arial" w:eastAsia="Calibri" w:hAnsi="Arial" w:cs="Arial"/>
          <w:b/>
          <w:bCs/>
          <w:sz w:val="24"/>
          <w:szCs w:val="24"/>
          <w:lang w:val="es-ES_tradnl"/>
        </w:rPr>
        <w:t xml:space="preserve"> </w:t>
      </w:r>
      <w:r w:rsidRPr="00E63502">
        <w:rPr>
          <w:rFonts w:ascii="Arial" w:eastAsia="Calibri" w:hAnsi="Arial" w:cs="Arial"/>
          <w:bCs/>
          <w:sz w:val="24"/>
          <w:szCs w:val="24"/>
          <w:lang w:val="es-ES_tradnl"/>
        </w:rPr>
        <w:t>fortalecimiento</w:t>
      </w:r>
      <w:r w:rsidRPr="00E63502">
        <w:rPr>
          <w:rFonts w:ascii="Arial" w:eastAsia="Calibri" w:hAnsi="Arial" w:cs="Arial"/>
          <w:sz w:val="24"/>
          <w:szCs w:val="24"/>
          <w:lang w:val="es-ES_tradnl"/>
        </w:rPr>
        <w:t xml:space="preserve"> institucional para la implementación y acompañamiento de dos proyectos de APPs, Costa Rica se encuentra bien posicionada en la región y ha tenido éxito en proyectos de concesión de los se</w:t>
      </w:r>
      <w:r w:rsidR="0043379A">
        <w:rPr>
          <w:rFonts w:ascii="Arial" w:eastAsia="Calibri" w:hAnsi="Arial" w:cs="Arial"/>
          <w:sz w:val="24"/>
          <w:szCs w:val="24"/>
          <w:lang w:val="es-ES_tradnl"/>
        </w:rPr>
        <w:t xml:space="preserve">ctores portuario y aéreo, sin </w:t>
      </w:r>
      <w:r w:rsidRPr="00E63502">
        <w:rPr>
          <w:rFonts w:ascii="Arial" w:eastAsia="Calibri" w:hAnsi="Arial" w:cs="Arial"/>
          <w:sz w:val="24"/>
          <w:szCs w:val="24"/>
          <w:lang w:val="es-ES_tradnl"/>
        </w:rPr>
        <w:t>embargo, el Consejo Nacional de Concesiones (CNC), creado por Ley en 7762 en 1998 para desarrollar y gestionar concesiones, aún presenta desafíos en su operación, razón por la cual debe ser fortalecido, así como las demás instancias involucradas en el proces</w:t>
      </w:r>
      <w:r w:rsidR="0043379A">
        <w:rPr>
          <w:rFonts w:ascii="Arial" w:eastAsia="Calibri" w:hAnsi="Arial" w:cs="Arial"/>
          <w:sz w:val="24"/>
          <w:szCs w:val="24"/>
          <w:lang w:val="es-ES_tradnl"/>
        </w:rPr>
        <w:t>o de concesión de obra pública.</w:t>
      </w:r>
    </w:p>
    <w:p w:rsidR="00FF0D18" w:rsidRPr="00E63502" w:rsidRDefault="00FF0D18" w:rsidP="00F05214">
      <w:pPr>
        <w:spacing w:after="0" w:line="240" w:lineRule="auto"/>
        <w:jc w:val="both"/>
        <w:rPr>
          <w:rFonts w:ascii="Arial" w:eastAsia="Calibri" w:hAnsi="Arial" w:cs="Arial"/>
          <w:bCs/>
          <w:sz w:val="24"/>
          <w:szCs w:val="24"/>
          <w:lang w:val="es-ES_tradnl"/>
        </w:rPr>
      </w:pPr>
    </w:p>
    <w:p w:rsidR="00FF0D18" w:rsidRPr="00E63502" w:rsidRDefault="00FF0D18" w:rsidP="00F05214">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La ampliación del Corredor Vial San José - San Ramón es indispensable para el desarrollo del país; no obstante, por varias circunstancias, por muchos años se ha rezagado la construcción de importante proyecto, lo cual les ha generado un evidente y manifiesto perjuicio a los usuarios y al país en general.</w:t>
      </w:r>
    </w:p>
    <w:p w:rsidR="00FF0D18" w:rsidRPr="00E63502" w:rsidRDefault="00FF0D18" w:rsidP="00F05214">
      <w:pPr>
        <w:spacing w:after="0" w:line="240" w:lineRule="auto"/>
        <w:jc w:val="both"/>
        <w:rPr>
          <w:rFonts w:ascii="Arial" w:eastAsia="Calibri" w:hAnsi="Arial" w:cs="Arial"/>
          <w:bCs/>
          <w:sz w:val="24"/>
          <w:szCs w:val="24"/>
          <w:lang w:val="es-ES_tradnl"/>
        </w:rPr>
      </w:pPr>
    </w:p>
    <w:p w:rsidR="00FF0D18" w:rsidRDefault="00FF0D18" w:rsidP="00F05214">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 xml:space="preserve">Por otro lado, es importante señalar que el desarrollo del proyecto San José-San Ramón está fundamentado en el mecanismo de “Project finance”, es decir, todas las inversiones y gastos, asociados al diseño, construcción, equipamiento, puesta en marcha, operación y mantenimiento del proyecto, serán cubiertos con financiamiento que, a su vez, será garantizado por el flujo de ingresos que se obtendrá del proyecto. </w:t>
      </w:r>
      <w:r w:rsidR="00796FAE">
        <w:rPr>
          <w:rFonts w:ascii="Arial" w:eastAsia="Calibri" w:hAnsi="Arial" w:cs="Arial"/>
          <w:bCs/>
          <w:sz w:val="24"/>
          <w:szCs w:val="24"/>
          <w:lang w:val="es-ES_tradnl"/>
        </w:rPr>
        <w:t xml:space="preserve"> </w:t>
      </w:r>
      <w:r w:rsidRPr="00E63502">
        <w:rPr>
          <w:rFonts w:ascii="Arial" w:eastAsia="Calibri" w:hAnsi="Arial" w:cs="Arial"/>
          <w:bCs/>
          <w:sz w:val="24"/>
          <w:szCs w:val="24"/>
          <w:lang w:val="es-ES_tradnl"/>
        </w:rPr>
        <w:t>De manera que los análisis preliminares efectuados por el Fiduciario determinaron que, en virtud de nivel de inversiones y gastos previstos para todo el proyecto, resultaba imprescindible iniciar con el Programa de Obras Impostergables (OBIS), que tienen como principales objetivos los siguientes:</w:t>
      </w:r>
    </w:p>
    <w:p w:rsidR="00796FAE" w:rsidRPr="00E63502" w:rsidRDefault="00796FAE" w:rsidP="00F05214">
      <w:pPr>
        <w:spacing w:after="0" w:line="240" w:lineRule="auto"/>
        <w:jc w:val="both"/>
        <w:rPr>
          <w:rFonts w:ascii="Arial" w:eastAsia="Calibri" w:hAnsi="Arial" w:cs="Arial"/>
          <w:bCs/>
          <w:sz w:val="24"/>
          <w:szCs w:val="24"/>
          <w:lang w:val="es-ES_tradnl"/>
        </w:rPr>
      </w:pPr>
    </w:p>
    <w:p w:rsidR="00FF0D18" w:rsidRDefault="006E3EE4" w:rsidP="006E3EE4">
      <w:pPr>
        <w:spacing w:after="0" w:line="240" w:lineRule="auto"/>
        <w:contextualSpacing/>
        <w:jc w:val="both"/>
        <w:rPr>
          <w:rFonts w:ascii="Arial" w:eastAsia="Times New Roman" w:hAnsi="Arial" w:cs="Arial"/>
          <w:bCs/>
          <w:sz w:val="24"/>
          <w:szCs w:val="24"/>
          <w:lang w:val="es-ES_tradnl"/>
        </w:rPr>
      </w:pPr>
      <w:r>
        <w:rPr>
          <w:rFonts w:ascii="Arial" w:eastAsia="Times New Roman" w:hAnsi="Arial" w:cs="Arial"/>
          <w:bCs/>
          <w:sz w:val="24"/>
          <w:szCs w:val="24"/>
          <w:lang w:val="es-ES_tradnl"/>
        </w:rPr>
        <w:t>-</w:t>
      </w:r>
      <w:r>
        <w:rPr>
          <w:rFonts w:ascii="Arial" w:eastAsia="Times New Roman" w:hAnsi="Arial" w:cs="Arial"/>
          <w:bCs/>
          <w:sz w:val="24"/>
          <w:szCs w:val="24"/>
          <w:lang w:val="es-ES_tradnl"/>
        </w:rPr>
        <w:tab/>
      </w:r>
      <w:r w:rsidR="00FF0D18" w:rsidRPr="00E63502">
        <w:rPr>
          <w:rFonts w:ascii="Arial" w:eastAsia="Times New Roman" w:hAnsi="Arial" w:cs="Arial"/>
          <w:bCs/>
          <w:sz w:val="24"/>
          <w:szCs w:val="24"/>
          <w:lang w:val="es-ES_tradnl"/>
        </w:rPr>
        <w:t>Facilitar los desvíos de tránsito durante el proceso constructivo del proyecto</w:t>
      </w:r>
    </w:p>
    <w:p w:rsidR="00C237DD" w:rsidRPr="00E63502" w:rsidRDefault="00C237DD" w:rsidP="006E3EE4">
      <w:pPr>
        <w:spacing w:after="0" w:line="240" w:lineRule="auto"/>
        <w:contextualSpacing/>
        <w:jc w:val="both"/>
        <w:rPr>
          <w:rFonts w:ascii="Arial" w:eastAsia="Times New Roman" w:hAnsi="Arial" w:cs="Arial"/>
          <w:bCs/>
          <w:sz w:val="24"/>
          <w:szCs w:val="24"/>
          <w:lang w:val="es-ES_tradnl"/>
        </w:rPr>
      </w:pPr>
    </w:p>
    <w:p w:rsidR="00FF0D18" w:rsidRDefault="006E3EE4" w:rsidP="006E3EE4">
      <w:pPr>
        <w:spacing w:after="0" w:line="240" w:lineRule="auto"/>
        <w:contextualSpacing/>
        <w:jc w:val="both"/>
        <w:rPr>
          <w:rFonts w:ascii="Arial" w:eastAsia="Times New Roman" w:hAnsi="Arial" w:cs="Arial"/>
          <w:bCs/>
          <w:sz w:val="24"/>
          <w:szCs w:val="24"/>
          <w:lang w:val="es-ES_tradnl"/>
        </w:rPr>
      </w:pPr>
      <w:r>
        <w:rPr>
          <w:rFonts w:ascii="Arial" w:eastAsia="Times New Roman" w:hAnsi="Arial" w:cs="Arial"/>
          <w:bCs/>
          <w:sz w:val="24"/>
          <w:szCs w:val="24"/>
          <w:lang w:val="es-ES_tradnl"/>
        </w:rPr>
        <w:t>-</w:t>
      </w:r>
      <w:r>
        <w:rPr>
          <w:rFonts w:ascii="Arial" w:eastAsia="Times New Roman" w:hAnsi="Arial" w:cs="Arial"/>
          <w:bCs/>
          <w:sz w:val="24"/>
          <w:szCs w:val="24"/>
          <w:lang w:val="es-ES_tradnl"/>
        </w:rPr>
        <w:tab/>
      </w:r>
      <w:r w:rsidR="00FF0D18" w:rsidRPr="00E63502">
        <w:rPr>
          <w:rFonts w:ascii="Arial" w:eastAsia="Times New Roman" w:hAnsi="Arial" w:cs="Arial"/>
          <w:bCs/>
          <w:sz w:val="24"/>
          <w:szCs w:val="24"/>
          <w:lang w:val="es-ES_tradnl"/>
        </w:rPr>
        <w:t>Mejorar y modernizar la infraestructura existente</w:t>
      </w:r>
    </w:p>
    <w:p w:rsidR="00C237DD" w:rsidRPr="00E63502" w:rsidRDefault="00C237DD" w:rsidP="006E3EE4">
      <w:pPr>
        <w:spacing w:after="0" w:line="240" w:lineRule="auto"/>
        <w:contextualSpacing/>
        <w:jc w:val="both"/>
        <w:rPr>
          <w:rFonts w:ascii="Arial" w:eastAsia="Times New Roman" w:hAnsi="Arial" w:cs="Arial"/>
          <w:bCs/>
          <w:sz w:val="24"/>
          <w:szCs w:val="24"/>
          <w:lang w:val="es-ES_tradnl"/>
        </w:rPr>
      </w:pPr>
    </w:p>
    <w:p w:rsidR="00FF0D18" w:rsidRDefault="006E3EE4" w:rsidP="006E3EE4">
      <w:pPr>
        <w:spacing w:after="0" w:line="240" w:lineRule="auto"/>
        <w:contextualSpacing/>
        <w:jc w:val="both"/>
        <w:rPr>
          <w:rFonts w:ascii="Arial" w:eastAsia="Times New Roman" w:hAnsi="Arial" w:cs="Arial"/>
          <w:bCs/>
          <w:sz w:val="24"/>
          <w:szCs w:val="24"/>
          <w:lang w:val="es-ES_tradnl"/>
        </w:rPr>
      </w:pPr>
      <w:r>
        <w:rPr>
          <w:rFonts w:ascii="Arial" w:eastAsia="Times New Roman" w:hAnsi="Arial" w:cs="Arial"/>
          <w:bCs/>
          <w:sz w:val="24"/>
          <w:szCs w:val="24"/>
          <w:lang w:val="es-ES_tradnl"/>
        </w:rPr>
        <w:t>-</w:t>
      </w:r>
      <w:r>
        <w:rPr>
          <w:rFonts w:ascii="Arial" w:eastAsia="Times New Roman" w:hAnsi="Arial" w:cs="Arial"/>
          <w:bCs/>
          <w:sz w:val="24"/>
          <w:szCs w:val="24"/>
          <w:lang w:val="es-ES_tradnl"/>
        </w:rPr>
        <w:tab/>
      </w:r>
      <w:r w:rsidR="00FF0D18" w:rsidRPr="00E63502">
        <w:rPr>
          <w:rFonts w:ascii="Arial" w:eastAsia="Times New Roman" w:hAnsi="Arial" w:cs="Arial"/>
          <w:bCs/>
          <w:sz w:val="24"/>
          <w:szCs w:val="24"/>
          <w:lang w:val="es-ES_tradnl"/>
        </w:rPr>
        <w:t>Favorecer la fluidez, funcionalidad y seguridad vial en el corredor vial</w:t>
      </w:r>
    </w:p>
    <w:p w:rsidR="00C237DD" w:rsidRPr="00E63502" w:rsidRDefault="00C237DD" w:rsidP="006E3EE4">
      <w:pPr>
        <w:spacing w:after="0" w:line="240" w:lineRule="auto"/>
        <w:contextualSpacing/>
        <w:jc w:val="both"/>
        <w:rPr>
          <w:rFonts w:ascii="Arial" w:eastAsia="Times New Roman" w:hAnsi="Arial" w:cs="Arial"/>
          <w:bCs/>
          <w:sz w:val="24"/>
          <w:szCs w:val="24"/>
          <w:lang w:val="es-ES_tradnl"/>
        </w:rPr>
      </w:pPr>
    </w:p>
    <w:p w:rsidR="00FF0D18" w:rsidRPr="00E63502" w:rsidRDefault="006E3EE4" w:rsidP="006E3EE4">
      <w:pPr>
        <w:spacing w:after="0" w:line="240" w:lineRule="auto"/>
        <w:ind w:left="705" w:hanging="705"/>
        <w:contextualSpacing/>
        <w:jc w:val="both"/>
        <w:rPr>
          <w:rFonts w:ascii="Arial" w:eastAsia="Times New Roman" w:hAnsi="Arial" w:cs="Arial"/>
          <w:bCs/>
          <w:sz w:val="24"/>
          <w:szCs w:val="24"/>
          <w:lang w:val="es-ES_tradnl"/>
        </w:rPr>
      </w:pPr>
      <w:r>
        <w:rPr>
          <w:rFonts w:ascii="Arial" w:eastAsia="Times New Roman" w:hAnsi="Arial" w:cs="Arial"/>
          <w:bCs/>
          <w:sz w:val="24"/>
          <w:szCs w:val="24"/>
          <w:lang w:val="es-ES_tradnl"/>
        </w:rPr>
        <w:t>-</w:t>
      </w:r>
      <w:r>
        <w:rPr>
          <w:rFonts w:ascii="Arial" w:eastAsia="Times New Roman" w:hAnsi="Arial" w:cs="Arial"/>
          <w:bCs/>
          <w:sz w:val="24"/>
          <w:szCs w:val="24"/>
          <w:lang w:val="es-ES_tradnl"/>
        </w:rPr>
        <w:tab/>
      </w:r>
      <w:r w:rsidR="00FF0D18" w:rsidRPr="00E63502">
        <w:rPr>
          <w:rFonts w:ascii="Arial" w:eastAsia="Times New Roman" w:hAnsi="Arial" w:cs="Arial"/>
          <w:bCs/>
          <w:sz w:val="24"/>
          <w:szCs w:val="24"/>
          <w:lang w:val="es-ES_tradnl"/>
        </w:rPr>
        <w:t>Mejorar la interconexión de la Ruta N°1 con otras rutas importantes de la red vial</w:t>
      </w:r>
    </w:p>
    <w:p w:rsidR="00FF0D18" w:rsidRDefault="006E3EE4" w:rsidP="006E3EE4">
      <w:pPr>
        <w:spacing w:after="0" w:line="240" w:lineRule="auto"/>
        <w:ind w:left="705" w:hanging="705"/>
        <w:contextualSpacing/>
        <w:jc w:val="both"/>
        <w:rPr>
          <w:rFonts w:ascii="Arial" w:eastAsia="Times New Roman" w:hAnsi="Arial" w:cs="Arial"/>
          <w:bCs/>
          <w:sz w:val="24"/>
          <w:szCs w:val="24"/>
          <w:lang w:val="es-ES_tradnl"/>
        </w:rPr>
      </w:pPr>
      <w:r>
        <w:rPr>
          <w:rFonts w:ascii="Arial" w:eastAsia="Times New Roman" w:hAnsi="Arial" w:cs="Arial"/>
          <w:bCs/>
          <w:sz w:val="24"/>
          <w:szCs w:val="24"/>
          <w:lang w:val="es-ES_tradnl"/>
        </w:rPr>
        <w:lastRenderedPageBreak/>
        <w:t>-</w:t>
      </w:r>
      <w:r>
        <w:rPr>
          <w:rFonts w:ascii="Arial" w:eastAsia="Times New Roman" w:hAnsi="Arial" w:cs="Arial"/>
          <w:bCs/>
          <w:sz w:val="24"/>
          <w:szCs w:val="24"/>
          <w:lang w:val="es-ES_tradnl"/>
        </w:rPr>
        <w:tab/>
      </w:r>
      <w:r w:rsidR="00FF0D18" w:rsidRPr="00E63502">
        <w:rPr>
          <w:rFonts w:ascii="Arial" w:eastAsia="Times New Roman" w:hAnsi="Arial" w:cs="Arial"/>
          <w:bCs/>
          <w:sz w:val="24"/>
          <w:szCs w:val="24"/>
          <w:lang w:val="es-ES_tradnl"/>
        </w:rPr>
        <w:t>Reducir los costos de inversión del proyecto San José-San Ramón (el financiamiento de las OBIS es por medio de los aportes realizados por los Fideicomitentes y por el crédito del BID)</w:t>
      </w:r>
    </w:p>
    <w:p w:rsidR="00C237DD" w:rsidRPr="00E63502" w:rsidRDefault="00C237DD" w:rsidP="006E3EE4">
      <w:pPr>
        <w:spacing w:after="0" w:line="240" w:lineRule="auto"/>
        <w:ind w:left="705" w:hanging="705"/>
        <w:contextualSpacing/>
        <w:jc w:val="both"/>
        <w:rPr>
          <w:rFonts w:ascii="Arial" w:eastAsia="Times New Roman" w:hAnsi="Arial" w:cs="Arial"/>
          <w:bCs/>
          <w:sz w:val="24"/>
          <w:szCs w:val="24"/>
          <w:lang w:val="es-ES_tradnl"/>
        </w:rPr>
      </w:pPr>
    </w:p>
    <w:p w:rsidR="00FF0D18" w:rsidRDefault="006E3EE4" w:rsidP="006E3EE4">
      <w:pPr>
        <w:spacing w:after="0" w:line="240" w:lineRule="auto"/>
        <w:ind w:left="705" w:hanging="705"/>
        <w:contextualSpacing/>
        <w:jc w:val="both"/>
        <w:rPr>
          <w:rFonts w:ascii="Arial" w:eastAsia="Times New Roman" w:hAnsi="Arial" w:cs="Arial"/>
          <w:bCs/>
          <w:sz w:val="24"/>
          <w:szCs w:val="24"/>
          <w:lang w:val="es-ES_tradnl"/>
        </w:rPr>
      </w:pPr>
      <w:r>
        <w:rPr>
          <w:rFonts w:ascii="Arial" w:eastAsia="Times New Roman" w:hAnsi="Arial" w:cs="Arial"/>
          <w:bCs/>
          <w:sz w:val="24"/>
          <w:szCs w:val="24"/>
          <w:lang w:val="es-ES_tradnl"/>
        </w:rPr>
        <w:t>-</w:t>
      </w:r>
      <w:r>
        <w:rPr>
          <w:rFonts w:ascii="Arial" w:eastAsia="Times New Roman" w:hAnsi="Arial" w:cs="Arial"/>
          <w:bCs/>
          <w:sz w:val="24"/>
          <w:szCs w:val="24"/>
          <w:lang w:val="es-ES_tradnl"/>
        </w:rPr>
        <w:tab/>
      </w:r>
      <w:r w:rsidR="00FF0D18" w:rsidRPr="00E63502">
        <w:rPr>
          <w:rFonts w:ascii="Arial" w:eastAsia="Times New Roman" w:hAnsi="Arial" w:cs="Arial"/>
          <w:bCs/>
          <w:sz w:val="24"/>
          <w:szCs w:val="24"/>
          <w:lang w:val="es-ES_tradnl"/>
        </w:rPr>
        <w:t>Favorecer las tasas de peaje para los usuarios (las inversiones de las OBIS estimadas en un monto total de US$120 millones</w:t>
      </w:r>
      <w:r w:rsidR="00FF0D18">
        <w:rPr>
          <w:rFonts w:ascii="Arial" w:eastAsia="Times New Roman" w:hAnsi="Arial" w:cs="Arial"/>
          <w:bCs/>
          <w:sz w:val="24"/>
          <w:szCs w:val="24"/>
          <w:lang w:val="es-ES_tradnl"/>
        </w:rPr>
        <w:t xml:space="preserve"> de dólares </w:t>
      </w:r>
      <w:r w:rsidR="00FF0D18" w:rsidRPr="00E63502">
        <w:rPr>
          <w:rFonts w:ascii="Arial" w:eastAsia="Times New Roman" w:hAnsi="Arial" w:cs="Arial"/>
          <w:bCs/>
          <w:sz w:val="24"/>
          <w:szCs w:val="24"/>
          <w:lang w:val="es-ES_tradnl"/>
        </w:rPr>
        <w:t>se convertirán en aporte del Gobierno a la estructuración financiera del Fideicomiso y con ello en una menor tarifa para los usuarios)</w:t>
      </w:r>
    </w:p>
    <w:p w:rsidR="00C237DD" w:rsidRDefault="00C237DD" w:rsidP="006E3EE4">
      <w:pPr>
        <w:spacing w:after="0" w:line="240" w:lineRule="auto"/>
        <w:ind w:left="705" w:hanging="705"/>
        <w:contextualSpacing/>
        <w:jc w:val="both"/>
        <w:rPr>
          <w:rFonts w:ascii="Arial" w:eastAsia="Times New Roman" w:hAnsi="Arial" w:cs="Arial"/>
          <w:bCs/>
          <w:sz w:val="24"/>
          <w:szCs w:val="24"/>
          <w:lang w:val="es-ES_tradnl"/>
        </w:rPr>
      </w:pPr>
    </w:p>
    <w:p w:rsidR="00FF0D18" w:rsidRPr="006E3EE4" w:rsidRDefault="006E3EE4" w:rsidP="006E3EE4">
      <w:pPr>
        <w:ind w:left="705" w:hanging="705"/>
        <w:jc w:val="both"/>
        <w:rPr>
          <w:rFonts w:ascii="Arial" w:hAnsi="Arial" w:cs="Arial"/>
          <w:bCs/>
          <w:lang w:val="es-ES_tradnl"/>
        </w:rPr>
      </w:pPr>
      <w:r>
        <w:rPr>
          <w:rFonts w:ascii="Arial" w:eastAsia="Times New Roman" w:hAnsi="Arial" w:cs="Arial"/>
          <w:bCs/>
          <w:sz w:val="24"/>
          <w:szCs w:val="24"/>
          <w:lang w:val="es-ES_tradnl"/>
        </w:rPr>
        <w:t>-</w:t>
      </w:r>
      <w:r w:rsidRPr="006E3EE4">
        <w:rPr>
          <w:rFonts w:ascii="Arial" w:eastAsia="Times New Roman" w:hAnsi="Arial" w:cs="Arial"/>
          <w:bCs/>
          <w:sz w:val="24"/>
          <w:szCs w:val="24"/>
          <w:lang w:val="es-ES_tradnl"/>
        </w:rPr>
        <w:tab/>
      </w:r>
      <w:r w:rsidR="00FF0D18" w:rsidRPr="006E3EE4">
        <w:rPr>
          <w:rFonts w:ascii="Arial" w:hAnsi="Arial" w:cs="Arial"/>
          <w:bCs/>
          <w:sz w:val="24"/>
          <w:szCs w:val="24"/>
          <w:lang w:val="es-ES_tradnl"/>
        </w:rPr>
        <w:t>Facilitar la bancabilidad del proyecto San José-San Ramón (al disminuir las inversiones y</w:t>
      </w:r>
      <w:r w:rsidR="00FF0D18" w:rsidRPr="006E3EE4">
        <w:rPr>
          <w:rFonts w:ascii="Times New Roman" w:hAnsi="Times New Roman" w:cs="Times New Roman"/>
          <w:sz w:val="24"/>
          <w:szCs w:val="24"/>
        </w:rPr>
        <w:t xml:space="preserve"> </w:t>
      </w:r>
      <w:r w:rsidR="00FF0D18" w:rsidRPr="006E3EE4">
        <w:rPr>
          <w:rFonts w:ascii="Arial" w:hAnsi="Arial" w:cs="Arial"/>
          <w:bCs/>
          <w:sz w:val="24"/>
          <w:szCs w:val="24"/>
          <w:lang w:val="es-ES_tradnl"/>
        </w:rPr>
        <w:t>los riegos constructivos de la parte del proyecto con cargo al financiamiento)</w:t>
      </w:r>
    </w:p>
    <w:p w:rsidR="00FF0D18" w:rsidRPr="00E63502" w:rsidRDefault="00FF0D18" w:rsidP="00F05214">
      <w:pPr>
        <w:spacing w:after="0" w:line="240" w:lineRule="auto"/>
        <w:contextualSpacing/>
        <w:rPr>
          <w:rFonts w:ascii="Arial" w:eastAsia="Times New Roman" w:hAnsi="Arial" w:cs="Arial"/>
          <w:bCs/>
          <w:sz w:val="24"/>
          <w:szCs w:val="24"/>
          <w:lang w:val="es-ES_tradnl"/>
        </w:rPr>
      </w:pPr>
    </w:p>
    <w:p w:rsidR="00FF0D18" w:rsidRPr="00E63502" w:rsidRDefault="00FF0D18" w:rsidP="00F05214">
      <w:pPr>
        <w:spacing w:after="0" w:line="240" w:lineRule="auto"/>
        <w:jc w:val="both"/>
        <w:rPr>
          <w:rFonts w:ascii="Arial" w:eastAsia="Calibri" w:hAnsi="Arial" w:cs="Arial"/>
          <w:sz w:val="24"/>
          <w:szCs w:val="24"/>
          <w:lang w:eastAsia="es-CR"/>
        </w:rPr>
      </w:pPr>
      <w:r w:rsidRPr="00E63502">
        <w:rPr>
          <w:rFonts w:ascii="Arial" w:eastAsia="Calibri" w:hAnsi="Arial" w:cs="Arial"/>
          <w:sz w:val="24"/>
          <w:szCs w:val="24"/>
          <w:lang w:eastAsia="es-CR"/>
        </w:rPr>
        <w:t>En este sentido, es importante incorporar en la estructuración financiera de los proyectos sujetos a esquemas de APPs, incluyendo la concesión, el mantenimiento y gastos relacionados con la operación de la infraestructura aportada por el Gobierno con el financiamiento del BID, de tal forma que el riesgo asociado a esas inversiones sea trasladado al privado.</w:t>
      </w:r>
    </w:p>
    <w:p w:rsidR="00FF0D18" w:rsidRPr="00E63502" w:rsidRDefault="00FF0D18" w:rsidP="00F05214">
      <w:pPr>
        <w:spacing w:after="0" w:line="240" w:lineRule="auto"/>
        <w:jc w:val="both"/>
        <w:rPr>
          <w:rFonts w:ascii="Arial" w:eastAsia="Calibri" w:hAnsi="Arial" w:cs="Arial"/>
          <w:bCs/>
          <w:sz w:val="24"/>
          <w:szCs w:val="24"/>
          <w:lang w:val="es-ES_tradnl"/>
        </w:rPr>
      </w:pPr>
    </w:p>
    <w:p w:rsidR="00FF0D18" w:rsidRDefault="00FF0D18" w:rsidP="00F05214">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 xml:space="preserve">Por otra parte, es importante señalar que la ejecución de estos proyectos es compatible y están vinculados con los compromisos regionales asumidos por el país en el marco del Proyecto Mesoamérica y la Política Marco de Movilidad y Logística en lo que se refiere a la construcción, mejoramiento, rehabilitación y mantenimiento de las carreteras y servicios relacionados de impacto regional y que corresponde a la Red Internacional de Carreteras Mesoamericanas (RICAM), conformada </w:t>
      </w:r>
      <w:r w:rsidR="006E3EE4">
        <w:rPr>
          <w:rFonts w:ascii="Arial" w:eastAsia="Calibri" w:hAnsi="Arial" w:cs="Arial"/>
          <w:bCs/>
          <w:sz w:val="24"/>
          <w:szCs w:val="24"/>
          <w:lang w:val="es-ES_tradnl"/>
        </w:rPr>
        <w:t xml:space="preserve">por los siguientes corredores:  </w:t>
      </w:r>
      <w:r w:rsidRPr="00E63502">
        <w:rPr>
          <w:rFonts w:ascii="Arial" w:eastAsia="Calibri" w:hAnsi="Arial" w:cs="Arial"/>
          <w:bCs/>
          <w:sz w:val="24"/>
          <w:szCs w:val="24"/>
          <w:lang w:val="es-ES_tradnl"/>
        </w:rPr>
        <w:t>Corredor Pacífico, Corredor Atlántico, Ramales y Conexiones Complementarias, Corredor turístico del Caribe y Corredor Interoceánico.</w:t>
      </w:r>
    </w:p>
    <w:p w:rsidR="006E3EE4" w:rsidRPr="00E63502" w:rsidRDefault="006E3EE4" w:rsidP="00F05214">
      <w:pPr>
        <w:spacing w:after="0" w:line="240" w:lineRule="auto"/>
        <w:jc w:val="both"/>
        <w:rPr>
          <w:rFonts w:ascii="Arial" w:eastAsia="Calibri" w:hAnsi="Arial" w:cs="Arial"/>
          <w:bCs/>
          <w:sz w:val="24"/>
          <w:szCs w:val="24"/>
          <w:lang w:val="es-ES_tradnl"/>
        </w:rPr>
      </w:pPr>
    </w:p>
    <w:p w:rsidR="00FF0D18" w:rsidRPr="00E63502" w:rsidRDefault="006E3EE4" w:rsidP="006E3EE4">
      <w:pPr>
        <w:spacing w:after="0" w:line="240" w:lineRule="auto"/>
        <w:ind w:left="705" w:hanging="705"/>
        <w:contextualSpacing/>
        <w:jc w:val="both"/>
        <w:rPr>
          <w:rFonts w:ascii="Arial" w:eastAsia="Times New Roman" w:hAnsi="Arial" w:cs="Arial"/>
          <w:b/>
          <w:bCs/>
          <w:sz w:val="24"/>
          <w:szCs w:val="24"/>
        </w:rPr>
      </w:pPr>
      <w:r>
        <w:rPr>
          <w:rFonts w:ascii="Arial" w:eastAsia="Times New Roman" w:hAnsi="Arial" w:cs="Arial"/>
          <w:b/>
          <w:bCs/>
          <w:sz w:val="24"/>
          <w:szCs w:val="24"/>
        </w:rPr>
        <w:t>4-</w:t>
      </w:r>
      <w:r>
        <w:rPr>
          <w:rFonts w:ascii="Arial" w:eastAsia="Times New Roman" w:hAnsi="Arial" w:cs="Arial"/>
          <w:b/>
          <w:bCs/>
          <w:sz w:val="24"/>
          <w:szCs w:val="24"/>
        </w:rPr>
        <w:tab/>
      </w:r>
      <w:r w:rsidR="00FF0D18" w:rsidRPr="00E63502">
        <w:rPr>
          <w:rFonts w:ascii="Arial" w:eastAsia="Times New Roman" w:hAnsi="Arial" w:cs="Arial"/>
          <w:b/>
          <w:bCs/>
          <w:sz w:val="24"/>
          <w:szCs w:val="24"/>
        </w:rPr>
        <w:t>DESCRIPCIÓN PRIMERA OPERACIÓN INDIVIDUAL: PROGRAMA DE INFRAESTRUCTURA VIAL (PIV) Y PROMOCIÓN DE ASOCIACIONES PÚBLICO PRIVADAS (APP)</w:t>
      </w:r>
    </w:p>
    <w:p w:rsidR="00FF0D18" w:rsidRPr="00E63502" w:rsidRDefault="00FF0D18" w:rsidP="006E3EE4">
      <w:pPr>
        <w:tabs>
          <w:tab w:val="left" w:pos="180"/>
        </w:tabs>
        <w:spacing w:after="0" w:line="240" w:lineRule="auto"/>
        <w:jc w:val="both"/>
        <w:outlineLvl w:val="1"/>
        <w:rPr>
          <w:rFonts w:ascii="Arial" w:eastAsia="Times New Roman" w:hAnsi="Arial" w:cs="Arial"/>
          <w:b/>
          <w:kern w:val="1"/>
          <w:sz w:val="24"/>
          <w:szCs w:val="24"/>
          <w:lang w:val="es-ES_tradnl" w:eastAsia="ar-SA"/>
        </w:rPr>
      </w:pPr>
    </w:p>
    <w:p w:rsidR="00FF0D18" w:rsidRPr="00E63502" w:rsidRDefault="006E3EE4" w:rsidP="006E3EE4">
      <w:pPr>
        <w:tabs>
          <w:tab w:val="left" w:pos="180"/>
        </w:tabs>
        <w:suppressAutoHyphens/>
        <w:spacing w:after="0" w:line="240" w:lineRule="auto"/>
        <w:jc w:val="both"/>
        <w:outlineLvl w:val="1"/>
        <w:rPr>
          <w:rFonts w:ascii="Arial" w:eastAsia="Times New Roman" w:hAnsi="Arial" w:cs="Arial"/>
          <w:kern w:val="1"/>
          <w:sz w:val="24"/>
          <w:lang w:eastAsia="ar-SA"/>
        </w:rPr>
      </w:pPr>
      <w:r>
        <w:rPr>
          <w:rFonts w:ascii="Arial" w:eastAsia="Times New Roman" w:hAnsi="Arial" w:cs="Arial"/>
          <w:b/>
          <w:kern w:val="1"/>
          <w:sz w:val="24"/>
          <w:lang w:eastAsia="ar-SA"/>
        </w:rPr>
        <w:t>Objetivo general</w:t>
      </w:r>
    </w:p>
    <w:p w:rsidR="00FF0D18" w:rsidRPr="00E63502" w:rsidRDefault="00FF0D18" w:rsidP="006E3EE4">
      <w:pPr>
        <w:tabs>
          <w:tab w:val="left" w:pos="180"/>
        </w:tabs>
        <w:suppressAutoHyphens/>
        <w:spacing w:after="0" w:line="240" w:lineRule="auto"/>
        <w:jc w:val="both"/>
        <w:outlineLvl w:val="1"/>
        <w:rPr>
          <w:rFonts w:ascii="Arial" w:eastAsia="Times New Roman" w:hAnsi="Arial" w:cs="Arial"/>
          <w:kern w:val="1"/>
          <w:sz w:val="24"/>
          <w:lang w:eastAsia="ar-SA"/>
        </w:rPr>
      </w:pPr>
    </w:p>
    <w:p w:rsidR="00FF0D18" w:rsidRPr="00E63502" w:rsidRDefault="00FF0D18" w:rsidP="006E3EE4">
      <w:pPr>
        <w:spacing w:after="0" w:line="240" w:lineRule="auto"/>
        <w:jc w:val="both"/>
        <w:rPr>
          <w:rFonts w:ascii="Arial" w:eastAsia="Calibri" w:hAnsi="Arial" w:cs="Arial"/>
          <w:bCs/>
          <w:sz w:val="24"/>
          <w:szCs w:val="24"/>
          <w:lang w:val="es-ES_tradnl"/>
        </w:rPr>
      </w:pPr>
      <w:r w:rsidRPr="00E63502">
        <w:rPr>
          <w:rFonts w:ascii="Arial" w:eastAsia="Calibri" w:hAnsi="Arial" w:cs="Arial"/>
          <w:bCs/>
          <w:sz w:val="24"/>
          <w:szCs w:val="24"/>
          <w:lang w:val="es-ES_tradnl"/>
        </w:rPr>
        <w:t>Contribuir a la competitividad del país a través de la mejora y ampliación ambientalmente sostenible de la Red Vial de Alta Capacidad (RVAC) en la</w:t>
      </w:r>
      <w:r w:rsidR="006E3EE4">
        <w:rPr>
          <w:rFonts w:ascii="Arial" w:eastAsia="Calibri" w:hAnsi="Arial" w:cs="Arial"/>
          <w:bCs/>
          <w:sz w:val="24"/>
          <w:szCs w:val="24"/>
          <w:lang w:val="es-ES_tradnl"/>
        </w:rPr>
        <w:t xml:space="preserve"> Gran Área Metropolitana (GAM),</w:t>
      </w:r>
      <w:r w:rsidRPr="00E63502">
        <w:rPr>
          <w:rFonts w:ascii="Arial" w:eastAsia="Calibri" w:hAnsi="Arial" w:cs="Arial"/>
          <w:bCs/>
          <w:sz w:val="24"/>
          <w:szCs w:val="24"/>
          <w:lang w:val="es-ES_tradnl"/>
        </w:rPr>
        <w:t xml:space="preserve"> y apoyar el desarrollo de proyectos de infraestructura vial a través modelos de Asociaciones Público-Privadas (APP) como mecanismo complementario para su financiamiento y gestión (incluyendo todas las fases del proceso: identificación y evaluación inicial, estudios de factibilidad, estructuración, licitación, adjudicación, construcción</w:t>
      </w:r>
      <w:r w:rsidR="006E3EE4">
        <w:rPr>
          <w:rFonts w:ascii="Arial" w:eastAsia="Calibri" w:hAnsi="Arial" w:cs="Arial"/>
          <w:bCs/>
          <w:sz w:val="24"/>
          <w:szCs w:val="24"/>
          <w:lang w:val="es-ES_tradnl"/>
        </w:rPr>
        <w:t>, operación y administración).</w:t>
      </w:r>
    </w:p>
    <w:p w:rsidR="00FF0D18" w:rsidRDefault="00FF0D18" w:rsidP="006E3EE4">
      <w:pPr>
        <w:tabs>
          <w:tab w:val="left" w:pos="180"/>
        </w:tabs>
        <w:suppressAutoHyphens/>
        <w:spacing w:after="0" w:line="240" w:lineRule="auto"/>
        <w:jc w:val="both"/>
        <w:outlineLvl w:val="1"/>
        <w:rPr>
          <w:rFonts w:ascii="Arial" w:eastAsia="Times New Roman" w:hAnsi="Arial" w:cs="Arial"/>
          <w:kern w:val="1"/>
          <w:sz w:val="24"/>
          <w:szCs w:val="24"/>
          <w:lang w:eastAsia="ar-SA"/>
        </w:rPr>
      </w:pPr>
    </w:p>
    <w:p w:rsidR="00C237DD" w:rsidRDefault="00C237DD" w:rsidP="006E3EE4">
      <w:pPr>
        <w:tabs>
          <w:tab w:val="left" w:pos="180"/>
        </w:tabs>
        <w:suppressAutoHyphens/>
        <w:spacing w:after="0" w:line="240" w:lineRule="auto"/>
        <w:jc w:val="both"/>
        <w:outlineLvl w:val="1"/>
        <w:rPr>
          <w:rFonts w:ascii="Arial" w:eastAsia="Times New Roman" w:hAnsi="Arial" w:cs="Arial"/>
          <w:kern w:val="1"/>
          <w:sz w:val="24"/>
          <w:szCs w:val="24"/>
          <w:lang w:eastAsia="ar-SA"/>
        </w:rPr>
      </w:pPr>
    </w:p>
    <w:p w:rsidR="00C237DD" w:rsidRDefault="00C237DD" w:rsidP="006E3EE4">
      <w:pPr>
        <w:tabs>
          <w:tab w:val="left" w:pos="180"/>
        </w:tabs>
        <w:suppressAutoHyphens/>
        <w:spacing w:after="0" w:line="240" w:lineRule="auto"/>
        <w:jc w:val="both"/>
        <w:outlineLvl w:val="1"/>
        <w:rPr>
          <w:rFonts w:ascii="Arial" w:eastAsia="Times New Roman" w:hAnsi="Arial" w:cs="Arial"/>
          <w:kern w:val="1"/>
          <w:sz w:val="24"/>
          <w:szCs w:val="24"/>
          <w:lang w:eastAsia="ar-SA"/>
        </w:rPr>
      </w:pPr>
    </w:p>
    <w:p w:rsidR="00C237DD" w:rsidRPr="00C237DD" w:rsidRDefault="00C237DD" w:rsidP="006E3EE4">
      <w:pPr>
        <w:tabs>
          <w:tab w:val="left" w:pos="180"/>
        </w:tabs>
        <w:suppressAutoHyphens/>
        <w:spacing w:after="0" w:line="240" w:lineRule="auto"/>
        <w:jc w:val="both"/>
        <w:outlineLvl w:val="1"/>
        <w:rPr>
          <w:rFonts w:ascii="Arial" w:eastAsia="Times New Roman" w:hAnsi="Arial" w:cs="Arial"/>
          <w:kern w:val="1"/>
          <w:sz w:val="24"/>
          <w:szCs w:val="24"/>
          <w:lang w:eastAsia="ar-SA"/>
        </w:rPr>
      </w:pPr>
    </w:p>
    <w:p w:rsidR="00FF0D18" w:rsidRDefault="006E3EE4" w:rsidP="006E3EE4">
      <w:pPr>
        <w:tabs>
          <w:tab w:val="left" w:pos="180"/>
        </w:tabs>
        <w:suppressAutoHyphens/>
        <w:spacing w:after="0" w:line="240" w:lineRule="auto"/>
        <w:jc w:val="both"/>
        <w:outlineLvl w:val="1"/>
        <w:rPr>
          <w:rFonts w:ascii="Arial" w:eastAsia="Times New Roman" w:hAnsi="Arial" w:cs="Arial"/>
          <w:b/>
          <w:kern w:val="1"/>
          <w:sz w:val="24"/>
          <w:lang w:eastAsia="ar-SA"/>
        </w:rPr>
      </w:pPr>
      <w:r>
        <w:rPr>
          <w:rFonts w:ascii="Arial" w:eastAsia="Times New Roman" w:hAnsi="Arial" w:cs="Arial"/>
          <w:b/>
          <w:kern w:val="1"/>
          <w:sz w:val="24"/>
          <w:lang w:eastAsia="ar-SA"/>
        </w:rPr>
        <w:lastRenderedPageBreak/>
        <w:t>Objetivos específicos</w:t>
      </w:r>
    </w:p>
    <w:p w:rsidR="006E3EE4" w:rsidRPr="00E63502" w:rsidRDefault="006E3EE4" w:rsidP="006E3EE4">
      <w:pPr>
        <w:tabs>
          <w:tab w:val="left" w:pos="180"/>
        </w:tabs>
        <w:suppressAutoHyphens/>
        <w:spacing w:after="0" w:line="240" w:lineRule="auto"/>
        <w:jc w:val="both"/>
        <w:outlineLvl w:val="1"/>
        <w:rPr>
          <w:rFonts w:ascii="Arial" w:eastAsia="Times New Roman" w:hAnsi="Arial" w:cs="Arial"/>
          <w:b/>
          <w:kern w:val="1"/>
          <w:sz w:val="24"/>
          <w:lang w:eastAsia="ar-SA"/>
        </w:rPr>
      </w:pPr>
    </w:p>
    <w:p w:rsidR="00FF0D18" w:rsidRPr="006E3EE4" w:rsidRDefault="006E3EE4" w:rsidP="00F94236">
      <w:pPr>
        <w:tabs>
          <w:tab w:val="left" w:pos="180"/>
        </w:tabs>
        <w:spacing w:after="0" w:line="240" w:lineRule="auto"/>
        <w:ind w:left="1405" w:hanging="555"/>
        <w:jc w:val="both"/>
        <w:rPr>
          <w:rFonts w:ascii="Arial" w:hAnsi="Arial" w:cs="Arial"/>
          <w:kern w:val="1"/>
          <w:sz w:val="24"/>
          <w:szCs w:val="24"/>
          <w:lang w:eastAsia="ar-SA"/>
        </w:rPr>
      </w:pPr>
      <w:r w:rsidRPr="006E3EE4">
        <w:rPr>
          <w:rFonts w:ascii="Arial" w:hAnsi="Arial" w:cs="Arial"/>
          <w:kern w:val="1"/>
          <w:sz w:val="24"/>
          <w:szCs w:val="24"/>
          <w:lang w:eastAsia="ar-SA"/>
        </w:rPr>
        <w:t>(i)</w:t>
      </w:r>
      <w:r w:rsidRPr="006E3EE4">
        <w:rPr>
          <w:rFonts w:ascii="Arial" w:hAnsi="Arial" w:cs="Arial"/>
          <w:kern w:val="1"/>
          <w:sz w:val="24"/>
          <w:szCs w:val="24"/>
          <w:lang w:eastAsia="ar-SA"/>
        </w:rPr>
        <w:tab/>
      </w:r>
      <w:r w:rsidR="00FF0D18" w:rsidRPr="006E3EE4">
        <w:rPr>
          <w:rFonts w:ascii="Arial" w:hAnsi="Arial" w:cs="Arial"/>
          <w:kern w:val="1"/>
          <w:sz w:val="24"/>
          <w:szCs w:val="24"/>
          <w:lang w:eastAsia="ar-SA"/>
        </w:rPr>
        <w:t>Disminuir los costos de operación vehicular del flujo de transporte de carga que</w:t>
      </w:r>
      <w:r w:rsidRPr="006E3EE4">
        <w:rPr>
          <w:rFonts w:ascii="Arial" w:hAnsi="Arial" w:cs="Arial"/>
          <w:kern w:val="1"/>
          <w:sz w:val="24"/>
          <w:szCs w:val="24"/>
          <w:lang w:eastAsia="ar-SA"/>
        </w:rPr>
        <w:t xml:space="preserve"> circula por la RVAC en la GAM;</w:t>
      </w:r>
    </w:p>
    <w:p w:rsidR="006E3EE4" w:rsidRPr="006E3EE4" w:rsidRDefault="006E3EE4" w:rsidP="00F94236">
      <w:pPr>
        <w:pStyle w:val="Prrafodelista"/>
        <w:tabs>
          <w:tab w:val="left" w:pos="180"/>
        </w:tabs>
        <w:ind w:left="850"/>
        <w:jc w:val="both"/>
        <w:rPr>
          <w:rFonts w:ascii="Arial" w:hAnsi="Arial" w:cs="Arial"/>
          <w:kern w:val="1"/>
          <w:lang w:eastAsia="ar-SA"/>
        </w:rPr>
      </w:pPr>
    </w:p>
    <w:p w:rsidR="00FF0D18" w:rsidRPr="006E3EE4" w:rsidRDefault="006E3EE4" w:rsidP="00F94236">
      <w:pPr>
        <w:tabs>
          <w:tab w:val="left" w:pos="180"/>
        </w:tabs>
        <w:spacing w:after="0" w:line="240" w:lineRule="auto"/>
        <w:ind w:left="1405" w:hanging="555"/>
        <w:jc w:val="both"/>
        <w:rPr>
          <w:rFonts w:ascii="Arial" w:hAnsi="Arial" w:cs="Arial"/>
          <w:kern w:val="1"/>
          <w:sz w:val="24"/>
          <w:szCs w:val="24"/>
          <w:lang w:eastAsia="ar-SA"/>
        </w:rPr>
      </w:pPr>
      <w:r w:rsidRPr="006E3EE4">
        <w:rPr>
          <w:rFonts w:ascii="Arial" w:hAnsi="Arial" w:cs="Arial"/>
          <w:kern w:val="1"/>
          <w:sz w:val="24"/>
          <w:szCs w:val="24"/>
          <w:lang w:eastAsia="ar-SA"/>
        </w:rPr>
        <w:t>(ii)</w:t>
      </w:r>
      <w:r w:rsidRPr="006E3EE4">
        <w:rPr>
          <w:rFonts w:ascii="Arial" w:hAnsi="Arial" w:cs="Arial"/>
          <w:kern w:val="1"/>
          <w:sz w:val="24"/>
          <w:szCs w:val="24"/>
          <w:lang w:eastAsia="ar-SA"/>
        </w:rPr>
        <w:tab/>
      </w:r>
      <w:r w:rsidR="00FF0D18" w:rsidRPr="006E3EE4">
        <w:rPr>
          <w:rFonts w:ascii="Arial" w:hAnsi="Arial" w:cs="Arial"/>
          <w:kern w:val="1"/>
          <w:sz w:val="24"/>
          <w:szCs w:val="24"/>
          <w:lang w:eastAsia="ar-SA"/>
        </w:rPr>
        <w:t xml:space="preserve">Disminuir los tiempos de viaje de los vehículos que </w:t>
      </w:r>
      <w:r w:rsidRPr="006E3EE4">
        <w:rPr>
          <w:rFonts w:ascii="Arial" w:hAnsi="Arial" w:cs="Arial"/>
          <w:kern w:val="1"/>
          <w:sz w:val="24"/>
          <w:szCs w:val="24"/>
          <w:lang w:eastAsia="ar-SA"/>
        </w:rPr>
        <w:t>circulan por la RVAC en la GAM;</w:t>
      </w:r>
    </w:p>
    <w:p w:rsidR="006E3EE4" w:rsidRPr="006E3EE4" w:rsidRDefault="006E3EE4" w:rsidP="00F94236">
      <w:pPr>
        <w:pStyle w:val="Prrafodelista"/>
        <w:ind w:left="850"/>
        <w:jc w:val="both"/>
        <w:rPr>
          <w:rFonts w:ascii="Arial" w:hAnsi="Arial" w:cs="Arial"/>
          <w:kern w:val="1"/>
          <w:lang w:eastAsia="ar-SA"/>
        </w:rPr>
      </w:pPr>
    </w:p>
    <w:p w:rsidR="00FF0D18" w:rsidRPr="00C237DD" w:rsidRDefault="00C237DD" w:rsidP="00C237DD">
      <w:pPr>
        <w:tabs>
          <w:tab w:val="left" w:pos="180"/>
        </w:tabs>
        <w:spacing w:after="0" w:line="240" w:lineRule="auto"/>
        <w:ind w:left="1405" w:hanging="555"/>
        <w:jc w:val="both"/>
        <w:rPr>
          <w:rFonts w:ascii="Arial" w:hAnsi="Arial" w:cs="Arial"/>
          <w:kern w:val="1"/>
          <w:sz w:val="24"/>
          <w:szCs w:val="24"/>
          <w:lang w:eastAsia="ar-SA"/>
        </w:rPr>
      </w:pPr>
      <w:r w:rsidRPr="00C237DD">
        <w:rPr>
          <w:rFonts w:ascii="Arial" w:hAnsi="Arial" w:cs="Arial"/>
          <w:kern w:val="1"/>
          <w:sz w:val="24"/>
          <w:szCs w:val="24"/>
          <w:lang w:eastAsia="ar-SA"/>
        </w:rPr>
        <w:t>(iii)</w:t>
      </w:r>
      <w:r w:rsidRPr="00C237DD">
        <w:rPr>
          <w:rFonts w:ascii="Arial" w:hAnsi="Arial" w:cs="Arial"/>
          <w:kern w:val="1"/>
          <w:sz w:val="24"/>
          <w:szCs w:val="24"/>
          <w:lang w:eastAsia="ar-SA"/>
        </w:rPr>
        <w:tab/>
      </w:r>
      <w:r w:rsidR="00FF0D18" w:rsidRPr="00C237DD">
        <w:rPr>
          <w:rFonts w:ascii="Arial" w:hAnsi="Arial" w:cs="Arial"/>
          <w:kern w:val="1"/>
          <w:sz w:val="24"/>
          <w:szCs w:val="24"/>
          <w:lang w:eastAsia="ar-SA"/>
        </w:rPr>
        <w:t>Minimizar las emisiones generadas</w:t>
      </w:r>
      <w:r w:rsidR="006E3EE4" w:rsidRPr="00C237DD">
        <w:rPr>
          <w:rFonts w:ascii="Arial" w:hAnsi="Arial" w:cs="Arial"/>
          <w:kern w:val="1"/>
          <w:sz w:val="24"/>
          <w:szCs w:val="24"/>
          <w:lang w:eastAsia="ar-SA"/>
        </w:rPr>
        <w:t xml:space="preserve"> por el transporte en la GAM; y</w:t>
      </w:r>
    </w:p>
    <w:p w:rsidR="00C237DD" w:rsidRPr="00C237DD" w:rsidRDefault="00C237DD" w:rsidP="00C237DD">
      <w:pPr>
        <w:pStyle w:val="Prrafodelista"/>
        <w:tabs>
          <w:tab w:val="left" w:pos="180"/>
        </w:tabs>
        <w:ind w:left="1570"/>
        <w:jc w:val="both"/>
        <w:rPr>
          <w:rFonts w:ascii="Arial" w:hAnsi="Arial" w:cs="Arial"/>
          <w:kern w:val="1"/>
          <w:lang w:eastAsia="ar-SA"/>
        </w:rPr>
      </w:pPr>
    </w:p>
    <w:p w:rsidR="00FF0D18" w:rsidRPr="006E3EE4" w:rsidRDefault="006E3EE4" w:rsidP="00F94236">
      <w:pPr>
        <w:tabs>
          <w:tab w:val="left" w:pos="180"/>
        </w:tabs>
        <w:spacing w:after="0" w:line="240" w:lineRule="auto"/>
        <w:ind w:left="1405" w:hanging="555"/>
        <w:jc w:val="both"/>
        <w:rPr>
          <w:rFonts w:ascii="Arial" w:eastAsia="Times New Roman" w:hAnsi="Arial" w:cs="Arial"/>
          <w:kern w:val="1"/>
          <w:sz w:val="24"/>
          <w:szCs w:val="24"/>
          <w:lang w:eastAsia="ar-SA"/>
        </w:rPr>
      </w:pPr>
      <w:r w:rsidRPr="006E3EE4">
        <w:rPr>
          <w:rFonts w:ascii="Arial" w:eastAsia="Times New Roman" w:hAnsi="Arial" w:cs="Arial"/>
          <w:kern w:val="1"/>
          <w:sz w:val="24"/>
          <w:szCs w:val="24"/>
          <w:lang w:eastAsia="ar-SA"/>
        </w:rPr>
        <w:t>(iv)</w:t>
      </w:r>
      <w:r w:rsidRPr="006E3EE4">
        <w:rPr>
          <w:rFonts w:ascii="Arial" w:eastAsia="Times New Roman" w:hAnsi="Arial" w:cs="Arial"/>
          <w:kern w:val="1"/>
          <w:sz w:val="24"/>
          <w:szCs w:val="24"/>
          <w:lang w:eastAsia="ar-SA"/>
        </w:rPr>
        <w:tab/>
      </w:r>
      <w:r w:rsidR="00FF0D18" w:rsidRPr="006E3EE4">
        <w:rPr>
          <w:rFonts w:ascii="Arial" w:eastAsia="Times New Roman" w:hAnsi="Arial" w:cs="Arial"/>
          <w:kern w:val="1"/>
          <w:sz w:val="24"/>
          <w:szCs w:val="24"/>
          <w:lang w:eastAsia="ar-SA"/>
        </w:rPr>
        <w:t>Mejorar la capacidad técnica e institucional del Gobierno de Costa Rica (GdCR) para desarrollar proyectos viales mediante esquemas de APP.</w:t>
      </w:r>
    </w:p>
    <w:p w:rsidR="00FF0D18" w:rsidRPr="00E63502" w:rsidRDefault="00FF0D18" w:rsidP="00F94236">
      <w:pPr>
        <w:spacing w:after="0" w:line="240" w:lineRule="auto"/>
        <w:ind w:left="850"/>
        <w:contextualSpacing/>
        <w:jc w:val="both"/>
        <w:rPr>
          <w:rFonts w:ascii="Arial" w:eastAsia="Calibri" w:hAnsi="Arial" w:cs="Arial"/>
          <w:sz w:val="24"/>
          <w:szCs w:val="24"/>
          <w:lang w:val="es-ES_tradnl"/>
        </w:rPr>
      </w:pPr>
    </w:p>
    <w:p w:rsidR="00FF0D18" w:rsidRDefault="00FF0D18" w:rsidP="006E3EE4">
      <w:pPr>
        <w:tabs>
          <w:tab w:val="left" w:pos="180"/>
        </w:tabs>
        <w:spacing w:after="0" w:line="240" w:lineRule="auto"/>
        <w:jc w:val="both"/>
        <w:outlineLvl w:val="1"/>
        <w:rPr>
          <w:rFonts w:ascii="Arial" w:eastAsia="Calibri" w:hAnsi="Arial" w:cs="Arial"/>
          <w:b/>
          <w:sz w:val="24"/>
          <w:szCs w:val="24"/>
          <w:lang w:val="es-ES_tradnl"/>
        </w:rPr>
      </w:pPr>
      <w:r w:rsidRPr="00E63502">
        <w:rPr>
          <w:rFonts w:ascii="Arial" w:eastAsia="Calibri" w:hAnsi="Arial" w:cs="Arial"/>
          <w:b/>
          <w:sz w:val="24"/>
          <w:szCs w:val="24"/>
          <w:lang w:val="es-ES_tradnl"/>
        </w:rPr>
        <w:t>Componentes</w:t>
      </w:r>
    </w:p>
    <w:p w:rsidR="006E3EE4" w:rsidRDefault="006E3EE4" w:rsidP="006E3EE4">
      <w:pPr>
        <w:tabs>
          <w:tab w:val="left" w:pos="180"/>
        </w:tabs>
        <w:spacing w:after="0" w:line="240" w:lineRule="auto"/>
        <w:jc w:val="both"/>
        <w:outlineLvl w:val="1"/>
        <w:rPr>
          <w:rFonts w:ascii="Arial" w:eastAsia="Calibri" w:hAnsi="Arial" w:cs="Arial"/>
          <w:b/>
          <w:sz w:val="24"/>
          <w:szCs w:val="24"/>
          <w:lang w:val="es-ES_tradnl"/>
        </w:rPr>
      </w:pPr>
    </w:p>
    <w:p w:rsidR="006E3EE4" w:rsidRDefault="00FF0D18" w:rsidP="006E3EE4">
      <w:pPr>
        <w:tabs>
          <w:tab w:val="left" w:pos="180"/>
        </w:tabs>
        <w:spacing w:after="0" w:line="240" w:lineRule="auto"/>
        <w:jc w:val="both"/>
        <w:outlineLvl w:val="1"/>
        <w:rPr>
          <w:rFonts w:ascii="Arial" w:eastAsia="Calibri" w:hAnsi="Arial" w:cs="Arial"/>
          <w:b/>
          <w:sz w:val="24"/>
          <w:szCs w:val="24"/>
          <w:lang w:val="es-ES_tradnl"/>
        </w:rPr>
      </w:pPr>
      <w:r w:rsidRPr="00E63502">
        <w:rPr>
          <w:rFonts w:ascii="Arial" w:eastAsia="Calibri" w:hAnsi="Arial" w:cs="Arial"/>
          <w:b/>
          <w:sz w:val="24"/>
          <w:szCs w:val="24"/>
          <w:lang w:val="es-ES_tradnl"/>
        </w:rPr>
        <w:t>Componente 1.</w:t>
      </w:r>
      <w:r w:rsidR="009527F2">
        <w:rPr>
          <w:rFonts w:ascii="Arial" w:eastAsia="Calibri" w:hAnsi="Arial" w:cs="Arial"/>
          <w:b/>
          <w:sz w:val="24"/>
          <w:szCs w:val="24"/>
          <w:lang w:val="es-ES_tradnl"/>
        </w:rPr>
        <w:t xml:space="preserve"> </w:t>
      </w:r>
      <w:r w:rsidRPr="00E63502">
        <w:rPr>
          <w:rFonts w:ascii="Arial" w:eastAsia="Calibri" w:hAnsi="Arial" w:cs="Arial"/>
          <w:b/>
          <w:sz w:val="24"/>
          <w:szCs w:val="24"/>
          <w:lang w:val="es-ES_tradnl"/>
        </w:rPr>
        <w:t xml:space="preserve"> Infraestructura</w:t>
      </w:r>
    </w:p>
    <w:p w:rsidR="00FF0D18" w:rsidRPr="00E63502" w:rsidRDefault="00FF0D18" w:rsidP="006E3EE4">
      <w:pPr>
        <w:tabs>
          <w:tab w:val="left" w:pos="180"/>
        </w:tabs>
        <w:spacing w:after="0" w:line="240" w:lineRule="auto"/>
        <w:jc w:val="both"/>
        <w:outlineLvl w:val="1"/>
        <w:rPr>
          <w:rFonts w:ascii="Arial" w:eastAsia="Calibri" w:hAnsi="Arial" w:cs="Arial"/>
          <w:sz w:val="24"/>
          <w:szCs w:val="24"/>
          <w:lang w:val="es-ES_tradnl"/>
        </w:rPr>
      </w:pPr>
    </w:p>
    <w:p w:rsidR="006E3EE4" w:rsidRDefault="00FF0D18" w:rsidP="006E3EE4">
      <w:pPr>
        <w:tabs>
          <w:tab w:val="left" w:pos="18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Dicho componente financiará:</w:t>
      </w:r>
    </w:p>
    <w:p w:rsidR="00FF0D18" w:rsidRPr="00E63502" w:rsidRDefault="00FF0D18" w:rsidP="006E3EE4">
      <w:pPr>
        <w:tabs>
          <w:tab w:val="left" w:pos="180"/>
        </w:tabs>
        <w:spacing w:after="0" w:line="240" w:lineRule="auto"/>
        <w:jc w:val="both"/>
        <w:outlineLvl w:val="1"/>
        <w:rPr>
          <w:rFonts w:ascii="Arial" w:eastAsia="Calibri" w:hAnsi="Arial" w:cs="Arial"/>
          <w:sz w:val="24"/>
          <w:szCs w:val="24"/>
          <w:lang w:val="es-ES_tradnl"/>
        </w:rPr>
      </w:pPr>
    </w:p>
    <w:p w:rsidR="00FF0D18" w:rsidRDefault="00F94236" w:rsidP="00C42E09">
      <w:pPr>
        <w:tabs>
          <w:tab w:val="left" w:pos="180"/>
        </w:tabs>
        <w:spacing w:after="0" w:line="240" w:lineRule="auto"/>
        <w:ind w:left="1418" w:hanging="568"/>
        <w:jc w:val="both"/>
        <w:rPr>
          <w:rFonts w:ascii="Arial" w:eastAsia="Calibri" w:hAnsi="Arial" w:cs="Arial"/>
          <w:sz w:val="24"/>
          <w:szCs w:val="24"/>
          <w:lang w:val="es-ES_tradnl"/>
        </w:rPr>
      </w:pPr>
      <w:r>
        <w:rPr>
          <w:rFonts w:ascii="Arial" w:eastAsia="Calibri" w:hAnsi="Arial" w:cs="Arial"/>
          <w:sz w:val="24"/>
          <w:szCs w:val="24"/>
          <w:lang w:val="es-ES_tradnl"/>
        </w:rPr>
        <w:t>a.</w:t>
      </w:r>
      <w:r>
        <w:rPr>
          <w:rFonts w:ascii="Arial" w:eastAsia="Calibri" w:hAnsi="Arial" w:cs="Arial"/>
          <w:sz w:val="24"/>
          <w:szCs w:val="24"/>
          <w:lang w:val="es-ES_tradnl"/>
        </w:rPr>
        <w:tab/>
      </w:r>
      <w:r w:rsidR="00FF0D18" w:rsidRPr="00E63502">
        <w:rPr>
          <w:rFonts w:ascii="Arial" w:eastAsia="Calibri" w:hAnsi="Arial" w:cs="Arial"/>
          <w:sz w:val="24"/>
          <w:szCs w:val="24"/>
          <w:lang w:val="es-ES_tradnl"/>
        </w:rPr>
        <w:t>Mejoramiento y ampliación del tramo Taras – La Lima (3 km) en el corredor San José – Cartago (Ruta 2), y seis de las 17 Obras Impostergables (OBIS) en el corredor San José – San Ramón (Ruta 1): Puente Juan Pablo Segundo, Radial Río Virilla – Río Segundo, Intercambio Río Segundo, Intercambio Grecia, Intercambio Naranjo e Intercambio San Ramón.</w:t>
      </w:r>
    </w:p>
    <w:p w:rsidR="00F94236" w:rsidRPr="00E63502" w:rsidRDefault="00F94236" w:rsidP="00C42E09">
      <w:pPr>
        <w:tabs>
          <w:tab w:val="left" w:pos="180"/>
        </w:tabs>
        <w:spacing w:after="0" w:line="240" w:lineRule="auto"/>
        <w:ind w:left="850"/>
        <w:jc w:val="both"/>
        <w:rPr>
          <w:rFonts w:ascii="Arial" w:eastAsia="Times New Roman" w:hAnsi="Arial" w:cs="Arial"/>
          <w:kern w:val="1"/>
          <w:sz w:val="24"/>
          <w:szCs w:val="24"/>
          <w:lang w:eastAsia="ar-SA"/>
        </w:rPr>
      </w:pPr>
    </w:p>
    <w:p w:rsidR="00FF0D18" w:rsidRDefault="00F94236" w:rsidP="00C42E09">
      <w:pPr>
        <w:tabs>
          <w:tab w:val="left" w:pos="180"/>
        </w:tabs>
        <w:spacing w:after="0" w:line="240" w:lineRule="auto"/>
        <w:ind w:left="850"/>
        <w:jc w:val="both"/>
        <w:rPr>
          <w:rFonts w:ascii="Arial" w:eastAsia="Calibri" w:hAnsi="Arial" w:cs="Arial"/>
          <w:sz w:val="24"/>
          <w:szCs w:val="24"/>
          <w:lang w:val="es-ES_tradnl"/>
        </w:rPr>
      </w:pPr>
      <w:r>
        <w:rPr>
          <w:rFonts w:ascii="Arial" w:eastAsia="Calibri" w:hAnsi="Arial" w:cs="Arial"/>
          <w:sz w:val="24"/>
          <w:szCs w:val="24"/>
          <w:lang w:val="es-ES_tradnl"/>
        </w:rPr>
        <w:t>b.</w:t>
      </w:r>
      <w:r>
        <w:rPr>
          <w:rFonts w:ascii="Arial" w:eastAsia="Calibri" w:hAnsi="Arial" w:cs="Arial"/>
          <w:sz w:val="24"/>
          <w:szCs w:val="24"/>
          <w:lang w:val="es-ES_tradnl"/>
        </w:rPr>
        <w:tab/>
      </w:r>
      <w:r w:rsidR="00FF0D18" w:rsidRPr="00E63502">
        <w:rPr>
          <w:rFonts w:ascii="Arial" w:eastAsia="Calibri" w:hAnsi="Arial" w:cs="Arial"/>
          <w:sz w:val="24"/>
          <w:szCs w:val="24"/>
          <w:lang w:val="es-ES_tradnl"/>
        </w:rPr>
        <w:t>Supervisión de las obras</w:t>
      </w:r>
    </w:p>
    <w:p w:rsidR="00F94236" w:rsidRPr="00E63502" w:rsidRDefault="00F94236" w:rsidP="00C42E09">
      <w:pPr>
        <w:tabs>
          <w:tab w:val="left" w:pos="180"/>
        </w:tabs>
        <w:spacing w:after="0" w:line="240" w:lineRule="auto"/>
        <w:ind w:left="850"/>
        <w:jc w:val="both"/>
        <w:rPr>
          <w:rFonts w:ascii="Arial" w:eastAsia="Times New Roman" w:hAnsi="Arial" w:cs="Arial"/>
          <w:kern w:val="1"/>
          <w:sz w:val="24"/>
          <w:szCs w:val="24"/>
          <w:lang w:val="en-US" w:eastAsia="ar-SA"/>
        </w:rPr>
      </w:pPr>
    </w:p>
    <w:p w:rsidR="00FF0D18" w:rsidRDefault="00F94236" w:rsidP="00C42E09">
      <w:pPr>
        <w:tabs>
          <w:tab w:val="left" w:pos="180"/>
        </w:tabs>
        <w:spacing w:after="0" w:line="240" w:lineRule="auto"/>
        <w:ind w:left="1418" w:hanging="568"/>
        <w:jc w:val="both"/>
        <w:rPr>
          <w:rFonts w:ascii="Arial" w:eastAsia="Calibri" w:hAnsi="Arial" w:cs="Arial"/>
          <w:sz w:val="24"/>
          <w:szCs w:val="24"/>
          <w:lang w:val="es-ES_tradnl"/>
        </w:rPr>
      </w:pPr>
      <w:r>
        <w:rPr>
          <w:rFonts w:ascii="Arial" w:eastAsia="Calibri" w:hAnsi="Arial" w:cs="Arial"/>
          <w:sz w:val="24"/>
          <w:szCs w:val="24"/>
        </w:rPr>
        <w:t>c.</w:t>
      </w:r>
      <w:r>
        <w:rPr>
          <w:rFonts w:ascii="Arial" w:eastAsia="Calibri" w:hAnsi="Arial" w:cs="Arial"/>
          <w:sz w:val="24"/>
          <w:szCs w:val="24"/>
        </w:rPr>
        <w:tab/>
      </w:r>
      <w:r w:rsidR="00FF0D18" w:rsidRPr="00E63502">
        <w:rPr>
          <w:rFonts w:ascii="Arial" w:eastAsia="Calibri" w:hAnsi="Arial" w:cs="Arial"/>
          <w:sz w:val="24"/>
          <w:szCs w:val="24"/>
        </w:rPr>
        <w:t>G</w:t>
      </w:r>
      <w:r w:rsidR="00FF0D18" w:rsidRPr="00E63502">
        <w:rPr>
          <w:rFonts w:ascii="Arial" w:eastAsia="Calibri" w:hAnsi="Arial" w:cs="Arial"/>
          <w:sz w:val="24"/>
          <w:szCs w:val="24"/>
          <w:lang w:val="es-ES_tradnl"/>
        </w:rPr>
        <w:t>estión predial, para lo cual se podrán hacer pagos anticipados hasta por un 30% del avalúo estimado de cada predio, con el fin facilitar la liberación del Derecho de Vía.</w:t>
      </w:r>
    </w:p>
    <w:p w:rsidR="00F94236" w:rsidRPr="00E63502" w:rsidRDefault="00F94236" w:rsidP="00C42E09">
      <w:pPr>
        <w:tabs>
          <w:tab w:val="left" w:pos="180"/>
        </w:tabs>
        <w:spacing w:after="0" w:line="240" w:lineRule="auto"/>
        <w:ind w:left="850"/>
        <w:jc w:val="both"/>
        <w:rPr>
          <w:rFonts w:ascii="Arial" w:eastAsia="Times New Roman" w:hAnsi="Arial" w:cs="Arial"/>
          <w:kern w:val="1"/>
          <w:sz w:val="24"/>
          <w:szCs w:val="24"/>
          <w:lang w:eastAsia="ar-SA"/>
        </w:rPr>
      </w:pPr>
    </w:p>
    <w:p w:rsidR="00FF0D18" w:rsidRPr="00E63502" w:rsidRDefault="00F94236" w:rsidP="00C42E09">
      <w:pPr>
        <w:tabs>
          <w:tab w:val="left" w:pos="180"/>
        </w:tabs>
        <w:spacing w:after="0" w:line="240" w:lineRule="auto"/>
        <w:ind w:left="1418" w:hanging="568"/>
        <w:jc w:val="both"/>
        <w:rPr>
          <w:rFonts w:ascii="Arial" w:eastAsia="Times New Roman" w:hAnsi="Arial" w:cs="Arial"/>
          <w:kern w:val="1"/>
          <w:sz w:val="24"/>
          <w:szCs w:val="24"/>
          <w:lang w:eastAsia="ar-SA"/>
        </w:rPr>
      </w:pPr>
      <w:r>
        <w:rPr>
          <w:rFonts w:ascii="Arial" w:eastAsia="Calibri" w:hAnsi="Arial" w:cs="Arial"/>
          <w:sz w:val="24"/>
          <w:szCs w:val="24"/>
          <w:lang w:val="es-ES_tradnl"/>
        </w:rPr>
        <w:t>d.</w:t>
      </w:r>
      <w:r>
        <w:rPr>
          <w:rFonts w:ascii="Arial" w:eastAsia="Calibri" w:hAnsi="Arial" w:cs="Arial"/>
          <w:sz w:val="24"/>
          <w:szCs w:val="24"/>
          <w:lang w:val="es-ES_tradnl"/>
        </w:rPr>
        <w:tab/>
      </w:r>
      <w:r w:rsidR="00FF0D18" w:rsidRPr="00E63502">
        <w:rPr>
          <w:rFonts w:ascii="Arial" w:eastAsia="Calibri" w:hAnsi="Arial" w:cs="Arial"/>
          <w:sz w:val="24"/>
          <w:szCs w:val="24"/>
          <w:lang w:val="es-ES_tradnl"/>
        </w:rPr>
        <w:t>Estudios y/o diseños para la terminación de la nueva vía a San Carlos, que incluyan los Análisis de Riesgo de Desastre (ARD) y efectos de Cambio Climático para integrar en los parámetros de diseño y proveer resiliencia.</w:t>
      </w:r>
    </w:p>
    <w:p w:rsidR="00FF0D18" w:rsidRPr="00E63502" w:rsidRDefault="00FF0D18" w:rsidP="006E3EE4">
      <w:pPr>
        <w:tabs>
          <w:tab w:val="left" w:pos="180"/>
        </w:tabs>
        <w:spacing w:after="0" w:line="240" w:lineRule="auto"/>
        <w:jc w:val="both"/>
        <w:outlineLvl w:val="1"/>
        <w:rPr>
          <w:rFonts w:ascii="Arial" w:eastAsia="Times New Roman" w:hAnsi="Arial" w:cs="Arial"/>
          <w:kern w:val="1"/>
          <w:sz w:val="24"/>
          <w:szCs w:val="24"/>
          <w:lang w:eastAsia="ar-SA"/>
        </w:rPr>
      </w:pPr>
    </w:p>
    <w:p w:rsidR="00FF0D18" w:rsidRPr="00E63502" w:rsidRDefault="00FF0D18" w:rsidP="006E3EE4">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Las ampliaciones de las obras viales privilegiarán el transporte público limpio sobre el transporte privado de combustión interna, a través de la implementación, donde sea factible, de carriles exclusivos sobre los cuales se desplazarán los vehículos de servicio público y vehículos privados eléctricos de forma prioritaria. Las ampliaciones están, además, diseñadas en cumplimiento de toda la normativa de seguridad vial y serán construidas para ser acompañadas de obras urbanas complementarias que faciliten la intermodalidad con modos no motorizados y la accesibilidad a personas con discapacidad.</w:t>
      </w:r>
    </w:p>
    <w:p w:rsidR="00FF0D18" w:rsidRDefault="00FF0D18" w:rsidP="006E3EE4">
      <w:pPr>
        <w:tabs>
          <w:tab w:val="left" w:pos="180"/>
        </w:tabs>
        <w:spacing w:after="0" w:line="240" w:lineRule="auto"/>
        <w:jc w:val="both"/>
        <w:outlineLvl w:val="1"/>
        <w:rPr>
          <w:rFonts w:ascii="Arial" w:eastAsia="Times New Roman" w:hAnsi="Arial" w:cs="Arial"/>
          <w:kern w:val="1"/>
          <w:sz w:val="24"/>
          <w:szCs w:val="24"/>
          <w:lang w:eastAsia="ar-SA"/>
        </w:rPr>
      </w:pPr>
    </w:p>
    <w:p w:rsidR="00C42E09" w:rsidRPr="00E63502" w:rsidRDefault="00C42E09" w:rsidP="006E3EE4">
      <w:pPr>
        <w:tabs>
          <w:tab w:val="left" w:pos="180"/>
        </w:tabs>
        <w:spacing w:after="0" w:line="240" w:lineRule="auto"/>
        <w:jc w:val="both"/>
        <w:outlineLvl w:val="1"/>
        <w:rPr>
          <w:rFonts w:ascii="Arial" w:eastAsia="Times New Roman" w:hAnsi="Arial" w:cs="Arial"/>
          <w:kern w:val="1"/>
          <w:sz w:val="24"/>
          <w:szCs w:val="24"/>
          <w:lang w:eastAsia="ar-SA"/>
        </w:rPr>
      </w:pPr>
    </w:p>
    <w:p w:rsidR="00FF0D18" w:rsidRDefault="00F94236" w:rsidP="006E3EE4">
      <w:pPr>
        <w:tabs>
          <w:tab w:val="left" w:pos="0"/>
        </w:tabs>
        <w:spacing w:after="0" w:line="240" w:lineRule="auto"/>
        <w:jc w:val="both"/>
        <w:outlineLvl w:val="1"/>
        <w:rPr>
          <w:rFonts w:ascii="Arial" w:eastAsia="Times New Roman" w:hAnsi="Arial" w:cs="Arial"/>
          <w:kern w:val="1"/>
          <w:sz w:val="24"/>
          <w:szCs w:val="24"/>
          <w:lang w:eastAsia="ar-SA"/>
        </w:rPr>
      </w:pPr>
      <w:bookmarkStart w:id="20" w:name="_Ref16098410"/>
      <w:r>
        <w:rPr>
          <w:rFonts w:ascii="Arial" w:eastAsia="Calibri" w:hAnsi="Arial" w:cs="Arial"/>
          <w:b/>
          <w:sz w:val="24"/>
          <w:szCs w:val="24"/>
          <w:lang w:val="es-ES_tradnl"/>
        </w:rPr>
        <w:lastRenderedPageBreak/>
        <w:t>Componente 2-</w:t>
      </w:r>
      <w:r>
        <w:rPr>
          <w:rFonts w:ascii="Arial" w:eastAsia="Calibri" w:hAnsi="Arial" w:cs="Arial"/>
          <w:b/>
          <w:sz w:val="24"/>
          <w:szCs w:val="24"/>
          <w:lang w:val="es-ES_tradnl"/>
        </w:rPr>
        <w:tab/>
      </w:r>
      <w:r w:rsidR="00FF0D18" w:rsidRPr="00E63502">
        <w:rPr>
          <w:rFonts w:ascii="Arial" w:eastAsia="Calibri" w:hAnsi="Arial" w:cs="Arial"/>
          <w:b/>
          <w:sz w:val="24"/>
          <w:szCs w:val="24"/>
          <w:lang w:val="es-ES_tradnl"/>
        </w:rPr>
        <w:t>Desarrollo de capacidades institucionales</w:t>
      </w:r>
    </w:p>
    <w:p w:rsidR="00F94236" w:rsidRPr="00E63502" w:rsidRDefault="00F94236" w:rsidP="006E3EE4">
      <w:pPr>
        <w:tabs>
          <w:tab w:val="left" w:pos="0"/>
        </w:tabs>
        <w:spacing w:after="0" w:line="240" w:lineRule="auto"/>
        <w:jc w:val="both"/>
        <w:outlineLvl w:val="1"/>
        <w:rPr>
          <w:rFonts w:ascii="Arial" w:eastAsia="Times New Roman" w:hAnsi="Arial" w:cs="Arial"/>
          <w:kern w:val="1"/>
          <w:sz w:val="24"/>
          <w:szCs w:val="24"/>
          <w:lang w:eastAsia="ar-SA"/>
        </w:rPr>
      </w:pPr>
    </w:p>
    <w:p w:rsidR="00FF0D18" w:rsidRDefault="00FF0D18" w:rsidP="006E3EE4">
      <w:pPr>
        <w:tabs>
          <w:tab w:val="left" w:pos="0"/>
        </w:tabs>
        <w:spacing w:after="0" w:line="240" w:lineRule="auto"/>
        <w:jc w:val="both"/>
        <w:outlineLvl w:val="1"/>
        <w:rPr>
          <w:rFonts w:ascii="Arial" w:eastAsia="Calibri" w:hAnsi="Arial" w:cs="Arial"/>
          <w:sz w:val="24"/>
          <w:szCs w:val="24"/>
          <w:lang w:val="es-US"/>
        </w:rPr>
      </w:pPr>
      <w:r w:rsidRPr="00E63502">
        <w:rPr>
          <w:rFonts w:ascii="Arial" w:eastAsia="Calibri" w:hAnsi="Arial" w:cs="Arial"/>
          <w:sz w:val="24"/>
          <w:szCs w:val="24"/>
          <w:lang w:val="es-US"/>
        </w:rPr>
        <w:t>Este componente tiene dos subcomponentes:</w:t>
      </w:r>
    </w:p>
    <w:p w:rsidR="00F94236" w:rsidRPr="00E63502" w:rsidRDefault="00F94236" w:rsidP="006E3EE4">
      <w:pPr>
        <w:tabs>
          <w:tab w:val="left" w:pos="0"/>
        </w:tabs>
        <w:spacing w:after="0" w:line="240" w:lineRule="auto"/>
        <w:jc w:val="both"/>
        <w:outlineLvl w:val="1"/>
        <w:rPr>
          <w:rFonts w:ascii="Arial" w:eastAsia="Calibri" w:hAnsi="Arial" w:cs="Arial"/>
          <w:sz w:val="24"/>
          <w:szCs w:val="24"/>
          <w:lang w:val="es-US"/>
        </w:rPr>
      </w:pPr>
    </w:p>
    <w:p w:rsidR="00FF0D18" w:rsidRPr="00E63502" w:rsidRDefault="00F94236" w:rsidP="00F94236">
      <w:pPr>
        <w:tabs>
          <w:tab w:val="left" w:pos="180"/>
        </w:tabs>
        <w:spacing w:after="0" w:line="240" w:lineRule="auto"/>
        <w:ind w:left="1405" w:hanging="555"/>
        <w:jc w:val="both"/>
        <w:rPr>
          <w:rFonts w:ascii="Arial" w:eastAsia="Calibri" w:hAnsi="Arial" w:cs="Arial"/>
          <w:sz w:val="24"/>
          <w:szCs w:val="24"/>
        </w:rPr>
      </w:pPr>
      <w:r>
        <w:rPr>
          <w:rFonts w:ascii="Arial" w:eastAsia="Calibri" w:hAnsi="Arial" w:cs="Arial"/>
          <w:sz w:val="24"/>
          <w:szCs w:val="24"/>
        </w:rPr>
        <w:t>a.</w:t>
      </w:r>
      <w:r>
        <w:rPr>
          <w:rFonts w:ascii="Arial" w:eastAsia="Calibri" w:hAnsi="Arial" w:cs="Arial"/>
          <w:sz w:val="24"/>
          <w:szCs w:val="24"/>
        </w:rPr>
        <w:tab/>
      </w:r>
      <w:r w:rsidR="00FF0D18" w:rsidRPr="00E63502">
        <w:rPr>
          <w:rFonts w:ascii="Arial" w:eastAsia="Calibri" w:hAnsi="Arial" w:cs="Arial"/>
          <w:sz w:val="24"/>
          <w:szCs w:val="24"/>
        </w:rPr>
        <w:t>Subcomponente de APP:  financiará actividades de fortalecimiento técnico e institucional del CNC, MOPT y Ministerio de Hacienda, para gestionar proyectos de APP, incluye: asistencia para el desarrollo de al menos dos APP viales durante su ciclo de vida, complementada con el desarrollo de estudios, modelos, evaluaciones, promoción de proyectos, guías y capacitaciones, realizadas bajo la estrategia de aprender haciendo;</w:t>
      </w:r>
    </w:p>
    <w:p w:rsidR="00FF0D18" w:rsidRPr="00E63502" w:rsidRDefault="00FF0D18" w:rsidP="00F94236">
      <w:pPr>
        <w:tabs>
          <w:tab w:val="left" w:pos="180"/>
        </w:tabs>
        <w:spacing w:after="0" w:line="240" w:lineRule="auto"/>
        <w:ind w:left="850"/>
        <w:jc w:val="both"/>
        <w:rPr>
          <w:rFonts w:ascii="Arial" w:eastAsia="Calibri" w:hAnsi="Arial" w:cs="Arial"/>
          <w:sz w:val="24"/>
          <w:szCs w:val="24"/>
        </w:rPr>
      </w:pPr>
    </w:p>
    <w:p w:rsidR="00FF0D18" w:rsidRPr="00E63502" w:rsidRDefault="00F94236" w:rsidP="00F94236">
      <w:pPr>
        <w:tabs>
          <w:tab w:val="left" w:pos="180"/>
        </w:tabs>
        <w:spacing w:after="0" w:line="240" w:lineRule="auto"/>
        <w:ind w:left="1405" w:hanging="555"/>
        <w:jc w:val="both"/>
        <w:rPr>
          <w:rFonts w:ascii="Arial" w:eastAsia="Calibri" w:hAnsi="Arial" w:cs="Arial"/>
          <w:sz w:val="24"/>
          <w:szCs w:val="24"/>
        </w:rPr>
      </w:pPr>
      <w:r>
        <w:rPr>
          <w:rFonts w:ascii="Arial" w:eastAsia="Calibri" w:hAnsi="Arial" w:cs="Arial"/>
          <w:sz w:val="24"/>
          <w:szCs w:val="24"/>
        </w:rPr>
        <w:t>b.</w:t>
      </w:r>
      <w:r>
        <w:rPr>
          <w:rFonts w:ascii="Arial" w:eastAsia="Calibri" w:hAnsi="Arial" w:cs="Arial"/>
          <w:sz w:val="24"/>
          <w:szCs w:val="24"/>
        </w:rPr>
        <w:tab/>
      </w:r>
      <w:r w:rsidR="00FF0D18" w:rsidRPr="00E63502">
        <w:rPr>
          <w:rFonts w:ascii="Arial" w:eastAsia="Calibri" w:hAnsi="Arial" w:cs="Arial"/>
          <w:sz w:val="24"/>
          <w:szCs w:val="24"/>
        </w:rPr>
        <w:t>Subcomponente de innovación, sostenibilidad y género: financiará: (a) el diseño final de obras urbanas complementarias a la vialidad, correspondientes al parque metropolitano de Alajuela, parque lineal de Taras-La Lima y el circuito recreativo de occidente en San Ramón; (b) apoyo a la implementación del modelo de negocio para buses eléctricos de transporte público; y (c) apoyo al fortalecimiento de la equidad de género y personas con discapacidad: mediante la actualización de la política de género y de planes de acción que incluyan formación y desarrollo de capacidades en el MOPT y el CNC, y mediante la incorporación en las obras viales de elementos modernos que faciliten el acceso a las personas con discapacidad y el apoyo a oportunidades laborales en el sector transporte.</w:t>
      </w:r>
    </w:p>
    <w:p w:rsidR="00FF0D18" w:rsidRPr="00E63502" w:rsidRDefault="00FF0D18" w:rsidP="00F94236">
      <w:pPr>
        <w:tabs>
          <w:tab w:val="left" w:pos="0"/>
        </w:tabs>
        <w:spacing w:after="0" w:line="240" w:lineRule="auto"/>
        <w:ind w:left="850"/>
        <w:jc w:val="both"/>
        <w:rPr>
          <w:rFonts w:ascii="Arial" w:eastAsia="Calibri" w:hAnsi="Arial" w:cs="Arial"/>
          <w:b/>
          <w:sz w:val="24"/>
          <w:szCs w:val="24"/>
          <w:lang w:val="es-ES_tradnl"/>
        </w:rPr>
      </w:pPr>
    </w:p>
    <w:p w:rsidR="00FF0D18" w:rsidRDefault="00FF0D18" w:rsidP="006E3EE4">
      <w:pPr>
        <w:tabs>
          <w:tab w:val="left" w:pos="0"/>
        </w:tabs>
        <w:spacing w:after="0" w:line="240" w:lineRule="auto"/>
        <w:jc w:val="both"/>
        <w:outlineLvl w:val="1"/>
        <w:rPr>
          <w:rFonts w:ascii="Arial" w:eastAsia="Calibri" w:hAnsi="Arial" w:cs="Arial"/>
          <w:b/>
          <w:sz w:val="24"/>
          <w:szCs w:val="24"/>
          <w:lang w:val="es-ES_tradnl"/>
        </w:rPr>
      </w:pPr>
      <w:r w:rsidRPr="00E63502">
        <w:rPr>
          <w:rFonts w:ascii="Arial" w:eastAsia="Calibri" w:hAnsi="Arial" w:cs="Arial"/>
          <w:b/>
          <w:sz w:val="24"/>
          <w:szCs w:val="24"/>
          <w:lang w:val="es-ES_tradnl"/>
        </w:rPr>
        <w:t>Componente 3</w:t>
      </w:r>
      <w:bookmarkEnd w:id="20"/>
      <w:r w:rsidR="00F94236">
        <w:rPr>
          <w:rFonts w:ascii="Arial" w:eastAsia="Calibri" w:hAnsi="Arial" w:cs="Arial"/>
          <w:b/>
          <w:sz w:val="24"/>
          <w:szCs w:val="24"/>
          <w:lang w:val="es-ES_tradnl"/>
        </w:rPr>
        <w:t>-</w:t>
      </w:r>
      <w:r w:rsidR="00F94236">
        <w:rPr>
          <w:rFonts w:ascii="Arial" w:eastAsia="Calibri" w:hAnsi="Arial" w:cs="Arial"/>
          <w:b/>
          <w:sz w:val="24"/>
          <w:szCs w:val="24"/>
          <w:lang w:val="es-ES_tradnl"/>
        </w:rPr>
        <w:tab/>
      </w:r>
      <w:r w:rsidRPr="00E63502">
        <w:rPr>
          <w:rFonts w:ascii="Arial" w:eastAsia="Calibri" w:hAnsi="Arial" w:cs="Arial"/>
          <w:b/>
          <w:sz w:val="24"/>
          <w:szCs w:val="24"/>
          <w:lang w:val="es-ES_tradnl"/>
        </w:rPr>
        <w:t>Admi</w:t>
      </w:r>
      <w:r w:rsidR="00F94236">
        <w:rPr>
          <w:rFonts w:ascii="Arial" w:eastAsia="Calibri" w:hAnsi="Arial" w:cs="Arial"/>
          <w:b/>
          <w:sz w:val="24"/>
          <w:szCs w:val="24"/>
          <w:lang w:val="es-ES_tradnl"/>
        </w:rPr>
        <w:t>nistración, gestión y auditoría</w:t>
      </w:r>
    </w:p>
    <w:p w:rsidR="00F94236" w:rsidRPr="00E63502" w:rsidRDefault="00F94236" w:rsidP="006E3EE4">
      <w:pPr>
        <w:tabs>
          <w:tab w:val="left" w:pos="0"/>
        </w:tabs>
        <w:spacing w:after="0" w:line="240" w:lineRule="auto"/>
        <w:jc w:val="both"/>
        <w:outlineLvl w:val="1"/>
        <w:rPr>
          <w:rFonts w:ascii="Arial" w:eastAsia="Calibri" w:hAnsi="Arial" w:cs="Arial"/>
          <w:b/>
          <w:sz w:val="24"/>
          <w:szCs w:val="24"/>
          <w:lang w:val="es-ES_tradnl"/>
        </w:rPr>
      </w:pPr>
    </w:p>
    <w:p w:rsidR="00FF0D18" w:rsidRPr="00E63502" w:rsidRDefault="00FF0D18" w:rsidP="006E3EE4">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Dentro de este rubro se financiará la gestión fiduciaria, la gestión técnica y las auditorías del programa.</w:t>
      </w:r>
    </w:p>
    <w:p w:rsidR="00FF0D18" w:rsidRPr="00E63502" w:rsidRDefault="00FF0D18" w:rsidP="006E3EE4">
      <w:pPr>
        <w:tabs>
          <w:tab w:val="left" w:pos="180"/>
        </w:tabs>
        <w:spacing w:after="0" w:line="240" w:lineRule="auto"/>
        <w:jc w:val="both"/>
        <w:outlineLvl w:val="1"/>
        <w:rPr>
          <w:rFonts w:ascii="Arial" w:eastAsia="Calibri" w:hAnsi="Arial" w:cs="Arial"/>
          <w:b/>
          <w:sz w:val="24"/>
          <w:szCs w:val="24"/>
          <w:lang w:val="es-ES_tradnl"/>
        </w:rPr>
      </w:pPr>
    </w:p>
    <w:p w:rsidR="00FF0D18" w:rsidRPr="00F94236" w:rsidRDefault="00F94236" w:rsidP="00F94236">
      <w:pPr>
        <w:rPr>
          <w:rFonts w:ascii="Arial" w:hAnsi="Arial" w:cs="Arial"/>
          <w:b/>
          <w:sz w:val="24"/>
          <w:szCs w:val="24"/>
          <w:lang w:eastAsia="es-CR"/>
        </w:rPr>
      </w:pPr>
      <w:bookmarkStart w:id="21" w:name="_Ref14354082"/>
      <w:r>
        <w:rPr>
          <w:rFonts w:ascii="Arial" w:hAnsi="Arial" w:cs="Arial"/>
          <w:b/>
          <w:sz w:val="24"/>
          <w:szCs w:val="24"/>
          <w:lang w:eastAsia="es-CR"/>
        </w:rPr>
        <w:t>Costo total</w:t>
      </w:r>
    </w:p>
    <w:p w:rsidR="00FF0D18" w:rsidRPr="00F94236" w:rsidRDefault="00FF0D18" w:rsidP="00F94236">
      <w:pPr>
        <w:jc w:val="both"/>
        <w:rPr>
          <w:rFonts w:ascii="Arial" w:hAnsi="Arial" w:cs="Arial"/>
          <w:sz w:val="24"/>
          <w:szCs w:val="24"/>
          <w:lang w:eastAsia="es-CR"/>
        </w:rPr>
      </w:pPr>
      <w:r w:rsidRPr="00F94236">
        <w:rPr>
          <w:rFonts w:ascii="Arial" w:hAnsi="Arial" w:cs="Arial"/>
          <w:sz w:val="24"/>
          <w:szCs w:val="24"/>
          <w:lang w:eastAsia="es-CR"/>
        </w:rPr>
        <w:t>El costo total de la primera operación asciende hasta US$178 millones de dólares, de los cuales US$125 millones de dólares serán financiados por el BID y US$53 millones de dólares con contrapartida aportada por el CONAVI.  El presupuesto consolidado por componente se muestra en el siguiente cuadro.</w:t>
      </w:r>
    </w:p>
    <w:p w:rsidR="00C42E09" w:rsidRDefault="00C42E09">
      <w:pPr>
        <w:spacing w:after="0" w:line="240" w:lineRule="auto"/>
        <w:jc w:val="both"/>
        <w:rPr>
          <w:rFonts w:ascii="Arial" w:eastAsia="Calibri" w:hAnsi="Arial" w:cs="Arial"/>
          <w:b/>
          <w:bCs/>
          <w:sz w:val="24"/>
          <w:szCs w:val="24"/>
        </w:rPr>
      </w:pPr>
      <w:r>
        <w:rPr>
          <w:rFonts w:ascii="Arial" w:eastAsia="Calibri" w:hAnsi="Arial" w:cs="Arial"/>
          <w:b/>
          <w:bCs/>
          <w:sz w:val="24"/>
          <w:szCs w:val="24"/>
        </w:rPr>
        <w:br w:type="page"/>
      </w:r>
    </w:p>
    <w:p w:rsidR="00FF0D18" w:rsidRPr="00E63502" w:rsidRDefault="00FF0D18" w:rsidP="00F94236">
      <w:pPr>
        <w:spacing w:after="0" w:line="240" w:lineRule="auto"/>
        <w:jc w:val="center"/>
        <w:rPr>
          <w:rFonts w:ascii="Arial" w:eastAsia="Calibri" w:hAnsi="Arial" w:cs="Arial"/>
          <w:b/>
          <w:bCs/>
          <w:sz w:val="24"/>
          <w:szCs w:val="24"/>
        </w:rPr>
      </w:pPr>
      <w:r w:rsidRPr="00E63502">
        <w:rPr>
          <w:rFonts w:ascii="Arial" w:eastAsia="Calibri" w:hAnsi="Arial" w:cs="Arial"/>
          <w:b/>
          <w:bCs/>
          <w:sz w:val="24"/>
          <w:szCs w:val="24"/>
        </w:rPr>
        <w:lastRenderedPageBreak/>
        <w:t>Cuadro N° 6</w:t>
      </w:r>
    </w:p>
    <w:p w:rsidR="00FF0D18" w:rsidRPr="00E63502" w:rsidRDefault="00FF0D18" w:rsidP="00F94236">
      <w:pPr>
        <w:spacing w:after="0" w:line="240" w:lineRule="auto"/>
        <w:jc w:val="center"/>
        <w:rPr>
          <w:rFonts w:ascii="Arial" w:eastAsia="Calibri" w:hAnsi="Arial" w:cs="Arial"/>
          <w:b/>
          <w:bCs/>
          <w:sz w:val="24"/>
          <w:szCs w:val="24"/>
        </w:rPr>
      </w:pPr>
      <w:r w:rsidRPr="00E63502">
        <w:rPr>
          <w:rFonts w:ascii="Arial" w:eastAsia="Calibri" w:hAnsi="Arial" w:cs="Arial"/>
          <w:b/>
          <w:bCs/>
          <w:sz w:val="24"/>
          <w:szCs w:val="24"/>
        </w:rPr>
        <w:t xml:space="preserve"> Montos de la primera operación de la CCLIP</w:t>
      </w:r>
    </w:p>
    <w:p w:rsidR="00FF0D18" w:rsidRPr="00E63502" w:rsidRDefault="00FF0D18" w:rsidP="00F94236">
      <w:pPr>
        <w:spacing w:after="0" w:line="240" w:lineRule="auto"/>
        <w:jc w:val="center"/>
        <w:rPr>
          <w:rFonts w:ascii="Arial" w:eastAsia="Calibri" w:hAnsi="Arial" w:cs="Arial"/>
          <w:b/>
          <w:bCs/>
          <w:sz w:val="24"/>
          <w:szCs w:val="24"/>
        </w:rPr>
      </w:pPr>
    </w:p>
    <w:tbl>
      <w:tblPr>
        <w:tblStyle w:val="Tablaconcuadrcula6concolores-nfasis112"/>
        <w:tblW w:w="9098" w:type="dxa"/>
        <w:tblLook w:val="04A0" w:firstRow="1" w:lastRow="0" w:firstColumn="1" w:lastColumn="0" w:noHBand="0" w:noVBand="1"/>
      </w:tblPr>
      <w:tblGrid>
        <w:gridCol w:w="3295"/>
        <w:gridCol w:w="2043"/>
        <w:gridCol w:w="1806"/>
        <w:gridCol w:w="1954"/>
      </w:tblGrid>
      <w:tr w:rsidR="00FF0D18" w:rsidRPr="00E63502" w:rsidTr="00F94236">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95" w:type="dxa"/>
            <w:noWrap/>
            <w:hideMark/>
          </w:tcPr>
          <w:p w:rsidR="00FF0D18" w:rsidRPr="00E63502" w:rsidRDefault="00FF0D18" w:rsidP="00FF0D18">
            <w:pPr>
              <w:tabs>
                <w:tab w:val="left" w:pos="180"/>
              </w:tabs>
              <w:spacing w:before="40" w:after="40" w:line="276" w:lineRule="auto"/>
              <w:ind w:left="763" w:hanging="720"/>
              <w:jc w:val="center"/>
              <w:rPr>
                <w:rFonts w:ascii="Arial" w:eastAsia="Calibri" w:hAnsi="Arial" w:cs="Arial"/>
                <w:sz w:val="18"/>
                <w:szCs w:val="18"/>
              </w:rPr>
            </w:pPr>
            <w:r w:rsidRPr="00E63502">
              <w:rPr>
                <w:rFonts w:ascii="Arial" w:eastAsia="Calibri" w:hAnsi="Arial" w:cs="Arial"/>
                <w:sz w:val="18"/>
                <w:szCs w:val="18"/>
              </w:rPr>
              <w:t>Componente</w:t>
            </w:r>
          </w:p>
        </w:tc>
        <w:tc>
          <w:tcPr>
            <w:tcW w:w="2043" w:type="dxa"/>
            <w:noWrap/>
            <w:hideMark/>
          </w:tcPr>
          <w:p w:rsidR="00FF0D18" w:rsidRPr="00E63502" w:rsidRDefault="00FF0D18" w:rsidP="00FF0D18">
            <w:pPr>
              <w:tabs>
                <w:tab w:val="left" w:pos="180"/>
              </w:tabs>
              <w:spacing w:before="40" w:after="40" w:line="276" w:lineRule="auto"/>
              <w:ind w:left="763" w:hanging="7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E63502">
              <w:rPr>
                <w:rFonts w:ascii="Arial" w:eastAsia="Calibri" w:hAnsi="Arial" w:cs="Arial"/>
                <w:sz w:val="18"/>
                <w:szCs w:val="18"/>
              </w:rPr>
              <w:t>BID</w:t>
            </w:r>
          </w:p>
        </w:tc>
        <w:tc>
          <w:tcPr>
            <w:tcW w:w="1806" w:type="dxa"/>
            <w:noWrap/>
            <w:hideMark/>
          </w:tcPr>
          <w:p w:rsidR="00FF0D18" w:rsidRPr="00E63502" w:rsidRDefault="00FF0D18" w:rsidP="00FF0D18">
            <w:pPr>
              <w:tabs>
                <w:tab w:val="left" w:pos="180"/>
              </w:tabs>
              <w:spacing w:before="40" w:after="40" w:line="276" w:lineRule="auto"/>
              <w:ind w:left="763" w:hanging="7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E63502">
              <w:rPr>
                <w:rFonts w:ascii="Arial" w:eastAsia="Calibri" w:hAnsi="Arial" w:cs="Arial"/>
                <w:sz w:val="18"/>
                <w:szCs w:val="18"/>
              </w:rPr>
              <w:t>MOPT*</w:t>
            </w:r>
          </w:p>
        </w:tc>
        <w:tc>
          <w:tcPr>
            <w:tcW w:w="1954" w:type="dxa"/>
            <w:noWrap/>
            <w:hideMark/>
          </w:tcPr>
          <w:p w:rsidR="00FF0D18" w:rsidRPr="00E63502" w:rsidRDefault="00FF0D18" w:rsidP="00FF0D18">
            <w:pPr>
              <w:tabs>
                <w:tab w:val="left" w:pos="180"/>
              </w:tabs>
              <w:spacing w:before="40" w:after="40" w:line="276" w:lineRule="auto"/>
              <w:ind w:left="763" w:hanging="7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E63502">
              <w:rPr>
                <w:rFonts w:ascii="Arial" w:eastAsia="Calibri" w:hAnsi="Arial" w:cs="Arial"/>
                <w:sz w:val="18"/>
                <w:szCs w:val="18"/>
              </w:rPr>
              <w:t>Total</w:t>
            </w:r>
          </w:p>
        </w:tc>
      </w:tr>
      <w:tr w:rsidR="00FF0D18" w:rsidRPr="00E63502" w:rsidTr="00F9423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95" w:type="dxa"/>
            <w:hideMark/>
          </w:tcPr>
          <w:p w:rsidR="00FF0D18" w:rsidRPr="00E63502" w:rsidRDefault="00FF0D18" w:rsidP="00FF0D18">
            <w:pPr>
              <w:tabs>
                <w:tab w:val="left" w:pos="180"/>
              </w:tabs>
              <w:spacing w:before="40" w:after="40" w:line="276" w:lineRule="auto"/>
              <w:ind w:left="763" w:hanging="720"/>
              <w:rPr>
                <w:rFonts w:ascii="Arial" w:eastAsia="Calibri" w:hAnsi="Arial" w:cs="Arial"/>
                <w:color w:val="000000"/>
                <w:sz w:val="18"/>
                <w:szCs w:val="18"/>
              </w:rPr>
            </w:pPr>
            <w:r w:rsidRPr="00E63502">
              <w:rPr>
                <w:rFonts w:ascii="Arial" w:eastAsia="Calibri" w:hAnsi="Arial" w:cs="Arial"/>
                <w:color w:val="000000"/>
                <w:sz w:val="18"/>
                <w:szCs w:val="18"/>
              </w:rPr>
              <w:t>Componente 1. Infraestructura</w:t>
            </w:r>
          </w:p>
        </w:tc>
        <w:tc>
          <w:tcPr>
            <w:tcW w:w="2043" w:type="dxa"/>
            <w:noWrap/>
            <w:hideMark/>
          </w:tcPr>
          <w:p w:rsidR="00FF0D18" w:rsidRPr="00E63502" w:rsidRDefault="00FF0D18" w:rsidP="00FF0D18">
            <w:pPr>
              <w:tabs>
                <w:tab w:val="left" w:pos="180"/>
              </w:tabs>
              <w:spacing w:before="40" w:after="40" w:line="276" w:lineRule="auto"/>
              <w:ind w:left="763" w:hanging="72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US$119.000.000</w:t>
            </w:r>
          </w:p>
        </w:tc>
        <w:tc>
          <w:tcPr>
            <w:tcW w:w="1806" w:type="dxa"/>
            <w:noWrap/>
            <w:hideMark/>
          </w:tcPr>
          <w:p w:rsidR="00FF0D18" w:rsidRPr="00E63502" w:rsidRDefault="00FF0D18" w:rsidP="00FF0D18">
            <w:pPr>
              <w:tabs>
                <w:tab w:val="left" w:pos="180"/>
              </w:tabs>
              <w:spacing w:before="40" w:after="40" w:line="276" w:lineRule="auto"/>
              <w:ind w:left="763" w:hanging="72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US$53.000.000</w:t>
            </w:r>
          </w:p>
        </w:tc>
        <w:tc>
          <w:tcPr>
            <w:tcW w:w="1954" w:type="dxa"/>
            <w:noWrap/>
            <w:hideMark/>
          </w:tcPr>
          <w:p w:rsidR="00FF0D18" w:rsidRPr="00E63502" w:rsidRDefault="00FF0D18" w:rsidP="00FF0D18">
            <w:pPr>
              <w:tabs>
                <w:tab w:val="left" w:pos="180"/>
              </w:tabs>
              <w:spacing w:before="40" w:after="40" w:line="276" w:lineRule="auto"/>
              <w:ind w:left="763" w:hanging="72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US$172.000.000</w:t>
            </w:r>
          </w:p>
        </w:tc>
      </w:tr>
      <w:tr w:rsidR="00FF0D18" w:rsidRPr="00E63502" w:rsidTr="00F94236">
        <w:trPr>
          <w:trHeight w:val="379"/>
        </w:trPr>
        <w:tc>
          <w:tcPr>
            <w:cnfStyle w:val="001000000000" w:firstRow="0" w:lastRow="0" w:firstColumn="1" w:lastColumn="0" w:oddVBand="0" w:evenVBand="0" w:oddHBand="0" w:evenHBand="0" w:firstRowFirstColumn="0" w:firstRowLastColumn="0" w:lastRowFirstColumn="0" w:lastRowLastColumn="0"/>
            <w:tcW w:w="3295" w:type="dxa"/>
            <w:hideMark/>
          </w:tcPr>
          <w:p w:rsidR="00FF0D18" w:rsidRPr="00E63502" w:rsidRDefault="00FF0D18" w:rsidP="00FF0D18">
            <w:pPr>
              <w:tabs>
                <w:tab w:val="left" w:pos="180"/>
              </w:tabs>
              <w:spacing w:before="40" w:after="40" w:line="276" w:lineRule="auto"/>
              <w:ind w:left="62"/>
              <w:rPr>
                <w:rFonts w:ascii="Arial" w:eastAsia="Calibri" w:hAnsi="Arial" w:cs="Arial"/>
                <w:color w:val="000000"/>
                <w:sz w:val="18"/>
                <w:szCs w:val="18"/>
              </w:rPr>
            </w:pPr>
            <w:r w:rsidRPr="00E63502">
              <w:rPr>
                <w:rFonts w:ascii="Arial" w:eastAsia="Calibri" w:hAnsi="Arial" w:cs="Arial"/>
                <w:color w:val="000000"/>
                <w:sz w:val="18"/>
                <w:szCs w:val="18"/>
              </w:rPr>
              <w:t>Componente 2. Desarrollo de capacidades institucionales</w:t>
            </w:r>
          </w:p>
        </w:tc>
        <w:tc>
          <w:tcPr>
            <w:tcW w:w="2043" w:type="dxa"/>
            <w:noWrap/>
            <w:hideMark/>
          </w:tcPr>
          <w:p w:rsidR="00FF0D18" w:rsidRPr="00E63502" w:rsidRDefault="00FF0D18" w:rsidP="00FF0D18">
            <w:pPr>
              <w:tabs>
                <w:tab w:val="left" w:pos="180"/>
              </w:tabs>
              <w:spacing w:before="40" w:after="40" w:line="276" w:lineRule="auto"/>
              <w:ind w:left="763" w:hanging="72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US$4.000.000</w:t>
            </w:r>
          </w:p>
        </w:tc>
        <w:tc>
          <w:tcPr>
            <w:tcW w:w="1806" w:type="dxa"/>
            <w:noWrap/>
            <w:hideMark/>
          </w:tcPr>
          <w:p w:rsidR="00FF0D18" w:rsidRPr="00E63502" w:rsidRDefault="00FF0D18" w:rsidP="00FF0D18">
            <w:pPr>
              <w:tabs>
                <w:tab w:val="left" w:pos="180"/>
              </w:tabs>
              <w:spacing w:before="40" w:after="40" w:line="276" w:lineRule="auto"/>
              <w:ind w:left="763" w:hanging="72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 </w:t>
            </w:r>
          </w:p>
        </w:tc>
        <w:tc>
          <w:tcPr>
            <w:tcW w:w="1954" w:type="dxa"/>
            <w:noWrap/>
            <w:hideMark/>
          </w:tcPr>
          <w:p w:rsidR="00FF0D18" w:rsidRPr="00E63502" w:rsidRDefault="00FF0D18" w:rsidP="00FF0D18">
            <w:pPr>
              <w:tabs>
                <w:tab w:val="left" w:pos="180"/>
              </w:tabs>
              <w:spacing w:before="40" w:after="40" w:line="276" w:lineRule="auto"/>
              <w:ind w:left="763" w:hanging="72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US$4.000.000</w:t>
            </w:r>
          </w:p>
        </w:tc>
      </w:tr>
      <w:tr w:rsidR="00FF0D18" w:rsidRPr="00E63502" w:rsidTr="00F9423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95" w:type="dxa"/>
            <w:hideMark/>
          </w:tcPr>
          <w:p w:rsidR="00FF0D18" w:rsidRPr="00E63502" w:rsidRDefault="00FF0D18" w:rsidP="00FF0D18">
            <w:pPr>
              <w:tabs>
                <w:tab w:val="left" w:pos="180"/>
              </w:tabs>
              <w:spacing w:before="40" w:after="40" w:line="276" w:lineRule="auto"/>
              <w:ind w:left="62" w:hanging="19"/>
              <w:rPr>
                <w:rFonts w:ascii="Arial" w:eastAsia="Calibri" w:hAnsi="Arial" w:cs="Arial"/>
                <w:color w:val="000000"/>
                <w:sz w:val="18"/>
                <w:szCs w:val="18"/>
              </w:rPr>
            </w:pPr>
            <w:r w:rsidRPr="00E63502">
              <w:rPr>
                <w:rFonts w:ascii="Arial" w:eastAsia="Calibri" w:hAnsi="Arial" w:cs="Arial"/>
                <w:color w:val="000000"/>
                <w:sz w:val="18"/>
                <w:szCs w:val="18"/>
              </w:rPr>
              <w:t>Componente 3. Administración, gestión y auditoría</w:t>
            </w:r>
          </w:p>
        </w:tc>
        <w:tc>
          <w:tcPr>
            <w:tcW w:w="2043" w:type="dxa"/>
            <w:noWrap/>
            <w:hideMark/>
          </w:tcPr>
          <w:p w:rsidR="00FF0D18" w:rsidRPr="00E63502" w:rsidRDefault="00FF0D18" w:rsidP="00FF0D18">
            <w:pPr>
              <w:tabs>
                <w:tab w:val="left" w:pos="180"/>
              </w:tabs>
              <w:spacing w:before="40" w:after="40" w:line="276" w:lineRule="auto"/>
              <w:ind w:left="763" w:hanging="72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US$2.000.000</w:t>
            </w:r>
          </w:p>
        </w:tc>
        <w:tc>
          <w:tcPr>
            <w:tcW w:w="1806" w:type="dxa"/>
            <w:noWrap/>
            <w:hideMark/>
          </w:tcPr>
          <w:p w:rsidR="00FF0D18" w:rsidRPr="00E63502" w:rsidRDefault="00FF0D18" w:rsidP="00FF0D18">
            <w:pPr>
              <w:tabs>
                <w:tab w:val="left" w:pos="180"/>
              </w:tabs>
              <w:spacing w:before="40" w:after="40" w:line="276" w:lineRule="auto"/>
              <w:ind w:left="763" w:hanging="72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 </w:t>
            </w:r>
          </w:p>
        </w:tc>
        <w:tc>
          <w:tcPr>
            <w:tcW w:w="1954" w:type="dxa"/>
            <w:noWrap/>
            <w:hideMark/>
          </w:tcPr>
          <w:p w:rsidR="00FF0D18" w:rsidRPr="00E63502" w:rsidRDefault="00FF0D18" w:rsidP="00FF0D18">
            <w:pPr>
              <w:tabs>
                <w:tab w:val="left" w:pos="180"/>
              </w:tabs>
              <w:spacing w:before="40" w:after="40" w:line="276" w:lineRule="auto"/>
              <w:ind w:left="763" w:hanging="72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rPr>
            </w:pPr>
            <w:r w:rsidRPr="00E63502">
              <w:rPr>
                <w:rFonts w:ascii="Arial" w:eastAsia="Calibri" w:hAnsi="Arial" w:cs="Arial"/>
                <w:color w:val="000000"/>
                <w:sz w:val="18"/>
                <w:szCs w:val="18"/>
              </w:rPr>
              <w:t>US$2.000.000</w:t>
            </w:r>
          </w:p>
        </w:tc>
      </w:tr>
      <w:tr w:rsidR="00FF0D18" w:rsidRPr="00E63502" w:rsidTr="00F94236">
        <w:trPr>
          <w:trHeight w:val="379"/>
        </w:trPr>
        <w:tc>
          <w:tcPr>
            <w:cnfStyle w:val="001000000000" w:firstRow="0" w:lastRow="0" w:firstColumn="1" w:lastColumn="0" w:oddVBand="0" w:evenVBand="0" w:oddHBand="0" w:evenHBand="0" w:firstRowFirstColumn="0" w:firstRowLastColumn="0" w:lastRowFirstColumn="0" w:lastRowLastColumn="0"/>
            <w:tcW w:w="3295" w:type="dxa"/>
            <w:hideMark/>
          </w:tcPr>
          <w:p w:rsidR="00FF0D18" w:rsidRPr="00E63502" w:rsidRDefault="00FF0D18" w:rsidP="00FF0D18">
            <w:pPr>
              <w:tabs>
                <w:tab w:val="left" w:pos="180"/>
              </w:tabs>
              <w:spacing w:before="40" w:after="40" w:line="276" w:lineRule="auto"/>
              <w:ind w:left="763" w:hanging="720"/>
              <w:jc w:val="right"/>
              <w:rPr>
                <w:rFonts w:ascii="Arial" w:eastAsia="Calibri" w:hAnsi="Arial" w:cs="Arial"/>
                <w:color w:val="000000"/>
                <w:sz w:val="18"/>
                <w:szCs w:val="18"/>
              </w:rPr>
            </w:pPr>
            <w:r w:rsidRPr="00E63502">
              <w:rPr>
                <w:rFonts w:ascii="Arial" w:eastAsia="Calibri" w:hAnsi="Arial" w:cs="Arial"/>
                <w:color w:val="000000"/>
                <w:sz w:val="18"/>
                <w:szCs w:val="18"/>
              </w:rPr>
              <w:t>TOTAL</w:t>
            </w:r>
          </w:p>
        </w:tc>
        <w:tc>
          <w:tcPr>
            <w:tcW w:w="2043" w:type="dxa"/>
            <w:noWrap/>
            <w:hideMark/>
          </w:tcPr>
          <w:p w:rsidR="00FF0D18" w:rsidRPr="00E63502" w:rsidRDefault="00FF0D18" w:rsidP="00FF0D18">
            <w:pPr>
              <w:tabs>
                <w:tab w:val="left" w:pos="180"/>
              </w:tabs>
              <w:spacing w:before="40" w:after="40" w:line="276" w:lineRule="auto"/>
              <w:ind w:left="763" w:hanging="72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sz w:val="18"/>
                <w:szCs w:val="18"/>
              </w:rPr>
            </w:pPr>
            <w:r w:rsidRPr="00E63502">
              <w:rPr>
                <w:rFonts w:ascii="Arial" w:eastAsia="Calibri" w:hAnsi="Arial" w:cs="Arial"/>
                <w:b/>
                <w:color w:val="000000"/>
                <w:sz w:val="18"/>
                <w:szCs w:val="18"/>
              </w:rPr>
              <w:t>US$125.000.000</w:t>
            </w:r>
          </w:p>
        </w:tc>
        <w:tc>
          <w:tcPr>
            <w:tcW w:w="1806" w:type="dxa"/>
            <w:noWrap/>
            <w:hideMark/>
          </w:tcPr>
          <w:p w:rsidR="00FF0D18" w:rsidRPr="00E63502" w:rsidRDefault="00FF0D18" w:rsidP="00FF0D18">
            <w:pPr>
              <w:tabs>
                <w:tab w:val="left" w:pos="180"/>
              </w:tabs>
              <w:spacing w:before="40" w:after="40" w:line="276" w:lineRule="auto"/>
              <w:ind w:left="763" w:hanging="72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sz w:val="18"/>
                <w:szCs w:val="18"/>
              </w:rPr>
            </w:pPr>
            <w:r w:rsidRPr="00E63502">
              <w:rPr>
                <w:rFonts w:ascii="Arial" w:eastAsia="Calibri" w:hAnsi="Arial" w:cs="Arial"/>
                <w:b/>
                <w:color w:val="000000"/>
                <w:sz w:val="18"/>
                <w:szCs w:val="18"/>
              </w:rPr>
              <w:t>US$53.000.000</w:t>
            </w:r>
          </w:p>
        </w:tc>
        <w:tc>
          <w:tcPr>
            <w:tcW w:w="1954" w:type="dxa"/>
            <w:noWrap/>
            <w:hideMark/>
          </w:tcPr>
          <w:p w:rsidR="00FF0D18" w:rsidRPr="00E63502" w:rsidRDefault="00FF0D18" w:rsidP="00FF0D18">
            <w:pPr>
              <w:tabs>
                <w:tab w:val="left" w:pos="180"/>
              </w:tabs>
              <w:spacing w:before="40" w:after="40" w:line="276" w:lineRule="auto"/>
              <w:ind w:left="763" w:hanging="72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sz w:val="18"/>
                <w:szCs w:val="18"/>
              </w:rPr>
            </w:pPr>
            <w:r w:rsidRPr="00E63502">
              <w:rPr>
                <w:rFonts w:ascii="Arial" w:eastAsia="Calibri" w:hAnsi="Arial" w:cs="Arial"/>
                <w:b/>
                <w:color w:val="000000"/>
                <w:sz w:val="18"/>
                <w:szCs w:val="18"/>
              </w:rPr>
              <w:t>US$178.000.000</w:t>
            </w:r>
          </w:p>
        </w:tc>
      </w:tr>
    </w:tbl>
    <w:p w:rsidR="00F94236" w:rsidRDefault="00F94236" w:rsidP="00FF0D18">
      <w:pPr>
        <w:spacing w:after="200" w:line="276" w:lineRule="auto"/>
        <w:rPr>
          <w:rFonts w:ascii="Arial" w:eastAsia="Calibri" w:hAnsi="Arial" w:cs="Arial"/>
          <w:i/>
          <w:sz w:val="20"/>
          <w:szCs w:val="20"/>
        </w:rPr>
      </w:pPr>
    </w:p>
    <w:p w:rsidR="00FF0D18" w:rsidRDefault="00FF0D18" w:rsidP="009527F2">
      <w:pPr>
        <w:spacing w:after="200" w:line="276" w:lineRule="auto"/>
        <w:jc w:val="both"/>
        <w:rPr>
          <w:rFonts w:ascii="Arial" w:eastAsia="Calibri" w:hAnsi="Arial" w:cs="Arial"/>
          <w:b/>
          <w:i/>
          <w:sz w:val="20"/>
          <w:szCs w:val="20"/>
        </w:rPr>
      </w:pPr>
      <w:r w:rsidRPr="00F94236">
        <w:rPr>
          <w:rFonts w:ascii="Arial" w:eastAsia="Calibri" w:hAnsi="Arial" w:cs="Arial"/>
          <w:b/>
          <w:i/>
          <w:sz w:val="20"/>
          <w:szCs w:val="20"/>
        </w:rPr>
        <w:t>Fuente BID. Nota: * Contrapartida para las OBIS del corredor San José – San Ramón (Ruta 1).</w:t>
      </w:r>
    </w:p>
    <w:p w:rsidR="00F94236" w:rsidRPr="00F94236" w:rsidRDefault="00F94236" w:rsidP="00F94236">
      <w:pPr>
        <w:spacing w:after="0" w:line="240" w:lineRule="auto"/>
        <w:rPr>
          <w:rFonts w:ascii="Arial" w:eastAsia="Calibri" w:hAnsi="Arial" w:cs="Arial"/>
          <w:b/>
          <w:i/>
          <w:sz w:val="20"/>
          <w:szCs w:val="20"/>
        </w:rPr>
      </w:pPr>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La contrapartida o cualquier necesidad de recursos adicionales al financiamiento serán cubiertas por el MOPT como parte de su presupuesto, cumpliendo con los límites de gasto y la regla fiscal.</w:t>
      </w:r>
    </w:p>
    <w:p w:rsidR="00FF0D18" w:rsidRPr="00E63502" w:rsidRDefault="00FF0D18" w:rsidP="00FF0D18">
      <w:pPr>
        <w:spacing w:after="120" w:line="480" w:lineRule="auto"/>
        <w:jc w:val="both"/>
        <w:rPr>
          <w:rFonts w:ascii="Arial" w:eastAsia="Calibri" w:hAnsi="Arial" w:cs="Arial"/>
        </w:rPr>
      </w:pPr>
    </w:p>
    <w:p w:rsidR="00FF0D18" w:rsidRPr="00E63502" w:rsidRDefault="00F94236" w:rsidP="00F94236">
      <w:pPr>
        <w:tabs>
          <w:tab w:val="left" w:pos="180"/>
        </w:tabs>
        <w:spacing w:after="0" w:line="240" w:lineRule="auto"/>
        <w:ind w:left="705" w:hanging="705"/>
        <w:jc w:val="both"/>
        <w:outlineLvl w:val="1"/>
        <w:rPr>
          <w:rFonts w:ascii="Arial" w:eastAsia="Times New Roman" w:hAnsi="Arial" w:cs="Arial"/>
          <w:b/>
          <w:kern w:val="1"/>
          <w:sz w:val="24"/>
          <w:szCs w:val="24"/>
          <w:lang w:val="es-ES_tradnl" w:eastAsia="ar-SA"/>
        </w:rPr>
      </w:pPr>
      <w:r>
        <w:rPr>
          <w:rFonts w:ascii="Arial" w:eastAsia="Times New Roman" w:hAnsi="Arial" w:cs="Arial"/>
          <w:b/>
          <w:kern w:val="1"/>
          <w:sz w:val="24"/>
          <w:szCs w:val="24"/>
          <w:lang w:val="es-ES_tradnl" w:eastAsia="ar-SA"/>
        </w:rPr>
        <w:t>5-</w:t>
      </w:r>
      <w:r>
        <w:rPr>
          <w:rFonts w:ascii="Arial" w:eastAsia="Times New Roman" w:hAnsi="Arial" w:cs="Arial"/>
          <w:b/>
          <w:kern w:val="1"/>
          <w:sz w:val="24"/>
          <w:szCs w:val="24"/>
          <w:lang w:val="es-ES_tradnl" w:eastAsia="ar-SA"/>
        </w:rPr>
        <w:tab/>
      </w:r>
      <w:r w:rsidR="00FF0D18" w:rsidRPr="00E63502">
        <w:rPr>
          <w:rFonts w:ascii="Arial" w:eastAsia="Times New Roman" w:hAnsi="Arial" w:cs="Arial"/>
          <w:b/>
          <w:kern w:val="1"/>
          <w:sz w:val="24"/>
          <w:szCs w:val="24"/>
          <w:lang w:val="es-ES_tradnl" w:eastAsia="ar-SA"/>
        </w:rPr>
        <w:t>ESTRUCTURA INSTITUCIONAL PARA EL MANEJO Y EJECUCIÓN DEL PROGRAMA</w:t>
      </w:r>
    </w:p>
    <w:p w:rsidR="00FF0D18" w:rsidRPr="00E63502" w:rsidRDefault="00FF0D18" w:rsidP="00F94236">
      <w:pPr>
        <w:tabs>
          <w:tab w:val="left" w:pos="180"/>
        </w:tabs>
        <w:spacing w:after="0" w:line="240" w:lineRule="auto"/>
        <w:jc w:val="both"/>
        <w:outlineLvl w:val="1"/>
        <w:rPr>
          <w:rFonts w:ascii="Arial" w:eastAsia="Times New Roman" w:hAnsi="Arial" w:cs="Arial"/>
          <w:b/>
          <w:kern w:val="1"/>
          <w:sz w:val="24"/>
          <w:szCs w:val="24"/>
          <w:lang w:val="es-ES_tradnl" w:eastAsia="ar-SA"/>
        </w:rPr>
      </w:pPr>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_tradnl"/>
        </w:rPr>
      </w:pPr>
      <w:bookmarkStart w:id="22" w:name="_Ref14354808"/>
      <w:bookmarkStart w:id="23" w:name="_Hlk13144252"/>
      <w:r w:rsidRPr="00E63502">
        <w:rPr>
          <w:rFonts w:ascii="Arial" w:eastAsia="Calibri" w:hAnsi="Arial" w:cs="Arial"/>
          <w:sz w:val="24"/>
          <w:szCs w:val="24"/>
          <w:lang w:val="es-ES_tradnl"/>
        </w:rPr>
        <w:t>El MOPT será el Organismo Ejecutor (OE) del Programa,  el cual se apoyará en dos unidades a las que se adicionará el personal y recursos necesarios para la ejecución del mismo: (i) la Unidad Administradora del Proyecto (UAP) del Fideicomiso Corredor San José-San Ramón, que actuará como subejecutor del Programa para la gestión técnica y financiera de las Obras Impostergables (OBIS); y (ii) el Comité Asesor de la Supervisión (CAS) y su Unidad Asesora (UA), pertenecientes al MOPT</w:t>
      </w:r>
      <w:r w:rsidRPr="00E63502">
        <w:rPr>
          <w:rFonts w:ascii="Arial" w:eastAsia="Calibri" w:hAnsi="Arial" w:cs="Arial"/>
          <w:sz w:val="24"/>
          <w:szCs w:val="24"/>
          <w:lang w:val="es-ES_tradnl"/>
        </w:rPr>
        <w:footnoteReference w:id="6"/>
      </w:r>
      <w:r w:rsidRPr="00E63502">
        <w:rPr>
          <w:rFonts w:ascii="Arial" w:eastAsia="Calibri" w:hAnsi="Arial" w:cs="Arial"/>
          <w:sz w:val="24"/>
          <w:szCs w:val="24"/>
          <w:lang w:val="es-ES_tradnl"/>
        </w:rPr>
        <w:t>, que estará a cargo de la gestión administrativa, técnica, legal y financiera, para el resto del Programa, así como del seguimiento, control y monitoreo de los contratos de</w:t>
      </w:r>
      <w:r w:rsidR="00C102C0">
        <w:rPr>
          <w:rFonts w:ascii="Arial" w:eastAsia="Calibri" w:hAnsi="Arial" w:cs="Arial"/>
          <w:sz w:val="24"/>
          <w:szCs w:val="24"/>
          <w:lang w:val="es-ES_tradnl"/>
        </w:rPr>
        <w:t>l Programa que le correspondan.</w:t>
      </w:r>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_tradnl"/>
        </w:rPr>
      </w:pPr>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El OE conservará la responsabilidad sobre todo el Programa de gestionar el presupuesto, suscribir los contratos, rendir cuenta sobre el uso de los recursos al Banco, la aprobación de los estados financieros y todas las decisiones de disposición de fondos públicos.</w:t>
      </w:r>
      <w:bookmarkStart w:id="24" w:name="_Ref14867725"/>
      <w:bookmarkStart w:id="25" w:name="_Ref17015094"/>
      <w:bookmarkEnd w:id="22"/>
      <w:r w:rsidR="00C102C0">
        <w:rPr>
          <w:rFonts w:ascii="Arial" w:eastAsia="Calibri" w:hAnsi="Arial" w:cs="Arial"/>
          <w:sz w:val="24"/>
          <w:szCs w:val="24"/>
          <w:lang w:val="es-ES_tradnl"/>
        </w:rPr>
        <w:t xml:space="preserve"> </w:t>
      </w:r>
      <w:r w:rsidRPr="00E63502">
        <w:rPr>
          <w:rFonts w:ascii="Arial" w:eastAsia="Calibri" w:hAnsi="Arial" w:cs="Arial"/>
          <w:sz w:val="24"/>
          <w:szCs w:val="24"/>
          <w:lang w:val="es-ES_tradnl"/>
        </w:rPr>
        <w:t xml:space="preserve"> El OE tendrá para el Programa el apoyo externo de una Unidad Ejecutora para realizar la gestión administrativa, técnica y legal, y de un Fideicomiso para realizar la gestión financiera</w:t>
      </w:r>
      <w:bookmarkStart w:id="26" w:name="_Ref449163990"/>
      <w:bookmarkStart w:id="27" w:name="_Ref456613895"/>
      <w:bookmarkStart w:id="28" w:name="_Ref503881404"/>
      <w:bookmarkEnd w:id="23"/>
      <w:bookmarkEnd w:id="24"/>
      <w:bookmarkEnd w:id="25"/>
      <w:r w:rsidRPr="00E63502">
        <w:rPr>
          <w:rFonts w:ascii="Arial" w:eastAsia="Calibri" w:hAnsi="Arial" w:cs="Arial"/>
          <w:sz w:val="24"/>
          <w:szCs w:val="24"/>
          <w:lang w:val="es-ES_tradnl"/>
        </w:rPr>
        <w:t xml:space="preserve">. </w:t>
      </w:r>
      <w:r w:rsidR="00C102C0">
        <w:rPr>
          <w:rFonts w:ascii="Arial" w:eastAsia="Calibri" w:hAnsi="Arial" w:cs="Arial"/>
          <w:sz w:val="24"/>
          <w:szCs w:val="24"/>
          <w:lang w:val="es-ES_tradnl"/>
        </w:rPr>
        <w:t xml:space="preserve"> </w:t>
      </w:r>
      <w:r w:rsidRPr="00E63502">
        <w:rPr>
          <w:rFonts w:ascii="Arial" w:eastAsia="Calibri" w:hAnsi="Arial" w:cs="Arial"/>
          <w:sz w:val="24"/>
          <w:szCs w:val="24"/>
          <w:lang w:val="es-ES_tradnl"/>
        </w:rPr>
        <w:t xml:space="preserve">La Unidad Ejecutora se encargará de realizar todas las actuaciones preparatorias que requiera el CAS para dictar los actos administrativos y la toma de decisiones que le competen, así como aquellos que requiera el Fideicomiso para realizar la gestión financiera del Programa. </w:t>
      </w:r>
      <w:r w:rsidR="00C102C0">
        <w:rPr>
          <w:rFonts w:ascii="Arial" w:eastAsia="Calibri" w:hAnsi="Arial" w:cs="Arial"/>
          <w:sz w:val="24"/>
          <w:szCs w:val="24"/>
          <w:lang w:val="es-ES_tradnl"/>
        </w:rPr>
        <w:t xml:space="preserve"> </w:t>
      </w:r>
      <w:r w:rsidRPr="00E63502">
        <w:rPr>
          <w:rFonts w:ascii="Arial" w:eastAsia="Calibri" w:hAnsi="Arial" w:cs="Arial"/>
          <w:sz w:val="24"/>
          <w:szCs w:val="24"/>
          <w:lang w:val="es-ES_tradnl"/>
        </w:rPr>
        <w:t>La UEP deberá cumplir con las funciones y tareas definidas en el Manual Operativo del Programa (MANOP).</w:t>
      </w:r>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
        </w:rPr>
      </w:pPr>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 xml:space="preserve">En el MANOP se </w:t>
      </w:r>
      <w:bookmarkEnd w:id="26"/>
      <w:r w:rsidRPr="00E63502">
        <w:rPr>
          <w:rFonts w:ascii="Arial" w:eastAsia="Calibri" w:hAnsi="Arial" w:cs="Arial"/>
          <w:sz w:val="24"/>
          <w:szCs w:val="24"/>
          <w:lang w:val="es-ES_tradnl"/>
        </w:rPr>
        <w:t>describirá en detalle, al menos: (i) las responsabilidades de las instancias participantes en el mecanismo de ejecución del Programa; (ii) el detalle del flujo de procesos para realizar las adquisiciones y contrataciones; (iii) los procesos administrativos financieros especiales para el Programa; y (iv) los criterios de elegibilidad y selección de las obras.</w:t>
      </w:r>
      <w:bookmarkEnd w:id="27"/>
      <w:bookmarkEnd w:id="28"/>
    </w:p>
    <w:p w:rsidR="00FF0D18" w:rsidRPr="00E63502" w:rsidRDefault="00FF0D18" w:rsidP="00F94236">
      <w:pPr>
        <w:tabs>
          <w:tab w:val="left" w:pos="0"/>
        </w:tabs>
        <w:spacing w:after="0" w:line="240" w:lineRule="auto"/>
        <w:jc w:val="both"/>
        <w:outlineLvl w:val="1"/>
        <w:rPr>
          <w:rFonts w:ascii="Arial" w:eastAsia="Calibri" w:hAnsi="Arial" w:cs="Arial"/>
          <w:sz w:val="24"/>
          <w:szCs w:val="24"/>
          <w:lang w:val="es-ES_tradnl"/>
        </w:rPr>
      </w:pPr>
    </w:p>
    <w:p w:rsidR="00FF0D18" w:rsidRDefault="00FF0D18" w:rsidP="00F94236">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 xml:space="preserve">En el caso de los diseños de las obras urbanas complementarias el INVU funcionará como una asesoría técnica e interactúa únicamente con la Unidad Asesora del MOPT, quienes darán instrucciones a la Unidad Ejecutora para realizar las gestiones requeridas. </w:t>
      </w:r>
      <w:r w:rsidR="00C42E09">
        <w:rPr>
          <w:rFonts w:ascii="Arial" w:eastAsia="Calibri" w:hAnsi="Arial" w:cs="Arial"/>
          <w:sz w:val="24"/>
          <w:szCs w:val="24"/>
          <w:lang w:val="es-ES_tradnl"/>
        </w:rPr>
        <w:t xml:space="preserve"> </w:t>
      </w:r>
      <w:r w:rsidRPr="00E63502">
        <w:rPr>
          <w:rFonts w:ascii="Arial" w:eastAsia="Calibri" w:hAnsi="Arial" w:cs="Arial"/>
          <w:sz w:val="24"/>
          <w:szCs w:val="24"/>
          <w:lang w:val="es-ES_tradnl"/>
        </w:rPr>
        <w:t>El siguiente diagrama describe el esquema de la estructura organizacional general del Programa.</w:t>
      </w:r>
    </w:p>
    <w:p w:rsidR="00C42E09" w:rsidRDefault="00C42E09" w:rsidP="00F94236">
      <w:pPr>
        <w:spacing w:after="0" w:line="240" w:lineRule="auto"/>
        <w:jc w:val="center"/>
        <w:rPr>
          <w:rFonts w:ascii="Arial" w:eastAsia="Calibri" w:hAnsi="Arial" w:cs="Times New Roman"/>
          <w:b/>
        </w:rPr>
      </w:pPr>
    </w:p>
    <w:p w:rsidR="00FF0D18" w:rsidRPr="00E63502" w:rsidRDefault="00C102C0" w:rsidP="00F94236">
      <w:pPr>
        <w:spacing w:after="0" w:line="240" w:lineRule="auto"/>
        <w:jc w:val="center"/>
        <w:rPr>
          <w:rFonts w:ascii="Arial" w:eastAsia="Calibri" w:hAnsi="Arial" w:cs="Times New Roman"/>
          <w:b/>
        </w:rPr>
      </w:pPr>
      <w:r>
        <w:rPr>
          <w:rFonts w:ascii="Arial" w:eastAsia="Calibri" w:hAnsi="Arial" w:cs="Times New Roman"/>
          <w:b/>
        </w:rPr>
        <w:t>Figura N°3</w:t>
      </w:r>
    </w:p>
    <w:p w:rsidR="00FF0D18" w:rsidRDefault="00FF0D18" w:rsidP="00F94236">
      <w:pPr>
        <w:spacing w:after="0" w:line="240" w:lineRule="auto"/>
        <w:jc w:val="center"/>
        <w:rPr>
          <w:rFonts w:ascii="Arial" w:eastAsia="Calibri" w:hAnsi="Arial" w:cs="Times New Roman"/>
          <w:b/>
        </w:rPr>
      </w:pPr>
      <w:r w:rsidRPr="00E63502">
        <w:rPr>
          <w:rFonts w:ascii="Arial" w:eastAsia="Calibri" w:hAnsi="Arial" w:cs="Times New Roman"/>
          <w:b/>
        </w:rPr>
        <w:t>Estructura organizacional</w:t>
      </w:r>
    </w:p>
    <w:p w:rsidR="00C102C0" w:rsidRPr="00E63502" w:rsidRDefault="00C102C0" w:rsidP="00F94236">
      <w:pPr>
        <w:spacing w:after="0" w:line="240" w:lineRule="auto"/>
        <w:jc w:val="center"/>
        <w:rPr>
          <w:rFonts w:ascii="Arial" w:eastAsia="Calibri" w:hAnsi="Arial" w:cs="Times New Roman"/>
          <w:b/>
        </w:rPr>
      </w:pPr>
    </w:p>
    <w:p w:rsidR="00FF0D18" w:rsidRPr="00E63502" w:rsidRDefault="00FF0D18" w:rsidP="00FF0D18">
      <w:pPr>
        <w:spacing w:after="200" w:line="276" w:lineRule="auto"/>
        <w:rPr>
          <w:rFonts w:ascii="Arial" w:eastAsia="Calibri" w:hAnsi="Arial" w:cs="Arial"/>
          <w:color w:val="000000"/>
        </w:rPr>
      </w:pPr>
      <w:r w:rsidRPr="00E63502">
        <w:rPr>
          <w:rFonts w:ascii="Calibri" w:eastAsia="Calibri" w:hAnsi="Calibri" w:cs="Times New Roman"/>
          <w:noProof/>
          <w:lang w:eastAsia="es-CR"/>
        </w:rPr>
        <w:drawing>
          <wp:inline distT="0" distB="0" distL="0" distR="0" wp14:anchorId="1EF7C5DB" wp14:editId="226E12AA">
            <wp:extent cx="6124575" cy="4550524"/>
            <wp:effectExtent l="57150" t="57150" r="104775" b="1168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6617" cy="4559471"/>
                    </a:xfrm>
                    <a:prstGeom prst="rect">
                      <a:avLst/>
                    </a:prstGeom>
                    <a:ln w="9525" cap="sq">
                      <a:solidFill>
                        <a:sysClr val="window" lastClr="FFFFFF"/>
                      </a:solidFill>
                      <a:prstDash val="solid"/>
                      <a:miter lim="800000"/>
                    </a:ln>
                    <a:effectLst>
                      <a:outerShdw blurRad="50800" dist="38100" dir="2700000" algn="tl" rotWithShape="0">
                        <a:srgbClr val="000000">
                          <a:alpha val="43000"/>
                        </a:srgbClr>
                      </a:outerShdw>
                    </a:effectLst>
                  </pic:spPr>
                </pic:pic>
              </a:graphicData>
            </a:graphic>
          </wp:inline>
        </w:drawing>
      </w:r>
    </w:p>
    <w:p w:rsidR="00FF0D18" w:rsidRPr="00E63502" w:rsidRDefault="00FF0D18" w:rsidP="00C102C0">
      <w:pPr>
        <w:shd w:val="clear" w:color="auto" w:fill="FFFFFF"/>
        <w:spacing w:after="0" w:line="240" w:lineRule="auto"/>
        <w:jc w:val="both"/>
        <w:rPr>
          <w:rFonts w:ascii="Arial" w:eastAsia="Calibri" w:hAnsi="Arial" w:cs="Arial"/>
          <w:b/>
          <w:bCs/>
          <w:lang w:val="es-ES_tradnl"/>
        </w:rPr>
      </w:pPr>
    </w:p>
    <w:p w:rsidR="00FF0D18" w:rsidRPr="00E63502" w:rsidRDefault="00C102C0" w:rsidP="00C102C0">
      <w:pPr>
        <w:spacing w:after="0" w:line="240" w:lineRule="auto"/>
        <w:ind w:left="705" w:hanging="705"/>
        <w:contextualSpacing/>
        <w:jc w:val="both"/>
        <w:rPr>
          <w:rFonts w:ascii="Arial" w:eastAsia="Times New Roman" w:hAnsi="Arial" w:cs="Arial"/>
          <w:b/>
          <w:sz w:val="24"/>
          <w:szCs w:val="24"/>
          <w:lang w:val="es-ES_tradnl"/>
        </w:rPr>
      </w:pPr>
      <w:r>
        <w:rPr>
          <w:rFonts w:ascii="Arial" w:eastAsia="Times New Roman" w:hAnsi="Arial" w:cs="Arial"/>
          <w:b/>
          <w:sz w:val="24"/>
          <w:szCs w:val="24"/>
          <w:lang w:val="es-ES_tradnl"/>
        </w:rPr>
        <w:t>6-</w:t>
      </w:r>
      <w:r>
        <w:rPr>
          <w:rFonts w:ascii="Arial" w:eastAsia="Times New Roman" w:hAnsi="Arial" w:cs="Arial"/>
          <w:b/>
          <w:sz w:val="24"/>
          <w:szCs w:val="24"/>
          <w:lang w:val="es-ES_tradnl"/>
        </w:rPr>
        <w:tab/>
      </w:r>
      <w:r w:rsidR="00FF0D18" w:rsidRPr="00E63502">
        <w:rPr>
          <w:rFonts w:ascii="Arial" w:eastAsia="Times New Roman" w:hAnsi="Arial" w:cs="Arial"/>
          <w:b/>
          <w:sz w:val="24"/>
          <w:szCs w:val="24"/>
          <w:lang w:val="es-ES_tradnl"/>
        </w:rPr>
        <w:t>CARACTERÍSTICAS Y CONDICIONES FINANCIERAS DEL FINANCIAMIENTO</w:t>
      </w:r>
      <w:bookmarkStart w:id="29" w:name="_Ref15879490"/>
      <w:bookmarkEnd w:id="21"/>
    </w:p>
    <w:bookmarkEnd w:id="17"/>
    <w:bookmarkEnd w:id="18"/>
    <w:bookmarkEnd w:id="19"/>
    <w:bookmarkEnd w:id="29"/>
    <w:p w:rsidR="00FF0D18" w:rsidRPr="00E63502" w:rsidRDefault="00FF0D18" w:rsidP="00C102C0">
      <w:pPr>
        <w:spacing w:after="0" w:line="240" w:lineRule="auto"/>
        <w:rPr>
          <w:rFonts w:ascii="Arial" w:eastAsia="Calibri" w:hAnsi="Arial" w:cs="Arial"/>
          <w:bCs/>
          <w:sz w:val="24"/>
          <w:szCs w:val="24"/>
          <w:lang w:val="es-ES"/>
        </w:rPr>
      </w:pPr>
    </w:p>
    <w:p w:rsidR="00FF0D18" w:rsidRDefault="00FF0D18" w:rsidP="00C102C0">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En el Cuadro Nº 7 se presenta el resumen de los términos y condiciones financieras del crédito con el BID.</w:t>
      </w:r>
    </w:p>
    <w:p w:rsidR="00C42E09" w:rsidRDefault="00C42E09" w:rsidP="00C42E09">
      <w:pPr>
        <w:spacing w:after="0" w:line="240" w:lineRule="auto"/>
        <w:ind w:firstLine="346"/>
        <w:jc w:val="center"/>
        <w:rPr>
          <w:rFonts w:ascii="Arial" w:eastAsia="Calibri" w:hAnsi="Arial" w:cs="Arial"/>
          <w:b/>
          <w:iCs/>
          <w:sz w:val="24"/>
          <w:szCs w:val="24"/>
        </w:rPr>
      </w:pPr>
    </w:p>
    <w:p w:rsidR="00FF0D18" w:rsidRPr="00E63502" w:rsidRDefault="00FF0D18" w:rsidP="00C42E09">
      <w:pPr>
        <w:spacing w:after="0" w:line="240" w:lineRule="auto"/>
        <w:ind w:firstLine="346"/>
        <w:jc w:val="center"/>
        <w:rPr>
          <w:rFonts w:ascii="Arial" w:eastAsia="Calibri" w:hAnsi="Arial" w:cs="Arial"/>
          <w:b/>
          <w:iCs/>
          <w:sz w:val="24"/>
          <w:szCs w:val="24"/>
        </w:rPr>
      </w:pPr>
      <w:r w:rsidRPr="00E63502">
        <w:rPr>
          <w:rFonts w:ascii="Arial" w:eastAsia="Calibri" w:hAnsi="Arial" w:cs="Arial"/>
          <w:b/>
          <w:iCs/>
          <w:sz w:val="24"/>
          <w:szCs w:val="24"/>
        </w:rPr>
        <w:t>Cuadro Nº 7</w:t>
      </w:r>
    </w:p>
    <w:p w:rsidR="00FF0D18" w:rsidRDefault="00FF0D18" w:rsidP="00C42E09">
      <w:pPr>
        <w:spacing w:after="0" w:line="240" w:lineRule="auto"/>
        <w:ind w:firstLine="346"/>
        <w:jc w:val="center"/>
        <w:rPr>
          <w:rFonts w:ascii="Arial" w:eastAsia="Calibri" w:hAnsi="Arial" w:cs="Arial"/>
          <w:b/>
          <w:iCs/>
          <w:sz w:val="24"/>
          <w:szCs w:val="24"/>
        </w:rPr>
      </w:pPr>
      <w:r w:rsidRPr="00E63502">
        <w:rPr>
          <w:rFonts w:ascii="Arial" w:eastAsia="Calibri" w:hAnsi="Arial" w:cs="Arial"/>
          <w:b/>
          <w:iCs/>
          <w:sz w:val="24"/>
          <w:szCs w:val="24"/>
        </w:rPr>
        <w:t>Resumen Términos y Condiciones Financieras del Crédito</w:t>
      </w:r>
    </w:p>
    <w:p w:rsidR="00C42E09" w:rsidRPr="00E63502" w:rsidRDefault="00C42E09" w:rsidP="00C42E09">
      <w:pPr>
        <w:spacing w:after="0" w:line="240" w:lineRule="auto"/>
        <w:ind w:firstLine="346"/>
        <w:jc w:val="center"/>
        <w:rPr>
          <w:rFonts w:ascii="Arial" w:eastAsia="Calibri" w:hAnsi="Arial" w:cs="Arial"/>
          <w:b/>
          <w:iCs/>
          <w:sz w:val="24"/>
          <w:szCs w:val="24"/>
        </w:rPr>
      </w:pPr>
    </w:p>
    <w:tbl>
      <w:tblPr>
        <w:tblStyle w:val="Tablaportada1"/>
        <w:tblW w:w="0" w:type="auto"/>
        <w:jc w:val="center"/>
        <w:tblBorders>
          <w:left w:val="none" w:sz="0" w:space="0" w:color="auto"/>
          <w:right w:val="none" w:sz="0" w:space="0" w:color="auto"/>
        </w:tblBorders>
        <w:tblLook w:val="01E0" w:firstRow="1" w:lastRow="1" w:firstColumn="1" w:lastColumn="1" w:noHBand="0" w:noVBand="0"/>
      </w:tblPr>
      <w:tblGrid>
        <w:gridCol w:w="2591"/>
        <w:gridCol w:w="5760"/>
      </w:tblGrid>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Instrumento Financiero</w:t>
            </w:r>
          </w:p>
        </w:tc>
        <w:tc>
          <w:tcPr>
            <w:tcW w:w="5760" w:type="dxa"/>
          </w:tcPr>
          <w:p w:rsidR="00FF0D18" w:rsidRPr="00E63502" w:rsidRDefault="00FF0D18" w:rsidP="00FF0D18">
            <w:pPr>
              <w:spacing w:after="200"/>
              <w:jc w:val="both"/>
              <w:rPr>
                <w:rFonts w:ascii="Arial" w:hAnsi="Arial" w:cs="Arial"/>
                <w:lang w:val="es-US" w:eastAsia="es-ES_tradnl"/>
              </w:rPr>
            </w:pPr>
            <w:r w:rsidRPr="00E63502">
              <w:rPr>
                <w:rFonts w:ascii="Arial" w:hAnsi="Arial" w:cs="Arial"/>
              </w:rPr>
              <w:t>Línea de Crédito Condicional para Proyectos de Inversión (CCLIP) del Programa de Infraestructura Vial y Movilidad Urbana.</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Programa</w:t>
            </w:r>
          </w:p>
        </w:tc>
        <w:tc>
          <w:tcPr>
            <w:tcW w:w="5760" w:type="dxa"/>
          </w:tcPr>
          <w:p w:rsidR="00FF0D18" w:rsidRPr="00E63502" w:rsidRDefault="00FF0D18" w:rsidP="00FF0D18">
            <w:pPr>
              <w:tabs>
                <w:tab w:val="left" w:pos="360"/>
              </w:tabs>
              <w:ind w:right="18"/>
              <w:contextualSpacing/>
              <w:jc w:val="both"/>
              <w:rPr>
                <w:rFonts w:ascii="Arial" w:eastAsia="Times New Roman" w:hAnsi="Arial" w:cs="Arial"/>
                <w:szCs w:val="24"/>
                <w:lang w:val="es-US" w:eastAsia="es-ES_tradnl"/>
              </w:rPr>
            </w:pPr>
            <w:r w:rsidRPr="00E63502">
              <w:rPr>
                <w:rFonts w:ascii="Arial" w:eastAsia="Times New Roman" w:hAnsi="Arial" w:cs="Arial"/>
                <w:szCs w:val="24"/>
                <w:lang w:val="es-US" w:eastAsia="es-ES_tradnl"/>
              </w:rPr>
              <w:t>Programa de Infraestructura Vial y Promoción de Asociaciones Público Privadas</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Prestatario</w:t>
            </w:r>
          </w:p>
        </w:tc>
        <w:tc>
          <w:tcPr>
            <w:tcW w:w="5760" w:type="dxa"/>
          </w:tcPr>
          <w:p w:rsidR="00FF0D18" w:rsidRPr="00E63502" w:rsidRDefault="00FF0D18" w:rsidP="00FF0D18">
            <w:pPr>
              <w:tabs>
                <w:tab w:val="left" w:pos="360"/>
              </w:tabs>
              <w:ind w:right="18"/>
              <w:contextualSpacing/>
              <w:jc w:val="both"/>
              <w:rPr>
                <w:rFonts w:ascii="Arial" w:eastAsia="Times New Roman" w:hAnsi="Arial" w:cs="Arial"/>
                <w:szCs w:val="24"/>
              </w:rPr>
            </w:pPr>
            <w:r w:rsidRPr="00E63502">
              <w:rPr>
                <w:rFonts w:ascii="Arial" w:eastAsia="Times New Roman" w:hAnsi="Arial" w:cs="Arial"/>
                <w:szCs w:val="24"/>
              </w:rPr>
              <w:t>Gobierno de la República</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Organismo Ejecutor</w:t>
            </w:r>
          </w:p>
        </w:tc>
        <w:tc>
          <w:tcPr>
            <w:tcW w:w="5760" w:type="dxa"/>
          </w:tcPr>
          <w:p w:rsidR="00FF0D18" w:rsidRPr="00E63502" w:rsidRDefault="00FF0D18" w:rsidP="00FF0D18">
            <w:pPr>
              <w:tabs>
                <w:tab w:val="left" w:pos="360"/>
              </w:tabs>
              <w:ind w:right="18"/>
              <w:contextualSpacing/>
              <w:jc w:val="both"/>
              <w:rPr>
                <w:rFonts w:ascii="Arial" w:eastAsia="Times New Roman" w:hAnsi="Arial" w:cs="Arial"/>
                <w:szCs w:val="24"/>
              </w:rPr>
            </w:pPr>
            <w:r w:rsidRPr="00E63502">
              <w:rPr>
                <w:rFonts w:ascii="Arial" w:eastAsia="Times New Roman" w:hAnsi="Arial" w:cs="Arial"/>
                <w:szCs w:val="24"/>
              </w:rPr>
              <w:t>MOPT</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Monto CCLIP</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 xml:space="preserve">US$ 350.000.000 </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Monto del I Contrato Individual</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US$ 125.000.000</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Tasa interés</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Anual. Basada en la Tasa Libor a 3 meses más un margen de fondeo (0,12%) más el margen de préstamos estándar del BID (0,80%). A la fecha corresponde a una tasa anual de 2.75%.</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Plazo del Crédito</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25 años.</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Periodo de Gracia</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5 años.</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Período de Amortización</w:t>
            </w:r>
          </w:p>
        </w:tc>
        <w:tc>
          <w:tcPr>
            <w:tcW w:w="5760" w:type="dxa"/>
            <w:vAlign w:val="center"/>
          </w:tcPr>
          <w:p w:rsidR="00FF0D18" w:rsidRPr="00E63502" w:rsidRDefault="00FF0D18" w:rsidP="00FF0D18">
            <w:pPr>
              <w:spacing w:after="200"/>
              <w:ind w:right="18"/>
              <w:rPr>
                <w:rFonts w:ascii="Arial" w:hAnsi="Arial" w:cs="Arial"/>
              </w:rPr>
            </w:pPr>
            <w:r w:rsidRPr="00E63502">
              <w:rPr>
                <w:rFonts w:ascii="Arial" w:hAnsi="Arial" w:cs="Arial"/>
              </w:rPr>
              <w:t>20 años.</w:t>
            </w:r>
          </w:p>
        </w:tc>
      </w:tr>
      <w:tr w:rsidR="00FF0D18" w:rsidRPr="00E63502" w:rsidTr="00FF0D18">
        <w:trPr>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Plazo de Desembolso</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5 años, contados a partir de la fecha de entrada en vigencia.</w:t>
            </w:r>
          </w:p>
        </w:tc>
      </w:tr>
      <w:tr w:rsidR="00FF0D18" w:rsidRPr="00E63502" w:rsidTr="00FF0D18">
        <w:trPr>
          <w:trHeight w:val="70"/>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Comisión de Crédito</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0,75% anual máxima aplicada al saldo diario no desembolsado de los préstamos. Actualmente es de un 0,50% anual.</w:t>
            </w:r>
          </w:p>
        </w:tc>
      </w:tr>
      <w:tr w:rsidR="00FF0D18" w:rsidRPr="00E63502" w:rsidTr="00FF0D18">
        <w:trPr>
          <w:trHeight w:val="70"/>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Recursos para inspección y vigilancia</w:t>
            </w:r>
          </w:p>
        </w:tc>
        <w:tc>
          <w:tcPr>
            <w:tcW w:w="5760" w:type="dxa"/>
          </w:tcPr>
          <w:p w:rsidR="00FF0D18" w:rsidRPr="00E63502" w:rsidRDefault="00FF0D18" w:rsidP="00FF0D18">
            <w:pPr>
              <w:spacing w:after="200"/>
              <w:ind w:right="18"/>
              <w:jc w:val="both"/>
              <w:rPr>
                <w:rFonts w:ascii="Arial" w:hAnsi="Arial" w:cs="Arial"/>
              </w:rPr>
            </w:pPr>
            <w:r w:rsidRPr="00E63502">
              <w:rPr>
                <w:rFonts w:ascii="Arial" w:hAnsi="Arial" w:cs="Arial"/>
              </w:rPr>
              <w:t>En ningún caso podrá cobrarse más de lo que resulte de aplicar el 1% al monto del préstamo, dividido por el número de semestres comprendido en el plazo original de desembolsos. A la fecha el Prestatario no está obligado a cubrirlos.</w:t>
            </w:r>
          </w:p>
        </w:tc>
      </w:tr>
      <w:tr w:rsidR="00FF0D18" w:rsidRPr="00E63502" w:rsidTr="00FF0D18">
        <w:trPr>
          <w:trHeight w:val="70"/>
          <w:jc w:val="center"/>
        </w:trPr>
        <w:tc>
          <w:tcPr>
            <w:tcW w:w="2591" w:type="dxa"/>
            <w:vAlign w:val="center"/>
          </w:tcPr>
          <w:p w:rsidR="00FF0D18" w:rsidRPr="00E63502" w:rsidRDefault="00FF0D18" w:rsidP="00FF0D18">
            <w:pPr>
              <w:spacing w:after="200"/>
              <w:ind w:right="18"/>
              <w:jc w:val="both"/>
              <w:rPr>
                <w:rFonts w:ascii="Arial" w:hAnsi="Arial" w:cs="Arial"/>
              </w:rPr>
            </w:pPr>
            <w:r w:rsidRPr="00E63502">
              <w:rPr>
                <w:rFonts w:ascii="Arial" w:hAnsi="Arial" w:cs="Arial"/>
              </w:rPr>
              <w:t>Administración de los recursos</w:t>
            </w:r>
          </w:p>
        </w:tc>
        <w:tc>
          <w:tcPr>
            <w:tcW w:w="5760" w:type="dxa"/>
          </w:tcPr>
          <w:p w:rsidR="00FF0D18" w:rsidRPr="00E63502" w:rsidDel="001224FC" w:rsidRDefault="00FF0D18" w:rsidP="00FF0D18">
            <w:pPr>
              <w:spacing w:after="200"/>
              <w:ind w:right="18"/>
              <w:jc w:val="both"/>
              <w:rPr>
                <w:rFonts w:ascii="Arial" w:hAnsi="Arial" w:cs="Arial"/>
              </w:rPr>
            </w:pPr>
            <w:r w:rsidRPr="00E63502">
              <w:rPr>
                <w:rFonts w:ascii="Arial" w:hAnsi="Arial" w:cs="Arial"/>
              </w:rPr>
              <w:t>Principio de Caja Única del Estado.</w:t>
            </w:r>
          </w:p>
        </w:tc>
      </w:tr>
    </w:tbl>
    <w:p w:rsidR="00C102C0" w:rsidRDefault="00C102C0" w:rsidP="00C42E09">
      <w:pPr>
        <w:spacing w:after="0" w:line="240" w:lineRule="auto"/>
        <w:jc w:val="both"/>
        <w:rPr>
          <w:rFonts w:ascii="Arial" w:eastAsia="Calibri" w:hAnsi="Arial" w:cs="Arial"/>
          <w:bCs/>
          <w:sz w:val="20"/>
          <w:szCs w:val="24"/>
        </w:rPr>
      </w:pPr>
    </w:p>
    <w:p w:rsidR="00FF0D18" w:rsidRPr="00C102C0" w:rsidRDefault="00FF0D18" w:rsidP="00C42E09">
      <w:pPr>
        <w:spacing w:after="0" w:line="240" w:lineRule="auto"/>
        <w:jc w:val="both"/>
        <w:rPr>
          <w:rFonts w:ascii="Arial" w:eastAsia="Calibri" w:hAnsi="Arial" w:cs="Arial"/>
          <w:b/>
          <w:bCs/>
          <w:sz w:val="20"/>
          <w:szCs w:val="24"/>
        </w:rPr>
      </w:pPr>
      <w:r w:rsidRPr="00C102C0">
        <w:rPr>
          <w:rFonts w:ascii="Arial" w:eastAsia="Calibri" w:hAnsi="Arial" w:cs="Arial"/>
          <w:b/>
          <w:bCs/>
          <w:sz w:val="20"/>
          <w:szCs w:val="24"/>
        </w:rPr>
        <w:t xml:space="preserve">Fuente: </w:t>
      </w:r>
      <w:r w:rsidR="009527F2">
        <w:rPr>
          <w:rFonts w:ascii="Arial" w:eastAsia="Calibri" w:hAnsi="Arial" w:cs="Arial"/>
          <w:b/>
          <w:bCs/>
          <w:sz w:val="20"/>
          <w:szCs w:val="24"/>
        </w:rPr>
        <w:t xml:space="preserve"> </w:t>
      </w:r>
      <w:r w:rsidRPr="00C102C0">
        <w:rPr>
          <w:rFonts w:ascii="Arial" w:eastAsia="Calibri" w:hAnsi="Arial" w:cs="Arial"/>
          <w:b/>
          <w:bCs/>
          <w:sz w:val="20"/>
          <w:szCs w:val="24"/>
        </w:rPr>
        <w:t>Contrato de Préstamo negociado</w:t>
      </w:r>
    </w:p>
    <w:p w:rsidR="00C102C0" w:rsidRPr="00E63502" w:rsidRDefault="00C102C0" w:rsidP="00C102C0">
      <w:pPr>
        <w:spacing w:after="0" w:line="240" w:lineRule="auto"/>
        <w:jc w:val="both"/>
        <w:rPr>
          <w:rFonts w:ascii="Arial" w:eastAsia="Calibri" w:hAnsi="Arial" w:cs="Arial"/>
          <w:bCs/>
          <w:sz w:val="20"/>
          <w:szCs w:val="24"/>
        </w:rPr>
      </w:pP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Como se observa en el cuadro, las condiciones financieras de la operación del BID son favorables a nivel de mercado y el plazo del crédito representa un valor agregado para el Gobierno (al ser el Prestatario de la operación crediticia) ya que suaviza el impacto sobre su flujo de caja y, por ende, coadyuva en el manejo de la liquidez y causa el menor impacto posible en sus finanzas.</w:t>
      </w:r>
    </w:p>
    <w:p w:rsidR="00FF0D18" w:rsidRDefault="00FF0D18" w:rsidP="00C102C0">
      <w:pPr>
        <w:spacing w:after="0" w:line="240" w:lineRule="auto"/>
        <w:jc w:val="both"/>
        <w:rPr>
          <w:rFonts w:ascii="Arial" w:eastAsia="Calibri" w:hAnsi="Arial" w:cs="Arial"/>
          <w:bCs/>
          <w:sz w:val="24"/>
          <w:szCs w:val="24"/>
        </w:rPr>
      </w:pPr>
    </w:p>
    <w:p w:rsidR="00FF0D18" w:rsidRPr="00E63502" w:rsidRDefault="00C102C0" w:rsidP="00C102C0">
      <w:pPr>
        <w:spacing w:after="0" w:line="360" w:lineRule="auto"/>
        <w:contextualSpacing/>
        <w:jc w:val="both"/>
        <w:rPr>
          <w:rFonts w:ascii="Arial" w:eastAsia="Times New Roman" w:hAnsi="Arial" w:cs="Arial"/>
          <w:b/>
          <w:sz w:val="24"/>
          <w:szCs w:val="24"/>
          <w:lang w:val="es-ES_tradnl"/>
        </w:rPr>
      </w:pPr>
      <w:r>
        <w:rPr>
          <w:rFonts w:ascii="Arial" w:eastAsia="Times New Roman" w:hAnsi="Arial" w:cs="Arial"/>
          <w:b/>
          <w:sz w:val="24"/>
          <w:szCs w:val="24"/>
          <w:lang w:val="es-ES_tradnl"/>
        </w:rPr>
        <w:t>7-</w:t>
      </w:r>
      <w:r>
        <w:rPr>
          <w:rFonts w:ascii="Arial" w:eastAsia="Times New Roman" w:hAnsi="Arial" w:cs="Arial"/>
          <w:b/>
          <w:sz w:val="24"/>
          <w:szCs w:val="24"/>
          <w:lang w:val="es-ES_tradnl"/>
        </w:rPr>
        <w:tab/>
      </w:r>
      <w:r w:rsidR="00FF0D18" w:rsidRPr="00E63502">
        <w:rPr>
          <w:rFonts w:ascii="Arial" w:eastAsia="Times New Roman" w:hAnsi="Arial" w:cs="Arial"/>
          <w:b/>
          <w:sz w:val="24"/>
          <w:szCs w:val="24"/>
          <w:lang w:val="es-ES_tradnl"/>
        </w:rPr>
        <w:t>IMPACTO DE LA OPERACIÓN EN LAS FINANZAS PÚBLICAS</w:t>
      </w: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Al considerar el impacto que tendría este endeudamiento en las finanzas y en la razón Deuda Gobierno Central/PIB, se observa que el impacto es marginal, ya que al considerar los desembolsos del crédito dicha razón se proyecta para el 2025 en un 67,48% y si el financiamiento del BID no se incorporara sería de un 67,31%.</w:t>
      </w: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Es así que este crédito no es determinante en la tendencia de la deuda pública, siendo que el crecimiento de la deuda se explica mayoritariamente por el financiamiento del déficit fiscal mediante la deuda interna bonificada (que se utiliza principalmente para financiar la estructura de gastos c</w:t>
      </w:r>
      <w:r w:rsidR="00C102C0">
        <w:rPr>
          <w:rFonts w:ascii="Arial" w:eastAsia="Calibri" w:hAnsi="Arial" w:cs="Arial"/>
          <w:sz w:val="24"/>
          <w:szCs w:val="24"/>
          <w:lang w:val="es-ES_tradnl"/>
        </w:rPr>
        <w:t xml:space="preserve">orriente y pago de intereses). </w:t>
      </w:r>
      <w:r w:rsidRPr="00E63502">
        <w:rPr>
          <w:rFonts w:ascii="Arial" w:eastAsia="Calibri" w:hAnsi="Arial" w:cs="Arial"/>
          <w:sz w:val="24"/>
          <w:szCs w:val="24"/>
          <w:lang w:val="es-ES_tradnl"/>
        </w:rPr>
        <w:t>Es importante resaltar que esta información puede ser revisada a la Luz de los impactos económ</w:t>
      </w:r>
      <w:r w:rsidR="00C102C0">
        <w:rPr>
          <w:rFonts w:ascii="Arial" w:eastAsia="Calibri" w:hAnsi="Arial" w:cs="Arial"/>
          <w:sz w:val="24"/>
          <w:szCs w:val="24"/>
          <w:lang w:val="es-ES_tradnl"/>
        </w:rPr>
        <w:t>icos previstos por el COVID 19.</w:t>
      </w: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La reducción del endeudamiento externo para inversión no revierte esa tendencia de la deuda, sino más bien acelera la misma en perjuicio del crecimiento del PIB.</w:t>
      </w:r>
    </w:p>
    <w:p w:rsidR="00FF0D18" w:rsidRPr="00E63502" w:rsidRDefault="00FF0D18" w:rsidP="00C102C0">
      <w:pPr>
        <w:tabs>
          <w:tab w:val="left" w:pos="0"/>
        </w:tabs>
        <w:spacing w:after="0" w:line="240" w:lineRule="auto"/>
        <w:jc w:val="both"/>
        <w:outlineLvl w:val="1"/>
        <w:rPr>
          <w:rFonts w:ascii="Arial" w:eastAsia="Calibri" w:hAnsi="Arial" w:cs="Arial"/>
          <w:sz w:val="24"/>
          <w:szCs w:val="24"/>
          <w:lang w:val="es-ES_tradnl"/>
        </w:rPr>
      </w:pPr>
      <w:r w:rsidRPr="00E63502">
        <w:rPr>
          <w:rFonts w:ascii="Arial" w:eastAsia="Calibri" w:hAnsi="Arial" w:cs="Arial"/>
          <w:sz w:val="24"/>
          <w:szCs w:val="24"/>
          <w:lang w:val="es-ES_tradnl"/>
        </w:rPr>
        <w:t>El efecto marginal que este crédito puede tener sobre la razón Deuda Gobierno Central/PIB puede ser mitigado por el efecto que representa contribuir a la competitividad del país a través de la mejora y ampliación ambientalmente sostenible de la Red Vial de Alta Capacidad (RVAC) en la GAM, y apoyar el desarrollo de proyectos de infraestructura vial a través de modelos de Asociaciones Público-Privadas.</w:t>
      </w:r>
    </w:p>
    <w:p w:rsidR="00FF0D18" w:rsidRPr="00E63502" w:rsidRDefault="00FF0D18" w:rsidP="00C102C0">
      <w:pPr>
        <w:tabs>
          <w:tab w:val="left" w:pos="0"/>
        </w:tabs>
        <w:spacing w:after="0" w:line="240" w:lineRule="auto"/>
        <w:jc w:val="both"/>
        <w:outlineLvl w:val="1"/>
        <w:rPr>
          <w:rFonts w:ascii="Arial" w:eastAsia="Calibri" w:hAnsi="Arial" w:cs="Arial"/>
          <w:sz w:val="24"/>
          <w:szCs w:val="24"/>
        </w:rPr>
      </w:pPr>
    </w:p>
    <w:p w:rsidR="00FF0D18" w:rsidRDefault="00C102C0" w:rsidP="00C102C0">
      <w:pPr>
        <w:spacing w:after="0" w:line="240" w:lineRule="auto"/>
        <w:ind w:left="705" w:hanging="705"/>
        <w:contextualSpacing/>
        <w:jc w:val="both"/>
        <w:rPr>
          <w:rFonts w:ascii="Arial" w:eastAsia="Times New Roman" w:hAnsi="Arial" w:cs="Arial"/>
          <w:b/>
          <w:bCs/>
          <w:caps/>
          <w:sz w:val="24"/>
          <w:szCs w:val="24"/>
        </w:rPr>
      </w:pPr>
      <w:r>
        <w:rPr>
          <w:rFonts w:ascii="Arial" w:eastAsia="Times New Roman" w:hAnsi="Arial" w:cs="Arial"/>
          <w:b/>
          <w:bCs/>
          <w:caps/>
          <w:sz w:val="24"/>
          <w:szCs w:val="24"/>
        </w:rPr>
        <w:t>8-</w:t>
      </w:r>
      <w:r>
        <w:rPr>
          <w:rFonts w:ascii="Arial" w:eastAsia="Times New Roman" w:hAnsi="Arial" w:cs="Arial"/>
          <w:b/>
          <w:bCs/>
          <w:caps/>
          <w:sz w:val="24"/>
          <w:szCs w:val="24"/>
        </w:rPr>
        <w:tab/>
      </w:r>
      <w:r w:rsidR="00FF0D18" w:rsidRPr="00E63502">
        <w:rPr>
          <w:rFonts w:ascii="Arial" w:eastAsia="Times New Roman" w:hAnsi="Arial" w:cs="Arial"/>
          <w:b/>
          <w:bCs/>
          <w:caps/>
          <w:sz w:val="24"/>
          <w:szCs w:val="24"/>
        </w:rPr>
        <w:t>Sobre el cumplimiento de los requerimientos establecidos en la legislación para la contrat</w:t>
      </w:r>
      <w:r>
        <w:rPr>
          <w:rFonts w:ascii="Arial" w:eastAsia="Times New Roman" w:hAnsi="Arial" w:cs="Arial"/>
          <w:b/>
          <w:bCs/>
          <w:caps/>
          <w:sz w:val="24"/>
          <w:szCs w:val="24"/>
        </w:rPr>
        <w:t>ación del endeudamiento público</w:t>
      </w:r>
    </w:p>
    <w:p w:rsidR="00C102C0" w:rsidRPr="00E63502" w:rsidRDefault="00C102C0" w:rsidP="00C102C0">
      <w:pPr>
        <w:spacing w:after="0" w:line="240" w:lineRule="auto"/>
        <w:ind w:left="705" w:hanging="705"/>
        <w:contextualSpacing/>
        <w:jc w:val="both"/>
        <w:rPr>
          <w:rFonts w:ascii="Arial" w:eastAsia="Times New Roman" w:hAnsi="Arial" w:cs="Arial"/>
          <w:sz w:val="24"/>
          <w:szCs w:val="24"/>
          <w:lang w:val="es-ES"/>
        </w:rPr>
      </w:pPr>
    </w:p>
    <w:p w:rsidR="00FF0D18" w:rsidRDefault="00FF0D18" w:rsidP="00C102C0">
      <w:pPr>
        <w:spacing w:after="0" w:line="240" w:lineRule="auto"/>
        <w:jc w:val="both"/>
        <w:rPr>
          <w:rFonts w:ascii="Arial" w:eastAsia="Calibri" w:hAnsi="Arial" w:cs="Arial"/>
          <w:sz w:val="24"/>
          <w:szCs w:val="24"/>
          <w:lang w:val="es-ES_tradnl"/>
        </w:rPr>
      </w:pPr>
      <w:r w:rsidRPr="00E63502">
        <w:rPr>
          <w:rFonts w:ascii="Arial" w:eastAsia="Calibri" w:hAnsi="Arial" w:cs="Arial"/>
          <w:sz w:val="24"/>
          <w:szCs w:val="24"/>
          <w:lang w:val="es-ES_tradnl"/>
        </w:rPr>
        <w:t>Conforme al ordenamiento jurídico costarricense, la contratación de un crédito debe cumplir con las autorizaciones administrativas, del Ministerio de Planificación Nacional y Política Económica (MIDEPLAN), así como del dictamen favorable del Banco Central de Costa Rica (BCCR) y de la Autoridad Presupuestaria.</w:t>
      </w:r>
    </w:p>
    <w:p w:rsidR="00C102C0" w:rsidRPr="00E63502" w:rsidRDefault="00C102C0" w:rsidP="00C102C0">
      <w:pPr>
        <w:spacing w:after="0" w:line="240" w:lineRule="auto"/>
        <w:jc w:val="both"/>
        <w:rPr>
          <w:rFonts w:ascii="Arial" w:eastAsia="Calibri" w:hAnsi="Arial" w:cs="Arial"/>
          <w:sz w:val="24"/>
          <w:szCs w:val="24"/>
          <w:lang w:val="es-ES_tradnl"/>
        </w:rPr>
      </w:pPr>
    </w:p>
    <w:p w:rsidR="00FF0D18" w:rsidRDefault="00FF0D18" w:rsidP="00C102C0">
      <w:pPr>
        <w:spacing w:after="0" w:line="240" w:lineRule="auto"/>
        <w:jc w:val="both"/>
        <w:rPr>
          <w:rFonts w:ascii="Arial" w:eastAsia="Times New Roman" w:hAnsi="Arial" w:cs="Arial"/>
          <w:sz w:val="24"/>
          <w:szCs w:val="24"/>
          <w:lang w:val="es-ES" w:eastAsia="es-CR"/>
        </w:rPr>
      </w:pPr>
      <w:r w:rsidRPr="00E63502">
        <w:rPr>
          <w:rFonts w:ascii="Arial" w:eastAsia="Times New Roman" w:hAnsi="Arial" w:cs="Arial"/>
          <w:sz w:val="24"/>
          <w:szCs w:val="24"/>
          <w:lang w:val="es-ES" w:eastAsia="es-CR"/>
        </w:rPr>
        <w:t>Así las cosas, para el financiamiento externo del Programa de Infraestructura Vial y Promoción de Asociaciones Público Privadas que se financia con el primer contrato de préstamo derivado del “Convenio de Cooperación para el Financiamiento de Proyectos de Inversión (CCLIP) CR-O0005 del Programa de Infraestructura Vial y Movilidad Urbana: Primera Operación</w:t>
      </w:r>
      <w:r w:rsidRPr="00E63502">
        <w:rPr>
          <w:rFonts w:ascii="Arial" w:eastAsia="Calibri" w:hAnsi="Arial" w:cs="Arial"/>
          <w:i/>
          <w:sz w:val="24"/>
          <w:szCs w:val="24"/>
          <w:lang w:val="es-ES_tradnl" w:eastAsia="es-CR"/>
        </w:rPr>
        <w:t>”,</w:t>
      </w:r>
      <w:r w:rsidRPr="00E63502">
        <w:rPr>
          <w:rFonts w:ascii="Arial" w:eastAsia="Times New Roman" w:hAnsi="Arial" w:cs="Arial"/>
          <w:sz w:val="24"/>
          <w:szCs w:val="24"/>
          <w:lang w:val="es-ES" w:eastAsia="es-CR"/>
        </w:rPr>
        <w:t xml:space="preserve"> se obtuvieron las respectivas aprobaciones que se detallan a continuación:</w:t>
      </w:r>
    </w:p>
    <w:p w:rsidR="00C102C0" w:rsidRPr="00C102C0" w:rsidRDefault="00C102C0" w:rsidP="00C102C0">
      <w:pPr>
        <w:rPr>
          <w:rFonts w:ascii="Arial" w:hAnsi="Arial" w:cs="Arial"/>
          <w:sz w:val="24"/>
          <w:szCs w:val="24"/>
          <w:lang w:val="es-ES" w:eastAsia="es-CR"/>
        </w:rPr>
      </w:pPr>
    </w:p>
    <w:p w:rsidR="00FF0D18" w:rsidRDefault="00C102C0" w:rsidP="005B1038">
      <w:pPr>
        <w:spacing w:after="0" w:line="240" w:lineRule="auto"/>
        <w:ind w:left="1405" w:hanging="555"/>
        <w:jc w:val="both"/>
        <w:rPr>
          <w:rFonts w:ascii="Arial" w:eastAsia="Calibri" w:hAnsi="Arial" w:cs="Arial"/>
          <w:sz w:val="24"/>
          <w:szCs w:val="24"/>
          <w:lang w:val="es-ES"/>
        </w:rPr>
      </w:pPr>
      <w:r>
        <w:rPr>
          <w:rFonts w:ascii="Arial" w:hAnsi="Arial" w:cs="Arial"/>
          <w:sz w:val="24"/>
          <w:szCs w:val="24"/>
        </w:rPr>
        <w:t>-</w:t>
      </w:r>
      <w:r>
        <w:rPr>
          <w:rFonts w:ascii="Arial" w:hAnsi="Arial" w:cs="Arial"/>
          <w:sz w:val="24"/>
          <w:szCs w:val="24"/>
        </w:rPr>
        <w:tab/>
      </w:r>
      <w:r w:rsidR="00FF0D18" w:rsidRPr="00C102C0">
        <w:rPr>
          <w:rFonts w:ascii="Arial" w:hAnsi="Arial" w:cs="Arial"/>
          <w:sz w:val="24"/>
          <w:szCs w:val="24"/>
        </w:rPr>
        <w:t>Mediante oficio MIDEPLAN-DM-OF-0240-2020 del 25 de febrero del 2020</w:t>
      </w:r>
      <w:r>
        <w:rPr>
          <w:rFonts w:ascii="Arial" w:eastAsia="Calibri" w:hAnsi="Arial" w:cs="Arial"/>
          <w:sz w:val="24"/>
          <w:szCs w:val="24"/>
          <w:lang w:val="es-ES"/>
        </w:rPr>
        <w:t xml:space="preserve"> </w:t>
      </w:r>
      <w:r w:rsidR="00FF0D18" w:rsidRPr="00C102C0">
        <w:rPr>
          <w:rFonts w:ascii="Arial" w:eastAsia="Calibri" w:hAnsi="Arial" w:cs="Arial"/>
          <w:sz w:val="24"/>
          <w:szCs w:val="24"/>
          <w:lang w:val="es-ES"/>
        </w:rPr>
        <w:t xml:space="preserve">MIDEPLAN emite aprobación final de inicio de trámites para obtener créditos públicos con el fin de financiar la Primera Operación Individual de la Línea de Crédito Condicional (CCLIP) para el “Programa de Infraestructura Vial y Promoción de APP’s” financiado </w:t>
      </w:r>
      <w:r w:rsidR="00FF0D18" w:rsidRPr="00C102C0">
        <w:rPr>
          <w:rFonts w:ascii="Arial" w:eastAsia="Calibri" w:hAnsi="Arial" w:cs="Arial"/>
          <w:sz w:val="24"/>
          <w:szCs w:val="24"/>
          <w:lang w:val="es-ES"/>
        </w:rPr>
        <w:lastRenderedPageBreak/>
        <w:t>mediante endeudamiento público con el BID por un monto de hasta US$125.000.000,00 de dólares</w:t>
      </w:r>
      <w:r>
        <w:rPr>
          <w:rFonts w:ascii="Arial" w:eastAsia="Calibri" w:hAnsi="Arial" w:cs="Arial"/>
          <w:sz w:val="24"/>
          <w:szCs w:val="24"/>
          <w:lang w:val="es-ES"/>
        </w:rPr>
        <w:t>.</w:t>
      </w:r>
    </w:p>
    <w:p w:rsidR="005B1038" w:rsidRPr="00C102C0" w:rsidRDefault="005B1038" w:rsidP="005B1038">
      <w:pPr>
        <w:spacing w:after="0" w:line="240" w:lineRule="auto"/>
        <w:ind w:left="1405" w:hanging="555"/>
        <w:jc w:val="both"/>
        <w:rPr>
          <w:rFonts w:ascii="Arial" w:eastAsia="Calibri" w:hAnsi="Arial" w:cs="Arial"/>
          <w:sz w:val="24"/>
          <w:szCs w:val="24"/>
          <w:lang w:val="es-ES"/>
        </w:rPr>
      </w:pPr>
    </w:p>
    <w:p w:rsidR="00FF0D18" w:rsidRDefault="00C102C0" w:rsidP="005B1038">
      <w:pPr>
        <w:spacing w:after="0" w:line="240" w:lineRule="auto"/>
        <w:ind w:left="1405" w:hanging="555"/>
        <w:jc w:val="both"/>
        <w:rPr>
          <w:rFonts w:ascii="Arial" w:hAnsi="Arial" w:cs="Arial"/>
          <w:sz w:val="24"/>
          <w:szCs w:val="24"/>
          <w:lang w:val="es-ES"/>
        </w:rPr>
      </w:pPr>
      <w:r>
        <w:rPr>
          <w:rFonts w:ascii="Arial" w:eastAsia="Calibri" w:hAnsi="Arial" w:cs="Arial"/>
          <w:sz w:val="24"/>
          <w:szCs w:val="24"/>
          <w:lang w:val="es-ES"/>
        </w:rPr>
        <w:t>-</w:t>
      </w:r>
      <w:r>
        <w:rPr>
          <w:rFonts w:ascii="Arial" w:eastAsia="Calibri" w:hAnsi="Arial" w:cs="Arial"/>
          <w:sz w:val="24"/>
          <w:szCs w:val="24"/>
          <w:lang w:val="es-ES"/>
        </w:rPr>
        <w:tab/>
      </w:r>
      <w:r w:rsidR="00FF0D18" w:rsidRPr="00C102C0">
        <w:rPr>
          <w:rFonts w:ascii="Arial" w:hAnsi="Arial" w:cs="Arial"/>
          <w:sz w:val="24"/>
          <w:szCs w:val="24"/>
          <w:lang w:val="es-ES"/>
        </w:rPr>
        <w:t>Mediante artículo 8, del acta de la sesión 5920-2020, celebrada el 10 de marzo de 2020 la Junta Directiva del Banco Central de Costa Rica emitió el dictamen favorable para que el Ministerio de Hacienda contrate un crédito con el BID, hasta por USD 125 millones de dólares, para financiar la Primera Operación Individual de la Línea de Crédito Condicional para Proyectos de Inversión del Programa de Infraestructura Vial y Movilidad Urbana, denominado: Programa de Infraestructura Vial y Promoción de Asociaciones Público Privadas.  El prestatario de la operación es el Gobierno de la República y el ejecutor es el MOPT.</w:t>
      </w:r>
    </w:p>
    <w:p w:rsidR="005B1038" w:rsidRPr="00C102C0" w:rsidRDefault="005B1038" w:rsidP="005B1038">
      <w:pPr>
        <w:spacing w:after="0" w:line="240" w:lineRule="auto"/>
        <w:ind w:left="850"/>
        <w:jc w:val="both"/>
        <w:rPr>
          <w:rFonts w:ascii="Arial" w:hAnsi="Arial" w:cs="Arial"/>
          <w:sz w:val="24"/>
          <w:szCs w:val="24"/>
          <w:lang w:val="es-ES"/>
        </w:rPr>
      </w:pPr>
    </w:p>
    <w:p w:rsidR="00FF0D18" w:rsidRDefault="00C102C0" w:rsidP="005B1038">
      <w:pPr>
        <w:spacing w:after="0" w:line="240" w:lineRule="auto"/>
        <w:ind w:left="1405" w:hanging="555"/>
        <w:jc w:val="both"/>
        <w:rPr>
          <w:rFonts w:ascii="Arial" w:hAnsi="Arial" w:cs="Arial"/>
          <w:sz w:val="24"/>
          <w:szCs w:val="24"/>
          <w:lang w:val="es-ES"/>
        </w:rPr>
      </w:pPr>
      <w:r>
        <w:rPr>
          <w:rFonts w:ascii="Arial" w:hAnsi="Arial" w:cs="Arial"/>
          <w:sz w:val="24"/>
          <w:szCs w:val="24"/>
          <w:lang w:val="es-ES"/>
        </w:rPr>
        <w:t>-</w:t>
      </w:r>
      <w:r>
        <w:rPr>
          <w:rFonts w:ascii="Arial" w:hAnsi="Arial" w:cs="Arial"/>
          <w:sz w:val="24"/>
          <w:szCs w:val="24"/>
          <w:lang w:val="es-ES"/>
        </w:rPr>
        <w:tab/>
      </w:r>
      <w:r w:rsidR="00FF0D18" w:rsidRPr="00C102C0">
        <w:rPr>
          <w:rFonts w:ascii="Arial" w:hAnsi="Arial" w:cs="Arial"/>
          <w:sz w:val="24"/>
          <w:szCs w:val="24"/>
          <w:lang w:val="es-ES"/>
        </w:rPr>
        <w:t>Mediante Acuerdo Nº 12648 tomado por la Autoridad Presupuestaria en la Sesión Extraordinaria No. 07-</w:t>
      </w:r>
      <w:r>
        <w:rPr>
          <w:rFonts w:ascii="Arial" w:hAnsi="Arial" w:cs="Arial"/>
          <w:sz w:val="24"/>
          <w:szCs w:val="24"/>
          <w:lang w:val="es-ES"/>
        </w:rPr>
        <w:t xml:space="preserve">2020 del 17 de marzo del 2020, </w:t>
      </w:r>
      <w:r w:rsidR="00FF0D18" w:rsidRPr="00C102C0">
        <w:rPr>
          <w:rFonts w:ascii="Arial" w:hAnsi="Arial" w:cs="Arial"/>
          <w:sz w:val="24"/>
          <w:szCs w:val="24"/>
          <w:lang w:val="es-ES"/>
        </w:rPr>
        <w:t>se autoriza la contratación del financiamiento para el Programa de Infraestructura Vial (PIV) y Promoción de Asociaciones Público Privadas (APP), bajo el Convenio de Cooperación para el Financiamiento de Programa de Inversión (CCLIP) CR-O0005 del Programa de Infraestructura Vial y Movilidad Urbana, por la suma de US$ 125.000.000 de dólares</w:t>
      </w:r>
      <w:r>
        <w:rPr>
          <w:rFonts w:ascii="Arial" w:hAnsi="Arial" w:cs="Arial"/>
          <w:sz w:val="24"/>
          <w:szCs w:val="24"/>
          <w:lang w:val="es-ES"/>
        </w:rPr>
        <w:t>.</w:t>
      </w:r>
    </w:p>
    <w:p w:rsidR="005B1038" w:rsidRPr="00C102C0" w:rsidRDefault="005B1038" w:rsidP="005B1038">
      <w:pPr>
        <w:spacing w:after="0" w:line="240" w:lineRule="auto"/>
        <w:ind w:left="850"/>
        <w:jc w:val="both"/>
        <w:rPr>
          <w:rFonts w:ascii="Arial" w:hAnsi="Arial" w:cs="Arial"/>
          <w:sz w:val="24"/>
          <w:szCs w:val="24"/>
          <w:lang w:val="es-ES"/>
        </w:rPr>
      </w:pPr>
    </w:p>
    <w:p w:rsidR="00FF0D18" w:rsidRPr="00C102C0" w:rsidRDefault="00C102C0" w:rsidP="005B1038">
      <w:pPr>
        <w:spacing w:after="0" w:line="240" w:lineRule="auto"/>
        <w:ind w:left="1405" w:hanging="555"/>
        <w:jc w:val="both"/>
        <w:rPr>
          <w:rFonts w:ascii="Arial" w:eastAsia="Calibri" w:hAnsi="Arial" w:cs="Arial"/>
          <w:sz w:val="24"/>
          <w:szCs w:val="24"/>
          <w:lang w:val="es-ES"/>
        </w:rPr>
      </w:pPr>
      <w:r>
        <w:rPr>
          <w:rFonts w:ascii="Arial" w:hAnsi="Arial" w:cs="Arial"/>
          <w:sz w:val="24"/>
          <w:szCs w:val="24"/>
          <w:lang w:val="es-ES_tradnl" w:eastAsia="es-CR"/>
        </w:rPr>
        <w:t>-</w:t>
      </w:r>
      <w:r>
        <w:rPr>
          <w:rFonts w:ascii="Arial" w:hAnsi="Arial" w:cs="Arial"/>
          <w:sz w:val="24"/>
          <w:szCs w:val="24"/>
          <w:lang w:val="es-ES_tradnl" w:eastAsia="es-CR"/>
        </w:rPr>
        <w:tab/>
      </w:r>
      <w:r w:rsidR="00FF0D18" w:rsidRPr="00C102C0">
        <w:rPr>
          <w:rFonts w:ascii="Arial" w:hAnsi="Arial" w:cs="Arial"/>
          <w:sz w:val="24"/>
          <w:szCs w:val="24"/>
          <w:lang w:val="es-ES_tradnl" w:eastAsia="es-CR"/>
        </w:rPr>
        <w:t xml:space="preserve">Por las razones expuestas, se somete a consideración de los señores (as) diputados (as), el presente proyecto de Ley </w:t>
      </w:r>
      <w:r w:rsidR="00FF0D18" w:rsidRPr="00C102C0">
        <w:rPr>
          <w:rFonts w:ascii="Arial" w:hAnsi="Arial" w:cs="Arial"/>
          <w:b/>
          <w:sz w:val="24"/>
          <w:szCs w:val="24"/>
          <w:lang w:val="es-ES_tradnl" w:eastAsia="es-CR"/>
        </w:rPr>
        <w:t>“APROBACIÓN DEL CONVENIO DE COOPERACIÓN PARA EL FINANCIAMIENTO DE PROYECTOS DE INVERSIÓN (CCLIP) CR-O0005 DEL PROGRAMA DE INFRAESTRUCTURA VIAL Y MOVILIDAD URBANA Y DEL CONTRATO DE PRÉSTAMO Nº 4864/OC-CR QUE FINANCIA LA PRIMERA OPERACIÓN INDIVIDUAL BAJO EL CCLIP DENOMINADA PROGRAMA DE INFRAESTRUCTURA VIAL Y PROMOCIÓN DE ASOCIACIONES PÚBLICO PRIVADAS”</w:t>
      </w:r>
    </w:p>
    <w:p w:rsidR="00C102C0" w:rsidRDefault="00C102C0" w:rsidP="005B1038">
      <w:pPr>
        <w:spacing w:after="0" w:line="240" w:lineRule="auto"/>
        <w:ind w:left="850"/>
        <w:jc w:val="both"/>
        <w:rPr>
          <w:rFonts w:ascii="Arial" w:eastAsia="Calibri" w:hAnsi="Arial" w:cs="Arial"/>
          <w:sz w:val="24"/>
          <w:szCs w:val="24"/>
          <w:lang w:val="es-ES"/>
        </w:rPr>
      </w:pPr>
      <w:r>
        <w:rPr>
          <w:rFonts w:ascii="Arial" w:eastAsia="Calibri" w:hAnsi="Arial" w:cs="Arial"/>
          <w:sz w:val="24"/>
          <w:szCs w:val="24"/>
          <w:lang w:val="es-ES"/>
        </w:rPr>
        <w:br w:type="page"/>
      </w:r>
    </w:p>
    <w:p w:rsidR="00FF0D18" w:rsidRPr="00E63502" w:rsidRDefault="00FF0D18" w:rsidP="00C102C0">
      <w:pPr>
        <w:spacing w:after="0" w:line="240" w:lineRule="auto"/>
        <w:jc w:val="center"/>
        <w:rPr>
          <w:rFonts w:ascii="Arial" w:hAnsi="Arial" w:cs="Arial"/>
          <w:spacing w:val="-6"/>
          <w:sz w:val="24"/>
          <w:szCs w:val="24"/>
          <w:lang w:val="es-ES_tradnl"/>
        </w:rPr>
      </w:pPr>
      <w:r w:rsidRPr="00E63502">
        <w:rPr>
          <w:rFonts w:ascii="Arial" w:hAnsi="Arial" w:cs="Arial"/>
          <w:spacing w:val="-6"/>
          <w:sz w:val="24"/>
          <w:szCs w:val="24"/>
          <w:lang w:val="es-ES_tradnl"/>
        </w:rPr>
        <w:lastRenderedPageBreak/>
        <w:t>LA ASAMBLEA LEGISLATIVA DE LA REPÚBLICA DE COSTA RICA</w:t>
      </w:r>
    </w:p>
    <w:p w:rsidR="00FF0D18" w:rsidRDefault="00FF0D18" w:rsidP="00C102C0">
      <w:pPr>
        <w:spacing w:after="0" w:line="240" w:lineRule="auto"/>
        <w:jc w:val="center"/>
        <w:rPr>
          <w:rFonts w:ascii="Arial" w:hAnsi="Arial" w:cs="Arial"/>
          <w:sz w:val="24"/>
          <w:szCs w:val="24"/>
          <w:lang w:val="es-ES_tradnl"/>
        </w:rPr>
      </w:pPr>
      <w:r w:rsidRPr="00E63502">
        <w:rPr>
          <w:rFonts w:ascii="Arial" w:hAnsi="Arial" w:cs="Arial"/>
          <w:sz w:val="24"/>
          <w:szCs w:val="24"/>
          <w:lang w:val="es-ES_tradnl"/>
        </w:rPr>
        <w:t>DECRETA:</w:t>
      </w:r>
    </w:p>
    <w:p w:rsidR="00C102C0" w:rsidRDefault="00C102C0" w:rsidP="005B1038">
      <w:pPr>
        <w:spacing w:after="0" w:line="240" w:lineRule="auto"/>
        <w:jc w:val="center"/>
        <w:rPr>
          <w:rFonts w:ascii="Arial" w:hAnsi="Arial" w:cs="Arial"/>
          <w:b/>
          <w:sz w:val="24"/>
          <w:szCs w:val="24"/>
          <w:lang w:val="es-ES_tradnl" w:eastAsia="es-CR"/>
        </w:rPr>
      </w:pPr>
    </w:p>
    <w:p w:rsidR="00C102C0" w:rsidRPr="00C42E09" w:rsidRDefault="00C102C0" w:rsidP="00C102C0">
      <w:pPr>
        <w:tabs>
          <w:tab w:val="left" w:pos="3060"/>
        </w:tabs>
        <w:spacing w:after="0" w:line="240" w:lineRule="auto"/>
        <w:jc w:val="center"/>
        <w:rPr>
          <w:rFonts w:ascii="Arial" w:eastAsia="Times New Roman" w:hAnsi="Arial" w:cs="Arial"/>
          <w:b/>
          <w:bCs/>
          <w:smallCaps/>
          <w:spacing w:val="-6"/>
          <w:sz w:val="24"/>
          <w:szCs w:val="24"/>
          <w:lang w:val="es-ES_tradnl"/>
        </w:rPr>
      </w:pPr>
      <w:r w:rsidRPr="00C42E09">
        <w:rPr>
          <w:rFonts w:ascii="Arial" w:eastAsia="Times New Roman" w:hAnsi="Arial" w:cs="Arial"/>
          <w:b/>
          <w:bCs/>
          <w:smallCaps/>
          <w:spacing w:val="-6"/>
          <w:sz w:val="24"/>
          <w:szCs w:val="24"/>
          <w:lang w:val="es-ES_tradnl"/>
        </w:rPr>
        <w:t>APROBACIÓN DEL CONVENIO DE COOPERACIÓN PARA EL FINANCIAMIENTO DE PROYECTOS  DE  INVERSIÓN  (CCLIP)  CR-O0005  DEL  PROGRAMA  DE INFRAESTRUCTURA VIAL Y MOVILIDAD URBANA</w:t>
      </w:r>
      <w:r w:rsidR="009527F2">
        <w:rPr>
          <w:rFonts w:ascii="Arial" w:eastAsia="Times New Roman" w:hAnsi="Arial" w:cs="Arial"/>
          <w:b/>
          <w:bCs/>
          <w:smallCaps/>
          <w:spacing w:val="-6"/>
          <w:sz w:val="24"/>
          <w:szCs w:val="24"/>
          <w:lang w:val="es-ES_tradnl"/>
        </w:rPr>
        <w:t xml:space="preserve"> </w:t>
      </w:r>
      <w:r w:rsidRPr="00C42E09">
        <w:rPr>
          <w:rFonts w:ascii="Arial" w:eastAsia="Times New Roman" w:hAnsi="Arial" w:cs="Arial"/>
          <w:b/>
          <w:bCs/>
          <w:smallCaps/>
          <w:spacing w:val="-6"/>
          <w:sz w:val="24"/>
          <w:szCs w:val="24"/>
          <w:lang w:val="es-ES_tradnl"/>
        </w:rPr>
        <w:t>Y DEL CONTRATO</w:t>
      </w:r>
    </w:p>
    <w:p w:rsidR="00C102C0" w:rsidRPr="00C42E09" w:rsidRDefault="00C102C0" w:rsidP="00C102C0">
      <w:pPr>
        <w:tabs>
          <w:tab w:val="left" w:pos="3060"/>
        </w:tabs>
        <w:spacing w:after="0" w:line="240" w:lineRule="auto"/>
        <w:jc w:val="center"/>
        <w:rPr>
          <w:rFonts w:ascii="Arial" w:eastAsia="Times New Roman" w:hAnsi="Arial" w:cs="Arial"/>
          <w:b/>
          <w:bCs/>
          <w:smallCaps/>
          <w:spacing w:val="-6"/>
          <w:sz w:val="24"/>
          <w:szCs w:val="24"/>
          <w:lang w:val="es-ES_tradnl"/>
        </w:rPr>
      </w:pPr>
      <w:r w:rsidRPr="00C42E09">
        <w:rPr>
          <w:rFonts w:ascii="Arial" w:eastAsia="Times New Roman" w:hAnsi="Arial" w:cs="Arial"/>
          <w:b/>
          <w:bCs/>
          <w:smallCaps/>
          <w:spacing w:val="-6"/>
          <w:sz w:val="24"/>
          <w:szCs w:val="24"/>
          <w:lang w:val="es-ES_tradnl"/>
        </w:rPr>
        <w:t>DE PRÉSTAMO  Nº 4864/OC-CR  QUE FINANCIA LA PRIMERA</w:t>
      </w:r>
    </w:p>
    <w:p w:rsidR="00C102C0" w:rsidRPr="00C42E09" w:rsidRDefault="00C102C0" w:rsidP="00C102C0">
      <w:pPr>
        <w:tabs>
          <w:tab w:val="left" w:pos="3060"/>
        </w:tabs>
        <w:spacing w:after="0" w:line="240" w:lineRule="auto"/>
        <w:jc w:val="center"/>
        <w:rPr>
          <w:rFonts w:ascii="Arial" w:eastAsia="Times New Roman" w:hAnsi="Arial" w:cs="Arial"/>
          <w:b/>
          <w:bCs/>
          <w:smallCaps/>
          <w:spacing w:val="-6"/>
          <w:sz w:val="24"/>
          <w:szCs w:val="24"/>
          <w:lang w:val="es-ES_tradnl"/>
        </w:rPr>
      </w:pPr>
      <w:r w:rsidRPr="00C42E09">
        <w:rPr>
          <w:rFonts w:ascii="Arial" w:eastAsia="Times New Roman" w:hAnsi="Arial" w:cs="Arial"/>
          <w:b/>
          <w:bCs/>
          <w:smallCaps/>
          <w:spacing w:val="-6"/>
          <w:sz w:val="24"/>
          <w:szCs w:val="24"/>
          <w:lang w:val="es-ES_tradnl"/>
        </w:rPr>
        <w:t>OPERACIÓN INDIVIDUAL BAJO EL CCLIP DENOMINADA</w:t>
      </w:r>
    </w:p>
    <w:p w:rsidR="00C102C0" w:rsidRPr="00C42E09" w:rsidRDefault="00C102C0" w:rsidP="00C102C0">
      <w:pPr>
        <w:tabs>
          <w:tab w:val="left" w:pos="3060"/>
        </w:tabs>
        <w:spacing w:after="0" w:line="240" w:lineRule="auto"/>
        <w:jc w:val="center"/>
        <w:rPr>
          <w:rFonts w:ascii="Arial" w:eastAsia="Times New Roman" w:hAnsi="Arial" w:cs="Arial"/>
          <w:b/>
          <w:bCs/>
          <w:smallCaps/>
          <w:spacing w:val="-6"/>
          <w:sz w:val="24"/>
          <w:szCs w:val="24"/>
          <w:lang w:val="es-ES_tradnl"/>
        </w:rPr>
      </w:pPr>
      <w:r w:rsidRPr="00C42E09">
        <w:rPr>
          <w:rFonts w:ascii="Arial" w:eastAsia="Times New Roman" w:hAnsi="Arial" w:cs="Arial"/>
          <w:b/>
          <w:bCs/>
          <w:smallCaps/>
          <w:spacing w:val="-6"/>
          <w:sz w:val="24"/>
          <w:szCs w:val="24"/>
          <w:lang w:val="es-ES_tradnl"/>
        </w:rPr>
        <w:t xml:space="preserve">PROGRAMA DE INFRAESTRUCTURA VIAL Y </w:t>
      </w:r>
    </w:p>
    <w:p w:rsidR="00C102C0" w:rsidRPr="00C42E09" w:rsidRDefault="00C102C0" w:rsidP="00C102C0">
      <w:pPr>
        <w:tabs>
          <w:tab w:val="left" w:pos="3060"/>
        </w:tabs>
        <w:spacing w:after="0" w:line="240" w:lineRule="auto"/>
        <w:jc w:val="center"/>
        <w:rPr>
          <w:rFonts w:ascii="Arial" w:eastAsia="Times New Roman" w:hAnsi="Arial" w:cs="Arial"/>
          <w:b/>
          <w:bCs/>
          <w:smallCaps/>
          <w:spacing w:val="-6"/>
          <w:sz w:val="24"/>
          <w:szCs w:val="24"/>
          <w:lang w:val="es-ES_tradnl"/>
        </w:rPr>
      </w:pPr>
      <w:r w:rsidRPr="00C42E09">
        <w:rPr>
          <w:rFonts w:ascii="Arial" w:eastAsia="Times New Roman" w:hAnsi="Arial" w:cs="Arial"/>
          <w:b/>
          <w:bCs/>
          <w:smallCaps/>
          <w:spacing w:val="-6"/>
          <w:sz w:val="24"/>
          <w:szCs w:val="24"/>
          <w:lang w:val="es-ES_tradnl"/>
        </w:rPr>
        <w:t>PROMOCIÓN DE ASOCIACIONES</w:t>
      </w:r>
    </w:p>
    <w:p w:rsidR="00C102C0" w:rsidRPr="00C42E09" w:rsidRDefault="009527F2" w:rsidP="00C102C0">
      <w:pPr>
        <w:tabs>
          <w:tab w:val="left" w:pos="3060"/>
        </w:tabs>
        <w:spacing w:after="0" w:line="240" w:lineRule="auto"/>
        <w:jc w:val="center"/>
        <w:rPr>
          <w:rFonts w:ascii="Arial" w:eastAsia="Times New Roman" w:hAnsi="Arial" w:cs="Arial"/>
          <w:b/>
          <w:bCs/>
          <w:smallCaps/>
          <w:spacing w:val="-6"/>
          <w:sz w:val="24"/>
          <w:szCs w:val="24"/>
          <w:lang w:val="es-ES_tradnl"/>
        </w:rPr>
      </w:pPr>
      <w:r>
        <w:rPr>
          <w:rFonts w:ascii="Arial" w:eastAsia="Times New Roman" w:hAnsi="Arial" w:cs="Arial"/>
          <w:b/>
          <w:bCs/>
          <w:smallCaps/>
          <w:spacing w:val="-6"/>
          <w:sz w:val="24"/>
          <w:szCs w:val="24"/>
          <w:lang w:val="es-ES_tradnl"/>
        </w:rPr>
        <w:t>PÚBLICO PRIVADAS</w:t>
      </w:r>
    </w:p>
    <w:p w:rsidR="00C102C0" w:rsidRDefault="00C102C0" w:rsidP="00C102C0">
      <w:pPr>
        <w:spacing w:after="0" w:line="240" w:lineRule="auto"/>
        <w:jc w:val="center"/>
        <w:rPr>
          <w:rFonts w:ascii="Arial" w:hAnsi="Arial" w:cs="Arial"/>
          <w:b/>
          <w:sz w:val="24"/>
          <w:szCs w:val="24"/>
          <w:lang w:val="es-ES_tradnl" w:eastAsia="es-CR"/>
        </w:rPr>
      </w:pPr>
    </w:p>
    <w:p w:rsidR="00C102C0" w:rsidRPr="005B1038" w:rsidRDefault="00C102C0" w:rsidP="005B1038">
      <w:pPr>
        <w:rPr>
          <w:rFonts w:ascii="Arial" w:hAnsi="Arial" w:cs="Arial"/>
          <w:sz w:val="24"/>
          <w:szCs w:val="24"/>
          <w:lang w:val="es-ES_tradnl" w:eastAsia="es-CR"/>
        </w:rPr>
      </w:pPr>
    </w:p>
    <w:p w:rsidR="00FF0D18" w:rsidRDefault="005B1038" w:rsidP="005B1038">
      <w:pPr>
        <w:spacing w:after="0" w:line="240" w:lineRule="auto"/>
        <w:jc w:val="both"/>
        <w:rPr>
          <w:rFonts w:ascii="Arial" w:hAnsi="Arial" w:cs="Arial"/>
          <w:bCs/>
          <w:sz w:val="24"/>
          <w:szCs w:val="24"/>
          <w:lang w:val="es-ES_tradnl"/>
        </w:rPr>
      </w:pPr>
      <w:r>
        <w:rPr>
          <w:rFonts w:ascii="Arial" w:hAnsi="Arial" w:cs="Arial"/>
          <w:bCs/>
          <w:sz w:val="24"/>
          <w:szCs w:val="24"/>
          <w:lang w:val="es-ES_tradnl"/>
        </w:rPr>
        <w:t>ARTÍCULO 1-</w:t>
      </w:r>
      <w:r>
        <w:rPr>
          <w:rFonts w:ascii="Arial" w:hAnsi="Arial" w:cs="Arial"/>
          <w:bCs/>
          <w:sz w:val="24"/>
          <w:szCs w:val="24"/>
          <w:lang w:val="es-ES_tradnl"/>
        </w:rPr>
        <w:tab/>
      </w:r>
      <w:r w:rsidR="00FF0D18" w:rsidRPr="005B1038">
        <w:rPr>
          <w:rFonts w:ascii="Arial" w:hAnsi="Arial" w:cs="Arial"/>
          <w:bCs/>
          <w:sz w:val="24"/>
          <w:szCs w:val="24"/>
          <w:lang w:val="es-ES_tradnl"/>
        </w:rPr>
        <w:t>Aprobación del Convenio de Cooperación</w:t>
      </w:r>
    </w:p>
    <w:p w:rsidR="005B1038" w:rsidRPr="005B1038" w:rsidRDefault="005B1038" w:rsidP="005B1038">
      <w:pPr>
        <w:spacing w:after="0" w:line="240" w:lineRule="auto"/>
        <w:jc w:val="both"/>
        <w:rPr>
          <w:rFonts w:ascii="Arial" w:hAnsi="Arial" w:cs="Arial"/>
          <w:bCs/>
          <w:sz w:val="24"/>
          <w:szCs w:val="24"/>
          <w:lang w:val="es-ES_tradnl"/>
        </w:rPr>
      </w:pPr>
    </w:p>
    <w:p w:rsidR="00FF0D18" w:rsidRDefault="00FF0D18" w:rsidP="005B1038">
      <w:pPr>
        <w:spacing w:after="0" w:line="240" w:lineRule="auto"/>
        <w:jc w:val="both"/>
        <w:rPr>
          <w:rFonts w:ascii="Arial" w:eastAsia="Times New Roman" w:hAnsi="Arial" w:cs="Arial"/>
          <w:sz w:val="24"/>
          <w:szCs w:val="24"/>
          <w:lang w:val="es-ES_tradnl" w:eastAsia="es-ES"/>
        </w:rPr>
      </w:pPr>
      <w:r w:rsidRPr="005B1038">
        <w:rPr>
          <w:rFonts w:ascii="Arial" w:eastAsia="Times New Roman" w:hAnsi="Arial" w:cs="Arial"/>
          <w:sz w:val="24"/>
          <w:szCs w:val="24"/>
          <w:lang w:val="es-ES_tradnl" w:eastAsia="es-ES"/>
        </w:rPr>
        <w:t>Apruébese el Convenio de Cooperación para el financiamiento de Proyectos de Inversión (CCLIP) CR-O0005 para el financiamiento del Programa de Infraestructura Vial y Movilidad Urbana, suscrito el día 18 de marzo del 2020, en San José, Costa Rica entre la República de Costa Rica y el Banco Interamericano de Desarrollo (BID), por un monto hasta de trescientos cincuenta millones de dólares moneda de los Estados Unidos de América (US$350.000.000,00).</w:t>
      </w:r>
    </w:p>
    <w:p w:rsidR="005B1038" w:rsidRPr="005B1038" w:rsidRDefault="005B1038" w:rsidP="005B1038">
      <w:pPr>
        <w:spacing w:after="0" w:line="240" w:lineRule="auto"/>
        <w:jc w:val="both"/>
        <w:rPr>
          <w:rFonts w:ascii="Arial" w:eastAsia="Times New Roman" w:hAnsi="Arial" w:cs="Arial"/>
          <w:sz w:val="24"/>
          <w:szCs w:val="24"/>
          <w:lang w:val="es-ES_tradnl" w:eastAsia="es-ES"/>
        </w:rPr>
      </w:pPr>
    </w:p>
    <w:p w:rsidR="00FF0D18" w:rsidRPr="005B1038" w:rsidRDefault="00FF0D18" w:rsidP="005B1038">
      <w:pPr>
        <w:spacing w:after="0" w:line="240" w:lineRule="auto"/>
        <w:jc w:val="both"/>
        <w:rPr>
          <w:rFonts w:ascii="Arial" w:eastAsia="Times New Roman" w:hAnsi="Arial" w:cs="Arial"/>
          <w:sz w:val="24"/>
          <w:szCs w:val="24"/>
          <w:lang w:val="es-ES_tradnl" w:eastAsia="es-ES"/>
        </w:rPr>
      </w:pPr>
      <w:r w:rsidRPr="005B1038">
        <w:rPr>
          <w:rFonts w:ascii="Arial" w:eastAsia="Times New Roman" w:hAnsi="Arial" w:cs="Arial"/>
          <w:sz w:val="24"/>
          <w:szCs w:val="24"/>
          <w:lang w:val="es-ES_tradnl" w:eastAsia="es-ES"/>
        </w:rPr>
        <w:t>El texto referido del Convenio de Cooperación que se anexa a continuación, forma parte integrante de esta Ley.</w:t>
      </w:r>
    </w:p>
    <w:p w:rsidR="00FF0D18" w:rsidRPr="00F843BD" w:rsidRDefault="00FF0D18" w:rsidP="00FF0D18">
      <w:pPr>
        <w:tabs>
          <w:tab w:val="left" w:pos="2601"/>
        </w:tabs>
        <w:rPr>
          <w:rFonts w:ascii="Arial" w:eastAsia="Times New Roman" w:hAnsi="Arial" w:cs="Arial"/>
          <w:sz w:val="24"/>
          <w:szCs w:val="24"/>
          <w:lang w:val="es-ES_tradnl" w:eastAsia="es-ES"/>
        </w:rPr>
        <w:sectPr w:rsidR="00FF0D18" w:rsidRPr="00F843BD">
          <w:pgSz w:w="12240" w:h="15840"/>
          <w:pgMar w:top="1417" w:right="1701" w:bottom="1417" w:left="1701" w:header="708" w:footer="708" w:gutter="0"/>
          <w:cols w:space="708"/>
          <w:docGrid w:linePitch="360"/>
        </w:sectPr>
      </w:pPr>
    </w:p>
    <w:p w:rsidR="00FF0D18" w:rsidRPr="00F843BD" w:rsidRDefault="00FF0D18" w:rsidP="00FF0D18">
      <w:pPr>
        <w:spacing w:after="0" w:line="240" w:lineRule="auto"/>
        <w:rPr>
          <w:rFonts w:ascii="Times New Roman" w:eastAsia="Arial Unicode MS" w:hAnsi="Times New Roman" w:cs="Times New Roman"/>
          <w:sz w:val="24"/>
          <w:szCs w:val="24"/>
          <w:lang w:val="es-ES_tradnl"/>
        </w:rPr>
      </w:pPr>
    </w:p>
    <w:p w:rsidR="00FF0D18" w:rsidRPr="00F843BD" w:rsidRDefault="00FF0D18" w:rsidP="00FF0D18">
      <w:pPr>
        <w:spacing w:after="0" w:line="240" w:lineRule="auto"/>
        <w:rPr>
          <w:rFonts w:ascii="Times New Roman" w:eastAsia="Arial Unicode MS" w:hAnsi="Times New Roman" w:cs="Times New Roman"/>
          <w:sz w:val="24"/>
          <w:szCs w:val="24"/>
          <w:lang w:val="es-ES_tradnl"/>
        </w:rPr>
      </w:pPr>
    </w:p>
    <w:p w:rsidR="00FF0D18" w:rsidRPr="00F843BD" w:rsidRDefault="00FF0D18" w:rsidP="00FF0D18">
      <w:pPr>
        <w:spacing w:after="0" w:line="240" w:lineRule="auto"/>
        <w:rPr>
          <w:rFonts w:ascii="Times New Roman" w:eastAsia="Arial Unicode MS" w:hAnsi="Times New Roman" w:cs="Times New Roman"/>
          <w:sz w:val="24"/>
          <w:szCs w:val="24"/>
          <w:lang w:val="es-ES_tradnl"/>
        </w:rPr>
      </w:pPr>
    </w:p>
    <w:p w:rsidR="00FF0D18" w:rsidRPr="00F843BD" w:rsidRDefault="00FF0D18" w:rsidP="00FF0D18">
      <w:pPr>
        <w:spacing w:after="0" w:line="240" w:lineRule="auto"/>
        <w:rPr>
          <w:rFonts w:ascii="Times New Roman" w:eastAsia="Arial Unicode MS" w:hAnsi="Times New Roman" w:cs="Times New Roman"/>
          <w:sz w:val="24"/>
          <w:szCs w:val="24"/>
          <w:lang w:val="es-ES_tradnl"/>
        </w:rPr>
      </w:pPr>
    </w:p>
    <w:p w:rsidR="00FF0D18" w:rsidRPr="00F843BD" w:rsidRDefault="00FF0D18" w:rsidP="00FF0D18">
      <w:pPr>
        <w:spacing w:after="0" w:line="240" w:lineRule="auto"/>
        <w:rPr>
          <w:rFonts w:ascii="Times New Roman" w:eastAsia="Arial Unicode MS" w:hAnsi="Times New Roman" w:cs="Times New Roman"/>
          <w:sz w:val="24"/>
          <w:szCs w:val="24"/>
          <w:lang w:val="es-ES_tradnl"/>
        </w:rPr>
      </w:pPr>
    </w:p>
    <w:p w:rsidR="00FF0D18" w:rsidRPr="00F843BD" w:rsidRDefault="00FF0D18" w:rsidP="00FF0D18">
      <w:pPr>
        <w:spacing w:after="0" w:line="240" w:lineRule="auto"/>
        <w:rPr>
          <w:rFonts w:ascii="Times New Roman" w:eastAsia="Arial Unicode MS" w:hAnsi="Times New Roman" w:cs="Times New Roman"/>
          <w:sz w:val="24"/>
          <w:szCs w:val="24"/>
          <w:lang w:val="es-ES_tradnl"/>
        </w:rPr>
      </w:pPr>
    </w:p>
    <w:p w:rsidR="00FF0D18" w:rsidRPr="00F843BD" w:rsidRDefault="00FF0D18" w:rsidP="00FF0D18">
      <w:pPr>
        <w:keepNext/>
        <w:spacing w:after="0" w:line="240" w:lineRule="auto"/>
        <w:jc w:val="center"/>
        <w:outlineLvl w:val="0"/>
        <w:rPr>
          <w:rFonts w:ascii="Times New Roman" w:eastAsia="Times New Roman" w:hAnsi="Times New Roman" w:cs="Times New Roman"/>
          <w:b/>
          <w:sz w:val="24"/>
          <w:szCs w:val="24"/>
          <w:lang w:val="es-ES_tradnl"/>
        </w:rPr>
      </w:pPr>
      <w:r w:rsidRPr="00F843BD">
        <w:rPr>
          <w:rFonts w:ascii="Times New Roman" w:eastAsia="Times New Roman" w:hAnsi="Times New Roman" w:cs="Times New Roman"/>
          <w:b/>
          <w:sz w:val="24"/>
          <w:szCs w:val="24"/>
          <w:lang w:val="es-ES_tradnl"/>
        </w:rPr>
        <w:t>CONVENIO DE COOPERACIÓN PARA EL FINANCIAMIENTO DE PROYECTOS DE INVERSION (CCLIP)</w:t>
      </w:r>
    </w:p>
    <w:p w:rsidR="00FF0D18" w:rsidRPr="00F843BD" w:rsidRDefault="00FF0D18" w:rsidP="00FF0D18">
      <w:pPr>
        <w:keepNext/>
        <w:spacing w:after="0" w:line="240" w:lineRule="auto"/>
        <w:jc w:val="center"/>
        <w:outlineLvl w:val="0"/>
        <w:rPr>
          <w:rFonts w:ascii="Times New Roman" w:eastAsia="Arial Unicode MS" w:hAnsi="Times New Roman" w:cs="Times New Roman"/>
          <w:b/>
          <w:sz w:val="24"/>
          <w:szCs w:val="24"/>
          <w:lang w:val="es-ES_tradnl"/>
        </w:rPr>
      </w:pPr>
      <w:r w:rsidRPr="00F843BD">
        <w:rPr>
          <w:rFonts w:ascii="Times New Roman" w:eastAsia="Times New Roman" w:hAnsi="Times New Roman" w:cs="Times New Roman"/>
          <w:b/>
          <w:sz w:val="24"/>
          <w:szCs w:val="24"/>
          <w:lang w:val="es-ES_tradnl"/>
        </w:rPr>
        <w:t>CR-O0005</w:t>
      </w: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 xml:space="preserve">entre la </w:t>
      </w: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center"/>
        <w:outlineLvl w:val="1"/>
        <w:rPr>
          <w:rFonts w:ascii="Times New Roman" w:eastAsia="Arial Unicode MS" w:hAnsi="Times New Roman" w:cs="Times New Roman"/>
          <w:sz w:val="24"/>
          <w:szCs w:val="24"/>
          <w:lang w:val="es-ES_tradnl"/>
        </w:rPr>
      </w:pPr>
      <w:r w:rsidRPr="00F843BD">
        <w:rPr>
          <w:rFonts w:ascii="Times New Roman" w:eastAsia="Times New Roman" w:hAnsi="Times New Roman" w:cs="Times New Roman"/>
          <w:sz w:val="24"/>
          <w:szCs w:val="24"/>
          <w:lang w:val="es-ES_tradnl"/>
        </w:rPr>
        <w:t>REPÚBLICA DE COSTA RICA</w:t>
      </w:r>
    </w:p>
    <w:p w:rsidR="00FF0D18" w:rsidRPr="00F843BD" w:rsidRDefault="00FF0D18" w:rsidP="00FF0D18">
      <w:pPr>
        <w:keepNext/>
        <w:spacing w:after="0" w:line="240" w:lineRule="auto"/>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y el</w:t>
      </w: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center"/>
        <w:outlineLvl w:val="1"/>
        <w:rPr>
          <w:rFonts w:ascii="Times New Roman" w:eastAsia="Arial Unicode MS" w:hAnsi="Times New Roman" w:cs="Times New Roman"/>
          <w:sz w:val="24"/>
          <w:szCs w:val="24"/>
          <w:lang w:val="es-ES_tradnl"/>
        </w:rPr>
      </w:pPr>
      <w:r w:rsidRPr="00F843BD">
        <w:rPr>
          <w:rFonts w:ascii="Times New Roman" w:eastAsia="Times New Roman" w:hAnsi="Times New Roman" w:cs="Times New Roman"/>
          <w:sz w:val="24"/>
          <w:szCs w:val="24"/>
          <w:lang w:val="es-ES_tradnl"/>
        </w:rPr>
        <w:t>BANCO INTERAMERICANO DE DESARROLLO</w:t>
      </w: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center"/>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Programa de Infraestructura Vial y Movilidad Urbana</w:t>
      </w: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18 de marzo de 2020</w:t>
      </w:r>
    </w:p>
    <w:p w:rsidR="00FF0D18" w:rsidRPr="00F843BD" w:rsidRDefault="00FF0D18" w:rsidP="00FF0D18">
      <w:pPr>
        <w:widowControl w:val="0"/>
        <w:spacing w:after="0" w:line="240" w:lineRule="auto"/>
        <w:rPr>
          <w:rFonts w:ascii="Times New Roman" w:eastAsia="Times New Roman" w:hAnsi="Times New Roman" w:cs="Times New Roman"/>
          <w:sz w:val="24"/>
          <w:szCs w:val="20"/>
          <w:lang w:val="es-ES_tradnl"/>
        </w:rPr>
      </w:pPr>
    </w:p>
    <w:p w:rsidR="00FF0D18" w:rsidRPr="00F843BD" w:rsidRDefault="00FF0D18" w:rsidP="00FF0D18">
      <w:pPr>
        <w:widowControl w:val="0"/>
        <w:pBdr>
          <w:bottom w:val="single" w:sz="4" w:space="1" w:color="auto"/>
        </w:pBdr>
        <w:spacing w:after="0" w:line="240" w:lineRule="auto"/>
        <w:rPr>
          <w:rFonts w:ascii="Times New Roman" w:eastAsia="Times New Roman" w:hAnsi="Times New Roman" w:cs="Times New Roman"/>
          <w:sz w:val="24"/>
          <w:szCs w:val="20"/>
          <w:lang w:val="es-ES_tradnl"/>
        </w:rPr>
      </w:pPr>
    </w:p>
    <w:p w:rsidR="00FF0D18" w:rsidRPr="00F843BD" w:rsidRDefault="00FF0D18" w:rsidP="00FF0D18">
      <w:pPr>
        <w:widowControl w:val="0"/>
        <w:pBdr>
          <w:bottom w:val="single" w:sz="4" w:space="1" w:color="auto"/>
        </w:pBdr>
        <w:spacing w:after="0" w:line="240" w:lineRule="auto"/>
        <w:rPr>
          <w:rFonts w:ascii="Times New Roman" w:eastAsia="Times New Roman" w:hAnsi="Times New Roman" w:cs="Times New Roman"/>
          <w:sz w:val="24"/>
          <w:szCs w:val="20"/>
          <w:lang w:val="es-ES_tradnl"/>
        </w:rPr>
      </w:pPr>
    </w:p>
    <w:p w:rsidR="00FF0D18" w:rsidRPr="00F843BD" w:rsidRDefault="00FF0D18" w:rsidP="00FF0D18">
      <w:pPr>
        <w:widowControl w:val="0"/>
        <w:pBdr>
          <w:bottom w:val="single" w:sz="4" w:space="1" w:color="auto"/>
        </w:pBdr>
        <w:spacing w:after="0" w:line="240" w:lineRule="auto"/>
        <w:rPr>
          <w:rFonts w:ascii="Times New Roman" w:eastAsia="Times New Roman" w:hAnsi="Times New Roman" w:cs="Times New Roman"/>
          <w:sz w:val="24"/>
          <w:szCs w:val="20"/>
          <w:lang w:val="es-ES_tradnl"/>
        </w:rPr>
      </w:pPr>
    </w:p>
    <w:p w:rsidR="00FF0D18" w:rsidRPr="00F843BD" w:rsidRDefault="00FF0D18" w:rsidP="00FF0D18">
      <w:pPr>
        <w:widowControl w:val="0"/>
        <w:pBdr>
          <w:bottom w:val="single" w:sz="4" w:space="1" w:color="auto"/>
        </w:pBdr>
        <w:spacing w:after="0" w:line="240" w:lineRule="auto"/>
        <w:rPr>
          <w:rFonts w:ascii="Times New Roman" w:eastAsia="Times New Roman" w:hAnsi="Times New Roman" w:cs="Times New Roman"/>
          <w:sz w:val="24"/>
          <w:szCs w:val="20"/>
          <w:lang w:val="es-ES_tradnl"/>
        </w:rPr>
      </w:pPr>
    </w:p>
    <w:p w:rsidR="00FF0D18" w:rsidRPr="00F843BD" w:rsidRDefault="00FF0D18" w:rsidP="00FF0D18">
      <w:pPr>
        <w:keepNext/>
        <w:pBdr>
          <w:bottom w:val="single" w:sz="4" w:space="1" w:color="auto"/>
        </w:pBd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16"/>
          <w:szCs w:val="24"/>
          <w:lang w:val="es-US"/>
        </w:rPr>
      </w:pPr>
      <w:r w:rsidRPr="00F843BD">
        <w:rPr>
          <w:rFonts w:ascii="Times New Roman" w:eastAsia="Times New Roman" w:hAnsi="Times New Roman" w:cs="Times New Roman"/>
          <w:sz w:val="16"/>
          <w:szCs w:val="16"/>
          <w:lang w:val="es-US"/>
        </w:rPr>
        <w:t>LEG/SGO/CID/EZSHARE-1354864508-14759</w:t>
      </w:r>
    </w:p>
    <w:p w:rsidR="00FF0D18" w:rsidRPr="00F843BD" w:rsidRDefault="00FF0D18" w:rsidP="00FF0D18">
      <w:pPr>
        <w:keepNext/>
        <w:spacing w:after="0" w:line="240" w:lineRule="auto"/>
        <w:jc w:val="both"/>
        <w:rPr>
          <w:rFonts w:ascii="Times New Roman" w:eastAsia="Times New Roman" w:hAnsi="Times New Roman" w:cs="Times New Roman"/>
          <w:sz w:val="16"/>
          <w:szCs w:val="24"/>
          <w:lang w:val="es-US"/>
        </w:rPr>
        <w:sectPr w:rsidR="00FF0D18" w:rsidRPr="00F843BD">
          <w:footerReference w:type="default" r:id="rId17"/>
          <w:pgSz w:w="12240" w:h="15840"/>
          <w:pgMar w:top="1440" w:right="1440" w:bottom="1440" w:left="1440" w:header="720" w:footer="720" w:gutter="0"/>
          <w:cols w:space="720"/>
        </w:sectPr>
      </w:pPr>
    </w:p>
    <w:p w:rsidR="00FF0D18" w:rsidRPr="00F843BD" w:rsidRDefault="00FF0D18" w:rsidP="00FF0D18">
      <w:pPr>
        <w:keepNext/>
        <w:spacing w:after="0" w:line="240" w:lineRule="auto"/>
        <w:jc w:val="center"/>
        <w:outlineLvl w:val="0"/>
        <w:rPr>
          <w:rFonts w:ascii="Times New Roman" w:eastAsia="Times New Roman" w:hAnsi="Times New Roman" w:cs="Times New Roman"/>
          <w:b/>
          <w:bCs/>
          <w:sz w:val="24"/>
          <w:szCs w:val="24"/>
          <w:lang w:val="es-ES_tradnl"/>
        </w:rPr>
      </w:pPr>
      <w:r w:rsidRPr="00F843BD">
        <w:rPr>
          <w:rFonts w:ascii="Times New Roman" w:eastAsia="Times New Roman" w:hAnsi="Times New Roman" w:cs="Times New Roman"/>
          <w:b/>
          <w:sz w:val="24"/>
          <w:szCs w:val="24"/>
          <w:lang w:val="es-ES_tradnl"/>
        </w:rPr>
        <w:lastRenderedPageBreak/>
        <w:t>CONVENIO DE COOPERACIÓN PARA EL FINANCIAMIENTO DE</w:t>
      </w:r>
      <w:r w:rsidRPr="00F843BD">
        <w:rPr>
          <w:rFonts w:ascii="Times New Roman" w:eastAsia="Times New Roman" w:hAnsi="Times New Roman" w:cs="Times New Roman"/>
          <w:b/>
          <w:bCs/>
          <w:sz w:val="24"/>
          <w:szCs w:val="24"/>
          <w:lang w:val="es-ES_tradnl"/>
        </w:rPr>
        <w:t xml:space="preserve"> PROGRAMA DE INVERSIÓN (CCLIP)</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 xml:space="preserve">CONVENIO celebrado el </w:t>
      </w:r>
      <w:r>
        <w:rPr>
          <w:rFonts w:ascii="Times New Roman" w:eastAsia="Times New Roman" w:hAnsi="Times New Roman" w:cs="Times New Roman"/>
          <w:sz w:val="24"/>
          <w:szCs w:val="24"/>
          <w:lang w:val="es-ES_tradnl"/>
        </w:rPr>
        <w:t>18</w:t>
      </w:r>
      <w:r w:rsidRPr="00F843BD">
        <w:rPr>
          <w:rFonts w:ascii="Times New Roman" w:eastAsia="Times New Roman" w:hAnsi="Times New Roman" w:cs="Times New Roman"/>
          <w:sz w:val="24"/>
          <w:szCs w:val="20"/>
          <w:lang w:val="es-ES_tradnl"/>
        </w:rPr>
        <w:t xml:space="preserve"> de marzo de 2020</w:t>
      </w:r>
      <w:r w:rsidRPr="00F843BD">
        <w:rPr>
          <w:rFonts w:ascii="Times New Roman" w:eastAsia="Times New Roman" w:hAnsi="Times New Roman" w:cs="Times New Roman"/>
          <w:sz w:val="24"/>
          <w:szCs w:val="24"/>
          <w:lang w:val="es-ES_tradnl"/>
        </w:rPr>
        <w:t xml:space="preserve"> entre la REPÚBLICA DE COSTA RICA (adelante denominado el “Prestatario”) y el BANCO INTERAMERICANO DE DESARROLLO (en adelante denominado el “Banco”), para el establecimiento de un marco de cooperación para el financiamiento de proyectos de inversión, en adelante denominado el “Convenio”, que habilita la Línea de Crédito Condicional para Proyectos de Inversión (CCLIP) bajo la cual serán procesadas operaciones de préstamo individual (en adelante las “Operaciones Individuales”).</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CONSIDERANDO que el Banco tiene un instrumento financiero denominado “Línea de Crédito Condicional para Proyectos de Inversión” (CCLIP), como un mecanismo para financiar proyectos de inversión mediante préstamos individuales en aquellos casos donde el organismo ejecutor demuestre sólidos antecedentes de carácter institucional o financiero y haya llevado a buen término proyectos de alcance y características similares.</w:t>
      </w: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CONSIDERANDO que el Banco aprobó la utilización del instrumento financiero CCLIP para establecer un marco mediante el cual se puedan conceder préstamos individuales al Prestatario, con el fin de financiar operaciones individuales dentro del Programa de Infraestructura Vial y Movilidad Urbana, en adelante denominado el “Programa”.</w:t>
      </w: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CONSIDERANDO que, con base en lo anterior, mediante la Resolución DE-87/19, el Directorio Ejecutivo del Banco aprobó la utilización del instrumento financiero CCLIP para establecer un marco mediante el cual se puedan conceder préstamos individuales al Prestatario.</w:t>
      </w: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b/>
          <w:bCs/>
          <w:sz w:val="24"/>
          <w:szCs w:val="20"/>
          <w:lang w:val="es-ES_tradnl"/>
        </w:rPr>
      </w:pPr>
      <w:r w:rsidRPr="00F843BD">
        <w:rPr>
          <w:rFonts w:ascii="Times New Roman" w:eastAsia="Times New Roman" w:hAnsi="Times New Roman" w:cs="Times New Roman"/>
          <w:b/>
          <w:bCs/>
          <w:sz w:val="24"/>
          <w:szCs w:val="20"/>
          <w:lang w:val="es-ES_tradnl"/>
        </w:rPr>
        <w:t>Sección 1.</w:t>
      </w:r>
      <w:r w:rsidRPr="00F843BD">
        <w:rPr>
          <w:rFonts w:ascii="Times New Roman" w:eastAsia="Times New Roman" w:hAnsi="Times New Roman" w:cs="Times New Roman"/>
          <w:b/>
          <w:bCs/>
          <w:sz w:val="24"/>
          <w:szCs w:val="20"/>
          <w:lang w:val="es-ES_tradnl"/>
        </w:rPr>
        <w:tab/>
      </w:r>
      <w:r w:rsidRPr="00F843BD">
        <w:rPr>
          <w:rFonts w:ascii="Times New Roman" w:eastAsia="Times New Roman" w:hAnsi="Times New Roman" w:cs="Times New Roman"/>
          <w:b/>
          <w:bCs/>
          <w:sz w:val="24"/>
          <w:szCs w:val="20"/>
          <w:u w:val="single"/>
          <w:lang w:val="es-ES_tradnl"/>
        </w:rPr>
        <w:t>Definiciones Particulares</w:t>
      </w:r>
      <w:r w:rsidRPr="00F843BD">
        <w:rPr>
          <w:rFonts w:ascii="Times New Roman" w:eastAsia="Times New Roman" w:hAnsi="Times New Roman" w:cs="Times New Roman"/>
          <w:sz w:val="24"/>
          <w:szCs w:val="20"/>
          <w:lang w:val="es-ES_tradnl"/>
        </w:rPr>
        <w:t xml:space="preserve">. Para los fines de este Convenio, los siguientes términos </w:t>
      </w:r>
      <w:r w:rsidRPr="00F843BD">
        <w:rPr>
          <w:rFonts w:ascii="Times New Roman" w:eastAsia="Times New Roman" w:hAnsi="Times New Roman" w:cs="Times New Roman"/>
          <w:sz w:val="24"/>
          <w:szCs w:val="24"/>
          <w:lang w:val="es-ES_tradnl"/>
        </w:rPr>
        <w:t>tendrán el significado que se les asigna a continuación,</w:t>
      </w:r>
      <w:r w:rsidRPr="00F843BD">
        <w:rPr>
          <w:rFonts w:ascii="Times New Roman" w:eastAsia="Times New Roman" w:hAnsi="Times New Roman" w:cs="Times New Roman"/>
          <w:sz w:val="24"/>
          <w:szCs w:val="20"/>
          <w:lang w:val="es-ES_tradnl"/>
        </w:rPr>
        <w:t xml:space="preserve"> en adición a los términos definidos en las Normas Generales de los Contratos de Préstamo Individual. Cualquier referencia al singular incluye el plural y viceversa.</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5B1038" w:rsidP="005B1038">
      <w:pPr>
        <w:spacing w:after="0" w:line="240" w:lineRule="auto"/>
        <w:ind w:left="1405" w:hanging="555"/>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0"/>
          <w:lang w:val="es-ES_tradnl"/>
        </w:rPr>
        <w:t>(a)</w:t>
      </w:r>
      <w:r>
        <w:rPr>
          <w:rFonts w:ascii="Times New Roman" w:eastAsia="Times New Roman" w:hAnsi="Times New Roman" w:cs="Times New Roman"/>
          <w:sz w:val="24"/>
          <w:szCs w:val="20"/>
          <w:lang w:val="es-ES_tradnl"/>
        </w:rPr>
        <w:tab/>
      </w:r>
      <w:r w:rsidR="00FF0D18" w:rsidRPr="00F843BD">
        <w:rPr>
          <w:rFonts w:ascii="Times New Roman" w:eastAsia="Times New Roman" w:hAnsi="Times New Roman" w:cs="Times New Roman"/>
          <w:sz w:val="24"/>
          <w:szCs w:val="20"/>
          <w:lang w:val="es-ES_tradnl"/>
        </w:rPr>
        <w:t>“Contrato de Préstamo Individual” significa cada uno de los contratos de préstamo que la República de Costa Rica podrá celebrar con el Banco para financiar una Operación Individual con cargo al Convenio;</w:t>
      </w:r>
    </w:p>
    <w:p w:rsidR="00FF0D18" w:rsidRPr="00F843BD" w:rsidRDefault="00FF0D18" w:rsidP="005B1038">
      <w:pPr>
        <w:spacing w:after="0" w:line="240" w:lineRule="auto"/>
        <w:ind w:left="850"/>
        <w:jc w:val="both"/>
        <w:rPr>
          <w:rFonts w:ascii="Times New Roman" w:eastAsia="Times New Roman" w:hAnsi="Times New Roman" w:cs="Times New Roman"/>
          <w:sz w:val="24"/>
          <w:szCs w:val="20"/>
          <w:lang w:val="es-ES_tradnl"/>
        </w:rPr>
      </w:pPr>
    </w:p>
    <w:p w:rsidR="00FF0D18" w:rsidRPr="00F843BD" w:rsidRDefault="005B1038" w:rsidP="005B1038">
      <w:pPr>
        <w:spacing w:after="0" w:line="240" w:lineRule="auto"/>
        <w:ind w:left="1405" w:hanging="555"/>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0"/>
          <w:lang w:val="es-ES_tradnl"/>
        </w:rPr>
        <w:t>(b)</w:t>
      </w:r>
      <w:r>
        <w:rPr>
          <w:rFonts w:ascii="Times New Roman" w:eastAsia="Times New Roman" w:hAnsi="Times New Roman" w:cs="Times New Roman"/>
          <w:sz w:val="24"/>
          <w:szCs w:val="20"/>
          <w:lang w:val="es-ES_tradnl"/>
        </w:rPr>
        <w:tab/>
      </w:r>
      <w:r w:rsidR="00FF0D18" w:rsidRPr="00F843BD">
        <w:rPr>
          <w:rFonts w:ascii="Times New Roman" w:eastAsia="Times New Roman" w:hAnsi="Times New Roman" w:cs="Times New Roman"/>
          <w:sz w:val="24"/>
          <w:szCs w:val="20"/>
          <w:lang w:val="es-ES_tradnl"/>
        </w:rPr>
        <w:t>“Entidad de Enlace” significa la entidad o institución gubernamental de la República de Costa Rica que será responsable de la coordinación y supervisión de todo el programa general de inversió</w:t>
      </w:r>
      <w:r>
        <w:rPr>
          <w:rFonts w:ascii="Times New Roman" w:eastAsia="Times New Roman" w:hAnsi="Times New Roman" w:cs="Times New Roman"/>
          <w:sz w:val="24"/>
          <w:szCs w:val="20"/>
          <w:lang w:val="es-ES_tradnl"/>
        </w:rPr>
        <w:t>n por ella amparado;</w:t>
      </w:r>
    </w:p>
    <w:p w:rsidR="00FF0D18" w:rsidRPr="00F843BD" w:rsidRDefault="00FF0D18" w:rsidP="005B1038">
      <w:pPr>
        <w:spacing w:after="0" w:line="240" w:lineRule="auto"/>
        <w:ind w:left="850"/>
        <w:jc w:val="both"/>
        <w:rPr>
          <w:rFonts w:ascii="Times New Roman" w:eastAsia="Times New Roman" w:hAnsi="Times New Roman" w:cs="Times New Roman"/>
          <w:sz w:val="24"/>
          <w:szCs w:val="20"/>
          <w:lang w:val="es-ES_tradnl"/>
        </w:rPr>
      </w:pPr>
    </w:p>
    <w:p w:rsidR="00FF0D18" w:rsidRPr="00F843BD" w:rsidRDefault="005B1038" w:rsidP="005B1038">
      <w:pPr>
        <w:spacing w:after="0" w:line="240" w:lineRule="auto"/>
        <w:ind w:left="1405" w:hanging="555"/>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0"/>
          <w:lang w:val="es-ES_tradnl"/>
        </w:rPr>
        <w:t>(c)</w:t>
      </w:r>
      <w:r>
        <w:rPr>
          <w:rFonts w:ascii="Times New Roman" w:eastAsia="Times New Roman" w:hAnsi="Times New Roman" w:cs="Times New Roman"/>
          <w:sz w:val="24"/>
          <w:szCs w:val="20"/>
          <w:lang w:val="es-ES_tradnl"/>
        </w:rPr>
        <w:tab/>
      </w:r>
      <w:r w:rsidR="00FF0D18" w:rsidRPr="00F843BD">
        <w:rPr>
          <w:rFonts w:ascii="Times New Roman" w:eastAsia="Times New Roman" w:hAnsi="Times New Roman" w:cs="Times New Roman"/>
          <w:sz w:val="24"/>
          <w:szCs w:val="20"/>
          <w:lang w:val="es-ES_tradnl"/>
        </w:rPr>
        <w:t>“Línea de Crédito Condicional” o “CCLIP” significa la línea de crédito condicional para proyectos de inversión establecida entre la República de Costa Rica y el Banco mediante el presente Convenio para el financiamiento de Operaciones Individuales con cargo a los recursos del Capital Ordinario del Banco;</w:t>
      </w:r>
    </w:p>
    <w:p w:rsidR="00FF0D18" w:rsidRPr="00F843BD" w:rsidRDefault="00FF0D18" w:rsidP="005B1038">
      <w:pPr>
        <w:spacing w:after="0" w:line="240" w:lineRule="auto"/>
        <w:ind w:left="850"/>
        <w:jc w:val="both"/>
        <w:rPr>
          <w:rFonts w:ascii="Times New Roman" w:eastAsia="Times New Roman" w:hAnsi="Times New Roman" w:cs="Times New Roman"/>
          <w:sz w:val="24"/>
          <w:szCs w:val="20"/>
          <w:lang w:val="es-ES_tradnl"/>
        </w:rPr>
      </w:pPr>
    </w:p>
    <w:p w:rsidR="00FF0D18" w:rsidRPr="00F843BD" w:rsidRDefault="0088344A" w:rsidP="0088344A">
      <w:pPr>
        <w:suppressAutoHyphens/>
        <w:spacing w:after="0" w:line="240" w:lineRule="auto"/>
        <w:ind w:left="1405" w:hanging="697"/>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0"/>
          <w:lang w:val="es-ES_tradnl"/>
        </w:rPr>
        <w:lastRenderedPageBreak/>
        <w:t>(d)</w:t>
      </w:r>
      <w:r>
        <w:rPr>
          <w:rFonts w:ascii="Times New Roman" w:eastAsia="Times New Roman" w:hAnsi="Times New Roman" w:cs="Times New Roman"/>
          <w:sz w:val="24"/>
          <w:szCs w:val="20"/>
          <w:lang w:val="es-ES_tradnl"/>
        </w:rPr>
        <w:tab/>
      </w:r>
      <w:r w:rsidR="00FF0D18" w:rsidRPr="00F843BD">
        <w:rPr>
          <w:rFonts w:ascii="Times New Roman" w:eastAsia="Times New Roman" w:hAnsi="Times New Roman" w:cs="Times New Roman"/>
          <w:sz w:val="24"/>
          <w:szCs w:val="20"/>
          <w:lang w:val="es-ES_tradnl"/>
        </w:rPr>
        <w:t>“Préstamos Individuales” u “Operaciones Individuales” significan los préstamos concedidos por el Banco a la República de Costa Rica con recursos del presente Convenio, para el logro del objetivo mencionado en la Sección 2.</w:t>
      </w:r>
    </w:p>
    <w:p w:rsidR="00FF0D18" w:rsidRPr="00F843BD" w:rsidRDefault="00FF0D18" w:rsidP="00FF0D18">
      <w:pPr>
        <w:snapToGrid w:val="0"/>
        <w:spacing w:after="0" w:line="240" w:lineRule="auto"/>
        <w:jc w:val="both"/>
        <w:rPr>
          <w:rFonts w:ascii="Times New Roman" w:eastAsia="Times New Roman" w:hAnsi="Times New Roman" w:cs="Times New Roman"/>
          <w:b/>
          <w:bCs/>
          <w:sz w:val="24"/>
          <w:szCs w:val="24"/>
          <w:lang w:val="es-ES_tradnl"/>
        </w:rPr>
      </w:pPr>
    </w:p>
    <w:p w:rsidR="00FF0D18" w:rsidRPr="00F843BD" w:rsidRDefault="00FF0D18" w:rsidP="00FF0D18">
      <w:pPr>
        <w:spacing w:after="0" w:line="240" w:lineRule="auto"/>
        <w:jc w:val="both"/>
        <w:rPr>
          <w:rFonts w:ascii="Times New Roman" w:eastAsia="Times New Roman" w:hAnsi="Times New Roman" w:cs="Arial"/>
          <w:sz w:val="24"/>
          <w:szCs w:val="24"/>
          <w:lang w:val="es-ES_tradnl"/>
        </w:rPr>
      </w:pPr>
      <w:r w:rsidRPr="00F843BD">
        <w:rPr>
          <w:rFonts w:ascii="Times New Roman" w:eastAsia="Times New Roman" w:hAnsi="Times New Roman" w:cs="Times New Roman"/>
          <w:b/>
          <w:bCs/>
          <w:sz w:val="24"/>
          <w:szCs w:val="24"/>
          <w:lang w:val="es-ES_tradnl"/>
        </w:rPr>
        <w:t>Sección 2.</w:t>
      </w:r>
      <w:r w:rsidRPr="00F843BD">
        <w:rPr>
          <w:rFonts w:ascii="Times New Roman" w:eastAsia="Times New Roman" w:hAnsi="Times New Roman" w:cs="Times New Roman"/>
          <w:b/>
          <w:bCs/>
          <w:sz w:val="24"/>
          <w:szCs w:val="20"/>
          <w:lang w:val="es-ES_tradnl"/>
        </w:rPr>
        <w:t xml:space="preserve"> </w:t>
      </w:r>
      <w:r w:rsidRPr="00F843BD">
        <w:rPr>
          <w:rFonts w:ascii="Times New Roman" w:eastAsia="Times New Roman" w:hAnsi="Times New Roman" w:cs="Times New Roman"/>
          <w:b/>
          <w:bCs/>
          <w:sz w:val="24"/>
          <w:szCs w:val="20"/>
          <w:lang w:val="es-ES_tradnl"/>
        </w:rPr>
        <w:tab/>
      </w:r>
      <w:r w:rsidRPr="00F843BD">
        <w:rPr>
          <w:rFonts w:ascii="Times New Roman" w:eastAsia="Times New Roman" w:hAnsi="Times New Roman" w:cs="Times New Roman"/>
          <w:b/>
          <w:bCs/>
          <w:sz w:val="24"/>
          <w:szCs w:val="24"/>
          <w:u w:val="single"/>
          <w:lang w:val="es-ES_tradnl"/>
        </w:rPr>
        <w:t>Objeto del Convenio</w:t>
      </w:r>
      <w:r w:rsidRPr="00F843BD">
        <w:rPr>
          <w:rFonts w:ascii="Times New Roman" w:eastAsia="Times New Roman" w:hAnsi="Times New Roman" w:cs="Times New Roman"/>
          <w:sz w:val="24"/>
          <w:szCs w:val="24"/>
          <w:lang w:val="es-ES_tradnl"/>
        </w:rPr>
        <w:t>. Este Convenio tiene por objeto cooperar con la República de Costa Rica en el desarrollo de programas o proyectos mediante contratos de préstamo individual (los “Contratos de Préstamo Individual”) entre la República de Costa Rica, en su calidad de Prestatario, y el Banco, para</w:t>
      </w:r>
      <w:r w:rsidRPr="00F843BD">
        <w:rPr>
          <w:rFonts w:ascii="Times New Roman" w:eastAsia="Times New Roman" w:hAnsi="Times New Roman" w:cs="Arial"/>
          <w:sz w:val="24"/>
          <w:szCs w:val="24"/>
          <w:lang w:val="es-ES_tradnl"/>
        </w:rPr>
        <w:t xml:space="preserve"> facilitar el acceso a financiamiento a largo plazo para invertir en proyectos sostenibles de mejora y ampliación de la Red Vial Estratégica (RVE) del país, y de mejora del desarrollo y la movilidad urbana en la Gran Área Metropolitana (GAM), que promuevan la competitividad como mecanismo para impulsar el crecimiento económico del país.</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3.</w:t>
      </w:r>
      <w:r w:rsidRPr="00F843BD">
        <w:rPr>
          <w:rFonts w:ascii="Times New Roman" w:eastAsia="Times New Roman" w:hAnsi="Times New Roman" w:cs="Times New Roman"/>
          <w:sz w:val="24"/>
          <w:szCs w:val="24"/>
          <w:lang w:val="es-ES_tradnl"/>
        </w:rPr>
        <w:tab/>
      </w:r>
      <w:r w:rsidRPr="00F843BD">
        <w:rPr>
          <w:rFonts w:ascii="Times New Roman" w:eastAsia="Times New Roman" w:hAnsi="Times New Roman" w:cs="Times New Roman"/>
          <w:b/>
          <w:bCs/>
          <w:sz w:val="24"/>
          <w:szCs w:val="24"/>
          <w:u w:val="single"/>
          <w:lang w:val="es-ES_tradnl"/>
        </w:rPr>
        <w:t>Entidad de Enlace</w:t>
      </w:r>
      <w:r w:rsidRPr="00F843BD">
        <w:rPr>
          <w:rFonts w:ascii="Times New Roman" w:eastAsia="Times New Roman" w:hAnsi="Times New Roman" w:cs="Times New Roman"/>
          <w:sz w:val="24"/>
          <w:szCs w:val="24"/>
          <w:lang w:val="es-ES_tradnl"/>
        </w:rPr>
        <w:t xml:space="preserve">. Para propósitos de lo dispuesto en la Sección 2 del presente Convenio, el </w:t>
      </w:r>
      <w:r w:rsidRPr="00F843BD">
        <w:rPr>
          <w:rFonts w:ascii="Times New Roman" w:eastAsia="Arial Unicode MS" w:hAnsi="Times New Roman" w:cs="Times New Roman"/>
          <w:sz w:val="24"/>
          <w:szCs w:val="24"/>
          <w:lang w:val="es-ES_tradnl"/>
        </w:rPr>
        <w:t xml:space="preserve">Ministerio de Obras Públicas y Transporte (MOPT) </w:t>
      </w:r>
      <w:r w:rsidRPr="00F843BD">
        <w:rPr>
          <w:rFonts w:ascii="Times New Roman" w:eastAsia="Times New Roman" w:hAnsi="Times New Roman" w:cs="Times New Roman"/>
          <w:sz w:val="24"/>
          <w:szCs w:val="24"/>
          <w:lang w:val="es-ES_tradnl"/>
        </w:rPr>
        <w:t>será la Entidad de Enlace y, como tal, será el responsable de coordinar y monitorear el avance del programa general de inversión.</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4</w:t>
      </w:r>
      <w:r w:rsidRPr="00F843BD">
        <w:rPr>
          <w:rFonts w:ascii="Times New Roman" w:eastAsia="Times New Roman" w:hAnsi="Times New Roman" w:cs="Times New Roman"/>
          <w:b/>
          <w:bCs/>
          <w:sz w:val="20"/>
          <w:szCs w:val="24"/>
          <w:lang w:val="es-ES_tradnl"/>
        </w:rPr>
        <w:t>.</w:t>
      </w:r>
      <w:r w:rsidRPr="00F843BD">
        <w:rPr>
          <w:rFonts w:ascii="Times New Roman" w:eastAsia="Times New Roman" w:hAnsi="Times New Roman" w:cs="Times New Roman"/>
          <w:sz w:val="20"/>
          <w:szCs w:val="24"/>
          <w:lang w:val="es-ES_tradnl"/>
        </w:rPr>
        <w:tab/>
      </w:r>
      <w:r w:rsidRPr="00F843BD">
        <w:rPr>
          <w:rFonts w:ascii="Times New Roman" w:eastAsia="Times New Roman" w:hAnsi="Times New Roman" w:cs="Times New Roman"/>
          <w:b/>
          <w:bCs/>
          <w:sz w:val="24"/>
          <w:szCs w:val="24"/>
          <w:u w:val="single"/>
          <w:lang w:val="es-ES_tradnl"/>
        </w:rPr>
        <w:t>Costo del Programa y de las Operaciones Individuales</w:t>
      </w:r>
      <w:r w:rsidRPr="00F843BD">
        <w:rPr>
          <w:rFonts w:ascii="Times New Roman" w:eastAsia="Times New Roman" w:hAnsi="Times New Roman" w:cs="Times New Roman"/>
          <w:sz w:val="20"/>
          <w:szCs w:val="24"/>
          <w:lang w:val="es-ES_tradnl"/>
        </w:rPr>
        <w:t>.</w:t>
      </w:r>
      <w:r w:rsidRPr="00F843BD">
        <w:rPr>
          <w:rFonts w:ascii="Times New Roman" w:eastAsia="Times New Roman" w:hAnsi="Times New Roman" w:cs="Times New Roman"/>
          <w:b/>
          <w:bCs/>
          <w:sz w:val="20"/>
          <w:szCs w:val="24"/>
          <w:lang w:val="es-ES_tradnl"/>
        </w:rPr>
        <w:t xml:space="preserve">  </w:t>
      </w:r>
      <w:r w:rsidRPr="00F843BD">
        <w:rPr>
          <w:rFonts w:ascii="Times New Roman" w:eastAsia="Times New Roman" w:hAnsi="Times New Roman" w:cs="Times New Roman"/>
          <w:sz w:val="24"/>
          <w:szCs w:val="24"/>
          <w:lang w:val="es-ES_tradnl"/>
        </w:rPr>
        <w:t>El costo total del Programa es hasta por la suma de trescientos cincuenta millones (US$350.000.000) de dólares de los Estados Unidos de América (“dólares”) provenientes de los recursos del Capital Ordinario del Banco, los cuales serán utilizados para financiar dos (2) Préstamos Individuales dentro del Convenio: (i) el primer préstamo, hasta por la suma de ciento veinticinco millones (US$125.000.000), para financiar el “Programa de Infraestructura Vial y Promoción de Asociaciones Público Privadas” y; (ii) el segundo préstamo, hasta por la suma de doscientos veinticinco millones (US$225.000.000), para la terminación de la nueva vía a San Carlos y para obras urbanas complementarias a la vialidad.</w:t>
      </w:r>
    </w:p>
    <w:p w:rsidR="00FF0D18" w:rsidRPr="00F843BD" w:rsidRDefault="00FF0D18" w:rsidP="00FF0D18">
      <w:pPr>
        <w:spacing w:after="0" w:line="240" w:lineRule="auto"/>
        <w:jc w:val="both"/>
        <w:rPr>
          <w:rFonts w:ascii="Times New Roman" w:eastAsia="Times New Roman" w:hAnsi="Times New Roman" w:cs="Times New Roman"/>
          <w:b/>
          <w:bCs/>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b/>
          <w:bCs/>
          <w:sz w:val="24"/>
          <w:szCs w:val="24"/>
          <w:u w:val="single"/>
          <w:lang w:val="es-ES_tradnl"/>
        </w:rPr>
      </w:pPr>
      <w:r w:rsidRPr="00F843BD">
        <w:rPr>
          <w:rFonts w:ascii="Times New Roman" w:eastAsia="Times New Roman" w:hAnsi="Times New Roman" w:cs="Times New Roman"/>
          <w:b/>
          <w:bCs/>
          <w:sz w:val="24"/>
          <w:szCs w:val="24"/>
          <w:lang w:val="es-ES_tradnl"/>
        </w:rPr>
        <w:t>Sección 5</w:t>
      </w:r>
      <w:r w:rsidRPr="00F843BD">
        <w:rPr>
          <w:rFonts w:ascii="Times New Roman" w:eastAsia="Times New Roman" w:hAnsi="Times New Roman" w:cs="Times New Roman"/>
          <w:b/>
          <w:bCs/>
          <w:sz w:val="20"/>
          <w:szCs w:val="24"/>
          <w:lang w:val="es-ES_tradnl"/>
        </w:rPr>
        <w:t>.</w:t>
      </w:r>
      <w:r w:rsidRPr="00F843BD">
        <w:rPr>
          <w:rFonts w:ascii="Times New Roman" w:eastAsia="Times New Roman" w:hAnsi="Times New Roman" w:cs="Times New Roman"/>
          <w:b/>
          <w:bCs/>
          <w:sz w:val="20"/>
          <w:szCs w:val="24"/>
          <w:lang w:val="es-ES_tradnl"/>
        </w:rPr>
        <w:tab/>
      </w:r>
      <w:r w:rsidRPr="00F843BD">
        <w:rPr>
          <w:rFonts w:ascii="Times New Roman" w:eastAsia="Times New Roman" w:hAnsi="Times New Roman" w:cs="Times New Roman"/>
          <w:b/>
          <w:bCs/>
          <w:sz w:val="24"/>
          <w:szCs w:val="24"/>
          <w:u w:val="single"/>
          <w:lang w:val="es-ES_tradnl"/>
        </w:rPr>
        <w:t>Contratos de Préstamo Individuales</w:t>
      </w:r>
      <w:r w:rsidRPr="00F843BD">
        <w:rPr>
          <w:rFonts w:ascii="Times New Roman" w:eastAsia="Times New Roman" w:hAnsi="Times New Roman" w:cs="Times New Roman"/>
          <w:sz w:val="24"/>
          <w:szCs w:val="24"/>
          <w:lang w:val="es-ES_tradnl"/>
        </w:rPr>
        <w:t xml:space="preserve">. </w:t>
      </w:r>
      <w:r w:rsidRPr="00F843BD">
        <w:rPr>
          <w:rFonts w:ascii="Times New Roman" w:eastAsia="Times New Roman" w:hAnsi="Times New Roman" w:cs="Times New Roman"/>
          <w:sz w:val="24"/>
          <w:szCs w:val="20"/>
          <w:lang w:val="es-ES_tradnl"/>
        </w:rPr>
        <w:t xml:space="preserve">(a) La vigencia y validez jurídica de los Contratos de Préstamo Individuales quedará sujeta a la vigencia y plena validez jurídica de este Convenio, así como al cumplimiento de cualquier otro requisito de conformidad con las normas de la República de Costa Rica. </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(b)</w:t>
      </w:r>
      <w:r w:rsidRPr="00F843BD">
        <w:rPr>
          <w:rFonts w:ascii="Times New Roman" w:eastAsia="Times New Roman" w:hAnsi="Times New Roman" w:cs="Times New Roman"/>
          <w:sz w:val="24"/>
          <w:szCs w:val="20"/>
          <w:lang w:val="es-ES_tradnl"/>
        </w:rPr>
        <w:tab/>
        <w:t>El otorgamiento de financiamiento por el Banco bajo este Convenio y la celebración por las Partes de cada Contrato de Préstamo Individual estará condicionada a: (i) la presentación de parte del Prestatario al Banco de la solicitud correspondiente; (ii) la disponibilidad de recursos suficientes del Capital Ordinario para los respectivos financiamientos, sujeta a las limitaciones generales de programación del Banco y determinada a exclusivo criterio del Directorio Ejecutivo del Banco; y (iii) la aprobación pertinente, por el Directorio Ejecutivo del Banco, de cada Operación Individual sobre la base de la solicitud de la referida Operación Individual y del análisis del caso presentado p</w:t>
      </w:r>
      <w:r w:rsidR="0088344A">
        <w:rPr>
          <w:rFonts w:ascii="Times New Roman" w:eastAsia="Times New Roman" w:hAnsi="Times New Roman" w:cs="Times New Roman"/>
          <w:sz w:val="24"/>
          <w:szCs w:val="20"/>
          <w:lang w:val="es-ES_tradnl"/>
        </w:rPr>
        <w:t>or la Administración del Banco.</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(c)</w:t>
      </w:r>
      <w:r w:rsidRPr="00F843BD">
        <w:rPr>
          <w:rFonts w:ascii="Times New Roman" w:eastAsia="Times New Roman" w:hAnsi="Times New Roman" w:cs="Times New Roman"/>
          <w:sz w:val="24"/>
          <w:szCs w:val="20"/>
          <w:lang w:val="es-ES_tradnl"/>
        </w:rPr>
        <w:tab/>
        <w:t xml:space="preserve">La continuidad en la utilización de los recursos para el financiamiento de Operaciones Individuales subsiguientes a la primera Operación Individual está sujeta al cumplimiento de los siguientes requisitos, en la forma que el Banco considere aceptable: (i) un análisis institucional actualizado de la Entidad de Enlace y de su desempeño que permita </w:t>
      </w:r>
      <w:r w:rsidRPr="00F843BD">
        <w:rPr>
          <w:rFonts w:ascii="Times New Roman" w:eastAsia="Times New Roman" w:hAnsi="Times New Roman" w:cs="Times New Roman"/>
          <w:sz w:val="24"/>
          <w:szCs w:val="20"/>
          <w:lang w:val="es-ES_tradnl"/>
        </w:rPr>
        <w:lastRenderedPageBreak/>
        <w:t>prever una trayectoria de desempeño satisfactorio de la nueva Operación Individual; (ii) los objetivos de la Operación Individual contemplada para ser financiada bajo este Convenio continúan figurando entre las prioridades definidas en la estrategia y el programa acordado entre la República de Costa Rica y el Banco; (iii) la Entidad de Enlace es la misma y su nivel de desempeño no se ha deteriorado; y (iv) la Operación Individual anterior presenta resultados satisfactorios, con base en una evaluación de desempeño.</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6.</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Plazo para celebrar Contratos de Préstamo Individuales</w:t>
      </w:r>
      <w:r w:rsidRPr="00F843BD">
        <w:rPr>
          <w:rFonts w:ascii="Times New Roman" w:eastAsia="Times New Roman" w:hAnsi="Times New Roman" w:cs="Times New Roman"/>
          <w:sz w:val="24"/>
          <w:szCs w:val="24"/>
          <w:lang w:val="es-ES_tradnl"/>
        </w:rPr>
        <w:t>. El plazo para celebrar Contratos de Préstamo Individuales bajo el presente Convenio será de diez (10) años, contados a partir de la fecha de vigencia del mismo, sin perjuicio de que este pueda ser prorrogado por las partes.</w:t>
      </w:r>
    </w:p>
    <w:p w:rsidR="00FF0D18" w:rsidRPr="00F843BD" w:rsidRDefault="00FF0D18" w:rsidP="00FF0D18">
      <w:pPr>
        <w:spacing w:after="0" w:line="240" w:lineRule="auto"/>
        <w:jc w:val="both"/>
        <w:rPr>
          <w:rFonts w:ascii="Times New Roman" w:eastAsia="Times New Roman" w:hAnsi="Times New Roman" w:cs="Times New Roman"/>
          <w:sz w:val="24"/>
          <w:szCs w:val="24"/>
          <w:u w:val="single"/>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 xml:space="preserve">Sección 7. </w:t>
      </w:r>
      <w:r w:rsidRPr="00F843BD">
        <w:rPr>
          <w:rFonts w:ascii="Times New Roman" w:eastAsia="Times New Roman" w:hAnsi="Times New Roman" w:cs="Times New Roman"/>
          <w:b/>
          <w:bCs/>
          <w:sz w:val="24"/>
          <w:szCs w:val="24"/>
          <w:lang w:val="es-ES_tradnl"/>
        </w:rPr>
        <w:tab/>
        <w:t xml:space="preserve"> </w:t>
      </w:r>
      <w:r w:rsidRPr="00F843BD">
        <w:rPr>
          <w:rFonts w:ascii="Times New Roman" w:eastAsia="Times New Roman" w:hAnsi="Times New Roman" w:cs="Times New Roman"/>
          <w:b/>
          <w:bCs/>
          <w:sz w:val="24"/>
          <w:szCs w:val="24"/>
          <w:u w:val="single"/>
          <w:lang w:val="es-ES_tradnl"/>
        </w:rPr>
        <w:t>Compromiso de Recursos por parte del Banco</w:t>
      </w:r>
      <w:r w:rsidRPr="00F843BD">
        <w:rPr>
          <w:rFonts w:ascii="Times New Roman" w:eastAsia="Times New Roman" w:hAnsi="Times New Roman" w:cs="Times New Roman"/>
          <w:sz w:val="24"/>
          <w:szCs w:val="24"/>
          <w:lang w:val="es-ES_tradnl"/>
        </w:rPr>
        <w:t>. El Banco sólo comprometerá recursos cuando el Directorio Ejecutivo del Banco apruebe la Operación Individual y en el monto correspondiente al Préstamo Individual respectivo. En consecuencia, el Prestatario no incurrirá en ningún gasto por comisiones aplicables al presente Convenio.</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8.</w:t>
      </w:r>
      <w:r w:rsidRPr="00F843BD">
        <w:rPr>
          <w:rFonts w:ascii="Arial" w:eastAsia="Times New Roman" w:hAnsi="Arial"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Compromiso de Aporte Local</w:t>
      </w:r>
      <w:r w:rsidRPr="00F843BD">
        <w:rPr>
          <w:rFonts w:ascii="Arial" w:eastAsia="Times New Roman" w:hAnsi="Arial" w:cs="Times New Roman"/>
          <w:sz w:val="24"/>
          <w:szCs w:val="24"/>
          <w:lang w:val="es-ES_tradnl"/>
        </w:rPr>
        <w:t xml:space="preserve">. </w:t>
      </w:r>
      <w:r w:rsidRPr="00F843BD">
        <w:rPr>
          <w:rFonts w:ascii="Times New Roman" w:eastAsia="Times New Roman" w:hAnsi="Times New Roman" w:cs="Times New Roman"/>
          <w:sz w:val="24"/>
          <w:szCs w:val="24"/>
          <w:lang w:val="es-ES_tradnl"/>
        </w:rPr>
        <w:t>Cada Operación Individual a ser financiada con recursos del Convenio podrá requerir de una contrapartida local, cuya necesidad y monto será determinado de común acuerdo entre la República de Costa Rica y el Banco, para lo cual se tendrán en consideración, entre otros, la disponibilidad de recursos del Banco y las necesidades de recursos en el marco de la Operación Individual de que se trate.</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9.</w:t>
      </w:r>
      <w:r w:rsidRPr="00F843BD">
        <w:rPr>
          <w:rFonts w:ascii="Times New Roman" w:eastAsia="Times New Roman" w:hAnsi="Times New Roman" w:cs="Times New Roman"/>
          <w:sz w:val="24"/>
          <w:szCs w:val="24"/>
          <w:lang w:val="es-ES_tradnl"/>
        </w:rPr>
        <w:tab/>
      </w:r>
      <w:r w:rsidRPr="00F843BD">
        <w:rPr>
          <w:rFonts w:ascii="Times New Roman" w:eastAsia="Times New Roman" w:hAnsi="Times New Roman" w:cs="Times New Roman"/>
          <w:b/>
          <w:bCs/>
          <w:sz w:val="24"/>
          <w:szCs w:val="24"/>
          <w:u w:val="single"/>
          <w:lang w:val="es-ES_tradnl"/>
        </w:rPr>
        <w:t>Condiciones financieras de las Operaciones Individuales</w:t>
      </w:r>
      <w:r w:rsidRPr="00F843BD">
        <w:rPr>
          <w:rFonts w:ascii="Times New Roman" w:eastAsia="Times New Roman" w:hAnsi="Times New Roman" w:cs="Times New Roman"/>
          <w:sz w:val="24"/>
          <w:szCs w:val="24"/>
          <w:lang w:val="es-ES_tradnl"/>
        </w:rPr>
        <w:t>. Cada Operación Individual estará sujeta a los términos y condiciones financieras vigentes y aplicables a los préstamos de inversión financiados con recursos del Capital Ordinario del Banco.</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Calibri"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10</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Normas Aplicables a la Contratación de Obras, Adquisición de Bienes y Selección y Contratación de Consultores</w:t>
      </w:r>
      <w:r w:rsidRPr="00F843BD">
        <w:rPr>
          <w:rFonts w:ascii="Times New Roman" w:eastAsia="Times New Roman" w:hAnsi="Times New Roman" w:cs="Times New Roman"/>
          <w:sz w:val="24"/>
          <w:szCs w:val="24"/>
          <w:lang w:val="es-ES_tradnl"/>
        </w:rPr>
        <w:t>. Las Operaciones Individuales a ser financiadas con recursos del Convenio se regirán por las Políticas del Banco en materia de Contratación de Obras y Adquisición de Bienes y Selección y Contratación de Consultores vigentes al momento de la suscripción de los correspondientes Contratos de Préstamo Individual.</w:t>
      </w:r>
      <w:r w:rsidR="0088344A">
        <w:rPr>
          <w:rFonts w:ascii="Times New Roman" w:eastAsia="Times New Roman" w:hAnsi="Times New Roman" w:cs="Times New Roman"/>
          <w:sz w:val="24"/>
          <w:szCs w:val="24"/>
          <w:lang w:val="es-ES_tradnl"/>
        </w:rPr>
        <w:t xml:space="preserve"> </w:t>
      </w:r>
      <w:r w:rsidRPr="00F843BD">
        <w:rPr>
          <w:rFonts w:ascii="Times New Roman" w:eastAsia="Times New Roman" w:hAnsi="Times New Roman" w:cs="Times New Roman"/>
          <w:sz w:val="24"/>
          <w:szCs w:val="24"/>
          <w:lang w:val="es-ES_tradnl"/>
        </w:rPr>
        <w:t xml:space="preserve"> Si las Políticas de Adquisiciones fueran modificadas por el Banco, la adquisición de obras, bienes y consultores serán llevadas a cabo de acuerdo con las disposiciones de las Políticas de Adquisiciones modificadas, una vez que éstas sean puestas en conocimiento del Prestatario y el Prestatario acepte por escrito su aplicación.</w:t>
      </w:r>
    </w:p>
    <w:p w:rsidR="00FF0D18" w:rsidRPr="00F843BD" w:rsidRDefault="00FF0D18" w:rsidP="00FF0D18">
      <w:pPr>
        <w:spacing w:after="0" w:line="240" w:lineRule="auto"/>
        <w:rPr>
          <w:rFonts w:ascii="Times New Roman" w:eastAsia="Calibri"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11.</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Cancelación o Reducción del Monto del Convenio</w:t>
      </w:r>
      <w:r w:rsidRPr="00F843BD">
        <w:rPr>
          <w:rFonts w:ascii="Times New Roman" w:eastAsia="Times New Roman" w:hAnsi="Times New Roman" w:cs="Times New Roman"/>
          <w:sz w:val="24"/>
          <w:szCs w:val="24"/>
          <w:lang w:val="es-ES_tradnl"/>
        </w:rPr>
        <w:t>. El Convenio podrá ser cancelado en su totalidad o en una parte de los recursos no comprometidos en las Operaciones Individuales en cualquier momento por acuerdo escrito entre las partes, en cuyo caso, las Operaciones Individuales que se encuentren en ejecución continuarán sujetas a lo previsto en los correspondientes Contratos de Pr</w:t>
      </w:r>
      <w:r w:rsidR="0088344A">
        <w:rPr>
          <w:rFonts w:ascii="Times New Roman" w:eastAsia="Times New Roman" w:hAnsi="Times New Roman" w:cs="Times New Roman"/>
          <w:sz w:val="24"/>
          <w:szCs w:val="24"/>
          <w:lang w:val="es-ES_tradnl"/>
        </w:rPr>
        <w:t>éstamo Individuales.</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12.</w:t>
      </w:r>
      <w:r w:rsidRPr="00F843BD">
        <w:rPr>
          <w:rFonts w:ascii="Times New Roman" w:eastAsia="Times New Roman" w:hAnsi="Times New Roman" w:cs="Times New Roman"/>
          <w:sz w:val="24"/>
          <w:szCs w:val="24"/>
          <w:lang w:val="es-ES_tradnl"/>
        </w:rPr>
        <w:tab/>
      </w:r>
      <w:r w:rsidRPr="00F843BD">
        <w:rPr>
          <w:rFonts w:ascii="Times New Roman" w:eastAsia="Times New Roman" w:hAnsi="Times New Roman" w:cs="Times New Roman"/>
          <w:b/>
          <w:bCs/>
          <w:sz w:val="24"/>
          <w:szCs w:val="24"/>
          <w:u w:val="single"/>
          <w:lang w:val="es-ES_tradnl"/>
        </w:rPr>
        <w:t>Limitaciones a las Obligaciones de las Partes</w:t>
      </w:r>
      <w:r w:rsidRPr="00F843BD">
        <w:rPr>
          <w:rFonts w:ascii="Times New Roman" w:eastAsia="Times New Roman" w:hAnsi="Times New Roman" w:cs="Times New Roman"/>
          <w:sz w:val="24"/>
          <w:szCs w:val="24"/>
          <w:lang w:val="es-ES_tradnl"/>
        </w:rPr>
        <w:t xml:space="preserve">. El presente Convenio no constituye una obligación para el Banco de financiar total o parcialmente una Operación </w:t>
      </w:r>
      <w:r w:rsidRPr="00F843BD">
        <w:rPr>
          <w:rFonts w:ascii="Times New Roman" w:eastAsia="Times New Roman" w:hAnsi="Times New Roman" w:cs="Times New Roman"/>
          <w:sz w:val="24"/>
          <w:szCs w:val="24"/>
          <w:lang w:val="es-ES_tradnl"/>
        </w:rPr>
        <w:lastRenderedPageBreak/>
        <w:t>Individual, ni, a su vez, una obligación para la República de Costa Rica de solicitar al Banco recursos del Convenio para financiar una Operación Individual.</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13.</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Normas Aplicables a las Operaciones Individuales</w:t>
      </w:r>
      <w:r w:rsidRPr="00F843BD">
        <w:rPr>
          <w:rFonts w:ascii="Times New Roman" w:eastAsia="Times New Roman" w:hAnsi="Times New Roman" w:cs="Times New Roman"/>
          <w:sz w:val="24"/>
          <w:szCs w:val="24"/>
          <w:lang w:val="es-ES_tradnl"/>
        </w:rPr>
        <w:t>. Las Operaciones Individuales se regirán por las disposiciones establecidas en cada uno de los respectivos Contratos de Préstamo Individuales, su anexo y normas generales correspondientes, así como por lo previsto en el presente Convenio, en lo que resulte aplicable.</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14.</w:t>
      </w:r>
      <w:r w:rsidRPr="00F843BD">
        <w:rPr>
          <w:rFonts w:ascii="Times New Roman" w:eastAsia="Times New Roman" w:hAnsi="Times New Roman" w:cs="Times New Roman"/>
          <w:sz w:val="24"/>
          <w:szCs w:val="24"/>
          <w:lang w:val="es-ES_tradnl"/>
        </w:rPr>
        <w:tab/>
      </w:r>
      <w:r w:rsidRPr="00F843BD">
        <w:rPr>
          <w:rFonts w:ascii="Times New Roman" w:eastAsia="Times New Roman" w:hAnsi="Times New Roman" w:cs="Times New Roman"/>
          <w:b/>
          <w:bCs/>
          <w:sz w:val="24"/>
          <w:szCs w:val="24"/>
          <w:u w:val="single"/>
          <w:lang w:val="es-ES_tradnl"/>
        </w:rPr>
        <w:t>Seguimiento y Evaluación</w:t>
      </w:r>
      <w:r w:rsidRPr="00F843BD">
        <w:rPr>
          <w:rFonts w:ascii="Times New Roman" w:eastAsia="Times New Roman" w:hAnsi="Times New Roman" w:cs="Times New Roman"/>
          <w:sz w:val="24"/>
          <w:szCs w:val="24"/>
          <w:lang w:val="es-ES_tradnl"/>
        </w:rPr>
        <w:t>. Durante la ejecución de las Operaciones Individuales, la República de Costa Rica, por medio de la Entidad de Enlace, y el Banco se reunirán, al menos, una vez al año para intercambiar información técnica de interés común. En esa reunión se discutirá, entre otros, la marcha de las operaciones dentro de un contexto relacionado con: (a) la utilización de los recursos de que trata el presente Convenio; (b) el intercambio y la divulgación de experiencias de interés mutuo relativas al cumplimiento de: (i) las metas, objetivos y resultados obtenidos sobre la base del marco de indicadores acordado entre las Partes; y (ii) los requisitos en materia de medio ambiente estipulados en la legislación de Costa Rica y en las políticas del Banco en lo que fueran aplicables a las Operaciones Individuales en ejecución; y (c) la conveniencia de introducir cualquier cambio sustancial en las Operaciones Individuales.</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15.</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Vigencia</w:t>
      </w:r>
      <w:r w:rsidRPr="00F843BD">
        <w:rPr>
          <w:rFonts w:ascii="Times New Roman" w:eastAsia="Times New Roman" w:hAnsi="Times New Roman" w:cs="Times New Roman"/>
          <w:sz w:val="24"/>
          <w:szCs w:val="24"/>
          <w:lang w:val="es-ES_tradnl"/>
        </w:rPr>
        <w:t>. El presente Convenio entrará en vigencia a partir de la fecha en que de acuerdo con las normas de la República de Costa Rica adquiera plena validez jurídica. El Convenio</w:t>
      </w:r>
      <w:r w:rsidRPr="00F843BD">
        <w:rPr>
          <w:rFonts w:ascii="Times New Roman" w:eastAsia="Times New Roman" w:hAnsi="Times New Roman" w:cs="Times New Roman"/>
          <w:sz w:val="24"/>
          <w:szCs w:val="20"/>
          <w:lang w:val="es-ES_tradnl"/>
        </w:rPr>
        <w:t xml:space="preserve"> per</w:t>
      </w:r>
      <w:r w:rsidRPr="00F843BD">
        <w:rPr>
          <w:rFonts w:ascii="Times New Roman" w:eastAsia="Times New Roman" w:hAnsi="Times New Roman" w:cs="Times New Roman"/>
          <w:sz w:val="24"/>
          <w:szCs w:val="24"/>
          <w:lang w:val="es-ES_tradnl"/>
        </w:rPr>
        <w:t>manecerá en vigencia hasta la fecha en que haya sido totalmente amortizado el pago correspondiente a los Contratos de Préstamo Individua</w:t>
      </w:r>
      <w:r w:rsidR="0088344A">
        <w:rPr>
          <w:rFonts w:ascii="Times New Roman" w:eastAsia="Times New Roman" w:hAnsi="Times New Roman" w:cs="Times New Roman"/>
          <w:sz w:val="24"/>
          <w:szCs w:val="24"/>
          <w:lang w:val="es-ES_tradnl"/>
        </w:rPr>
        <w:t>les suscritos entre las Partes.</w:t>
      </w:r>
    </w:p>
    <w:p w:rsidR="00FF0D18" w:rsidRPr="00F843BD" w:rsidRDefault="00FF0D18" w:rsidP="00FF0D18">
      <w:pPr>
        <w:spacing w:after="0" w:line="240" w:lineRule="auto"/>
        <w:jc w:val="both"/>
        <w:rPr>
          <w:rFonts w:ascii="Times New Roman" w:eastAsia="Times New Roman" w:hAnsi="Times New Roman" w:cs="Times New Roman"/>
          <w:b/>
          <w:bCs/>
          <w:sz w:val="24"/>
          <w:szCs w:val="24"/>
          <w:lang w:val="es-ES_tradnl"/>
        </w:rPr>
      </w:pPr>
    </w:p>
    <w:p w:rsidR="00FF0D18" w:rsidRPr="00F843BD" w:rsidRDefault="0088344A" w:rsidP="00FF0D18">
      <w:pPr>
        <w:spacing w:after="0" w:line="24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b/>
          <w:bCs/>
          <w:sz w:val="24"/>
          <w:szCs w:val="24"/>
          <w:lang w:val="es-ES_tradnl"/>
        </w:rPr>
        <w:t>Sección 16.</w:t>
      </w:r>
      <w:r w:rsidR="00FF0D18" w:rsidRPr="00F843BD">
        <w:rPr>
          <w:rFonts w:ascii="Times New Roman" w:eastAsia="Times New Roman" w:hAnsi="Times New Roman" w:cs="Times New Roman"/>
          <w:b/>
          <w:bCs/>
          <w:sz w:val="24"/>
          <w:szCs w:val="24"/>
          <w:lang w:val="es-ES_tradnl"/>
        </w:rPr>
        <w:tab/>
      </w:r>
      <w:r w:rsidR="00FF0D18" w:rsidRPr="00F843BD">
        <w:rPr>
          <w:rFonts w:ascii="Times New Roman" w:eastAsia="Times New Roman" w:hAnsi="Times New Roman" w:cs="Times New Roman"/>
          <w:b/>
          <w:bCs/>
          <w:sz w:val="24"/>
          <w:szCs w:val="24"/>
          <w:u w:val="single"/>
          <w:lang w:val="es-ES_tradnl"/>
        </w:rPr>
        <w:t>Modificaciones</w:t>
      </w:r>
      <w:r w:rsidR="00FF0D18" w:rsidRPr="00F843BD">
        <w:rPr>
          <w:rFonts w:ascii="Times New Roman" w:eastAsia="Times New Roman" w:hAnsi="Times New Roman" w:cs="Times New Roman"/>
          <w:sz w:val="24"/>
          <w:szCs w:val="24"/>
          <w:lang w:val="es-ES_tradnl"/>
        </w:rPr>
        <w:t>. Cualquier modificación a las disposiciones de este Convenio deberá ser acordada por escrito entre las Partes, en lo que fuere aplicable.</w:t>
      </w:r>
    </w:p>
    <w:p w:rsidR="00FF0D18" w:rsidRPr="00F843BD" w:rsidRDefault="00FF0D18" w:rsidP="00FF0D18">
      <w:pPr>
        <w:spacing w:after="0" w:line="240" w:lineRule="auto"/>
        <w:jc w:val="both"/>
        <w:rPr>
          <w:rFonts w:ascii="Times New Roman" w:eastAsia="Times New Roman" w:hAnsi="Times New Roman" w:cs="Times New Roman"/>
          <w:b/>
          <w:bCs/>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17.</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Comunicaciones</w:t>
      </w:r>
      <w:r w:rsidRPr="00F843BD">
        <w:rPr>
          <w:rFonts w:ascii="Times New Roman" w:eastAsia="Times New Roman" w:hAnsi="Times New Roman" w:cs="Times New Roman"/>
          <w:bCs/>
          <w:sz w:val="24"/>
          <w:szCs w:val="24"/>
          <w:lang w:val="es-ES_tradnl"/>
        </w:rPr>
        <w:t>.</w:t>
      </w:r>
      <w:r w:rsidRPr="00F843BD">
        <w:rPr>
          <w:rFonts w:ascii="Times New Roman" w:eastAsia="Times New Roman" w:hAnsi="Times New Roman" w:cs="Times New Roman"/>
          <w:sz w:val="24"/>
          <w:szCs w:val="24"/>
          <w:lang w:val="es-ES_tradnl"/>
        </w:rPr>
        <w:t xml:space="preserve"> Salvo acuerdo escrito entre las Partes en que se establezca otro procedimiento, todo aviso, solicitud o comunicación que éstas deban enviarse entre sí en virtud del presente Convenio, deberá efectuarse por escrito y se considerará efectuada en el momento en que el documento correspondiente sea entregado al destinatario en las respectivas direcciones abajo indicadas:</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De la República de Costa Rica:</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Dirección Postal:</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ab/>
        <w:t xml:space="preserve">Ministerio de Hacienda </w:t>
      </w:r>
    </w:p>
    <w:p w:rsidR="00FF0D18" w:rsidRPr="00F843BD" w:rsidRDefault="00FF0D18" w:rsidP="00FF0D18">
      <w:pPr>
        <w:spacing w:after="0" w:line="240" w:lineRule="auto"/>
        <w:ind w:left="720"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Avenida 2da., Calles 3 y 5</w:t>
      </w:r>
    </w:p>
    <w:p w:rsidR="00FF0D18" w:rsidRPr="00F843BD" w:rsidRDefault="00FF0D18" w:rsidP="00FF0D18">
      <w:pPr>
        <w:spacing w:after="0" w:line="240" w:lineRule="auto"/>
        <w:ind w:left="720"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San José, Costa Rica</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4"/>
          <w:lang w:val="es-ES_tradnl"/>
        </w:rPr>
        <w:t>Teléfono: (506) 2547</w:t>
      </w:r>
      <w:r w:rsidRPr="00F843BD">
        <w:rPr>
          <w:rFonts w:ascii="Times New Roman" w:eastAsia="Times New Roman" w:hAnsi="Times New Roman" w:cs="Times New Roman"/>
          <w:sz w:val="24"/>
          <w:szCs w:val="20"/>
          <w:lang w:val="es-ES_tradnl"/>
        </w:rPr>
        <w:t>-4264</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 xml:space="preserve">Correo electrónico: </w:t>
      </w:r>
      <w:hyperlink r:id="rId18" w:history="1">
        <w:r w:rsidRPr="00F843BD">
          <w:rPr>
            <w:rFonts w:ascii="Times New Roman" w:eastAsia="Times New Roman" w:hAnsi="Times New Roman" w:cs="Times New Roman"/>
            <w:color w:val="0000FF"/>
            <w:sz w:val="24"/>
            <w:szCs w:val="20"/>
            <w:u w:val="single"/>
            <w:lang w:val="es-ES_tradnl"/>
          </w:rPr>
          <w:t>despachomh@hacienda.go.cr</w:t>
        </w:r>
      </w:hyperlink>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lastRenderedPageBreak/>
        <w:t xml:space="preserve">De la Entidad de Enlace: </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ab/>
        <w:t>Dirección Postal:</w:t>
      </w:r>
    </w:p>
    <w:p w:rsidR="00FF0D18" w:rsidRPr="00F843BD"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F843BD" w:rsidRDefault="00FF0D18" w:rsidP="00FF0D18">
      <w:pPr>
        <w:spacing w:after="0" w:line="240" w:lineRule="auto"/>
        <w:jc w:val="both"/>
        <w:rPr>
          <w:rFonts w:ascii="Times New Roman" w:eastAsia="Arial Unicode MS" w:hAnsi="Times New Roman" w:cs="Times New Roman"/>
          <w:sz w:val="24"/>
          <w:szCs w:val="24"/>
          <w:lang w:val="es-ES_tradnl"/>
        </w:rPr>
      </w:pPr>
      <w:r w:rsidRPr="00F843BD">
        <w:rPr>
          <w:rFonts w:ascii="Times New Roman" w:eastAsia="Times New Roman" w:hAnsi="Times New Roman" w:cs="Times New Roman"/>
          <w:sz w:val="24"/>
          <w:szCs w:val="24"/>
          <w:lang w:val="es-ES_tradnl"/>
        </w:rPr>
        <w:tab/>
      </w:r>
      <w:r w:rsidRPr="00F843BD">
        <w:rPr>
          <w:rFonts w:ascii="Times New Roman" w:eastAsia="Times New Roman" w:hAnsi="Times New Roman" w:cs="Times New Roman"/>
          <w:sz w:val="24"/>
          <w:szCs w:val="24"/>
          <w:lang w:val="es-ES_tradnl"/>
        </w:rPr>
        <w:tab/>
      </w:r>
      <w:r w:rsidRPr="00F843BD">
        <w:rPr>
          <w:rFonts w:ascii="Times New Roman" w:eastAsia="Arial Unicode MS" w:hAnsi="Times New Roman" w:cs="Times New Roman"/>
          <w:sz w:val="24"/>
          <w:szCs w:val="24"/>
          <w:lang w:val="es-ES_tradnl"/>
        </w:rPr>
        <w:t>Ministerio de Obras Públicas y Transporte (MOPT)</w:t>
      </w:r>
    </w:p>
    <w:p w:rsidR="00FF0D18" w:rsidRPr="00F843BD" w:rsidRDefault="00FF0D18" w:rsidP="00FF0D18">
      <w:pPr>
        <w:spacing w:after="0" w:line="240" w:lineRule="auto"/>
        <w:ind w:left="1440"/>
        <w:jc w:val="both"/>
        <w:rPr>
          <w:rFonts w:ascii="Times New Roman" w:eastAsia="Arial Unicode MS" w:hAnsi="Times New Roman" w:cs="Times New Roman"/>
          <w:sz w:val="24"/>
          <w:szCs w:val="24"/>
          <w:lang w:val="es-ES_tradnl"/>
        </w:rPr>
      </w:pPr>
      <w:r w:rsidRPr="00F843BD">
        <w:rPr>
          <w:rFonts w:ascii="Times New Roman" w:eastAsia="Arial Unicode MS" w:hAnsi="Times New Roman" w:cs="Times New Roman"/>
          <w:sz w:val="24"/>
          <w:szCs w:val="24"/>
          <w:lang w:val="es-ES_tradnl"/>
        </w:rPr>
        <w:t>Plantel Central del MOPT costado Sur Gimnasio del Liceo de Costa Rica Avenidas 20 y 22, calles 9 y 11, Plaza Gonzalez Víquez</w:t>
      </w:r>
    </w:p>
    <w:p w:rsidR="00FF0D18" w:rsidRPr="00F843BD" w:rsidRDefault="00FF0D18" w:rsidP="00FF0D18">
      <w:pPr>
        <w:spacing w:after="0" w:line="240" w:lineRule="auto"/>
        <w:ind w:left="1440"/>
        <w:jc w:val="both"/>
        <w:rPr>
          <w:rFonts w:ascii="Times New Roman" w:eastAsia="Times New Roman" w:hAnsi="Times New Roman" w:cs="Times New Roman"/>
          <w:sz w:val="24"/>
          <w:szCs w:val="24"/>
          <w:lang w:val="es-ES_tradnl"/>
        </w:rPr>
      </w:pPr>
      <w:r w:rsidRPr="00F843BD">
        <w:rPr>
          <w:rFonts w:ascii="Times New Roman" w:eastAsia="Arial Unicode MS" w:hAnsi="Times New Roman" w:cs="Times New Roman"/>
          <w:sz w:val="24"/>
          <w:szCs w:val="24"/>
          <w:lang w:val="es-ES_tradnl"/>
        </w:rPr>
        <w:t>San José, Costa Rica</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4"/>
          <w:lang w:val="es-ES_tradnl"/>
        </w:rPr>
        <w:t>Teléfono: (506) 2523-2000</w:t>
      </w:r>
    </w:p>
    <w:p w:rsidR="00FF0D18" w:rsidRPr="00F843BD" w:rsidRDefault="00FF0D18" w:rsidP="00FF0D18">
      <w:pPr>
        <w:spacing w:after="0" w:line="240" w:lineRule="auto"/>
        <w:ind w:firstLine="720"/>
        <w:jc w:val="center"/>
        <w:rPr>
          <w:rFonts w:ascii="Times New Roman" w:eastAsia="Times New Roman" w:hAnsi="Times New Roman" w:cs="Times New Roman"/>
          <w:sz w:val="24"/>
          <w:szCs w:val="20"/>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0"/>
          <w:lang w:val="es-ES_tradnl"/>
        </w:rPr>
        <w:t>Correo electrónico: tfiguerm@mopt.go.cr</w:t>
      </w: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keepLines/>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Del Banco:</w:t>
      </w:r>
    </w:p>
    <w:p w:rsidR="00FF0D18" w:rsidRPr="00F843BD" w:rsidRDefault="00FF0D18" w:rsidP="00FF0D18">
      <w:pPr>
        <w:keepNext/>
        <w:keepLines/>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keepLines/>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0"/>
          <w:lang w:val="es-ES_tradnl"/>
        </w:rPr>
        <w:t>Dirección Postal:</w:t>
      </w:r>
    </w:p>
    <w:p w:rsidR="00FF0D18" w:rsidRPr="00F843BD" w:rsidRDefault="00FF0D18" w:rsidP="00FF0D18">
      <w:pPr>
        <w:keepNext/>
        <w:keepLines/>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keepLines/>
        <w:spacing w:after="0" w:line="240" w:lineRule="auto"/>
        <w:ind w:firstLine="1440"/>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Banco Interamericano de Desarrollo</w:t>
      </w:r>
    </w:p>
    <w:p w:rsidR="00FF0D18" w:rsidRPr="00F843BD" w:rsidRDefault="00FF0D18" w:rsidP="00FF0D18">
      <w:pPr>
        <w:keepNext/>
        <w:keepLines/>
        <w:spacing w:after="0" w:line="240" w:lineRule="auto"/>
        <w:ind w:firstLine="1440"/>
        <w:rPr>
          <w:rFonts w:ascii="Times New Roman" w:eastAsia="Times New Roman" w:hAnsi="Times New Roman" w:cs="Times New Roman"/>
          <w:sz w:val="24"/>
          <w:szCs w:val="20"/>
          <w:lang w:val="en-US"/>
        </w:rPr>
      </w:pPr>
      <w:r w:rsidRPr="00F843BD">
        <w:rPr>
          <w:rFonts w:ascii="Times New Roman" w:eastAsia="Times New Roman" w:hAnsi="Times New Roman" w:cs="Times New Roman"/>
          <w:sz w:val="24"/>
          <w:szCs w:val="20"/>
          <w:lang w:val="en-US"/>
        </w:rPr>
        <w:t>1300 New York Ave., N.W.</w:t>
      </w:r>
    </w:p>
    <w:p w:rsidR="00FF0D18" w:rsidRPr="00F843BD" w:rsidRDefault="00FF0D18" w:rsidP="00FF0D18">
      <w:pPr>
        <w:keepNext/>
        <w:keepLines/>
        <w:spacing w:after="0" w:line="240" w:lineRule="auto"/>
        <w:ind w:firstLine="1440"/>
        <w:rPr>
          <w:rFonts w:ascii="Times New Roman" w:eastAsia="Times New Roman" w:hAnsi="Times New Roman" w:cs="Times New Roman"/>
          <w:sz w:val="24"/>
          <w:szCs w:val="20"/>
          <w:lang w:val="es-ES_tradnl"/>
        </w:rPr>
      </w:pPr>
      <w:r w:rsidRPr="00F843BD">
        <w:rPr>
          <w:rFonts w:ascii="Times New Roman" w:eastAsia="Times New Roman" w:hAnsi="Times New Roman" w:cs="Times New Roman"/>
          <w:sz w:val="24"/>
          <w:szCs w:val="20"/>
          <w:lang w:val="es-ES_tradnl"/>
        </w:rPr>
        <w:t>Washington, D.C.  20577</w:t>
      </w:r>
    </w:p>
    <w:p w:rsidR="00FF0D18" w:rsidRPr="00F843BD" w:rsidRDefault="00FF0D18" w:rsidP="00FF0D18">
      <w:pPr>
        <w:keepNext/>
        <w:keepLines/>
        <w:spacing w:after="0" w:line="240" w:lineRule="auto"/>
        <w:ind w:firstLine="1440"/>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Estados Unidos de América</w:t>
      </w:r>
    </w:p>
    <w:p w:rsidR="00FF0D18" w:rsidRPr="00F843BD" w:rsidRDefault="00FF0D18" w:rsidP="00FF0D18">
      <w:pPr>
        <w:keepNext/>
        <w:keepLines/>
        <w:spacing w:after="0" w:line="240" w:lineRule="auto"/>
        <w:ind w:firstLine="450"/>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0"/>
          <w:lang w:val="es-ES_tradnl"/>
        </w:rPr>
        <w:t>Teléfono</w:t>
      </w:r>
      <w:r w:rsidRPr="00F843BD">
        <w:rPr>
          <w:rFonts w:ascii="Times New Roman" w:eastAsia="Times New Roman" w:hAnsi="Times New Roman" w:cs="Times New Roman"/>
          <w:sz w:val="24"/>
          <w:szCs w:val="24"/>
          <w:lang w:val="es-ES_tradnl"/>
        </w:rPr>
        <w:t>: (202) 623-3096</w:t>
      </w: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F843BD" w:rsidRDefault="00FF0D18" w:rsidP="00FF0D18">
      <w:pPr>
        <w:spacing w:before="100" w:beforeAutospacing="1" w:after="100" w:afterAutospacing="1"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b/>
          <w:bCs/>
          <w:sz w:val="24"/>
          <w:szCs w:val="24"/>
          <w:lang w:val="es-ES_tradnl"/>
        </w:rPr>
        <w:t>Sección 18.</w:t>
      </w:r>
      <w:r w:rsidRPr="00F843BD">
        <w:rPr>
          <w:rFonts w:ascii="Times New Roman" w:eastAsia="Times New Roman" w:hAnsi="Times New Roman" w:cs="Times New Roman"/>
          <w:b/>
          <w:bCs/>
          <w:sz w:val="24"/>
          <w:szCs w:val="24"/>
          <w:lang w:val="es-ES_tradnl"/>
        </w:rPr>
        <w:tab/>
      </w:r>
      <w:r w:rsidRPr="00F843BD">
        <w:rPr>
          <w:rFonts w:ascii="Times New Roman" w:eastAsia="Times New Roman" w:hAnsi="Times New Roman" w:cs="Times New Roman"/>
          <w:b/>
          <w:bCs/>
          <w:sz w:val="24"/>
          <w:szCs w:val="24"/>
          <w:u w:val="single"/>
          <w:lang w:val="es-ES_tradnl"/>
        </w:rPr>
        <w:t>Cláusula de Arbitraje</w:t>
      </w:r>
      <w:r w:rsidRPr="00F843BD">
        <w:rPr>
          <w:rFonts w:ascii="Times New Roman" w:eastAsia="Times New Roman" w:hAnsi="Times New Roman" w:cs="Times New Roman"/>
          <w:bCs/>
          <w:sz w:val="24"/>
          <w:szCs w:val="24"/>
          <w:lang w:val="es-ES_tradnl"/>
        </w:rPr>
        <w:t>.</w:t>
      </w:r>
      <w:r w:rsidRPr="00F843BD">
        <w:rPr>
          <w:rFonts w:ascii="Times New Roman" w:eastAsia="Times New Roman" w:hAnsi="Times New Roman" w:cs="Times New Roman"/>
          <w:sz w:val="24"/>
          <w:szCs w:val="24"/>
          <w:lang w:val="es-ES_tradnl"/>
        </w:rPr>
        <w:t xml:space="preserve"> Para la solución de toda controversia que se derive del presente Convenio y que no se resuelva por acuerdo entre las partes, éstas se someten incondicional e irrevocablemente al procedimiento y fallo del Tribunal de Arbitraje, en los términos previstos en el Capítulo XII de las Normas Generales del Contrato de Préstamo del primer Proyecto Individual al que hace referencia la sección 5 del presente Convenio.</w:t>
      </w: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F843BD"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lastRenderedPageBreak/>
        <w:t>EN FE DE LO CUAL, la República de Costa Rica y el Banco, actuando cada uno por intermedio de su representante debidamente autorizado, firman el presente Convenio en dos (2) ejemplares de igual tenor, en San José, Costa Rica, el día arriba indicado.</w:t>
      </w: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tbl>
      <w:tblPr>
        <w:tblW w:w="9360" w:type="dxa"/>
        <w:tblInd w:w="120" w:type="dxa"/>
        <w:tblLayout w:type="fixed"/>
        <w:tblCellMar>
          <w:left w:w="120" w:type="dxa"/>
          <w:right w:w="120" w:type="dxa"/>
        </w:tblCellMar>
        <w:tblLook w:val="0000" w:firstRow="0" w:lastRow="0" w:firstColumn="0" w:lastColumn="0" w:noHBand="0" w:noVBand="0"/>
      </w:tblPr>
      <w:tblGrid>
        <w:gridCol w:w="4680"/>
        <w:gridCol w:w="4680"/>
      </w:tblGrid>
      <w:tr w:rsidR="00FF0D18" w:rsidRPr="00F843BD" w:rsidTr="00FF0D18">
        <w:trPr>
          <w:cantSplit/>
          <w:trHeight w:val="2380"/>
        </w:trPr>
        <w:tc>
          <w:tcPr>
            <w:tcW w:w="4680" w:type="dxa"/>
          </w:tcPr>
          <w:p w:rsidR="00FF0D18" w:rsidRPr="00F843BD" w:rsidRDefault="00FF0D18" w:rsidP="00FF0D18">
            <w:pPr>
              <w:keepNext/>
              <w:spacing w:after="0" w:line="240" w:lineRule="auto"/>
              <w:jc w:val="center"/>
              <w:rPr>
                <w:rFonts w:ascii="Times New Roman" w:eastAsia="Times New Roman" w:hAnsi="Times New Roman" w:cs="Times New Roman"/>
                <w:sz w:val="24"/>
                <w:szCs w:val="24"/>
                <w:lang w:val="pt-BR"/>
              </w:rPr>
            </w:pPr>
            <w:r w:rsidRPr="00F843BD">
              <w:rPr>
                <w:rFonts w:ascii="Times New Roman" w:eastAsia="Times New Roman" w:hAnsi="Times New Roman" w:cs="Times New Roman"/>
                <w:sz w:val="24"/>
                <w:szCs w:val="24"/>
                <w:lang w:val="pt-BR"/>
              </w:rPr>
              <w:t>REPÚBLICA DE COSTA RICA</w:t>
            </w: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pt-BR"/>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pt-BR"/>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pt-BR"/>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pt-BR"/>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pt-BR"/>
              </w:rPr>
            </w:pPr>
          </w:p>
          <w:p w:rsidR="00FF0D18" w:rsidRPr="00F843BD" w:rsidRDefault="00FF0D18" w:rsidP="00FF0D18">
            <w:pPr>
              <w:keepNext/>
              <w:keepLines/>
              <w:spacing w:after="0" w:line="240" w:lineRule="auto"/>
              <w:jc w:val="center"/>
              <w:rPr>
                <w:rFonts w:ascii="Times New Roman" w:eastAsia="Times New Roman" w:hAnsi="Times New Roman" w:cs="Times New Roman"/>
                <w:sz w:val="24"/>
                <w:szCs w:val="24"/>
                <w:lang w:val="pt-BR"/>
              </w:rPr>
            </w:pPr>
            <w:r w:rsidRPr="00F843BD">
              <w:rPr>
                <w:rFonts w:ascii="Times New Roman" w:eastAsia="Times New Roman" w:hAnsi="Times New Roman" w:cs="Times New Roman"/>
                <w:sz w:val="24"/>
                <w:szCs w:val="24"/>
                <w:lang w:val="pt-BR"/>
              </w:rPr>
              <w:t>_______________________________</w:t>
            </w:r>
          </w:p>
          <w:p w:rsidR="00FF0D18" w:rsidRPr="00F843BD" w:rsidRDefault="00FF0D18" w:rsidP="00FF0D18">
            <w:pPr>
              <w:keepNext/>
              <w:keepLines/>
              <w:spacing w:after="0" w:line="240" w:lineRule="auto"/>
              <w:jc w:val="center"/>
              <w:rPr>
                <w:rFonts w:ascii="Times New Roman" w:eastAsia="Times New Roman" w:hAnsi="Times New Roman" w:cs="Times New Roman"/>
                <w:sz w:val="24"/>
                <w:szCs w:val="24"/>
                <w:lang w:val="pt-BR"/>
              </w:rPr>
            </w:pPr>
            <w:r w:rsidRPr="00F843BD">
              <w:rPr>
                <w:rFonts w:ascii="Times New Roman" w:eastAsia="Times New Roman" w:hAnsi="Times New Roman" w:cs="Times New Roman"/>
                <w:sz w:val="24"/>
                <w:szCs w:val="24"/>
                <w:lang w:val="pt-BR"/>
              </w:rPr>
              <w:t>Rodrigo Chaves Robles</w:t>
            </w:r>
          </w:p>
          <w:p w:rsidR="00FF0D18" w:rsidRPr="00F843BD" w:rsidRDefault="00FF0D18" w:rsidP="00FF0D18">
            <w:pPr>
              <w:keepNext/>
              <w:keepLines/>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Ministro de Hacienda</w:t>
            </w:r>
          </w:p>
          <w:p w:rsidR="00FF0D18" w:rsidRPr="00F843BD" w:rsidRDefault="00FF0D18" w:rsidP="00FF0D18">
            <w:pPr>
              <w:keepNext/>
              <w:keepLines/>
              <w:spacing w:after="0" w:line="240" w:lineRule="auto"/>
              <w:jc w:val="center"/>
              <w:rPr>
                <w:rFonts w:ascii="Times New Roman" w:eastAsia="Times New Roman" w:hAnsi="Times New Roman" w:cs="Times New Roman"/>
                <w:iCs/>
                <w:sz w:val="20"/>
                <w:szCs w:val="24"/>
                <w:lang w:val="es-ES_tradnl"/>
              </w:rPr>
            </w:pPr>
            <w:r w:rsidRPr="00F843BD">
              <w:rPr>
                <w:rFonts w:ascii="Times New Roman" w:eastAsia="Times New Roman" w:hAnsi="Times New Roman" w:cs="Times New Roman"/>
                <w:iCs/>
                <w:sz w:val="20"/>
                <w:szCs w:val="24"/>
                <w:lang w:val="es-ES_tradnl"/>
              </w:rPr>
              <w:t xml:space="preserve"> </w:t>
            </w:r>
          </w:p>
        </w:tc>
        <w:tc>
          <w:tcPr>
            <w:tcW w:w="4680" w:type="dxa"/>
          </w:tcPr>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BANCO INTERAMERICANO</w:t>
            </w: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DE DESARROLLO</w:t>
            </w: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p>
          <w:p w:rsidR="00FF0D18" w:rsidRPr="00F843BD" w:rsidRDefault="00FF0D18" w:rsidP="00FF0D18">
            <w:pPr>
              <w:keepNext/>
              <w:keepLines/>
              <w:spacing w:after="0" w:line="240" w:lineRule="auto"/>
              <w:jc w:val="center"/>
              <w:rPr>
                <w:rFonts w:ascii="Times New Roman" w:eastAsia="Times New Roman" w:hAnsi="Times New Roman" w:cs="Times New Roman"/>
                <w:sz w:val="24"/>
                <w:szCs w:val="24"/>
                <w:lang w:val="es-ES_tradnl"/>
              </w:rPr>
            </w:pPr>
          </w:p>
          <w:p w:rsidR="00FF0D18" w:rsidRPr="00F843BD" w:rsidRDefault="00FF0D18" w:rsidP="00FF0D18">
            <w:pPr>
              <w:keepNext/>
              <w:keepLines/>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_______________________________</w:t>
            </w:r>
          </w:p>
          <w:p w:rsidR="00FF0D18" w:rsidRPr="00F843BD" w:rsidRDefault="00FF0D18" w:rsidP="00FF0D18">
            <w:pPr>
              <w:keepNext/>
              <w:spacing w:after="0" w:line="240" w:lineRule="auto"/>
              <w:jc w:val="center"/>
              <w:rPr>
                <w:rFonts w:ascii="Times New Roman" w:eastAsia="Times New Roman" w:hAnsi="Times New Roman" w:cs="Times New Roman"/>
                <w:sz w:val="24"/>
                <w:szCs w:val="24"/>
                <w:lang w:val="es-ES_tradnl"/>
              </w:rPr>
            </w:pPr>
            <w:r w:rsidRPr="00F843BD">
              <w:rPr>
                <w:rFonts w:ascii="Times New Roman" w:eastAsia="Times New Roman" w:hAnsi="Times New Roman" w:cs="Times New Roman"/>
                <w:sz w:val="24"/>
                <w:szCs w:val="24"/>
                <w:lang w:val="es-ES_tradnl"/>
              </w:rPr>
              <w:t>José Ramón Gómez</w:t>
            </w:r>
          </w:p>
          <w:p w:rsidR="00FF0D18" w:rsidRPr="00F843BD" w:rsidRDefault="00FF0D18" w:rsidP="00FF0D18">
            <w:pPr>
              <w:keepNext/>
              <w:spacing w:after="0" w:line="240" w:lineRule="auto"/>
              <w:jc w:val="center"/>
              <w:rPr>
                <w:rFonts w:ascii="Times New Roman" w:eastAsia="Times New Roman" w:hAnsi="Times New Roman" w:cs="Times New Roman"/>
                <w:iCs/>
                <w:sz w:val="24"/>
                <w:szCs w:val="24"/>
                <w:lang w:val="es-ES_tradnl"/>
              </w:rPr>
            </w:pPr>
            <w:r w:rsidRPr="00F843BD">
              <w:rPr>
                <w:rFonts w:ascii="Times New Roman" w:eastAsia="Times New Roman" w:hAnsi="Times New Roman" w:cs="Times New Roman"/>
                <w:sz w:val="24"/>
                <w:szCs w:val="24"/>
                <w:lang w:val="es-ES_tradnl"/>
              </w:rPr>
              <w:t>Representante del Banco en Costa Rica</w:t>
            </w:r>
          </w:p>
        </w:tc>
      </w:tr>
    </w:tbl>
    <w:p w:rsidR="00FF0D18" w:rsidRPr="00F843BD" w:rsidRDefault="00FF0D18" w:rsidP="00FF0D18">
      <w:pPr>
        <w:keepNext/>
        <w:spacing w:after="0" w:line="240" w:lineRule="auto"/>
        <w:jc w:val="both"/>
        <w:rPr>
          <w:rFonts w:ascii="Times New Roman" w:eastAsia="Times New Roman" w:hAnsi="Times New Roman" w:cs="Times New Roman"/>
          <w:sz w:val="24"/>
          <w:szCs w:val="24"/>
          <w:lang w:val="es-ES_tradnl"/>
        </w:rPr>
      </w:pPr>
    </w:p>
    <w:p w:rsidR="00FF0D18" w:rsidRDefault="00FF0D18" w:rsidP="00FF0D18">
      <w:pPr>
        <w:spacing w:after="0" w:line="480" w:lineRule="auto"/>
        <w:rPr>
          <w:rFonts w:ascii="Arial" w:hAnsi="Arial" w:cs="Arial"/>
          <w:b/>
          <w:sz w:val="24"/>
          <w:szCs w:val="24"/>
          <w:lang w:val="es-ES_tradnl"/>
        </w:rPr>
      </w:pPr>
    </w:p>
    <w:p w:rsidR="00FF0D18" w:rsidRDefault="00FF0D18" w:rsidP="00FF0D18">
      <w:pPr>
        <w:spacing w:after="0" w:line="480" w:lineRule="auto"/>
        <w:rPr>
          <w:rFonts w:ascii="Arial" w:hAnsi="Arial" w:cs="Arial"/>
          <w:b/>
          <w:sz w:val="24"/>
          <w:szCs w:val="24"/>
          <w:lang w:val="es-ES_tradnl"/>
        </w:rPr>
      </w:pPr>
    </w:p>
    <w:p w:rsidR="00FF0D18" w:rsidRDefault="00FF0D18" w:rsidP="00FF0D18">
      <w:pPr>
        <w:spacing w:after="0" w:line="480" w:lineRule="auto"/>
        <w:rPr>
          <w:rFonts w:ascii="Arial" w:hAnsi="Arial" w:cs="Arial"/>
          <w:b/>
          <w:sz w:val="24"/>
          <w:szCs w:val="24"/>
          <w:lang w:val="es-ES_tradnl"/>
        </w:rPr>
      </w:pPr>
    </w:p>
    <w:p w:rsidR="00FF0D18" w:rsidRDefault="00FF0D18" w:rsidP="00FF0D18">
      <w:pPr>
        <w:spacing w:after="0" w:line="480" w:lineRule="auto"/>
        <w:rPr>
          <w:rFonts w:ascii="Arial" w:hAnsi="Arial" w:cs="Arial"/>
          <w:b/>
          <w:sz w:val="24"/>
          <w:szCs w:val="24"/>
          <w:lang w:val="es-ES_tradnl"/>
        </w:rPr>
      </w:pPr>
    </w:p>
    <w:p w:rsidR="00FF0D18" w:rsidRDefault="00FF0D18" w:rsidP="00FF0D18">
      <w:pPr>
        <w:spacing w:after="0" w:line="480" w:lineRule="auto"/>
        <w:rPr>
          <w:rFonts w:ascii="Arial" w:hAnsi="Arial" w:cs="Arial"/>
          <w:b/>
          <w:sz w:val="24"/>
          <w:szCs w:val="24"/>
          <w:lang w:val="es-ES_tradnl"/>
        </w:rPr>
      </w:pPr>
    </w:p>
    <w:p w:rsidR="00FF0D18" w:rsidRDefault="00FF0D18" w:rsidP="00FF0D18">
      <w:pPr>
        <w:spacing w:after="0" w:line="480" w:lineRule="auto"/>
        <w:rPr>
          <w:rFonts w:ascii="Arial" w:hAnsi="Arial" w:cs="Arial"/>
          <w:b/>
          <w:sz w:val="24"/>
          <w:szCs w:val="24"/>
          <w:lang w:val="es-ES_tradnl"/>
        </w:rPr>
        <w:sectPr w:rsidR="00FF0D18">
          <w:pgSz w:w="12240" w:h="15840"/>
          <w:pgMar w:top="1417" w:right="1701" w:bottom="1417" w:left="1701" w:header="708" w:footer="708" w:gutter="0"/>
          <w:cols w:space="708"/>
          <w:docGrid w:linePitch="360"/>
        </w:sectPr>
      </w:pPr>
    </w:p>
    <w:p w:rsidR="00FF0D18" w:rsidRPr="0088344A" w:rsidRDefault="0088344A" w:rsidP="0088344A">
      <w:pPr>
        <w:spacing w:after="0" w:line="240" w:lineRule="auto"/>
        <w:rPr>
          <w:rFonts w:ascii="Arial" w:hAnsi="Arial" w:cs="Arial"/>
          <w:sz w:val="24"/>
          <w:szCs w:val="24"/>
          <w:lang w:val="es-ES_tradnl"/>
        </w:rPr>
      </w:pPr>
      <w:r w:rsidRPr="0088344A">
        <w:rPr>
          <w:rFonts w:ascii="Arial" w:hAnsi="Arial" w:cs="Arial"/>
          <w:sz w:val="24"/>
          <w:szCs w:val="24"/>
          <w:lang w:val="es-ES_tradnl"/>
        </w:rPr>
        <w:lastRenderedPageBreak/>
        <w:t>ARTICULO 2-</w:t>
      </w:r>
      <w:r w:rsidRPr="0088344A">
        <w:rPr>
          <w:rFonts w:ascii="Arial" w:hAnsi="Arial" w:cs="Arial"/>
          <w:sz w:val="24"/>
          <w:szCs w:val="24"/>
          <w:lang w:val="es-ES_tradnl"/>
        </w:rPr>
        <w:tab/>
      </w:r>
      <w:r w:rsidR="00FF0D18" w:rsidRPr="0088344A">
        <w:rPr>
          <w:rFonts w:ascii="Arial" w:hAnsi="Arial" w:cs="Arial"/>
          <w:sz w:val="24"/>
          <w:szCs w:val="24"/>
          <w:lang w:val="es-ES_tradnl"/>
        </w:rPr>
        <w:t>Aprobación del Contrato de Préstamo Nº 4864/OC-CR</w:t>
      </w:r>
    </w:p>
    <w:p w:rsidR="0088344A" w:rsidRPr="00D41F2D" w:rsidRDefault="0088344A" w:rsidP="0088344A">
      <w:pPr>
        <w:spacing w:after="0" w:line="240" w:lineRule="auto"/>
        <w:rPr>
          <w:rFonts w:ascii="Arial" w:hAnsi="Arial" w:cs="Arial"/>
          <w:b/>
          <w:sz w:val="24"/>
          <w:szCs w:val="24"/>
          <w:lang w:val="es-ES_tradnl"/>
        </w:rPr>
      </w:pPr>
    </w:p>
    <w:p w:rsidR="00FF0D18" w:rsidRPr="00D41F2D" w:rsidRDefault="00FF0D18" w:rsidP="0088344A">
      <w:pPr>
        <w:spacing w:after="0" w:line="240" w:lineRule="auto"/>
        <w:jc w:val="both"/>
        <w:rPr>
          <w:rFonts w:ascii="Arial" w:hAnsi="Arial" w:cs="Arial"/>
          <w:bCs/>
          <w:sz w:val="24"/>
          <w:szCs w:val="24"/>
          <w:lang w:val="es-ES_tradnl"/>
        </w:rPr>
      </w:pPr>
      <w:r w:rsidRPr="00D41F2D">
        <w:rPr>
          <w:rFonts w:ascii="Arial" w:hAnsi="Arial" w:cs="Arial"/>
          <w:bCs/>
          <w:sz w:val="24"/>
          <w:szCs w:val="24"/>
          <w:lang w:val="es-ES_tradnl"/>
        </w:rPr>
        <w:t xml:space="preserve">Apruébese </w:t>
      </w:r>
      <w:r>
        <w:rPr>
          <w:rFonts w:ascii="Arial" w:hAnsi="Arial" w:cs="Arial"/>
          <w:bCs/>
          <w:sz w:val="24"/>
          <w:szCs w:val="24"/>
          <w:lang w:val="es-ES_tradnl"/>
        </w:rPr>
        <w:t>e</w:t>
      </w:r>
      <w:r w:rsidRPr="00D41F2D">
        <w:rPr>
          <w:rFonts w:ascii="Arial" w:hAnsi="Arial" w:cs="Arial"/>
          <w:bCs/>
          <w:sz w:val="24"/>
          <w:szCs w:val="24"/>
          <w:lang w:val="es-ES_tradnl"/>
        </w:rPr>
        <w:t>l Contrato de Préstamo Nº 4864/OC-CR, suscrito entre la República de Costa Rica y el Banco Interamericano de Desarrollo (BID), el 18 de marzo del 2020, para financiar el Programa de Infraestructura Vial y Promoción de Asociaciones Público-Privadas</w:t>
      </w:r>
      <w:r>
        <w:rPr>
          <w:rFonts w:ascii="Arial" w:hAnsi="Arial" w:cs="Arial"/>
          <w:bCs/>
          <w:sz w:val="24"/>
          <w:szCs w:val="24"/>
          <w:lang w:val="es-ES_tradnl"/>
        </w:rPr>
        <w:t>,</w:t>
      </w:r>
      <w:r w:rsidRPr="00D41F2D">
        <w:rPr>
          <w:rFonts w:ascii="Arial" w:hAnsi="Arial" w:cs="Arial"/>
          <w:bCs/>
          <w:sz w:val="24"/>
          <w:szCs w:val="24"/>
          <w:lang w:val="es-ES_tradnl"/>
        </w:rPr>
        <w:t xml:space="preserve"> por un monto hasta de ciento veinticinco millones de dólares de los Estados Unidos de América (US$125.000.000,</w:t>
      </w:r>
      <w:r>
        <w:rPr>
          <w:rFonts w:ascii="Arial" w:hAnsi="Arial" w:cs="Arial"/>
          <w:bCs/>
          <w:sz w:val="24"/>
          <w:szCs w:val="24"/>
          <w:lang w:val="es-ES_tradnl"/>
        </w:rPr>
        <w:t>00</w:t>
      </w:r>
      <w:r w:rsidRPr="00D41F2D">
        <w:rPr>
          <w:rFonts w:ascii="Arial" w:hAnsi="Arial" w:cs="Arial"/>
          <w:bCs/>
          <w:sz w:val="24"/>
          <w:szCs w:val="24"/>
          <w:lang w:val="es-ES_tradnl"/>
        </w:rPr>
        <w:t>), celebrado en el marco del Convenio de Cooperación para el financiamiento de Proyectos de Inversión (CCLIP) CR-O0005</w:t>
      </w:r>
      <w:r>
        <w:rPr>
          <w:rFonts w:ascii="Arial" w:hAnsi="Arial" w:cs="Arial"/>
          <w:bCs/>
          <w:sz w:val="24"/>
          <w:szCs w:val="24"/>
          <w:lang w:val="es-ES_tradnl"/>
        </w:rPr>
        <w:t>.</w:t>
      </w:r>
    </w:p>
    <w:p w:rsidR="00FF0D18" w:rsidRPr="00D41F2D" w:rsidRDefault="00FF0D18" w:rsidP="0088344A">
      <w:pPr>
        <w:spacing w:after="0" w:line="240" w:lineRule="auto"/>
        <w:jc w:val="both"/>
        <w:rPr>
          <w:rFonts w:ascii="Arial" w:hAnsi="Arial" w:cs="Arial"/>
          <w:bCs/>
          <w:sz w:val="24"/>
          <w:szCs w:val="24"/>
          <w:lang w:val="es-ES_tradnl"/>
        </w:rPr>
      </w:pPr>
    </w:p>
    <w:p w:rsidR="00FF0D18" w:rsidRPr="0088344A" w:rsidRDefault="00FF0D18" w:rsidP="0088344A">
      <w:pPr>
        <w:jc w:val="both"/>
        <w:rPr>
          <w:rFonts w:ascii="Arial" w:hAnsi="Arial" w:cs="Arial"/>
          <w:sz w:val="24"/>
          <w:szCs w:val="24"/>
          <w:lang w:val="es-ES_tradnl"/>
        </w:rPr>
      </w:pPr>
      <w:r w:rsidRPr="0088344A">
        <w:rPr>
          <w:rFonts w:ascii="Arial" w:hAnsi="Arial" w:cs="Arial"/>
          <w:sz w:val="24"/>
          <w:szCs w:val="24"/>
        </w:rPr>
        <w:t>Los textos del referido Contrato de Préstamo Nº 4864/OC-CR, su Anexo Único y las</w:t>
      </w:r>
      <w:r w:rsidRPr="0088344A">
        <w:rPr>
          <w:rFonts w:ascii="Arial" w:hAnsi="Arial" w:cs="Arial"/>
          <w:sz w:val="24"/>
          <w:szCs w:val="24"/>
          <w:lang w:val="es-ES_tradnl"/>
        </w:rPr>
        <w:t xml:space="preserve"> Normas Generales que se adjuntan a continuación, forman parte integrante de esta Ley.</w:t>
      </w:r>
    </w:p>
    <w:p w:rsidR="00FF0D18" w:rsidRPr="0088344A" w:rsidRDefault="00FF0D18" w:rsidP="0088344A">
      <w:pPr>
        <w:jc w:val="both"/>
        <w:rPr>
          <w:rFonts w:ascii="Arial" w:hAnsi="Arial" w:cs="Arial"/>
          <w:sz w:val="24"/>
          <w:szCs w:val="24"/>
          <w:lang w:val="es-ES_tradnl"/>
        </w:rPr>
        <w:sectPr w:rsidR="00FF0D18" w:rsidRPr="0088344A">
          <w:headerReference w:type="default" r:id="rId19"/>
          <w:footerReference w:type="default" r:id="rId20"/>
          <w:pgSz w:w="12240" w:h="15840"/>
          <w:pgMar w:top="1417" w:right="1701" w:bottom="1417" w:left="1701" w:header="708" w:footer="708" w:gutter="0"/>
          <w:cols w:space="708"/>
          <w:docGrid w:linePitch="360"/>
        </w:sectPr>
      </w:pPr>
    </w:p>
    <w:p w:rsidR="00FF0D18" w:rsidRPr="00EF61C8" w:rsidRDefault="00FF0D18" w:rsidP="00FF0D18">
      <w:pPr>
        <w:widowControl w:val="0"/>
        <w:pBdr>
          <w:bottom w:val="single" w:sz="12" w:space="1" w:color="auto"/>
        </w:pBdr>
        <w:spacing w:after="0" w:line="240" w:lineRule="auto"/>
        <w:jc w:val="right"/>
        <w:rPr>
          <w:rFonts w:ascii="Times New Roman" w:eastAsia="Times New Roman" w:hAnsi="Times New Roman" w:cs="Times New Roman"/>
          <w:sz w:val="20"/>
          <w:szCs w:val="20"/>
          <w:lang w:val="es-ES_tradnl"/>
        </w:rPr>
      </w:pPr>
    </w:p>
    <w:p w:rsidR="00FF0D18" w:rsidRPr="00EF61C8" w:rsidRDefault="00FF0D18" w:rsidP="00FF0D18">
      <w:pPr>
        <w:widowControl w:val="0"/>
        <w:spacing w:after="0" w:line="240" w:lineRule="auto"/>
        <w:jc w:val="right"/>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Resolución DE-88/19</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CONTRATO DE PRÉSTAMO No. 4864/OC-CR</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entre la</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REPÚBLICA DE COSTA RICA</w:t>
      </w:r>
    </w:p>
    <w:p w:rsidR="00FF0D18" w:rsidRPr="00EF61C8" w:rsidRDefault="00FF0D18" w:rsidP="00FF0D18">
      <w:pPr>
        <w:widowControl w:val="0"/>
        <w:spacing w:after="0" w:line="240" w:lineRule="auto"/>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y el</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BANCO INTERAMERICANO DE DESARROLLO</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Programa de Infraestructura Vial y Promoción de Asociaciones Público-Privadas</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Primera Operación Individual bajo la Línea de Crédito Condicional</w:t>
      </w: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para Proyectos de Inversión (CCLIP) CR-O0005 del Programa de Infraestructura</w:t>
      </w: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
        </w:rPr>
      </w:pPr>
      <w:r w:rsidRPr="00EF61C8">
        <w:rPr>
          <w:rFonts w:ascii="Times New Roman" w:eastAsia="Times New Roman" w:hAnsi="Times New Roman" w:cs="Times New Roman"/>
          <w:sz w:val="24"/>
          <w:szCs w:val="20"/>
          <w:lang w:val="es-ES_tradnl"/>
        </w:rPr>
        <w:t>Vial y Movilidad Urbana</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18 de marzo de 2020</w:t>
      </w: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pBdr>
          <w:bottom w:val="single" w:sz="12" w:space="1" w:color="auto"/>
        </w:pBdr>
        <w:spacing w:after="0" w:line="240" w:lineRule="auto"/>
        <w:jc w:val="center"/>
        <w:rPr>
          <w:rFonts w:ascii="Times New Roman" w:eastAsia="Times New Roman" w:hAnsi="Times New Roman" w:cs="Times New Roman"/>
          <w:sz w:val="24"/>
          <w:szCs w:val="20"/>
          <w:vertAlign w:val="superscript"/>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color w:val="808080"/>
          <w:sz w:val="20"/>
          <w:szCs w:val="20"/>
          <w:lang w:val="es-ES_tradnl"/>
        </w:rPr>
      </w:pPr>
      <w:r w:rsidRPr="00EF61C8">
        <w:rPr>
          <w:rFonts w:ascii="Times New Roman" w:eastAsia="Times New Roman" w:hAnsi="Times New Roman" w:cs="Times New Roman"/>
          <w:sz w:val="20"/>
          <w:szCs w:val="20"/>
          <w:lang w:val="es-ES_tradnl"/>
        </w:rPr>
        <w:t>LEG/SGO/CID/EZSHARE-1354864508-14760</w:t>
      </w:r>
    </w:p>
    <w:p w:rsidR="00FF0D18" w:rsidRPr="00EF61C8" w:rsidRDefault="00FF0D18" w:rsidP="00FF0D18">
      <w:pPr>
        <w:widowControl w:val="0"/>
        <w:spacing w:after="0" w:line="240" w:lineRule="auto"/>
        <w:jc w:val="both"/>
        <w:rPr>
          <w:rFonts w:ascii="Times New Roman" w:eastAsia="Times New Roman" w:hAnsi="Times New Roman" w:cs="Times New Roman"/>
          <w:color w:val="808080"/>
          <w:sz w:val="20"/>
          <w:szCs w:val="20"/>
          <w:lang w:val="es-ES_tradnl"/>
        </w:rPr>
        <w:sectPr w:rsidR="00FF0D18" w:rsidRPr="00EF61C8" w:rsidSect="008C14D7">
          <w:headerReference w:type="default" r:id="rId21"/>
          <w:footerReference w:type="default" r:id="rId22"/>
          <w:headerReference w:type="first" r:id="rId23"/>
          <w:footerReference w:type="first" r:id="rId24"/>
          <w:pgSz w:w="12240" w:h="15840" w:code="1"/>
          <w:pgMar w:top="1440" w:right="1440" w:bottom="1440" w:left="1440" w:header="720" w:footer="720" w:gutter="0"/>
          <w:pgNumType w:start="37"/>
          <w:cols w:space="720"/>
          <w:titlePg/>
          <w:docGrid w:linePitch="272"/>
        </w:sectPr>
      </w:pPr>
    </w:p>
    <w:p w:rsidR="00FF0D18" w:rsidRPr="00EF61C8" w:rsidRDefault="00FF0D18" w:rsidP="00FF0D18">
      <w:pPr>
        <w:widowControl w:val="0"/>
        <w:spacing w:after="0" w:line="240" w:lineRule="auto"/>
        <w:jc w:val="center"/>
        <w:rPr>
          <w:rFonts w:ascii="Times New Roman" w:eastAsia="Times New Roman" w:hAnsi="Times New Roman" w:cs="Times New Roman"/>
          <w:b/>
          <w:sz w:val="24"/>
          <w:szCs w:val="20"/>
          <w:lang w:val="es-ES_tradnl"/>
        </w:rPr>
      </w:pPr>
    </w:p>
    <w:p w:rsidR="00FF0D18" w:rsidRPr="00EF61C8" w:rsidRDefault="00FF0D18" w:rsidP="00FF0D18">
      <w:pPr>
        <w:keepNext/>
        <w:spacing w:after="0" w:line="240"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CONTRATO DE PRÉSTAMO</w:t>
      </w:r>
    </w:p>
    <w:p w:rsidR="00FF0D18" w:rsidRPr="00EF61C8" w:rsidRDefault="00FF0D18" w:rsidP="00FF0D18">
      <w:pPr>
        <w:spacing w:after="0" w:line="240" w:lineRule="auto"/>
        <w:rPr>
          <w:rFonts w:ascii="Times New Roman" w:eastAsia="Times New Roman" w:hAnsi="Times New Roman" w:cs="Times New Roman"/>
          <w:sz w:val="20"/>
          <w:szCs w:val="20"/>
          <w:lang w:val="es-ES_tradnl"/>
        </w:rPr>
      </w:pPr>
    </w:p>
    <w:p w:rsidR="00FF0D18" w:rsidRPr="00EF61C8" w:rsidRDefault="00FF0D18" w:rsidP="00FF0D18">
      <w:pPr>
        <w:spacing w:after="0" w:line="240"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ESTIPULACIONES ESPECIALES</w:t>
      </w:r>
    </w:p>
    <w:p w:rsidR="00FF0D18" w:rsidRPr="00EF61C8" w:rsidRDefault="00FF0D18" w:rsidP="00FF0D18">
      <w:pPr>
        <w:spacing w:after="0" w:line="240" w:lineRule="auto"/>
        <w:jc w:val="both"/>
        <w:rPr>
          <w:rFonts w:ascii="Times New Roman" w:eastAsia="Times New Roman" w:hAnsi="Times New Roman" w:cs="Times New Roman"/>
          <w:b/>
          <w:sz w:val="24"/>
          <w:szCs w:val="24"/>
          <w:u w:val="single"/>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Este contrato de préstamo, en adelante el “Contrato”, se celebra entre la REPÚBLICA DE COSTA RICA</w:t>
      </w:r>
      <w:r w:rsidRPr="00EF61C8">
        <w:rPr>
          <w:rFonts w:ascii="Times New Roman" w:eastAsia="Times New Roman" w:hAnsi="Times New Roman" w:cs="Times New Roman"/>
          <w:i/>
          <w:sz w:val="24"/>
          <w:szCs w:val="24"/>
          <w:lang w:val="es-ES_tradnl"/>
        </w:rPr>
        <w:t xml:space="preserve">, </w:t>
      </w:r>
      <w:r w:rsidRPr="00EF61C8">
        <w:rPr>
          <w:rFonts w:ascii="Times New Roman" w:eastAsia="Times New Roman" w:hAnsi="Times New Roman" w:cs="Times New Roman"/>
          <w:sz w:val="24"/>
          <w:szCs w:val="24"/>
          <w:lang w:val="es-ES_tradnl"/>
        </w:rPr>
        <w:t xml:space="preserve">en adelante el “Prestatario”, y el BANCO INTERAMERICANO DE DESARROLLO, en adelante individualmente el “Banco” y, conjuntamente con el Prestatario, las “Partes”, el 18 de marzo de 2020, </w:t>
      </w:r>
      <w:r w:rsidRPr="00EF61C8">
        <w:rPr>
          <w:rFonts w:ascii="Times New Roman" w:eastAsia="Times New Roman" w:hAnsi="Times New Roman" w:cs="Times New Roman"/>
          <w:sz w:val="24"/>
          <w:szCs w:val="24"/>
          <w:lang w:val="es-ES"/>
        </w:rPr>
        <w:t xml:space="preserve">en el marco del Convenio </w:t>
      </w:r>
      <w:r w:rsidRPr="00EF61C8">
        <w:rPr>
          <w:rFonts w:ascii="Times New Roman" w:eastAsia="Times New Roman" w:hAnsi="Times New Roman" w:cs="Times New Roman"/>
          <w:sz w:val="24"/>
          <w:szCs w:val="20"/>
          <w:lang w:val="es-ES_tradnl"/>
        </w:rPr>
        <w:t xml:space="preserve">de Cooperación para el Financiamiento de Proyectos de Inversión que habilita la Línea de Crédito Condicional para Proyectos de Inversión (CCLIP) CR-O0005 del Programa de Infraestructura Vial y Movilidad Urbana </w:t>
      </w:r>
      <w:r w:rsidRPr="00EF61C8">
        <w:rPr>
          <w:rFonts w:ascii="Times New Roman" w:eastAsia="Times New Roman" w:hAnsi="Times New Roman" w:cs="Times New Roman"/>
          <w:sz w:val="24"/>
          <w:szCs w:val="24"/>
          <w:lang w:val="es-ES"/>
        </w:rPr>
        <w:t xml:space="preserve">, suscrito entre las Partes el </w:t>
      </w:r>
      <w:r w:rsidRPr="00EF61C8">
        <w:rPr>
          <w:rFonts w:ascii="Times New Roman" w:eastAsia="Times New Roman" w:hAnsi="Times New Roman" w:cs="Times New Roman"/>
          <w:sz w:val="24"/>
          <w:szCs w:val="20"/>
          <w:lang w:val="es-ES_tradnl"/>
        </w:rPr>
        <w:t>18 de marzo de 2020</w:t>
      </w:r>
      <w:r w:rsidRPr="00EF61C8">
        <w:rPr>
          <w:rFonts w:ascii="Times New Roman" w:eastAsia="Times New Roman" w:hAnsi="Times New Roman" w:cs="Times New Roman"/>
          <w:sz w:val="24"/>
          <w:szCs w:val="24"/>
          <w:lang w:val="es-ES"/>
        </w:rPr>
        <w:t>.</w:t>
      </w:r>
      <w:r w:rsidRPr="00EF61C8">
        <w:rPr>
          <w:rFonts w:ascii="Times New Roman" w:eastAsia="Times New Roman" w:hAnsi="Times New Roman" w:cs="Times New Roman"/>
          <w:sz w:val="24"/>
          <w:szCs w:val="24"/>
          <w:lang w:val="es-ES_tradnl"/>
        </w:rPr>
        <w:t xml:space="preserve"> </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w:t>
      </w: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 xml:space="preserve">Objeto y Elementos Integrantes del Contrato </w:t>
      </w:r>
    </w:p>
    <w:p w:rsidR="00FF0D18" w:rsidRPr="00EF61C8" w:rsidRDefault="00FF0D18" w:rsidP="00FF0D18">
      <w:pPr>
        <w:spacing w:after="0" w:line="240" w:lineRule="auto"/>
        <w:ind w:left="720" w:hanging="720"/>
        <w:jc w:val="both"/>
        <w:rPr>
          <w:rFonts w:ascii="Times New Roman" w:eastAsia="Times New Roman" w:hAnsi="Times New Roman" w:cs="Times New Roman"/>
          <w:sz w:val="24"/>
          <w:szCs w:val="20"/>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CLÁUSULA 1.01.</w:t>
      </w: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b/>
          <w:sz w:val="24"/>
          <w:szCs w:val="20"/>
          <w:u w:val="single"/>
          <w:lang w:val="es-ES_tradnl"/>
        </w:rPr>
        <w:t>Objeto del Contrato</w:t>
      </w:r>
      <w:r w:rsidRPr="00EF61C8">
        <w:rPr>
          <w:rFonts w:ascii="Times New Roman" w:eastAsia="Times New Roman" w:hAnsi="Times New Roman" w:cs="Times New Roman"/>
          <w:sz w:val="24"/>
          <w:szCs w:val="20"/>
          <w:lang w:val="es-ES_tradnl"/>
        </w:rPr>
        <w:t xml:space="preserve">. El objeto de este Contrato es acordar los términos y condiciones en que el Banco otorga un préstamo al Prestatario para contribuir a la financiación y ejecución del Programa de Infraestructura Vial y Promoción de Asociaciones Público-Privadas, en adelante el “Programa”, cuyos aspectos principales se acuerdan en el Anexo Único. </w:t>
      </w:r>
    </w:p>
    <w:p w:rsidR="00FF0D18" w:rsidRPr="00EF61C8" w:rsidRDefault="00FF0D18" w:rsidP="00FF0D18">
      <w:pPr>
        <w:spacing w:after="0" w:line="240" w:lineRule="auto"/>
        <w:jc w:val="both"/>
        <w:rPr>
          <w:rFonts w:ascii="Times New Roman" w:eastAsia="Times New Roman" w:hAnsi="Times New Roman" w:cs="Times New Roman"/>
          <w:b/>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CLÁUSULA 1.02.</w:t>
      </w: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b/>
          <w:sz w:val="24"/>
          <w:szCs w:val="20"/>
          <w:u w:val="single"/>
          <w:lang w:val="es-ES_tradnl"/>
        </w:rPr>
        <w:t>Elementos Integrantes del Contrato</w:t>
      </w:r>
      <w:r w:rsidRPr="00EF61C8">
        <w:rPr>
          <w:rFonts w:ascii="Times New Roman" w:eastAsia="Times New Roman" w:hAnsi="Times New Roman" w:cs="Times New Roman"/>
          <w:sz w:val="24"/>
          <w:szCs w:val="20"/>
          <w:lang w:val="es-ES_tradnl"/>
        </w:rPr>
        <w:t>. Este Contrato está in</w:t>
      </w:r>
      <w:r w:rsidRPr="00EF61C8">
        <w:rPr>
          <w:rFonts w:ascii="Times New Roman" w:eastAsia="Times New Roman" w:hAnsi="Times New Roman" w:cs="Times New Roman"/>
          <w:sz w:val="24"/>
          <w:szCs w:val="24"/>
          <w:lang w:val="es-ES_tradnl"/>
        </w:rPr>
        <w:t>tegrado por estas Estipulaciones Especiales, por las Normas Generales y por el Anexo Único.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II</w:t>
      </w: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u w:val="single"/>
          <w:lang w:val="es-ES_tradnl"/>
        </w:rPr>
        <w:t>El Préstamo</w:t>
      </w:r>
    </w:p>
    <w:p w:rsidR="00FF0D18" w:rsidRPr="00EF61C8" w:rsidRDefault="00FF0D18" w:rsidP="00FF0D18">
      <w:pPr>
        <w:tabs>
          <w:tab w:val="left" w:pos="600"/>
          <w:tab w:val="left" w:pos="1200"/>
          <w:tab w:val="left" w:pos="2040"/>
          <w:tab w:val="left" w:pos="2520"/>
        </w:tabs>
        <w:suppressAutoHyphens/>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tabs>
          <w:tab w:val="left" w:pos="720"/>
          <w:tab w:val="left" w:pos="1080"/>
          <w:tab w:val="left" w:pos="1440"/>
          <w:tab w:val="left" w:pos="1800"/>
          <w:tab w:val="left" w:pos="2160"/>
          <w:tab w:val="left" w:pos="2520"/>
          <w:tab w:val="left" w:pos="288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Monto y Moneda de Aprobación del Préstamo</w:t>
      </w:r>
      <w:r w:rsidRPr="00EF61C8">
        <w:rPr>
          <w:rFonts w:ascii="Times New Roman" w:eastAsia="Times New Roman" w:hAnsi="Times New Roman" w:cs="Times New Roman"/>
          <w:sz w:val="24"/>
          <w:szCs w:val="24"/>
          <w:lang w:val="es-ES_tradnl"/>
        </w:rPr>
        <w:t xml:space="preserve">. En los términos de este Contrato, el Banco se compromete a otorgar al Prestatario, y éste acepta, un préstamo hasta por el monto de ciento veinticinco millones de Dólares (US$125.000.000), en adelante, el “Préstamo”. </w:t>
      </w:r>
    </w:p>
    <w:p w:rsidR="00FF0D18" w:rsidRPr="00EF61C8" w:rsidRDefault="00FF0D18" w:rsidP="00FF0D18">
      <w:pPr>
        <w:tabs>
          <w:tab w:val="left" w:pos="600"/>
          <w:tab w:val="left" w:pos="1200"/>
          <w:tab w:val="left" w:pos="2040"/>
          <w:tab w:val="left" w:pos="2520"/>
        </w:tabs>
        <w:suppressAutoHyphen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widowControl w:val="0"/>
        <w:tabs>
          <w:tab w:val="left" w:pos="600"/>
          <w:tab w:val="left" w:pos="1200"/>
          <w:tab w:val="left" w:pos="2160"/>
          <w:tab w:val="left" w:pos="252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Solicitud de desembolsos y moneda de los desembolsos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(a) El Prestatario podrá solicitar al Banco desembolsos del Préstamo, de acuerdo con lo previsto en el Capítulo IV de las Normas Generales.</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 xml:space="preserve">Todos los desembolsos se denominarán y efectuarán en Dólares, salvo en el caso en que el Prestatario opte por un desembolso denominado en una moneda distinta del Dólar, de acuerdo con lo establecido en el Capítulo V de las Normas Generales. </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Disponibilidad de moneda</w:t>
      </w:r>
      <w:r w:rsidRPr="00EF61C8">
        <w:rPr>
          <w:rFonts w:ascii="Times New Roman" w:eastAsia="Times New Roman" w:hAnsi="Times New Roman" w:cs="Times New Roman"/>
          <w:sz w:val="24"/>
          <w:szCs w:val="24"/>
          <w:lang w:val="es-ES_tradnl"/>
        </w:rPr>
        <w:t>. Si el Banco no tuviese acceso a la moneda solicitada por el Prestatario, el Banco, en acuerdo con el Prestatario, podrá efectuar el desembolso del Préstamo en otra moneda de su elección.</w:t>
      </w:r>
    </w:p>
    <w:p w:rsidR="00E4276A" w:rsidRDefault="00E4276A"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lastRenderedPageBreak/>
        <w:t>CLÁUSULA 2.04.</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Plazo para desembolsos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El Plazo Original de Desembolsos será de cinco (5) años contados a partir de la fecha de entrada en vigencia de este Contrato. Cualquier extensión del Plazo Original de Desembolsos estará sujeta a lo previsto en el Artículo 3</w:t>
      </w:r>
      <w:r w:rsidR="002C7305">
        <w:rPr>
          <w:rFonts w:ascii="Times New Roman" w:eastAsia="Times New Roman" w:hAnsi="Times New Roman" w:cs="Times New Roman"/>
          <w:sz w:val="24"/>
          <w:szCs w:val="24"/>
          <w:lang w:val="es-ES_tradnl"/>
        </w:rPr>
        <w:t>.02(g) de las Normas Generales.</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Cronograma de Amortización</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(a) La Fecha Final de Amortización es la fecha correspondiente a veinticinco (25) años contados a partir de la fecha de suscripción del presente Contrato. La VPP Original del Préstamo es de quince coma veinticinco (15,25) años.</w:t>
      </w:r>
    </w:p>
    <w:p w:rsidR="00FF0D18" w:rsidRPr="00EF61C8" w:rsidRDefault="00FF0D18" w:rsidP="00FF0D18">
      <w:pPr>
        <w:widowControl w:val="0"/>
        <w:tabs>
          <w:tab w:val="left" w:pos="600"/>
          <w:tab w:val="left" w:pos="1200"/>
          <w:tab w:val="left" w:pos="252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El Prestatario deberá amortizar el Préstamo mediante el pago de cuotas semestrales, consecutivas y, en lo posible, iguales.</w:t>
      </w:r>
      <w:r w:rsidR="002C7305">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El Prestatario deberá pagar la primera cuota de amortización en la fecha de vencimiento del plazo de sesenta y seis (66) meses contado a partir de la fecha de entrada en vigencia de este Contrato, y la última, a más tardar, en la Fecha Final de Amortización. </w:t>
      </w:r>
      <w:r w:rsidR="002C7305">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Si la fecha de vencimiento del plazo para el pago de la primera cuota de amortización no coincide con el día 15 del mes, el pago de la primera cuota de amortización se deberá realizar en la fecha de pago de intereses inmediatamente anterior a la fecha de vencimiento de dicho plazo. Si la Fecha Final de Amortización no coincide con una fecha de pago de intereses, el pago de la última cuota de amortización se deberá realizar en la fecha de pago de intereses inmediatamente anterior a la Fecha Final de Amo</w:t>
      </w:r>
      <w:r w:rsidR="002C7305">
        <w:rPr>
          <w:rFonts w:ascii="Times New Roman" w:eastAsia="Times New Roman" w:hAnsi="Times New Roman" w:cs="Times New Roman"/>
          <w:sz w:val="24"/>
          <w:szCs w:val="24"/>
          <w:lang w:val="es-ES_tradnl"/>
        </w:rPr>
        <w:t>rtización.</w:t>
      </w:r>
    </w:p>
    <w:p w:rsidR="00FF0D18" w:rsidRPr="00EF61C8" w:rsidRDefault="00FF0D18" w:rsidP="00FF0D18">
      <w:pPr>
        <w:spacing w:after="0" w:line="240" w:lineRule="auto"/>
        <w:jc w:val="both"/>
        <w:rPr>
          <w:rFonts w:ascii="Times New Roman" w:eastAsia="Times New Roman" w:hAnsi="Times New Roman" w:cs="Times New Roman"/>
          <w:iCs/>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ab/>
      </w: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Las Partes podrán acordar la modificación del Cronograma de Amortización del Préstamo de acuerdo con lo establecido en el Artícul</w:t>
      </w:r>
      <w:r w:rsidR="002C7305">
        <w:rPr>
          <w:rFonts w:ascii="Times New Roman" w:eastAsia="Times New Roman" w:hAnsi="Times New Roman" w:cs="Times New Roman"/>
          <w:sz w:val="24"/>
          <w:szCs w:val="24"/>
          <w:lang w:val="es-ES_tradnl"/>
        </w:rPr>
        <w:t>o 3.02 de las Normas Generales.</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widowControl w:val="0"/>
        <w:tabs>
          <w:tab w:val="left" w:pos="600"/>
          <w:tab w:val="left" w:pos="1200"/>
          <w:tab w:val="left" w:pos="216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Intereses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(a) El Prestatario deberá pagar intereses sobre los Saldos Deudores diarios a una tasa que se determinará de conformidad con lo estipulado en el Artícul</w:t>
      </w:r>
      <w:r w:rsidR="002C7305">
        <w:rPr>
          <w:rFonts w:ascii="Times New Roman" w:eastAsia="Times New Roman" w:hAnsi="Times New Roman" w:cs="Times New Roman"/>
          <w:sz w:val="24"/>
          <w:szCs w:val="24"/>
          <w:lang w:val="es-ES_tradnl"/>
        </w:rPr>
        <w:t>o 3.03 de las Normas Generales.</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El Prestatario deberá pagar los intereses al Banco semestralmente. El Prestatario deberá efectuar el primer pago de intereses en la fecha de vencimiento del plazo de seis (6) meses contado a partir de la fecha de entrada en vigencia del presente Contrato. Si la fecha de vencimiento del plazo para el primer pago de intereses no coincide con el día quince (15) del mes, el primer pago de intereses se deberá realizar el día quince (15) inmediatamente anterior a la fecha de dicho vencimiento.</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2.07.</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Comisión de crédito</w:t>
      </w:r>
      <w:r w:rsidRPr="00EF61C8">
        <w:rPr>
          <w:rFonts w:ascii="Times New Roman" w:eastAsia="Times New Roman" w:hAnsi="Times New Roman" w:cs="Times New Roman"/>
          <w:sz w:val="24"/>
          <w:szCs w:val="24"/>
          <w:lang w:val="es-ES_tradnl"/>
        </w:rPr>
        <w:t>. El Prestatario deberá pagar una comisión de crédito en las fechas establecidas en la Cláusula 2.06(b), de acuerdo con lo establecido en los Artículos 3.01, 3.04, 3.05 y 3.07 de las</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Normas Generales. </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2.08.</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Recursos para inspección y vigilancia</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El Prestatario no estará obligado a cubrir </w:t>
      </w:r>
      <w:r w:rsidRPr="00EF61C8">
        <w:rPr>
          <w:rFonts w:ascii="Times New Roman" w:eastAsia="Times New Roman" w:hAnsi="Times New Roman" w:cs="Times New Roman"/>
          <w:color w:val="000000"/>
          <w:sz w:val="24"/>
          <w:szCs w:val="24"/>
          <w:lang w:val="es-ES_tradnl"/>
        </w:rPr>
        <w:t>los gastos del Banco por concepto de inspección y vigilancia generales, salvo</w:t>
      </w:r>
      <w:r w:rsidRPr="00EF61C8">
        <w:rPr>
          <w:rFonts w:ascii="Times New Roman" w:eastAsia="Times New Roman" w:hAnsi="Times New Roman" w:cs="Times New Roman"/>
          <w:sz w:val="24"/>
          <w:szCs w:val="24"/>
          <w:lang w:val="es-ES_tradnl"/>
        </w:rPr>
        <w:t xml:space="preserve"> que el Banco establezca lo contrario de acuerdo con lo establecido en el Artículo 3.06 de las Normas Generales. </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2.09.</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Conversión</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sz w:val="24"/>
          <w:szCs w:val="24"/>
          <w:vertAlign w:val="superscript"/>
          <w:lang w:val="es-ES_tradnl"/>
        </w:rPr>
        <w:t xml:space="preserve"> </w:t>
      </w:r>
      <w:r w:rsidRPr="00EF61C8">
        <w:rPr>
          <w:rFonts w:ascii="Times New Roman" w:eastAsia="Times New Roman" w:hAnsi="Times New Roman" w:cs="Times New Roman"/>
          <w:sz w:val="24"/>
          <w:szCs w:val="24"/>
          <w:lang w:val="es-ES_tradnl"/>
        </w:rPr>
        <w:t>El Prestatario</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podrá solicitar al Banco una Conversión de Moneda, una Conversión de Tasa de Interés y/o una Conversión de Productos Básicos en </w:t>
      </w:r>
      <w:r w:rsidRPr="00EF61C8">
        <w:rPr>
          <w:rFonts w:ascii="Times New Roman" w:eastAsia="Times New Roman" w:hAnsi="Times New Roman" w:cs="Times New Roman"/>
          <w:sz w:val="24"/>
          <w:szCs w:val="24"/>
          <w:lang w:val="es-ES_tradnl"/>
        </w:rPr>
        <w:lastRenderedPageBreak/>
        <w:t>cualquier momento durante la vigencia del Contrato, de acuerdo con lo previsto en el Capí</w:t>
      </w:r>
      <w:r w:rsidR="002C7305">
        <w:rPr>
          <w:rFonts w:ascii="Times New Roman" w:eastAsia="Times New Roman" w:hAnsi="Times New Roman" w:cs="Times New Roman"/>
          <w:sz w:val="24"/>
          <w:szCs w:val="24"/>
          <w:lang w:val="es-ES_tradnl"/>
        </w:rPr>
        <w:t>tulo V de las Normas Generales.</w:t>
      </w:r>
    </w:p>
    <w:p w:rsidR="002C7305" w:rsidRPr="00EF61C8" w:rsidRDefault="002C7305"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(a)</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Conversión de Moneda</w:t>
      </w:r>
      <w:r w:rsidRPr="00EF61C8">
        <w:rPr>
          <w:rFonts w:ascii="Times New Roman" w:eastAsia="Times New Roman" w:hAnsi="Times New Roman" w:cs="Times New Roman"/>
          <w:sz w:val="24"/>
          <w:szCs w:val="24"/>
          <w:lang w:val="es-ES_tradnl"/>
        </w:rPr>
        <w:t>. El Prestatario podrá solicitar que un desembolso o la totalidad o una parte del Saldo Deudor sea convertido a una Moneda Principal o a una Moneda Local, que el Banco pueda intermediar eficientemente, con las debidas consideraciones operativas y de manejo de riesgo.</w:t>
      </w:r>
      <w:r w:rsidR="002C7305">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Se entenderá que cualquier desembolso denominado en Moneda Local constituirá una Conversión de Moneda aun cuando la Moneda de Aprobación sea dicha Moneda Local.</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Conversión de Tasa de Interés</w:t>
      </w:r>
      <w:r w:rsidRPr="00EF61C8">
        <w:rPr>
          <w:rFonts w:ascii="Times New Roman" w:eastAsia="Times New Roman" w:hAnsi="Times New Roman" w:cs="Times New Roman"/>
          <w:sz w:val="24"/>
          <w:szCs w:val="24"/>
          <w:lang w:val="es-ES_tradnl"/>
        </w:rPr>
        <w:t>. El Prestatario podrá solicitar, con respecto a la totalidad o una parte del Saldo Deudor, que la Tasa de Interés Basada en LIBOR sea convertida a una tasa fija de interés o cualquier otra opción de Conversión de Tasa de Interés solicitada por el Prestatario y aceptada por el Banco.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Conversión de Productos Básicos</w:t>
      </w:r>
      <w:r w:rsidRPr="00EF61C8">
        <w:rPr>
          <w:rFonts w:ascii="Times New Roman" w:eastAsia="Times New Roman" w:hAnsi="Times New Roman" w:cs="Times New Roman"/>
          <w:sz w:val="24"/>
          <w:szCs w:val="24"/>
          <w:lang w:val="es-ES_tradnl"/>
        </w:rPr>
        <w:t>. El Prestatario podrá solicitar la contratación de una Opción de Venta de Productos Básicos o una Opción de Compra de Productos Básicos.</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III</w:t>
      </w:r>
    </w:p>
    <w:p w:rsidR="00FF0D18" w:rsidRPr="00EF61C8" w:rsidRDefault="00FF0D18" w:rsidP="00FF0D18">
      <w:pPr>
        <w:keepNext/>
        <w:keepLines/>
        <w:spacing w:after="0" w:line="240" w:lineRule="auto"/>
        <w:jc w:val="center"/>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Desembolsos y Uso de Recursos del Préstamo</w:t>
      </w:r>
    </w:p>
    <w:p w:rsidR="00FF0D18" w:rsidRPr="00EF61C8" w:rsidRDefault="00FF0D18" w:rsidP="00FF0D18">
      <w:pPr>
        <w:keepNext/>
        <w:keepLines/>
        <w:spacing w:after="0" w:line="276" w:lineRule="auto"/>
        <w:jc w:val="center"/>
        <w:outlineLvl w:val="0"/>
        <w:rPr>
          <w:rFonts w:ascii="Times New Roman" w:eastAsia="Times New Roman" w:hAnsi="Times New Roman" w:cs="Times New Roman"/>
          <w:b/>
          <w:sz w:val="24"/>
          <w:szCs w:val="24"/>
          <w:lang w:val="es-ES_tradnl"/>
        </w:rPr>
      </w:pPr>
    </w:p>
    <w:p w:rsidR="00FF0D18" w:rsidRPr="00EF61C8" w:rsidRDefault="00FF0D18" w:rsidP="00FF0D18">
      <w:pPr>
        <w:keepNext/>
        <w:keepLines/>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CLÁUSULA 3.01.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Condiciones especiales previas al primer desembolso</w:t>
      </w:r>
      <w:r w:rsidRPr="00EF61C8">
        <w:rPr>
          <w:rFonts w:ascii="Times New Roman" w:eastAsia="Times New Roman" w:hAnsi="Times New Roman" w:cs="Times New Roman"/>
          <w:b/>
          <w:sz w:val="24"/>
          <w:szCs w:val="20"/>
          <w:lang w:val="es-ES_tradnl"/>
        </w:rPr>
        <w:t>.</w:t>
      </w:r>
      <w:r w:rsidRPr="00EF61C8">
        <w:rPr>
          <w:rFonts w:ascii="Times New Roman" w:eastAsia="Times New Roman" w:hAnsi="Times New Roman" w:cs="Times New Roman"/>
          <w:sz w:val="24"/>
          <w:szCs w:val="20"/>
          <w:lang w:val="es-ES_tradnl"/>
        </w:rPr>
        <w:t xml:space="preserve"> El primer desembolso de los recursos del Préstamo está condicionado a que se cumplan, a satisfacción del Banco, en adición a las condiciones previas estipuladas en el Artículo 4.01 de las Normas Generales, las siguientes: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32"/>
        </w:numPr>
        <w:spacing w:after="0" w:line="240" w:lineRule="auto"/>
        <w:jc w:val="both"/>
        <w:rPr>
          <w:rFonts w:ascii="Times New Roman" w:eastAsia="Times New Roman" w:hAnsi="Times New Roman" w:cs="Arial"/>
          <w:sz w:val="24"/>
          <w:szCs w:val="24"/>
        </w:rPr>
      </w:pPr>
      <w:r w:rsidRPr="00EF61C8">
        <w:rPr>
          <w:rFonts w:ascii="Times New Roman" w:eastAsia="Times New Roman" w:hAnsi="Times New Roman" w:cs="Arial"/>
          <w:sz w:val="24"/>
          <w:szCs w:val="24"/>
        </w:rPr>
        <w:t>Que se haya aprobado y entrado en vigencia el Manual Operativo del Programa “MANOP”; y</w:t>
      </w:r>
    </w:p>
    <w:p w:rsidR="00FF0D18" w:rsidRPr="00EF61C8" w:rsidRDefault="00FF0D18" w:rsidP="00FF0D18">
      <w:pPr>
        <w:spacing w:after="0" w:line="240" w:lineRule="auto"/>
        <w:ind w:left="1440"/>
        <w:jc w:val="both"/>
        <w:rPr>
          <w:rFonts w:ascii="Times New Roman" w:eastAsia="Times New Roman" w:hAnsi="Times New Roman" w:cs="Times New Roman"/>
          <w:sz w:val="24"/>
          <w:szCs w:val="24"/>
        </w:rPr>
      </w:pPr>
    </w:p>
    <w:p w:rsidR="00FF0D18" w:rsidRPr="00EF61C8" w:rsidRDefault="00FF0D18" w:rsidP="00FF0D18">
      <w:pPr>
        <w:numPr>
          <w:ilvl w:val="0"/>
          <w:numId w:val="32"/>
        </w:num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Arial"/>
          <w:sz w:val="24"/>
          <w:szCs w:val="24"/>
        </w:rPr>
        <w:t>Que se haya asignado</w:t>
      </w:r>
      <w:r w:rsidRPr="00EF61C8" w:rsidDel="00176B03">
        <w:rPr>
          <w:rFonts w:ascii="Times New Roman" w:eastAsia="Times New Roman" w:hAnsi="Times New Roman" w:cs="Arial"/>
          <w:sz w:val="24"/>
          <w:szCs w:val="24"/>
        </w:rPr>
        <w:t xml:space="preserve"> </w:t>
      </w:r>
      <w:r w:rsidRPr="00EF61C8">
        <w:rPr>
          <w:rFonts w:ascii="Times New Roman" w:eastAsia="Times New Roman" w:hAnsi="Times New Roman" w:cs="Arial"/>
          <w:sz w:val="24"/>
          <w:szCs w:val="24"/>
        </w:rPr>
        <w:t>al Comité de Administración y Supervisión “CAS” y a su Unidad Asesora “UA”, las funciones, el personal y los recursos necesarios para la ejecución de la primera operación de la CCLIP , de acuerdo con lo que establezca el MANOP, mediante el instrumento legal correspondiente.</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0"/>
          <w:numId w:val="32"/>
        </w:num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Que se presente evidencia de que el Plan de Reasentamiento Involuntario (PRI) de la Ruta 1 y el Plan de Adquisición Predial y Atención a Afectados de la Ruta 2, en los términos acordados con el Banco, está completado y aprobado por el Banco.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3.02.</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u w:val="single"/>
          <w:lang w:val="es-ES_tradnl"/>
        </w:rPr>
        <w:t>Uso de los recursos del Préstamo</w:t>
      </w:r>
      <w:r w:rsidRPr="00EF61C8">
        <w:rPr>
          <w:rFonts w:ascii="Times New Roman" w:eastAsia="Times New Roman" w:hAnsi="Times New Roman" w:cs="Times New Roman"/>
          <w:b/>
          <w:sz w:val="24"/>
          <w:szCs w:val="24"/>
          <w:lang w:val="es-ES_tradnl"/>
        </w:rPr>
        <w:t>.</w:t>
      </w:r>
      <w:r w:rsidRPr="00EF61C8">
        <w:rPr>
          <w:rFonts w:ascii="Times New Roman" w:eastAsia="Times New Roman" w:hAnsi="Times New Roman" w:cs="Times New Roman"/>
          <w:sz w:val="24"/>
          <w:szCs w:val="24"/>
          <w:lang w:val="es-ES_tradnl"/>
        </w:rPr>
        <w:t xml:space="preserve"> (a) Los recursos del Préstamo sólo podrán ser utilizados</w:t>
      </w:r>
      <w:r w:rsidRPr="00EF61C8">
        <w:rPr>
          <w:rFonts w:ascii="Times New Roman" w:eastAsia="Times New Roman" w:hAnsi="Times New Roman" w:cs="Times New Roman"/>
          <w:sz w:val="24"/>
          <w:szCs w:val="20"/>
          <w:lang w:val="es-ES_tradnl"/>
        </w:rPr>
        <w:t xml:space="preserve"> para pagar</w:t>
      </w:r>
      <w:r w:rsidRPr="00EF61C8">
        <w:rPr>
          <w:rFonts w:ascii="Times New Roman" w:eastAsia="Arial Unicode MS" w:hAnsi="Times New Roman" w:cs="Times New Roman"/>
          <w:sz w:val="24"/>
          <w:szCs w:val="24"/>
          <w:lang w:val="es-ES_tradnl"/>
        </w:rPr>
        <w:t xml:space="preserve"> gastos que cumplan con los siguientes requisitos: (i) que sean necesarios para el Programa y estén en concordancia con los objetivos del mismo; (ii) que sean efectuados de acuerdo con las disposiciones de este Contrato y</w:t>
      </w:r>
      <w:r w:rsidR="002C7305">
        <w:rPr>
          <w:rFonts w:ascii="Times New Roman" w:eastAsia="Arial Unicode MS" w:hAnsi="Times New Roman" w:cs="Times New Roman"/>
          <w:sz w:val="24"/>
          <w:szCs w:val="24"/>
          <w:lang w:val="es-ES_tradnl"/>
        </w:rPr>
        <w:t xml:space="preserve"> las políticas del Banco; (iii) </w:t>
      </w:r>
      <w:r w:rsidRPr="00EF61C8">
        <w:rPr>
          <w:rFonts w:ascii="Times New Roman" w:eastAsia="Arial Unicode MS" w:hAnsi="Times New Roman" w:cs="Times New Roman"/>
          <w:sz w:val="24"/>
          <w:szCs w:val="24"/>
          <w:lang w:val="es-ES_tradnl"/>
        </w:rPr>
        <w:t>que sean adecuadamente registrados y sustentados en los sistemas del Prestatario u Organismo Ejecutor; y (iv) que sean efectuados con posteriorida</w:t>
      </w:r>
      <w:r w:rsidR="00C42E09">
        <w:rPr>
          <w:rFonts w:ascii="Times New Roman" w:eastAsia="Arial Unicode MS" w:hAnsi="Times New Roman" w:cs="Times New Roman"/>
          <w:sz w:val="24"/>
          <w:szCs w:val="24"/>
          <w:lang w:val="es-ES_tradnl"/>
        </w:rPr>
        <w:t xml:space="preserve">d al 20 de septiembre de </w:t>
      </w:r>
      <w:r w:rsidR="00C42E09">
        <w:rPr>
          <w:rFonts w:ascii="Times New Roman" w:eastAsia="Arial Unicode MS" w:hAnsi="Times New Roman" w:cs="Times New Roman"/>
          <w:sz w:val="24"/>
          <w:szCs w:val="24"/>
          <w:lang w:val="es-ES_tradnl"/>
        </w:rPr>
        <w:lastRenderedPageBreak/>
        <w:t>2019</w:t>
      </w:r>
      <w:r w:rsidRPr="00EF61C8">
        <w:rPr>
          <w:rFonts w:ascii="Times New Roman" w:eastAsia="Arial Unicode MS" w:hAnsi="Times New Roman" w:cs="Times New Roman"/>
          <w:sz w:val="24"/>
          <w:szCs w:val="24"/>
          <w:lang w:val="es-ES_tradnl"/>
        </w:rPr>
        <w:t xml:space="preserve"> y antes del vencimiento del Plazo Original de Desembolso o sus extensiones. Dichos gastos se denominan, en adelante, “Gastos Elegibles”.</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 xml:space="preserve">Sin perjuicio de lo dispuesto en el literal (a) de esta Cláusula, los gastos que cumplan con los requisitos de sus numerales (i) y (iii), </w:t>
      </w:r>
      <w:r w:rsidRPr="00EF61C8">
        <w:rPr>
          <w:rFonts w:ascii="Times New Roman" w:eastAsia="Times New Roman" w:hAnsi="Times New Roman" w:cs="Times New Roman"/>
          <w:sz w:val="24"/>
          <w:szCs w:val="20"/>
          <w:lang w:val="es-ES_tradnl"/>
        </w:rPr>
        <w:t xml:space="preserve">consistentes en obras, bienes, servicios y consultorías, hasta por el equivalente de veinticinco millones de dólares (US$25.000.000), podrán ser reconocidos por el Banco como Gastos Elegibles siempre que hayan sido </w:t>
      </w:r>
      <w:r w:rsidRPr="00EF61C8">
        <w:rPr>
          <w:rFonts w:ascii="Times New Roman" w:eastAsia="Times New Roman" w:hAnsi="Times New Roman" w:cs="Times New Roman"/>
          <w:sz w:val="24"/>
          <w:szCs w:val="24"/>
          <w:lang w:val="es-ES_tradnl"/>
        </w:rPr>
        <w:t>efectuados</w:t>
      </w:r>
      <w:r w:rsidRPr="00EF61C8">
        <w:rPr>
          <w:rFonts w:ascii="Times New Roman" w:eastAsia="Times New Roman" w:hAnsi="Times New Roman" w:cs="Times New Roman"/>
          <w:sz w:val="24"/>
          <w:szCs w:val="20"/>
          <w:lang w:val="es-ES_tradnl"/>
        </w:rPr>
        <w:t xml:space="preserve"> entre el 20 de junio de 2019 y el 20 de septiembre de 2019 de acuerdo a condiciones sustancialmente análogas a las establecidas en este Contrato; y, en materia de adquisiciones, que los procedimientos de contratación guarden conformidad con las Políticas de Adquisiciones y las Políticas de Consultores.</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0"/>
          <w:lang w:val="es-ES_tradnl"/>
        </w:rPr>
        <w:t xml:space="preserve">CLÁUSULA 3.03. </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4"/>
          <w:u w:val="single"/>
          <w:lang w:val="es-ES_tradnl"/>
        </w:rPr>
        <w:t>Tasa de cambio para justificar gastos realizados en Moneda Local del país del Prestatario</w:t>
      </w:r>
      <w:r w:rsidRPr="00EF61C8">
        <w:rPr>
          <w:rFonts w:ascii="Times New Roman" w:eastAsia="Times New Roman" w:hAnsi="Times New Roman" w:cs="Times New Roman"/>
          <w:sz w:val="24"/>
          <w:szCs w:val="24"/>
          <w:lang w:val="es-ES_tradnl"/>
        </w:rPr>
        <w:t xml:space="preserve">. Para efectos de lo estipulado en el Artículo 4.10 de las Normas Generales, las Partes acuerdan que la tasa de cambio aplicable será la indicada en el inciso (b)(ii) de dicho Artículo. </w:t>
      </w:r>
      <w:r w:rsidR="002C7305">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Para dichos efectos, la tasa de cambio acordada será la tasa de cambio de venta fijada por el Banco Central de Costa Rica en la fecha efectiva </w:t>
      </w:r>
      <w:r w:rsidRPr="00EF61C8">
        <w:rPr>
          <w:rFonts w:ascii="Times New Roman" w:eastAsia="Times New Roman" w:hAnsi="Times New Roman" w:cs="Times New Roman"/>
          <w:sz w:val="24"/>
          <w:szCs w:val="20"/>
          <w:lang w:val="es-ES_tradnl"/>
        </w:rPr>
        <w:t>en que el Prestatario, el Organismo Ejecutor o cualquier otra persona natural o jurídica a quien se le haya delegado la facultad de efectuar gastos, efectúe los pagos respectivos en favor del contratista, proveedor o beneficiario.</w:t>
      </w:r>
    </w:p>
    <w:p w:rsidR="00FF0D18" w:rsidRPr="00EF61C8" w:rsidRDefault="00FF0D18" w:rsidP="00FF0D18">
      <w:pPr>
        <w:spacing w:after="0" w:line="240" w:lineRule="auto"/>
        <w:jc w:val="both"/>
        <w:rPr>
          <w:rFonts w:ascii="Times New Roman" w:eastAsia="Times New Roman" w:hAnsi="Times New Roman" w:cs="Times New Roman"/>
          <w:b/>
          <w:sz w:val="24"/>
          <w:szCs w:val="20"/>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CLÁUSULA 3.04.</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Otros requisitos para la utilización de los recursos del Préstamo</w:t>
      </w:r>
      <w:r w:rsidRPr="00EF61C8">
        <w:rPr>
          <w:rFonts w:ascii="Times New Roman" w:eastAsia="Times New Roman" w:hAnsi="Times New Roman" w:cs="Times New Roman"/>
          <w:bCs/>
          <w:sz w:val="24"/>
          <w:szCs w:val="24"/>
          <w:lang w:val="es-ES_tradnl"/>
        </w:rPr>
        <w:t>.</w:t>
      </w:r>
      <w:r w:rsidRPr="00EF61C8">
        <w:rPr>
          <w:rFonts w:ascii="Times New Roman" w:eastAsia="Times New Roman" w:hAnsi="Times New Roman" w:cs="Times New Roman"/>
          <w:color w:val="000000"/>
          <w:sz w:val="24"/>
          <w:szCs w:val="24"/>
        </w:rPr>
        <w:t xml:space="preserve"> El Prestatario, por intermedio del Organismo Ejecutor, deberá presentar al Banco evidencia de que ha dado cumplimiento a las condiciones establecidas en el Informe de Gestión Ambiental y Social (IGAS).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IV</w:t>
      </w: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Ejecución del Programa</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CLÁUSULA 4.01.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Aporte Local</w:t>
      </w:r>
      <w:r w:rsidRPr="00EF61C8">
        <w:rPr>
          <w:rFonts w:ascii="Times New Roman" w:eastAsia="Times New Roman" w:hAnsi="Times New Roman" w:cs="Times New Roman"/>
          <w:sz w:val="24"/>
          <w:szCs w:val="20"/>
          <w:lang w:val="es-ES_tradnl"/>
        </w:rPr>
        <w:t>.</w:t>
      </w:r>
      <w:r w:rsidRPr="00EF61C8">
        <w:rPr>
          <w:rFonts w:ascii="Times New Roman" w:eastAsia="Times New Roman" w:hAnsi="Times New Roman" w:cs="Times New Roman"/>
          <w:b/>
          <w:sz w:val="24"/>
          <w:szCs w:val="20"/>
          <w:lang w:val="es-ES_tradnl"/>
        </w:rPr>
        <w:t xml:space="preserve"> </w:t>
      </w:r>
      <w:r w:rsidRPr="00EF61C8">
        <w:rPr>
          <w:rFonts w:ascii="Times New Roman" w:eastAsia="Times New Roman" w:hAnsi="Times New Roman" w:cs="Times New Roman"/>
          <w:sz w:val="24"/>
          <w:szCs w:val="20"/>
          <w:lang w:val="es-ES_tradnl"/>
        </w:rPr>
        <w:t>(a) Para</w:t>
      </w:r>
      <w:r w:rsidRPr="00EF61C8">
        <w:rPr>
          <w:rFonts w:ascii="Times New Roman" w:eastAsia="Times New Roman" w:hAnsi="Times New Roman" w:cs="Times New Roman"/>
          <w:b/>
          <w:sz w:val="24"/>
          <w:szCs w:val="20"/>
          <w:lang w:val="es-ES_tradnl"/>
        </w:rPr>
        <w:t xml:space="preserve"> </w:t>
      </w:r>
      <w:r w:rsidRPr="00EF61C8">
        <w:rPr>
          <w:rFonts w:ascii="Times New Roman" w:eastAsia="Times New Roman" w:hAnsi="Times New Roman" w:cs="Times New Roman"/>
          <w:sz w:val="24"/>
          <w:szCs w:val="20"/>
          <w:lang w:val="es-ES_tradnl"/>
        </w:rPr>
        <w:t xml:space="preserve">efectos de lo establecido en el Artículo 6.02 de las Normas Generales, el monto del Aporte Local, bajo responsabilidad del MOPT, se estima en cincuenta y tres millones de dólares (US$53.000.000). </w:t>
      </w:r>
    </w:p>
    <w:p w:rsidR="00FF0D18" w:rsidRPr="00EF61C8" w:rsidRDefault="00FF0D18" w:rsidP="00FF0D18">
      <w:pPr>
        <w:tabs>
          <w:tab w:val="left" w:pos="2160"/>
        </w:tabs>
        <w:spacing w:after="0" w:line="240" w:lineRule="auto"/>
        <w:jc w:val="both"/>
        <w:rPr>
          <w:rFonts w:ascii="Times New Roman" w:eastAsia="Times New Roman" w:hAnsi="Times New Roman" w:cs="Times New Roman"/>
          <w:b/>
          <w:sz w:val="24"/>
          <w:szCs w:val="20"/>
          <w:lang w:val="es-ES_tradnl"/>
        </w:rPr>
      </w:pPr>
    </w:p>
    <w:p w:rsidR="00FF0D18" w:rsidRPr="00EF61C8" w:rsidRDefault="00FF0D18" w:rsidP="00FF0D18">
      <w:pPr>
        <w:tabs>
          <w:tab w:val="left" w:pos="540"/>
          <w:tab w:val="left" w:pos="1080"/>
        </w:tabs>
        <w:spacing w:after="0" w:line="240" w:lineRule="auto"/>
        <w:jc w:val="both"/>
        <w:rPr>
          <w:rFonts w:ascii="Times New Roman" w:eastAsia="Arial Unicode MS" w:hAnsi="Times New Roman" w:cs="Times New Roman"/>
          <w:sz w:val="24"/>
          <w:szCs w:val="24"/>
          <w:lang w:val="es-ES_tradnl"/>
        </w:rPr>
      </w:pPr>
      <w:r w:rsidRPr="00EF61C8">
        <w:rPr>
          <w:rFonts w:ascii="Times New Roman" w:eastAsia="Times New Roman" w:hAnsi="Times New Roman" w:cs="Times New Roman"/>
          <w:sz w:val="24"/>
          <w:szCs w:val="20"/>
          <w:lang w:val="es-ES_tradnl"/>
        </w:rPr>
        <w:tab/>
        <w:t>(b)</w:t>
      </w:r>
      <w:r w:rsidRPr="00EF61C8">
        <w:rPr>
          <w:rFonts w:ascii="Times New Roman" w:eastAsia="Times New Roman" w:hAnsi="Times New Roman" w:cs="Times New Roman"/>
          <w:sz w:val="24"/>
          <w:szCs w:val="20"/>
          <w:lang w:val="es-ES_tradnl"/>
        </w:rPr>
        <w:tab/>
        <w:t>El Banco podrá reconocer, como parte de los recursos de</w:t>
      </w:r>
      <w:r w:rsidR="002C7305">
        <w:rPr>
          <w:rFonts w:ascii="Times New Roman" w:eastAsia="Times New Roman" w:hAnsi="Times New Roman" w:cs="Times New Roman"/>
          <w:sz w:val="24"/>
          <w:szCs w:val="20"/>
          <w:lang w:val="es-ES_tradnl"/>
        </w:rPr>
        <w:t xml:space="preserve">l Aporte Local, gastos que: (i) </w:t>
      </w:r>
      <w:r w:rsidRPr="00EF61C8">
        <w:rPr>
          <w:rFonts w:ascii="Times New Roman" w:eastAsia="Times New Roman" w:hAnsi="Times New Roman" w:cs="Times New Roman"/>
          <w:sz w:val="24"/>
          <w:szCs w:val="20"/>
          <w:lang w:val="es-ES_tradnl"/>
        </w:rPr>
        <w:t xml:space="preserve">sean necesarios </w:t>
      </w:r>
      <w:r w:rsidRPr="00EF61C8">
        <w:rPr>
          <w:rFonts w:ascii="Times New Roman" w:eastAsia="Arial Unicode MS" w:hAnsi="Times New Roman" w:cs="Times New Roman"/>
          <w:sz w:val="24"/>
          <w:szCs w:val="24"/>
          <w:lang w:val="es-ES_tradnl"/>
        </w:rPr>
        <w:t>para el Programa</w:t>
      </w:r>
      <w:r w:rsidRPr="00EF61C8">
        <w:rPr>
          <w:rFonts w:ascii="Times New Roman" w:eastAsia="Times New Roman" w:hAnsi="Times New Roman" w:cs="Times New Roman"/>
          <w:sz w:val="24"/>
          <w:szCs w:val="20"/>
          <w:lang w:val="es-ES_tradnl"/>
        </w:rPr>
        <w:t xml:space="preserve"> y que estén en concordancia con los objetivos del mismo; </w:t>
      </w:r>
      <w:r w:rsidR="002C7305">
        <w:rPr>
          <w:rFonts w:ascii="Times New Roman" w:eastAsia="Arial Unicode MS" w:hAnsi="Times New Roman" w:cs="Times New Roman"/>
          <w:sz w:val="24"/>
          <w:szCs w:val="24"/>
          <w:lang w:val="es-ES_tradnl"/>
        </w:rPr>
        <w:t xml:space="preserve">(ii) </w:t>
      </w:r>
      <w:r w:rsidRPr="00EF61C8">
        <w:rPr>
          <w:rFonts w:ascii="Times New Roman" w:eastAsia="Arial Unicode MS" w:hAnsi="Times New Roman" w:cs="Times New Roman"/>
          <w:sz w:val="24"/>
          <w:szCs w:val="24"/>
          <w:lang w:val="es-ES_tradnl"/>
        </w:rPr>
        <w:t>se realicen de acuerdo con las disposiciones de este Contrato y</w:t>
      </w:r>
      <w:r w:rsidR="002C7305">
        <w:rPr>
          <w:rFonts w:ascii="Times New Roman" w:eastAsia="Arial Unicode MS" w:hAnsi="Times New Roman" w:cs="Times New Roman"/>
          <w:sz w:val="24"/>
          <w:szCs w:val="24"/>
          <w:lang w:val="es-ES_tradnl"/>
        </w:rPr>
        <w:t xml:space="preserve"> las políticas del Banco; (iii) </w:t>
      </w:r>
      <w:r w:rsidRPr="00EF61C8">
        <w:rPr>
          <w:rFonts w:ascii="Times New Roman" w:eastAsia="Arial Unicode MS" w:hAnsi="Times New Roman" w:cs="Times New Roman"/>
          <w:sz w:val="24"/>
          <w:szCs w:val="24"/>
          <w:lang w:val="es-ES_tradnl"/>
        </w:rPr>
        <w:t>sean adecuadamente registrados y sustentados en los sistemas del Prestatario u Organismo Ejecutor; (iv) se hayan realizado con posterioridad al 20 de septiembre de 2019 y antes del vencimiento del Plazo Original de Desembolso o sus extensiones; y (v) que en materia de adquisiciones sean de calidad satisfactoria y compatible con lo establecido en el Programa, se entreguen o terminen oportunamente y tengan un precio que no afecte desfavorablemente la viabilidad económica y financiera del Programa.</w:t>
      </w:r>
    </w:p>
    <w:p w:rsidR="00FF0D18" w:rsidRPr="00EF61C8" w:rsidRDefault="00FF0D18" w:rsidP="00FF0D18">
      <w:pPr>
        <w:tabs>
          <w:tab w:val="left" w:pos="720"/>
        </w:tabs>
        <w:spacing w:after="0" w:line="240" w:lineRule="auto"/>
        <w:jc w:val="both"/>
        <w:rPr>
          <w:rFonts w:ascii="Times New Roman" w:eastAsia="Arial Unicode MS"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Arial Unicode MS" w:hAnsi="Times New Roman" w:cs="Times New Roman"/>
          <w:sz w:val="24"/>
          <w:szCs w:val="24"/>
          <w:lang w:val="es-ES_tradnl"/>
        </w:rPr>
        <w:tab/>
        <w:t>(c)</w:t>
      </w:r>
      <w:r w:rsidRPr="00EF61C8">
        <w:rPr>
          <w:rFonts w:ascii="Times New Roman" w:eastAsia="Arial Unicode MS" w:hAnsi="Times New Roman" w:cs="Times New Roman"/>
          <w:sz w:val="24"/>
          <w:szCs w:val="24"/>
          <w:lang w:val="es-ES_tradnl"/>
        </w:rPr>
        <w:tab/>
        <w:t>Sin perjuicio de lo dispuesto en el literal (b) anterior, el Banco podrá, asimismo, reconocer como parte de los recursos del Aporte Local</w:t>
      </w:r>
      <w:r w:rsidRPr="00EF61C8">
        <w:rPr>
          <w:rFonts w:ascii="Times New Roman" w:eastAsia="Times New Roman" w:hAnsi="Times New Roman" w:cs="Times New Roman"/>
          <w:sz w:val="24"/>
          <w:szCs w:val="20"/>
          <w:lang w:val="es-ES_tradnl"/>
        </w:rPr>
        <w:t xml:space="preserve">, gastos que se hayan efectuado entre el 20 de junio de 2019 y 20 de septiembre de 2019 consistentes en obras, bienes, servicios y </w:t>
      </w:r>
      <w:r w:rsidRPr="00EF61C8">
        <w:rPr>
          <w:rFonts w:ascii="Times New Roman" w:eastAsia="Times New Roman" w:hAnsi="Times New Roman" w:cs="Times New Roman"/>
          <w:sz w:val="24"/>
          <w:szCs w:val="20"/>
          <w:lang w:val="es-ES_tradnl"/>
        </w:rPr>
        <w:lastRenderedPageBreak/>
        <w:t>consultorías, hasta por el equivalente de veinticinco millones de dólares americanos(US$25.000.000),que resulten de condiciones sustancialmente análogas a las establecidas en este Contrato; y, en materia de adquisiciones sean de calidad satisfactoria y compatible con lo establecido en el Programa, se entreguen o terminen oportunamente y tengan un precio que no afecte desfavorablemente la viabilidad económica y financiera del Programa.</w:t>
      </w:r>
    </w:p>
    <w:p w:rsidR="00FF0D18" w:rsidRPr="00EF61C8" w:rsidRDefault="00FF0D18" w:rsidP="00FF0D18">
      <w:pPr>
        <w:tabs>
          <w:tab w:val="left" w:pos="720"/>
          <w:tab w:val="left" w:pos="1800"/>
        </w:tabs>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b/>
          <w:sz w:val="24"/>
          <w:szCs w:val="20"/>
          <w:lang w:val="es-ES_tradnl"/>
        </w:rPr>
      </w:pPr>
      <w:r w:rsidRPr="00EF61C8">
        <w:rPr>
          <w:rFonts w:ascii="Times New Roman" w:eastAsia="Times New Roman" w:hAnsi="Times New Roman" w:cs="Times New Roman"/>
          <w:b/>
          <w:sz w:val="24"/>
          <w:szCs w:val="20"/>
          <w:lang w:val="es-ES_tradnl"/>
        </w:rPr>
        <w:t>CLÁUSULA 4.02.</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Organismo Ejecutor</w:t>
      </w:r>
      <w:r w:rsidRPr="00EF61C8">
        <w:rPr>
          <w:rFonts w:ascii="Times New Roman" w:eastAsia="Times New Roman" w:hAnsi="Times New Roman" w:cs="Times New Roman"/>
          <w:sz w:val="24"/>
          <w:szCs w:val="20"/>
          <w:lang w:val="es-ES_tradnl"/>
        </w:rPr>
        <w:t>. El Ministerio de Obras Públicas y Transporte (MOPT) será el Organismo Ejecutor.</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2160"/>
        </w:tabs>
        <w:spacing w:after="20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b/>
          <w:sz w:val="24"/>
          <w:szCs w:val="24"/>
          <w:lang w:val="es-ES_tradnl"/>
        </w:rPr>
        <w:t>CLÁUSULA 4.03.</w:t>
      </w:r>
      <w:r w:rsidRPr="00EF61C8">
        <w:rPr>
          <w:rFonts w:ascii="Times New Roman" w:eastAsia="Calibri" w:hAnsi="Times New Roman" w:cs="Times New Roman"/>
          <w:b/>
          <w:sz w:val="24"/>
          <w:szCs w:val="24"/>
          <w:lang w:val="es-ES_tradnl"/>
        </w:rPr>
        <w:tab/>
      </w:r>
      <w:r w:rsidRPr="00EF61C8">
        <w:rPr>
          <w:rFonts w:ascii="Times New Roman" w:eastAsia="Calibri" w:hAnsi="Times New Roman" w:cs="Times New Roman"/>
          <w:b/>
          <w:sz w:val="24"/>
          <w:szCs w:val="24"/>
          <w:u w:val="single"/>
          <w:lang w:val="es-ES_tradnl"/>
        </w:rPr>
        <w:t>Contratación de obras y servicios diferentes de consultoría y adquisición de bienes</w:t>
      </w:r>
      <w:r w:rsidRPr="00EF61C8">
        <w:rPr>
          <w:rFonts w:ascii="Times New Roman" w:eastAsia="Calibri" w:hAnsi="Times New Roman" w:cs="Times New Roman"/>
          <w:sz w:val="24"/>
          <w:szCs w:val="24"/>
          <w:lang w:val="es-ES_tradnl"/>
        </w:rPr>
        <w:t>.</w:t>
      </w:r>
      <w:r w:rsidRPr="00EF61C8">
        <w:rPr>
          <w:rFonts w:ascii="Times New Roman" w:eastAsia="Calibri" w:hAnsi="Times New Roman" w:cs="Times New Roman"/>
          <w:b/>
          <w:sz w:val="24"/>
          <w:szCs w:val="24"/>
          <w:lang w:val="es-ES_tradnl"/>
        </w:rPr>
        <w:t xml:space="preserve"> </w:t>
      </w:r>
      <w:r w:rsidRPr="00EF61C8">
        <w:rPr>
          <w:rFonts w:ascii="Times New Roman" w:eastAsia="Calibri" w:hAnsi="Times New Roman" w:cs="Times New Roman"/>
          <w:sz w:val="24"/>
          <w:szCs w:val="24"/>
          <w:lang w:val="es-ES_tradnl"/>
        </w:rPr>
        <w:t xml:space="preserve">(a) Para efectos de lo dispuesto en el Artículo 2.01(64) de las Normas Generales, las Partes dejan constancia que las Políticas de Adquisiciones son las fechadas marzo de 2011, que están recogidas en el documento GN-2349-9, aprobado por el Banco el 19 de abril de 2011. Si las Políticas de Adquisiciones fueran modificadas por el Banco, la adquisición de bienes y la contratación de obras y servicios diferentes de consultoría serán llevadas a cabo de acuerdo con las disposiciones de las Políticas de Adquisiciones modificadas, una vez que éstas sean puestas en conocimiento del Prestatario y el Prestatario acepte por escrito su aplicación.  </w:t>
      </w:r>
    </w:p>
    <w:p w:rsidR="00FF0D18" w:rsidRPr="00EF61C8" w:rsidRDefault="00FF0D18" w:rsidP="00FF0D18">
      <w:pPr>
        <w:tabs>
          <w:tab w:val="left" w:pos="540"/>
          <w:tab w:val="left" w:pos="1080"/>
        </w:tabs>
        <w:spacing w:after="0" w:line="240" w:lineRule="auto"/>
        <w:jc w:val="both"/>
        <w:rPr>
          <w:rFonts w:ascii="Times New Roman" w:eastAsia="Calibri" w:hAnsi="Times New Roman" w:cs="Times New Roman"/>
          <w:color w:val="000000"/>
          <w:sz w:val="24"/>
          <w:szCs w:val="24"/>
          <w:lang w:val="es-ES_tradnl"/>
        </w:rPr>
      </w:pPr>
      <w:r w:rsidRPr="00EF61C8">
        <w:rPr>
          <w:rFonts w:ascii="Times New Roman" w:eastAsia="Calibri" w:hAnsi="Times New Roman" w:cs="Times New Roman"/>
          <w:sz w:val="24"/>
          <w:szCs w:val="24"/>
          <w:lang w:val="es-ES_tradnl"/>
        </w:rPr>
        <w:tab/>
        <w:t>(b)</w:t>
      </w:r>
      <w:r w:rsidRPr="00EF61C8">
        <w:rPr>
          <w:rFonts w:ascii="Times New Roman" w:eastAsia="Calibri" w:hAnsi="Times New Roman" w:cs="Times New Roman"/>
          <w:sz w:val="24"/>
          <w:szCs w:val="24"/>
          <w:lang w:val="es-ES_tradnl"/>
        </w:rPr>
        <w:tab/>
        <w:t xml:space="preserve">Para la </w:t>
      </w:r>
      <w:r w:rsidRPr="00EF61C8">
        <w:rPr>
          <w:rFonts w:ascii="Times New Roman" w:eastAsia="Calibri" w:hAnsi="Times New Roman" w:cs="Times New Roman"/>
          <w:color w:val="000000"/>
          <w:sz w:val="24"/>
          <w:szCs w:val="24"/>
          <w:lang w:val="es-ES_tradnl"/>
        </w:rPr>
        <w:t>contratación de obras y servicios diferentes de consultoría y la adquisición de bienes, se podrá utilizar cualquiera</w:t>
      </w:r>
      <w:r w:rsidRPr="00EF61C8">
        <w:rPr>
          <w:rFonts w:ascii="Times New Roman" w:eastAsia="Calibri" w:hAnsi="Times New Roman" w:cs="Times New Roman"/>
          <w:sz w:val="24"/>
          <w:szCs w:val="24"/>
          <w:lang w:val="es-ES_tradnl"/>
        </w:rPr>
        <w:t xml:space="preserve"> de los métodos descritos en las Políticas de Adquisiciones, siempre que dicho método haya sido identificado para la respectiva adquisición o contratación en el Plan de Adquisiciones aprobado por el Banco</w:t>
      </w:r>
      <w:r w:rsidRPr="00EF61C8">
        <w:rPr>
          <w:rFonts w:ascii="Times New Roman" w:eastAsia="Calibri" w:hAnsi="Times New Roman" w:cs="Times New Roman"/>
          <w:color w:val="000000"/>
          <w:sz w:val="24"/>
          <w:szCs w:val="24"/>
          <w:lang w:val="es-ES_tradnl"/>
        </w:rPr>
        <w:t>. También se podrá utilizar el sistema o subsistema de país en los términos descritos en el Artículo 6.04(b) de las Normas Generales.</w:t>
      </w:r>
    </w:p>
    <w:p w:rsidR="00FF0D18" w:rsidRPr="00EF61C8" w:rsidRDefault="00FF0D18" w:rsidP="00FF0D18">
      <w:pPr>
        <w:tabs>
          <w:tab w:val="left" w:pos="540"/>
          <w:tab w:val="left" w:pos="1080"/>
        </w:tabs>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Times New Roman" w:hAnsi="Times New Roman" w:cs="Times New Roman"/>
          <w:sz w:val="20"/>
          <w:szCs w:val="20"/>
          <w:lang w:val="es-US"/>
        </w:rPr>
      </w:pPr>
      <w:r w:rsidRPr="00EF61C8">
        <w:rPr>
          <w:rFonts w:ascii="Times New Roman" w:eastAsia="Calibri" w:hAnsi="Times New Roman" w:cs="Times New Roman"/>
          <w:sz w:val="24"/>
          <w:szCs w:val="24"/>
          <w:lang w:val="es-ES_tradnl"/>
        </w:rPr>
        <w:tab/>
        <w:t>(c)</w:t>
      </w:r>
      <w:r w:rsidRPr="00EF61C8">
        <w:rPr>
          <w:rFonts w:ascii="Times New Roman" w:eastAsia="Calibri" w:hAnsi="Times New Roman" w:cs="Times New Roman"/>
          <w:sz w:val="24"/>
          <w:szCs w:val="24"/>
          <w:lang w:val="es-ES_tradnl"/>
        </w:rPr>
        <w:tab/>
        <w:t xml:space="preserve">El umbral que determina el uso de la licitación pública internacional, será puesto a disposición del Prestatario o, en su caso, del Organismo Ejecutor, en la página </w:t>
      </w:r>
      <w:hyperlink r:id="rId25" w:history="1">
        <w:r w:rsidRPr="00EF61C8">
          <w:rPr>
            <w:rFonts w:ascii="Times New Roman" w:eastAsia="Calibri" w:hAnsi="Times New Roman" w:cs="Times New Roman"/>
            <w:color w:val="0000FF"/>
            <w:sz w:val="24"/>
            <w:szCs w:val="24"/>
            <w:u w:val="single"/>
            <w:lang w:val="es-ES"/>
          </w:rPr>
          <w:t>http://www.iadb.org/es/adquisiciones-de-proyectos/adquisiciones-de-proyectos,8148.html</w:t>
        </w:r>
      </w:hyperlink>
      <w:r w:rsidRPr="00EF61C8">
        <w:rPr>
          <w:rFonts w:ascii="Times New Roman" w:eastAsia="Calibri" w:hAnsi="Times New Roman" w:cs="Times New Roman"/>
          <w:sz w:val="24"/>
          <w:szCs w:val="24"/>
          <w:lang w:val="es-ES_tradnl"/>
        </w:rPr>
        <w:t xml:space="preserve">. Por debajo de dicho umbral, el método de selección se determinará de acuerdo con la complejidad y características de la adquisición o contratación, lo cual deberá reflejarse en el Plan de Adquisiciones aprobado por el Banco. </w:t>
      </w: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ab/>
        <w:t>(d)</w:t>
      </w:r>
      <w:r w:rsidRPr="00EF61C8">
        <w:rPr>
          <w:rFonts w:ascii="Times New Roman" w:eastAsia="Calibri" w:hAnsi="Times New Roman" w:cs="Times New Roman"/>
          <w:sz w:val="24"/>
          <w:szCs w:val="24"/>
          <w:lang w:val="es-ES_tradnl"/>
        </w:rPr>
        <w:tab/>
        <w:t>En lo que se refiere al método de licitación pública nacional, los procedimientos de licitación pública nacional respectivos podrán ser utilizados siempre que, a juicio del Banco, dichos procedimientos garanticen economía, eficiencia, transparencia y compatibilidad general con la Sección I de las Políticas de Adquisiciones y tomando en cuenta, entre otros, lo dispuesto en el párrafo 3.4 de dichas Políticas.</w:t>
      </w:r>
      <w:r w:rsidRPr="00EF61C8" w:rsidDel="00C57167">
        <w:rPr>
          <w:rFonts w:ascii="Times New Roman" w:eastAsia="Calibri" w:hAnsi="Times New Roman" w:cs="Times New Roman"/>
          <w:sz w:val="24"/>
          <w:szCs w:val="24"/>
          <w:lang w:val="es-ES_tradnl"/>
        </w:rPr>
        <w:t xml:space="preserve"> </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ab/>
        <w:t>(e)</w:t>
      </w:r>
      <w:r w:rsidRPr="00EF61C8">
        <w:rPr>
          <w:rFonts w:ascii="Times New Roman" w:eastAsia="Calibri" w:hAnsi="Times New Roman" w:cs="Times New Roman"/>
          <w:sz w:val="24"/>
          <w:szCs w:val="24"/>
          <w:lang w:val="es-ES_tradnl"/>
        </w:rPr>
        <w:tab/>
        <w:t>En lo que se refiere a la utilización del método de licitación pública nacional, éste podrá ser utilizado siempre que las contrataciones o adquisiciones se lleven a cabo de conformidad con el documento o documentos de licitación acordados entre el Prestatario y el Banco.</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(f)</w:t>
      </w:r>
      <w:r w:rsidRPr="00EF61C8">
        <w:rPr>
          <w:rFonts w:ascii="Times New Roman" w:eastAsia="Calibri" w:hAnsi="Times New Roman" w:cs="Times New Roman"/>
          <w:sz w:val="24"/>
          <w:szCs w:val="24"/>
          <w:lang w:val="es-ES_tradnl"/>
        </w:rPr>
        <w:tab/>
        <w:t xml:space="preserve">El Prestatario se compromete a obtener a través del Organismo Ejecutor, antes de la firma del contrato correspondiente a cada una de las obras del Programa, si las hubiere, </w:t>
      </w:r>
      <w:r w:rsidRPr="00EF61C8">
        <w:rPr>
          <w:rFonts w:ascii="Times New Roman" w:eastAsia="Calibri" w:hAnsi="Times New Roman" w:cs="Times New Roman"/>
          <w:sz w:val="24"/>
          <w:szCs w:val="24"/>
          <w:lang w:val="es-ES_tradnl"/>
        </w:rPr>
        <w:lastRenderedPageBreak/>
        <w:t>la posesión legal de los inmuebles donde se construirá la respectiva obra, las servidumbres u otros derechos necesarios para su construcción y utilización, así como los derechos sobre las aguas que se requieran para la obra de que se trate.</w:t>
      </w:r>
    </w:p>
    <w:p w:rsidR="00FF0D18" w:rsidRPr="00EF61C8" w:rsidRDefault="00FF0D18" w:rsidP="00FF0D18">
      <w:pPr>
        <w:spacing w:after="0" w:line="240" w:lineRule="auto"/>
        <w:ind w:firstLine="720"/>
        <w:jc w:val="both"/>
        <w:rPr>
          <w:rFonts w:ascii="Arial" w:eastAsia="Times New Roman" w:hAnsi="Arial" w:cs="Times New Roman"/>
          <w:szCs w:val="20"/>
          <w:highlight w:val="yellow"/>
        </w:rPr>
      </w:pPr>
    </w:p>
    <w:p w:rsidR="00FF0D18" w:rsidRPr="00EF61C8" w:rsidRDefault="00FF0D18" w:rsidP="00FF0D18">
      <w:pPr>
        <w:widowControl w:val="0"/>
        <w:tabs>
          <w:tab w:val="left" w:pos="2160"/>
        </w:tabs>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b/>
          <w:sz w:val="24"/>
          <w:szCs w:val="24"/>
          <w:lang w:val="es-ES_tradnl"/>
        </w:rPr>
        <w:t>CLÁUSULA 4.04.</w:t>
      </w:r>
      <w:r w:rsidRPr="00EF61C8">
        <w:rPr>
          <w:rFonts w:ascii="Times New Roman" w:eastAsia="Calibri" w:hAnsi="Times New Roman" w:cs="Times New Roman"/>
          <w:b/>
          <w:sz w:val="24"/>
          <w:szCs w:val="24"/>
          <w:lang w:val="es-ES_tradnl"/>
        </w:rPr>
        <w:tab/>
      </w:r>
      <w:r w:rsidRPr="00EF61C8">
        <w:rPr>
          <w:rFonts w:ascii="Times New Roman" w:eastAsia="Calibri" w:hAnsi="Times New Roman" w:cs="Times New Roman"/>
          <w:b/>
          <w:sz w:val="24"/>
          <w:szCs w:val="24"/>
          <w:u w:val="single"/>
          <w:lang w:val="es-ES_tradnl"/>
        </w:rPr>
        <w:t>Selección y contratación de servicios de consultoría</w:t>
      </w:r>
      <w:r w:rsidRPr="00EF61C8">
        <w:rPr>
          <w:rFonts w:ascii="Times New Roman" w:eastAsia="Calibri" w:hAnsi="Times New Roman" w:cs="Times New Roman"/>
          <w:sz w:val="24"/>
          <w:szCs w:val="24"/>
          <w:lang w:val="es-ES_tradnl"/>
        </w:rPr>
        <w:t>.</w:t>
      </w:r>
      <w:r w:rsidRPr="00EF61C8">
        <w:rPr>
          <w:rFonts w:ascii="Times New Roman" w:eastAsia="Calibri" w:hAnsi="Times New Roman" w:cs="Times New Roman"/>
          <w:b/>
          <w:sz w:val="24"/>
          <w:szCs w:val="24"/>
          <w:lang w:val="es-ES_tradnl"/>
        </w:rPr>
        <w:t xml:space="preserve"> </w:t>
      </w:r>
      <w:r w:rsidRPr="00EF61C8">
        <w:rPr>
          <w:rFonts w:ascii="Times New Roman" w:eastAsia="Calibri" w:hAnsi="Times New Roman" w:cs="Times New Roman"/>
          <w:sz w:val="24"/>
          <w:szCs w:val="24"/>
          <w:lang w:val="es-ES_tradnl"/>
        </w:rPr>
        <w:t>(a)</w:t>
      </w:r>
      <w:r w:rsidRPr="00EF61C8">
        <w:rPr>
          <w:rFonts w:ascii="Times New Roman" w:eastAsia="Calibri" w:hAnsi="Times New Roman" w:cs="Times New Roman"/>
          <w:b/>
          <w:sz w:val="24"/>
          <w:szCs w:val="24"/>
          <w:lang w:val="es-ES_tradnl"/>
        </w:rPr>
        <w:t xml:space="preserve"> </w:t>
      </w:r>
      <w:r w:rsidRPr="00EF61C8">
        <w:rPr>
          <w:rFonts w:ascii="Times New Roman" w:eastAsia="Calibri" w:hAnsi="Times New Roman" w:cs="Times New Roman"/>
          <w:sz w:val="24"/>
          <w:szCs w:val="24"/>
          <w:lang w:val="es-ES_tradnl"/>
        </w:rPr>
        <w:t>Para efectos</w:t>
      </w:r>
      <w:r w:rsidRPr="00EF61C8">
        <w:rPr>
          <w:rFonts w:ascii="Times New Roman" w:eastAsia="Calibri" w:hAnsi="Times New Roman" w:cs="Times New Roman"/>
          <w:b/>
          <w:sz w:val="24"/>
          <w:szCs w:val="24"/>
          <w:lang w:val="es-ES_tradnl"/>
        </w:rPr>
        <w:t xml:space="preserve"> </w:t>
      </w:r>
      <w:r w:rsidRPr="00EF61C8">
        <w:rPr>
          <w:rFonts w:ascii="Times New Roman" w:eastAsia="Calibri" w:hAnsi="Times New Roman" w:cs="Times New Roman"/>
          <w:sz w:val="24"/>
          <w:szCs w:val="24"/>
          <w:lang w:val="es-ES_tradnl"/>
        </w:rPr>
        <w:t>de lo dispuesto en el Artículo 2.01(65) de las Normas Generales, las Partes dejan constancia que las Políticas de Consultores son las fechadas marzo de 2011, que están recogidas en el documento GN-2350-9, aprobado por el Banco el 19 de abril de 2011.</w:t>
      </w:r>
      <w:r w:rsidR="002C7305">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 Si las Políticas de Consultores fueran modificadas por el Banco, la selección y contratación de servicios de consultoría serán llevadas a cabo de acuerdo con las disposiciones de las Políticas de Consultores modificadas, una vez que éstas sean puestas en conocimiento del Prestatario y el Prestatario acepte por escrito su aplicación.</w:t>
      </w:r>
    </w:p>
    <w:p w:rsidR="00FF0D18" w:rsidRPr="00EF61C8" w:rsidRDefault="00FF0D18" w:rsidP="00FF0D18">
      <w:pPr>
        <w:spacing w:after="0" w:line="240" w:lineRule="auto"/>
        <w:rPr>
          <w:rFonts w:ascii="Times New Roman" w:eastAsia="Calibri"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ab/>
        <w:t>(b)</w:t>
      </w:r>
      <w:r w:rsidRPr="00EF61C8">
        <w:rPr>
          <w:rFonts w:ascii="Times New Roman" w:eastAsia="Calibri" w:hAnsi="Times New Roman" w:cs="Times New Roman"/>
          <w:sz w:val="24"/>
          <w:szCs w:val="24"/>
          <w:lang w:val="es-ES_tradnl"/>
        </w:rPr>
        <w:tab/>
        <w:t xml:space="preserve">Para la selección y contratación de </w:t>
      </w:r>
      <w:r w:rsidRPr="00EF61C8">
        <w:rPr>
          <w:rFonts w:ascii="Times New Roman" w:eastAsia="Calibri" w:hAnsi="Times New Roman" w:cs="Times New Roman"/>
          <w:color w:val="000000"/>
          <w:sz w:val="24"/>
          <w:szCs w:val="24"/>
          <w:lang w:val="es-ES_tradnl"/>
        </w:rPr>
        <w:t>servicios de consultoría, se podrá utilizar cualquiera de los</w:t>
      </w:r>
      <w:r w:rsidRPr="00EF61C8">
        <w:rPr>
          <w:rFonts w:ascii="Times New Roman" w:eastAsia="Calibri" w:hAnsi="Times New Roman" w:cs="Times New Roman"/>
          <w:sz w:val="24"/>
          <w:szCs w:val="24"/>
          <w:lang w:val="es-ES_tradnl"/>
        </w:rPr>
        <w:t xml:space="preserve"> métodos descritos en las Políticas de Consultores, siempre que dicho método haya sido identificado para la respectiva contratación en el Plan de Adquisiciones aprobado por el Banco. </w:t>
      </w:r>
      <w:r w:rsidRPr="00EF61C8">
        <w:rPr>
          <w:rFonts w:ascii="Times New Roman" w:eastAsia="Calibri" w:hAnsi="Times New Roman" w:cs="Times New Roman"/>
          <w:color w:val="000000"/>
          <w:sz w:val="24"/>
          <w:szCs w:val="24"/>
          <w:lang w:val="es-ES_tradnl"/>
        </w:rPr>
        <w:t>También se podrán utilizar los sistemas de país en los términos des</w:t>
      </w:r>
      <w:r w:rsidR="002C7305">
        <w:rPr>
          <w:rFonts w:ascii="Times New Roman" w:eastAsia="Calibri" w:hAnsi="Times New Roman" w:cs="Times New Roman"/>
          <w:color w:val="000000"/>
          <w:sz w:val="24"/>
          <w:szCs w:val="24"/>
          <w:lang w:val="es-ES_tradnl"/>
        </w:rPr>
        <w:t xml:space="preserve">critos en el Artículo </w:t>
      </w:r>
      <w:r w:rsidRPr="00EF61C8">
        <w:rPr>
          <w:rFonts w:ascii="Times New Roman" w:eastAsia="Calibri" w:hAnsi="Times New Roman" w:cs="Times New Roman"/>
          <w:color w:val="000000"/>
          <w:sz w:val="24"/>
          <w:szCs w:val="24"/>
          <w:lang w:val="es-ES_tradnl"/>
        </w:rPr>
        <w:t>6.04(b) de las Normas Generales.</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tabs>
          <w:tab w:val="left" w:pos="540"/>
          <w:tab w:val="left" w:pos="1080"/>
        </w:tabs>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ab/>
        <w:t>(c)</w:t>
      </w:r>
      <w:r w:rsidRPr="00EF61C8">
        <w:rPr>
          <w:rFonts w:ascii="Times New Roman" w:eastAsia="Calibri" w:hAnsi="Times New Roman" w:cs="Times New Roman"/>
          <w:sz w:val="24"/>
          <w:szCs w:val="24"/>
          <w:lang w:val="es-ES_tradnl"/>
        </w:rPr>
        <w:tab/>
        <w:t xml:space="preserve">El umbral que determina la integración de la lista corta con consultores internacionales será puesto a disposición del Prestatario o, en su caso, del Organismo Ejecutor, en la página </w:t>
      </w:r>
      <w:hyperlink r:id="rId26" w:history="1">
        <w:r w:rsidRPr="00EF61C8">
          <w:rPr>
            <w:rFonts w:ascii="Times New Roman" w:eastAsia="Calibri" w:hAnsi="Times New Roman" w:cs="Times New Roman"/>
            <w:color w:val="0000FF"/>
            <w:sz w:val="24"/>
            <w:szCs w:val="24"/>
            <w:u w:val="single"/>
            <w:lang w:val="es-ES"/>
          </w:rPr>
          <w:t>http://www.iadb.org/es/adquisiciones-de-proyectos/adquisiciones-de-proyectos,8148.html</w:t>
        </w:r>
      </w:hyperlink>
      <w:r w:rsidRPr="00EF61C8">
        <w:rPr>
          <w:rFonts w:ascii="Times New Roman" w:eastAsia="Calibri" w:hAnsi="Times New Roman" w:cs="Times New Roman"/>
          <w:sz w:val="24"/>
          <w:szCs w:val="24"/>
          <w:lang w:val="es-ES_tradnl"/>
        </w:rPr>
        <w:t xml:space="preserve">. </w:t>
      </w:r>
      <w:r w:rsidR="002C7305">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Por debajo de dicho umbral, la lista corta podrá estar íntegramente compuesta por consultores nacionales del país del Prestatario.</w:t>
      </w:r>
    </w:p>
    <w:p w:rsidR="00FF0D18" w:rsidRPr="00EF61C8" w:rsidRDefault="00FF0D18" w:rsidP="00FF0D18">
      <w:pPr>
        <w:spacing w:after="0" w:line="240" w:lineRule="auto"/>
        <w:jc w:val="both"/>
        <w:rPr>
          <w:rFonts w:ascii="Times New Roman" w:eastAsia="Times New Roman" w:hAnsi="Times New Roman" w:cs="Times New Roman"/>
          <w:b/>
          <w:bCs/>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bCs/>
          <w:sz w:val="24"/>
          <w:szCs w:val="24"/>
          <w:lang w:val="es-ES_tradnl"/>
        </w:rPr>
        <w:t>CLÁUSULA 4.05.</w:t>
      </w:r>
      <w:r w:rsidRPr="00EF61C8">
        <w:rPr>
          <w:rFonts w:ascii="Times New Roman" w:eastAsia="Times New Roman" w:hAnsi="Times New Roman" w:cs="Times New Roman"/>
          <w:b/>
          <w:bCs/>
          <w:sz w:val="24"/>
          <w:szCs w:val="24"/>
          <w:lang w:val="es-ES_tradnl"/>
        </w:rPr>
        <w:tab/>
      </w:r>
      <w:r w:rsidRPr="00EF61C8">
        <w:rPr>
          <w:rFonts w:ascii="Times New Roman" w:eastAsia="Times New Roman" w:hAnsi="Times New Roman" w:cs="Times New Roman"/>
          <w:b/>
          <w:sz w:val="24"/>
          <w:szCs w:val="24"/>
          <w:u w:val="single"/>
          <w:lang w:val="es-ES_tradnl"/>
        </w:rPr>
        <w:t>Actualización del Plan de Adquisiciones</w:t>
      </w:r>
      <w:r w:rsidRPr="00EF61C8">
        <w:rPr>
          <w:rFonts w:ascii="Times New Roman" w:eastAsia="Times New Roman" w:hAnsi="Times New Roman" w:cs="Times New Roman"/>
          <w:bCs/>
          <w:sz w:val="24"/>
          <w:szCs w:val="24"/>
          <w:lang w:val="es-ES_tradnl"/>
        </w:rPr>
        <w:t>.</w:t>
      </w:r>
      <w:r w:rsidRPr="00EF61C8">
        <w:rPr>
          <w:rFonts w:ascii="Times New Roman" w:eastAsia="Times New Roman" w:hAnsi="Times New Roman" w:cs="Times New Roman"/>
          <w:sz w:val="24"/>
          <w:szCs w:val="24"/>
          <w:lang w:val="es-ES_tradnl"/>
        </w:rPr>
        <w:t xml:space="preserve"> Para la actualización del Plan de Adquisiciones de conformidad con lo dispuesto en el Artículo 6.04(c) de las Normas Generales, el Prestatario deberá utilizar o, en su caso, hacer que el Organismo Ejecutor utilice, el sistema de ejecución y seguimiento de planes de adquisiciones que determine el Banco.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4.06.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Gestión Ambiental y Social.</w:t>
      </w:r>
      <w:r w:rsidRPr="00EF61C8">
        <w:rPr>
          <w:rFonts w:ascii="Times New Roman" w:eastAsia="Times New Roman"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Para efectos d</w:t>
      </w:r>
      <w:r w:rsidR="002C7305">
        <w:rPr>
          <w:rFonts w:ascii="Times New Roman" w:eastAsia="Calibri" w:hAnsi="Times New Roman" w:cs="Times New Roman"/>
          <w:sz w:val="24"/>
          <w:szCs w:val="24"/>
          <w:lang w:val="es-ES_tradnl"/>
        </w:rPr>
        <w:t xml:space="preserve">e lo dispuesto en los Artículos </w:t>
      </w:r>
      <w:r w:rsidRPr="00EF61C8">
        <w:rPr>
          <w:rFonts w:ascii="Times New Roman" w:eastAsia="Calibri" w:hAnsi="Times New Roman" w:cs="Times New Roman"/>
          <w:sz w:val="24"/>
          <w:szCs w:val="24"/>
          <w:lang w:val="es-ES_tradnl"/>
        </w:rPr>
        <w:t>6.06 y 7.02 de las Normas Generales, las partes convienen que la ejecución del Programa se regirá por las siguientes disposiciones que se han identificado como necesarias para</w:t>
      </w:r>
      <w:r w:rsidRPr="00EF61C8" w:rsidDel="00D2288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cumplimiento de los compromisos ambientales y sociales del Programa:</w:t>
      </w:r>
    </w:p>
    <w:p w:rsidR="00FF0D18" w:rsidRPr="00EF61C8" w:rsidRDefault="00FF0D18" w:rsidP="00FF0D18">
      <w:pPr>
        <w:tabs>
          <w:tab w:val="left" w:pos="-1440"/>
          <w:tab w:val="left" w:pos="-720"/>
        </w:tabs>
        <w:autoSpaceDE w:val="0"/>
        <w:autoSpaceDN w:val="0"/>
        <w:adjustRightInd w:val="0"/>
        <w:spacing w:after="0" w:line="240" w:lineRule="auto"/>
        <w:jc w:val="both"/>
        <w:rPr>
          <w:rFonts w:ascii="Times New Roman" w:eastAsia="Times New Roman" w:hAnsi="Times New Roman" w:cs="Times New Roman"/>
          <w:sz w:val="24"/>
          <w:szCs w:val="24"/>
          <w:lang w:val="es-ES_tradnl"/>
        </w:rPr>
      </w:pPr>
    </w:p>
    <w:p w:rsidR="00FF0D18" w:rsidRPr="00E4276A" w:rsidRDefault="00FF0D18" w:rsidP="00E4276A">
      <w:pPr>
        <w:pStyle w:val="Prrafodelista"/>
        <w:numPr>
          <w:ilvl w:val="0"/>
          <w:numId w:val="44"/>
        </w:numPr>
        <w:tabs>
          <w:tab w:val="left" w:pos="-1440"/>
          <w:tab w:val="left" w:pos="-720"/>
          <w:tab w:val="left" w:pos="720"/>
          <w:tab w:val="left" w:pos="2160"/>
        </w:tabs>
        <w:autoSpaceDE w:val="0"/>
        <w:autoSpaceDN w:val="0"/>
        <w:adjustRightInd w:val="0"/>
        <w:jc w:val="both"/>
        <w:rPr>
          <w:lang w:val="es-ES_tradnl"/>
        </w:rPr>
      </w:pPr>
      <w:r w:rsidRPr="00E4276A">
        <w:rPr>
          <w:lang w:val="es-ES_tradnl"/>
        </w:rPr>
        <w:t>El Prestatario, por intermedio del Organismo Ejecutor, acuerda diseñar, construir, operar, mantener y monitorear el Programa directamente o a través de cualquier otro contratista, operador o cualquier otra persona que realice actividades relacionadas con el Programa de acuerdo con las disposiciones ambientales, sociales, de salud ocupacional previstas en los Análisis Ambientales y Sociales y Planes de gestión ambiental y social, y el Plan de Reasentamiento Involuntario de la Ruta 1 y el Plan de Adquisición Predial y Atención a Afectados de la Ruta 2.</w:t>
      </w:r>
    </w:p>
    <w:p w:rsidR="00E4276A" w:rsidRPr="00E4276A" w:rsidRDefault="00E4276A" w:rsidP="00E4276A">
      <w:pPr>
        <w:pStyle w:val="Prrafodelista"/>
        <w:tabs>
          <w:tab w:val="left" w:pos="-1440"/>
          <w:tab w:val="left" w:pos="-720"/>
          <w:tab w:val="left" w:pos="720"/>
          <w:tab w:val="left" w:pos="2160"/>
        </w:tabs>
        <w:autoSpaceDE w:val="0"/>
        <w:autoSpaceDN w:val="0"/>
        <w:adjustRightInd w:val="0"/>
        <w:ind w:left="1440"/>
        <w:jc w:val="both"/>
        <w:rPr>
          <w:lang w:val="es-ES_tradnl"/>
        </w:rPr>
      </w:pP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 xml:space="preserve">El Organismo Ejecutor deberá (i) implementar procesos de participación con las partes interesadas en las obras previstas en el Programa para garantizar </w:t>
      </w:r>
      <w:r w:rsidRPr="00EF61C8">
        <w:rPr>
          <w:rFonts w:ascii="Times New Roman" w:eastAsia="Times New Roman" w:hAnsi="Times New Roman" w:cs="Times New Roman"/>
          <w:sz w:val="24"/>
          <w:szCs w:val="24"/>
          <w:lang w:val="es-ES_tradnl"/>
        </w:rPr>
        <w:lastRenderedPageBreak/>
        <w:t>que las comunidades afectadas sean informadas y consultadas sobre el avance de las obras y la gestión socioambiental del Programa, y tener acceso a los mecanismos de resolución de conflictos; y (ii) divulgar cualquier evaluación y plan de gestión socioambiental relacionado con las obras.</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1440" w:hanging="1440"/>
        <w:jc w:val="both"/>
        <w:rPr>
          <w:rFonts w:ascii="Times New Roman" w:eastAsia="Times New Roman" w:hAnsi="Times New Roman" w:cs="Times New Roman"/>
          <w:sz w:val="24"/>
          <w:szCs w:val="24"/>
          <w:lang w:val="es-ES_tradnl"/>
        </w:rPr>
      </w:pPr>
    </w:p>
    <w:p w:rsidR="00FF0D18" w:rsidRPr="00701A85" w:rsidRDefault="00701A85" w:rsidP="00701A85">
      <w:pPr>
        <w:tabs>
          <w:tab w:val="left" w:pos="-1440"/>
          <w:tab w:val="left" w:pos="-720"/>
          <w:tab w:val="left" w:pos="720"/>
          <w:tab w:val="left" w:pos="2160"/>
        </w:tabs>
        <w:autoSpaceDE w:val="0"/>
        <w:autoSpaceDN w:val="0"/>
        <w:adjustRightInd w:val="0"/>
        <w:spacing w:after="0" w:line="240" w:lineRule="auto"/>
        <w:ind w:left="1440" w:hanging="1440"/>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ab/>
        <w:t>(c)</w:t>
      </w:r>
      <w:r>
        <w:rPr>
          <w:rFonts w:ascii="Times New Roman" w:eastAsia="Times New Roman" w:hAnsi="Times New Roman" w:cs="Times New Roman"/>
          <w:sz w:val="24"/>
          <w:szCs w:val="24"/>
          <w:lang w:val="es-ES_tradnl"/>
        </w:rPr>
        <w:tab/>
      </w:r>
      <w:r w:rsidR="00FF0D18" w:rsidRPr="00701A85">
        <w:rPr>
          <w:rFonts w:ascii="Times New Roman" w:eastAsia="Times New Roman" w:hAnsi="Times New Roman" w:cs="Times New Roman"/>
          <w:sz w:val="24"/>
          <w:szCs w:val="24"/>
          <w:lang w:val="es-ES_tradnl"/>
        </w:rPr>
        <w:t>El Organismo Ejecutor, deberá completar el 100% de ejecución del Plan de Reasentamiento Involuntario (PRI) de la Ruta 1 y el Plan de Adquisición Predial y Atención a Afectados de la Ruta 2. Para los casos en que se detecte que sea necesario realizar acciones o incluir compensaciones adicionales para cumplir con la Política Operativa de Reasentamiento Involuntario (OP-710), se incluirán vía actualización de estos respectivos planes.</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1440" w:hanging="1440"/>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El Organismo Ejecutor deberá contar con la liberación y/o disponibilidad de uso inmediato del 100% del Derecho de Vía.</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1440" w:hanging="144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b/>
          <w:i/>
          <w:sz w:val="24"/>
          <w:szCs w:val="24"/>
          <w:lang w:val="es-ES_tradnl"/>
        </w:rPr>
      </w:pPr>
      <w:r w:rsidRPr="00EF61C8">
        <w:rPr>
          <w:rFonts w:ascii="Times New Roman" w:eastAsia="Times New Roman" w:hAnsi="Times New Roman" w:cs="Times New Roman"/>
          <w:b/>
          <w:sz w:val="24"/>
          <w:szCs w:val="20"/>
          <w:lang w:val="es-ES_tradnl"/>
        </w:rPr>
        <w:t>CLÁUSULA 4.07.</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Mantenimiento</w:t>
      </w:r>
      <w:r w:rsidRPr="00EF61C8">
        <w:rPr>
          <w:rFonts w:ascii="Times New Roman" w:eastAsia="Times New Roman" w:hAnsi="Times New Roman" w:cs="Times New Roman"/>
          <w:sz w:val="24"/>
          <w:szCs w:val="20"/>
          <w:lang w:val="es-ES_tradnl"/>
        </w:rPr>
        <w:t>.</w:t>
      </w:r>
      <w:r w:rsidRPr="00EF61C8">
        <w:rPr>
          <w:rFonts w:ascii="Times New Roman" w:eastAsia="Times New Roman" w:hAnsi="Times New Roman" w:cs="Times New Roman"/>
          <w:b/>
          <w:i/>
          <w:sz w:val="24"/>
          <w:szCs w:val="24"/>
          <w:lang w:val="es-ES_tradnl"/>
        </w:rPr>
        <w:t xml:space="preserve"> </w:t>
      </w:r>
      <w:r w:rsidRPr="00EF61C8">
        <w:rPr>
          <w:rFonts w:ascii="Times New Roman" w:eastAsia="Times New Roman" w:hAnsi="Times New Roman" w:cs="Times New Roman"/>
          <w:sz w:val="24"/>
          <w:szCs w:val="24"/>
          <w:lang w:val="es-ES_tradnl"/>
        </w:rPr>
        <w:t>El Prestatario, por intermedio del Organismo Ejecutor, se compromete a que las obras y equipos comprendidos en el Programa sean mantenidos adecuadamente de acuerdo con normas técnicas generalmente aceptadas.</w:t>
      </w:r>
      <w:r w:rsidR="002C7305">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El Prestatario, por intermedio del Organismo Ejecutor, deberá: (a) realizar planes anuales de mantenimiento de las obras que hayan entrado en operación y de los bienes financiados c</w:t>
      </w:r>
      <w:r w:rsidR="00701A85">
        <w:rPr>
          <w:rFonts w:ascii="Times New Roman" w:eastAsia="Times New Roman" w:hAnsi="Times New Roman" w:cs="Times New Roman"/>
          <w:sz w:val="24"/>
          <w:szCs w:val="24"/>
          <w:lang w:val="es-ES_tradnl"/>
        </w:rPr>
        <w:t xml:space="preserve">on recursos del Préstamo; y (b) </w:t>
      </w:r>
      <w:r w:rsidRPr="00EF61C8">
        <w:rPr>
          <w:rFonts w:ascii="Times New Roman" w:eastAsia="Times New Roman" w:hAnsi="Times New Roman" w:cs="Times New Roman"/>
          <w:sz w:val="24"/>
          <w:szCs w:val="24"/>
          <w:lang w:val="es-ES_tradnl"/>
        </w:rPr>
        <w:t xml:space="preserve">presentar al Banco, durante el plazo de desembolso y dentro del primer trimestre de cada año calendario, un reporte informando de la vigencia y el estado de los planes de mantenimiento de las obras. </w:t>
      </w:r>
      <w:r w:rsidR="002C7305">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Si de las inspecciones que realice el Banco, o de los informes que reciba, se determina que el mantenimiento se efectúa por debajo de los niveles convenidos, el Prestatario, por intermedio del Organismo Ejecutor, deberá adoptar las medidas necesarias para que se corrijan totalmente las deficiencias.</w:t>
      </w:r>
    </w:p>
    <w:p w:rsidR="00FF0D18" w:rsidRPr="00EF61C8" w:rsidRDefault="00FF0D18" w:rsidP="00FF0D18">
      <w:pPr>
        <w:tabs>
          <w:tab w:val="left" w:pos="2160"/>
        </w:tabs>
        <w:spacing w:after="0" w:line="240" w:lineRule="auto"/>
        <w:jc w:val="both"/>
        <w:rPr>
          <w:rFonts w:ascii="Times New Roman" w:eastAsia="Times New Roman" w:hAnsi="Times New Roman" w:cs="Times New Roman"/>
          <w:b/>
          <w:i/>
          <w:sz w:val="24"/>
          <w:szCs w:val="20"/>
          <w:highlight w:val="yellow"/>
          <w:lang w:val="es-ES_tradnl"/>
        </w:rPr>
      </w:pP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V</w:t>
      </w: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Supervisión y Evaluación del Programa</w:t>
      </w:r>
    </w:p>
    <w:p w:rsidR="00FF0D18" w:rsidRPr="00EF61C8" w:rsidRDefault="00FF0D18" w:rsidP="00FF0D18">
      <w:pPr>
        <w:spacing w:after="0" w:line="240" w:lineRule="auto"/>
        <w:jc w:val="both"/>
        <w:rPr>
          <w:rFonts w:ascii="Times New Roman" w:eastAsia="Times New Roman" w:hAnsi="Times New Roman" w:cs="Times New Roman"/>
          <w:b/>
          <w:sz w:val="24"/>
          <w:szCs w:val="20"/>
          <w:lang w:val="es-ES_tradnl"/>
        </w:rPr>
      </w:pP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5.01.</w:t>
      </w:r>
      <w:r w:rsidRPr="00EF61C8">
        <w:rPr>
          <w:rFonts w:ascii="Times New Roman" w:eastAsia="Times New Roman" w:hAnsi="Times New Roman" w:cs="Times New Roman"/>
          <w:b/>
          <w:sz w:val="24"/>
          <w:szCs w:val="24"/>
          <w:lang w:val="es-ES_tradnl"/>
        </w:rPr>
        <w:tab/>
      </w:r>
      <w:r w:rsidRPr="00EF61C8">
        <w:rPr>
          <w:rFonts w:ascii="Times New Roman" w:eastAsia="Calibri" w:hAnsi="Times New Roman" w:cs="Times New Roman"/>
          <w:b/>
          <w:sz w:val="24"/>
          <w:szCs w:val="24"/>
          <w:u w:val="single"/>
          <w:lang w:val="es-ES_tradnl"/>
        </w:rPr>
        <w:t>Supervisión de la ejecución del Programa</w:t>
      </w:r>
      <w:r w:rsidRPr="00EF61C8">
        <w:rPr>
          <w:rFonts w:ascii="Times New Roman" w:eastAsia="Calibri" w:hAnsi="Times New Roman" w:cs="Times New Roman"/>
          <w:bCs/>
          <w:sz w:val="24"/>
          <w:szCs w:val="24"/>
          <w:lang w:val="es-ES_tradnl"/>
        </w:rPr>
        <w:t>.</w:t>
      </w:r>
      <w:r w:rsidRPr="00EF61C8">
        <w:rPr>
          <w:rFonts w:ascii="Times New Roman" w:eastAsia="Calibri" w:hAnsi="Times New Roman" w:cs="Times New Roman"/>
          <w:sz w:val="24"/>
          <w:szCs w:val="24"/>
          <w:lang w:val="es-ES_tradnl"/>
        </w:rPr>
        <w:t xml:space="preserve"> Para efectos de lo dispuesto en el Artículo 7.02 de las Normas Generales, los documentos que, a la fecha de suscripción de este Contrato, se han identificado como necesarios para supervisar el progreso en</w:t>
      </w:r>
      <w:r w:rsidR="002C7305">
        <w:rPr>
          <w:rFonts w:ascii="Times New Roman" w:eastAsia="Calibri" w:hAnsi="Times New Roman" w:cs="Times New Roman"/>
          <w:sz w:val="24"/>
          <w:szCs w:val="24"/>
          <w:lang w:val="es-ES_tradnl"/>
        </w:rPr>
        <w:t xml:space="preserve"> la ejecución del Proyecto son:</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numPr>
          <w:ilvl w:val="0"/>
          <w:numId w:val="33"/>
        </w:num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Plan de Ejecución Plurianual del Programa (PEP), que deberá comprender la planificación completa del Programa de conformidad con la estructura de los productos esperados según la Matriz de Resultados del Programa, y la ruta crítica de hitos o acciones críticas que deberán ser ejecutadas para que el Préstamo sea desembolsado en el plazo previsto en la Cláusula 2.04 de estas Estipulaciones Especiales.</w:t>
      </w:r>
      <w:r w:rsidR="00721C2B">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 El PEP deberá ser actualizado cuando fuere necesario, en especial, cuando se produzcan cambios significativos que impliquen o pudiesen implicar demoras en la ejecución del Programa o cambios en las metas de producto de los períodos intermedios.</w:t>
      </w:r>
    </w:p>
    <w:p w:rsidR="00FF0D18" w:rsidRPr="00EF61C8" w:rsidRDefault="00FF0D18" w:rsidP="00FF0D18">
      <w:pPr>
        <w:spacing w:after="0" w:line="240" w:lineRule="auto"/>
        <w:ind w:left="1440"/>
        <w:jc w:val="both"/>
        <w:rPr>
          <w:rFonts w:ascii="Times New Roman" w:eastAsia="Calibri" w:hAnsi="Times New Roman" w:cs="Times New Roman"/>
          <w:sz w:val="24"/>
          <w:szCs w:val="24"/>
          <w:lang w:val="es-ES_tradnl"/>
        </w:rPr>
      </w:pPr>
    </w:p>
    <w:p w:rsidR="00FF0D18" w:rsidRPr="00EF61C8" w:rsidRDefault="00FF0D18" w:rsidP="00FF0D18">
      <w:pPr>
        <w:numPr>
          <w:ilvl w:val="0"/>
          <w:numId w:val="33"/>
        </w:num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lastRenderedPageBreak/>
        <w:t xml:space="preserve">Planes Operativos Anuales (POA), que serán elaborados a partir del PEP, contendrán la planificación operativa detallada de cada período anual, </w:t>
      </w:r>
      <w:r w:rsidRPr="00EF61C8">
        <w:rPr>
          <w:rFonts w:ascii="Times New Roman" w:eastAsia="Times New Roman" w:hAnsi="Times New Roman" w:cs="Times New Roman"/>
          <w:sz w:val="24"/>
          <w:szCs w:val="24"/>
          <w:lang w:val="es-ES_tradnl"/>
        </w:rPr>
        <w:t>incluyendo el presupuesto estimado por actividad y producto, los resultados y productos esperados para cumplir con la Matriz de Resultados, las actividades previstas, y el cronograma de ejecución.</w:t>
      </w:r>
    </w:p>
    <w:p w:rsidR="00FF0D18" w:rsidRPr="00EF61C8" w:rsidRDefault="00FF0D18" w:rsidP="00FF0D18">
      <w:pPr>
        <w:spacing w:after="0" w:line="240" w:lineRule="auto"/>
        <w:ind w:left="1440"/>
        <w:jc w:val="both"/>
        <w:rPr>
          <w:rFonts w:ascii="Times New Roman" w:eastAsia="Calibri" w:hAnsi="Times New Roman" w:cs="Times New Roman"/>
          <w:sz w:val="24"/>
          <w:szCs w:val="24"/>
          <w:lang w:val="es-ES_tradnl"/>
        </w:rPr>
      </w:pPr>
    </w:p>
    <w:p w:rsidR="00FF0D18" w:rsidRPr="00EF61C8" w:rsidRDefault="00FF0D18" w:rsidP="00FF0D18">
      <w:pPr>
        <w:numPr>
          <w:ilvl w:val="0"/>
          <w:numId w:val="33"/>
        </w:num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 xml:space="preserve">Informes semestrales de progreso, que incluirán los resultados y productos alcanzados en la ejecución del POA, del Plan de Adquisiciones y de la Matriz de Resultados del Programa que se presentarán al Banco antes del 15 de febrero y 15 de agosto de cada año calendario. </w:t>
      </w:r>
      <w:r w:rsidR="00721C2B">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El Prestatario se compromete a participar en al menos dos (2) reuniones de evaluación conjunta con el Banco, a realizarse dentro de los sesenta (60) días siguientes a la recepción de dichos informes. Si el Banco, a la vista de la marcha del proceso de ejecución, apreciase la necesidad de incrementar las labores de supervisión y seguimiento del Programa, podrá requerir informes adicionales e incrementar las reuniones conjuntas de evaluación y supervisión de la ejecución. </w:t>
      </w:r>
      <w:r w:rsidR="00721C2B">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El informe correspondiente al segundo semestre de cada año comprenderá la propuesta de POA para el año siguiente, mismo que deberá ser acordado con el Banco en la reunión de evaluación conjunta correspondiente.</w:t>
      </w:r>
    </w:p>
    <w:p w:rsidR="00FF0D18" w:rsidRPr="00EF61C8" w:rsidRDefault="00FF0D18" w:rsidP="00FF0D18">
      <w:pPr>
        <w:spacing w:after="0" w:line="240" w:lineRule="auto"/>
        <w:ind w:left="720"/>
        <w:rPr>
          <w:rFonts w:ascii="Times New Roman" w:eastAsia="Calibri" w:hAnsi="Times New Roman" w:cs="Times New Roman"/>
          <w:sz w:val="24"/>
          <w:szCs w:val="24"/>
          <w:lang w:val="es-ES_tradnl"/>
        </w:rPr>
      </w:pPr>
    </w:p>
    <w:p w:rsidR="00FF0D18" w:rsidRPr="00EF61C8" w:rsidRDefault="00FF0D18" w:rsidP="00FF0D18">
      <w:pPr>
        <w:numPr>
          <w:ilvl w:val="0"/>
          <w:numId w:val="33"/>
        </w:num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Informe de evaluación de resultados del Préstamo.</w:t>
      </w:r>
      <w:r w:rsidR="00721C2B">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 Se desarrollará a los 18 meses contados a partir de la fecha que el financiamiento haya sido declarado elegible para desembolsos, y deberá incluir: (i) los avances en el logro de las metas en el marco de resultados; (ii) el grado de cumplimiento de las obligaciones contractuales; (iii) la efectividad del sistema de seguimiento y evaluació</w:t>
      </w:r>
      <w:r w:rsidR="00721C2B">
        <w:rPr>
          <w:rFonts w:ascii="Times New Roman" w:eastAsia="Calibri" w:hAnsi="Times New Roman" w:cs="Times New Roman"/>
          <w:sz w:val="24"/>
          <w:szCs w:val="24"/>
          <w:lang w:val="es-ES_tradnl"/>
        </w:rPr>
        <w:t>n; y (iv) lecciones aprendidas.</w:t>
      </w:r>
    </w:p>
    <w:p w:rsidR="00FF0D18" w:rsidRPr="00EF61C8" w:rsidRDefault="00FF0D18" w:rsidP="00FF0D18">
      <w:pPr>
        <w:spacing w:after="0" w:line="240" w:lineRule="auto"/>
        <w:ind w:left="1440" w:hanging="720"/>
        <w:jc w:val="both"/>
        <w:rPr>
          <w:rFonts w:ascii="Times New Roman" w:eastAsia="Calibri" w:hAnsi="Times New Roman" w:cs="Times New Roman"/>
          <w:sz w:val="24"/>
          <w:szCs w:val="24"/>
          <w:lang w:val="es-ES_tradnl"/>
        </w:rPr>
      </w:pPr>
    </w:p>
    <w:p w:rsidR="00FF0D18" w:rsidRPr="00EF61C8" w:rsidRDefault="00FF0D18" w:rsidP="00FF0D18">
      <w:pPr>
        <w:numPr>
          <w:ilvl w:val="0"/>
          <w:numId w:val="33"/>
        </w:num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Evaluación intermedia de resultados del Préstamo. A los 30 meses de la fecha de vigencia del Préstamo, o cuando se alcance el 50% de los desembolsos (lo que ocurra primero), el ejecutor presentará al Banco una evaluación que deberá, como mínimo examinar: (i) los resultados iniciales de la operación; (ii) los procesos y resultados de la licitación de obras y la contratación de servicios de consultoría; y (iii) los avances en el logro de las metas en el marco de resultados.</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numPr>
          <w:ilvl w:val="0"/>
          <w:numId w:val="33"/>
        </w:numPr>
        <w:spacing w:after="0" w:line="240" w:lineRule="auto"/>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Informe Final de evaluación de Resultados del Préstamo. Adicionalmente, el MOPT, preparará dentro de los 60 (sesenta) días posteriores a la fecha de último desembolso, un reporte de evaluación final del Programa, que deberá incluir, como mínimo: (a) los resultados de ejecución financiera por componente; (b) el cumplimiento de las metas establecidas, de acuerdo a los indicadores de resultado acordados; (c) el cumplimiento de compromisos contractuales; (d) desglose de costo de las obras por tipo de obra; (e) resultados de la evaluación costo/beneficio ex post en base al modelo desarrollado ex ante; (f) lecciones aprendidas; y (d) evaluación de la implementación de las obras según los aspectos socio-ambientales.</w:t>
      </w:r>
    </w:p>
    <w:p w:rsidR="00FF0D18" w:rsidRPr="00EF61C8" w:rsidRDefault="00FF0D18" w:rsidP="00FF0D18">
      <w:pPr>
        <w:spacing w:after="0" w:line="240" w:lineRule="auto"/>
        <w:ind w:left="1440"/>
        <w:jc w:val="both"/>
        <w:rPr>
          <w:rFonts w:ascii="Times New Roman" w:eastAsia="Calibri" w:hAnsi="Times New Roman" w:cs="Times New Roman"/>
          <w:sz w:val="24"/>
          <w:szCs w:val="24"/>
          <w:lang w:val="es-ES_tradnl"/>
        </w:rPr>
      </w:pP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b/>
          <w:sz w:val="24"/>
          <w:szCs w:val="24"/>
          <w:lang w:val="es-ES_tradnl"/>
        </w:rPr>
        <w:lastRenderedPageBreak/>
        <w:t>CLÁUSULA 5.02.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Supervisión de la gestión financiera del Programa</w:t>
      </w:r>
      <w:r w:rsidRPr="00EF61C8">
        <w:rPr>
          <w:rFonts w:ascii="Times New Roman" w:eastAsia="Times New Roman"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(a) Para efectos de lo establecido en el Artículo 7.03 de las Normas Generales, los informes de auditoría financiera externa y otros informes que, a la fecha de suscripción de este Contrato, se han identificado como necesarios para supervisar la gestió</w:t>
      </w:r>
      <w:r w:rsidR="00701A85">
        <w:rPr>
          <w:rFonts w:ascii="Times New Roman" w:eastAsia="Calibri" w:hAnsi="Times New Roman" w:cs="Times New Roman"/>
          <w:sz w:val="24"/>
          <w:szCs w:val="24"/>
          <w:lang w:val="es-ES_tradnl"/>
        </w:rPr>
        <w:t>n financiera del Programa, son:</w:t>
      </w:r>
    </w:p>
    <w:p w:rsidR="00FF0D18" w:rsidRPr="00EF61C8" w:rsidRDefault="00FF0D18" w:rsidP="00FF0D18">
      <w:pPr>
        <w:spacing w:after="0" w:line="240" w:lineRule="auto"/>
        <w:ind w:left="1440"/>
        <w:jc w:val="both"/>
        <w:rPr>
          <w:rFonts w:ascii="Times New Roman" w:eastAsia="Calibri" w:hAnsi="Times New Roman" w:cs="Times New Roman"/>
          <w:sz w:val="24"/>
          <w:szCs w:val="24"/>
          <w:lang w:val="es-ES_tradnl"/>
        </w:rPr>
      </w:pPr>
    </w:p>
    <w:p w:rsidR="00FF0D18" w:rsidRPr="00701A85" w:rsidRDefault="00FF0D18" w:rsidP="00701A85">
      <w:pPr>
        <w:pStyle w:val="Prrafodelista"/>
        <w:numPr>
          <w:ilvl w:val="0"/>
          <w:numId w:val="42"/>
        </w:numPr>
        <w:jc w:val="both"/>
        <w:rPr>
          <w:rFonts w:eastAsia="Calibri"/>
          <w:lang w:val="es-ES_tradnl"/>
        </w:rPr>
      </w:pPr>
      <w:r w:rsidRPr="00701A85">
        <w:rPr>
          <w:rFonts w:eastAsia="Calibri"/>
          <w:lang w:val="es-ES_tradnl"/>
        </w:rPr>
        <w:t xml:space="preserve">Estados financieros </w:t>
      </w:r>
      <w:r w:rsidR="00721C2B" w:rsidRPr="00701A85">
        <w:rPr>
          <w:rFonts w:eastAsia="Calibri"/>
          <w:lang w:val="es-ES_tradnl"/>
        </w:rPr>
        <w:t>anuales auditados del Programa.</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701A85">
      <w:pPr>
        <w:spacing w:after="0" w:line="240" w:lineRule="auto"/>
        <w:ind w:left="1418" w:hanging="698"/>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Pa</w:t>
      </w:r>
      <w:r w:rsidRPr="00EF61C8">
        <w:rPr>
          <w:rFonts w:ascii="Times New Roman" w:eastAsia="Calibri" w:hAnsi="Times New Roman" w:cs="Times New Roman"/>
          <w:sz w:val="24"/>
          <w:szCs w:val="24"/>
          <w:lang w:val="es-ES_tradnl"/>
        </w:rPr>
        <w:t>ra efectos de lo dispuesto en el Artículo 7.03(a) de las Normas Generales, el ejercicio fiscal del Programa es el período comprendido entre 1 de enero</w:t>
      </w:r>
      <w:r w:rsidR="00701A85">
        <w:rPr>
          <w:rFonts w:ascii="Times New Roman" w:eastAsia="Calibri" w:hAnsi="Times New Roman" w:cs="Times New Roman"/>
          <w:sz w:val="24"/>
          <w:szCs w:val="24"/>
          <w:lang w:val="es-ES_tradnl"/>
        </w:rPr>
        <w:t xml:space="preserve"> y 31 de diciembre de cada año.</w:t>
      </w: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CLÁUSULA 5.03.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Evaluación de resultados</w:t>
      </w:r>
      <w:r w:rsidRPr="00EF61C8">
        <w:rPr>
          <w:rFonts w:ascii="Times New Roman" w:eastAsia="Times New Roman" w:hAnsi="Times New Roman" w:cs="Times New Roman"/>
          <w:sz w:val="24"/>
          <w:szCs w:val="24"/>
          <w:lang w:val="es-ES_tradnl"/>
        </w:rPr>
        <w:t>. El Organismo Ejecutor recopilará, almacenará y mantendrá consigo toda la información, indicadores y parámetros, incluyendo informes semestrales, los planes operativos anuales, planes de adquisiciones, y revisiones inter</w:t>
      </w:r>
      <w:r w:rsidR="00721C2B">
        <w:rPr>
          <w:rFonts w:ascii="Times New Roman" w:eastAsia="Times New Roman" w:hAnsi="Times New Roman" w:cs="Times New Roman"/>
          <w:sz w:val="24"/>
          <w:szCs w:val="24"/>
          <w:lang w:val="es-ES_tradnl"/>
        </w:rPr>
        <w:t>media y final, necesarios para:</w:t>
      </w: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34"/>
        </w:num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Contratar la evaluación de costo – beneficio expost y compartir sus resultados; </w:t>
      </w:r>
    </w:p>
    <w:p w:rsidR="00FF0D18" w:rsidRPr="00EF61C8" w:rsidRDefault="00FF0D18" w:rsidP="00FF0D18">
      <w:pPr>
        <w:tabs>
          <w:tab w:val="left" w:pos="2160"/>
        </w:tabs>
        <w:spacing w:after="0" w:line="240" w:lineRule="auto"/>
        <w:ind w:left="1080"/>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34"/>
        </w:num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Apoyar al Banco a preparar el Informe de Terminación de Operaciones (PCR); y</w:t>
      </w:r>
    </w:p>
    <w:p w:rsidR="00FF0D18" w:rsidRPr="00EF61C8" w:rsidRDefault="00FF0D18" w:rsidP="00FF0D18">
      <w:pPr>
        <w:tabs>
          <w:tab w:val="left" w:pos="2160"/>
        </w:tabs>
        <w:spacing w:after="0" w:line="240" w:lineRule="auto"/>
        <w:ind w:left="108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 </w:t>
      </w:r>
    </w:p>
    <w:p w:rsidR="00FF0D18" w:rsidRPr="00EF61C8" w:rsidRDefault="00FF0D18" w:rsidP="00FF0D18">
      <w:pPr>
        <w:numPr>
          <w:ilvl w:val="0"/>
          <w:numId w:val="34"/>
        </w:num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Apoyar a la Oficina de Evaluación (OVE) del Banco a evaluar esta operación.</w:t>
      </w:r>
    </w:p>
    <w:p w:rsidR="00FF0D18" w:rsidRPr="00EF61C8" w:rsidRDefault="00FF0D18" w:rsidP="00FF0D18">
      <w:pPr>
        <w:spacing w:after="0" w:line="240" w:lineRule="auto"/>
        <w:rPr>
          <w:rFonts w:ascii="Times New Roman" w:eastAsia="Times New Roman" w:hAnsi="Times New Roman" w:cs="Times New Roman"/>
          <w:sz w:val="20"/>
          <w:szCs w:val="20"/>
          <w:lang w:val="es-ES_tradnl"/>
        </w:rPr>
      </w:pPr>
    </w:p>
    <w:p w:rsidR="00FF0D18" w:rsidRPr="00EF61C8" w:rsidRDefault="00FF0D18" w:rsidP="00FF0D18">
      <w:pPr>
        <w:spacing w:after="0" w:line="240" w:lineRule="auto"/>
        <w:rPr>
          <w:rFonts w:ascii="Times New Roman" w:eastAsia="Times New Roman" w:hAnsi="Times New Roman" w:cs="Times New Roman"/>
          <w:sz w:val="20"/>
          <w:szCs w:val="20"/>
          <w:lang w:val="es-ES_tradnl"/>
        </w:rPr>
      </w:pP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VI</w:t>
      </w: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Disposiciones Varias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CLÁUSULA 6.01.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Vigencia del Contrato</w:t>
      </w:r>
      <w:r w:rsidRPr="00EF61C8">
        <w:rPr>
          <w:rFonts w:ascii="Times New Roman" w:eastAsia="Times New Roman" w:hAnsi="Times New Roman" w:cs="Times New Roman"/>
          <w:sz w:val="24"/>
          <w:szCs w:val="20"/>
          <w:lang w:val="es-ES_tradnl"/>
        </w:rPr>
        <w:t>. (a) Este Contrato entrará en vigencia en la fecha en que, de acuerdo con las normas de la República de Costa Rica, adquiera plena validez jurídica.</w:t>
      </w:r>
    </w:p>
    <w:p w:rsidR="00FF0D18" w:rsidRPr="00EF61C8" w:rsidRDefault="00FF0D18" w:rsidP="00FF0D18">
      <w:pPr>
        <w:tabs>
          <w:tab w:val="left" w:pos="720"/>
          <w:tab w:val="left" w:pos="1440"/>
        </w:tabs>
        <w:spacing w:after="0" w:line="240" w:lineRule="auto"/>
        <w:ind w:left="2160"/>
        <w:jc w:val="both"/>
        <w:rPr>
          <w:rFonts w:ascii="Times New Roman" w:eastAsia="Times New Roman" w:hAnsi="Times New Roman" w:cs="Times New Roman"/>
          <w:sz w:val="24"/>
          <w:szCs w:val="20"/>
          <w:lang w:val="es-ES_tradnl"/>
        </w:rPr>
      </w:pPr>
    </w:p>
    <w:p w:rsidR="00FF0D18" w:rsidRPr="00EF61C8" w:rsidRDefault="00FF0D18" w:rsidP="00FF0D18">
      <w:pPr>
        <w:tabs>
          <w:tab w:val="left" w:pos="0"/>
          <w:tab w:val="left" w:pos="720"/>
          <w:tab w:val="left" w:pos="144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t>(b)</w:t>
      </w:r>
      <w:r w:rsidRPr="00EF61C8">
        <w:rPr>
          <w:rFonts w:ascii="Times New Roman" w:eastAsia="Times New Roman" w:hAnsi="Times New Roman" w:cs="Times New Roman"/>
          <w:sz w:val="24"/>
          <w:szCs w:val="20"/>
          <w:lang w:val="es-ES_tradnl"/>
        </w:rPr>
        <w:tab/>
        <w:t>Si en el plazo de un (1) año contado a partir de la fecha de suscripción de este Contrato, éste no hubiere entrado en vigencia, todas las disposiciones, ofertas y expectativas de derecho en él contenidas se reputarán inexistentes para todos los efectos legales sin necesidad de notificaciones y, por lo tanto, no habrá lugar a responsabilidad para ninguna de las Partes.</w:t>
      </w:r>
      <w:r w:rsidRPr="00EF61C8">
        <w:rPr>
          <w:rFonts w:ascii="Times New Roman" w:eastAsia="Times New Roman" w:hAnsi="Times New Roman" w:cs="Times New Roman"/>
          <w:sz w:val="20"/>
          <w:szCs w:val="20"/>
          <w:lang w:val="es-ES_tradnl"/>
        </w:rPr>
        <w:t xml:space="preserve"> </w:t>
      </w:r>
      <w:r w:rsidR="00721C2B">
        <w:rPr>
          <w:rFonts w:ascii="Times New Roman" w:eastAsia="Times New Roman" w:hAnsi="Times New Roman" w:cs="Times New Roman"/>
          <w:sz w:val="20"/>
          <w:szCs w:val="20"/>
          <w:lang w:val="es-ES_tradnl"/>
        </w:rPr>
        <w:t xml:space="preserve"> </w:t>
      </w:r>
      <w:r w:rsidRPr="00EF61C8">
        <w:rPr>
          <w:rFonts w:ascii="Times New Roman" w:eastAsia="Times New Roman" w:hAnsi="Times New Roman" w:cs="Times New Roman"/>
          <w:sz w:val="24"/>
          <w:szCs w:val="20"/>
          <w:lang w:val="es-ES_tradnl"/>
        </w:rPr>
        <w:t>El Prestatario se obliga a notificar por escrito al Banco la fecha de entrada en vigencia, acompañando la documentación que así lo acredite.</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cr/>
      </w:r>
      <w:r w:rsidRPr="00EF61C8">
        <w:rPr>
          <w:rFonts w:ascii="Times New Roman" w:eastAsia="Times New Roman" w:hAnsi="Times New Roman" w:cs="Times New Roman"/>
          <w:b/>
          <w:sz w:val="24"/>
          <w:szCs w:val="20"/>
          <w:lang w:val="es-ES_tradnl"/>
        </w:rPr>
        <w:t>CLÁUSULA 6.02.</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Comunicaciones y Notificaciones</w:t>
      </w:r>
      <w:r w:rsidRPr="00EF61C8">
        <w:rPr>
          <w:rFonts w:ascii="Times New Roman" w:eastAsia="Times New Roman" w:hAnsi="Times New Roman" w:cs="Times New Roman"/>
          <w:sz w:val="24"/>
          <w:szCs w:val="20"/>
          <w:lang w:val="es-ES_tradnl"/>
        </w:rPr>
        <w:t>.</w:t>
      </w:r>
      <w:r w:rsidRPr="00EF61C8">
        <w:rPr>
          <w:rFonts w:ascii="Times New Roman" w:eastAsia="Times New Roman" w:hAnsi="Times New Roman" w:cs="Times New Roman"/>
          <w:color w:val="000000"/>
          <w:sz w:val="24"/>
          <w:szCs w:val="24"/>
          <w:lang w:val="es-ES_tradnl"/>
        </w:rPr>
        <w:t xml:space="preserve"> </w:t>
      </w:r>
      <w:r w:rsidRPr="00EF61C8">
        <w:rPr>
          <w:rFonts w:ascii="Times New Roman" w:eastAsia="Times New Roman" w:hAnsi="Times New Roman" w:cs="Times New Roman"/>
          <w:sz w:val="24"/>
          <w:szCs w:val="20"/>
          <w:lang w:val="es-ES_tradnl"/>
        </w:rPr>
        <w:t>(a) Todos los avisos, solicitudes, comunicaciones o informes que las Partes deban realizar en virtud de este Contrato en relación con la ejecución del Programa, con excepción de las notificaciones mencionadas en el siguiente literal (b), se efectuarán por escrito y se considerarán realizados desde el momento en que el documento correspondiente sea recibido por el destinatario en la respectiva dirección que enseguida se anota, o por medios electrónicos en los términos y condiciones que el Banco establezca e informe al Prestatario, a menos que las Partes acuerden por escrito otra manera.</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E0235E" w:rsidRDefault="00E0235E"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lastRenderedPageBreak/>
        <w:t>Del Prestatario: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Dirección Postal:</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sz w:val="24"/>
          <w:szCs w:val="24"/>
          <w:lang w:val="es-ES_tradnl"/>
        </w:rPr>
        <w:t>Ministerio de Hacienda</w:t>
      </w:r>
    </w:p>
    <w:p w:rsidR="00FF0D18" w:rsidRPr="00EF61C8" w:rsidRDefault="00FF0D18" w:rsidP="00FF0D18">
      <w:pPr>
        <w:spacing w:after="0" w:line="240" w:lineRule="auto"/>
        <w:ind w:left="720" w:firstLine="720"/>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Avenida 2da, Calles 3 y 5</w:t>
      </w:r>
    </w:p>
    <w:p w:rsidR="00FF0D18" w:rsidRPr="00EF61C8" w:rsidRDefault="00FF0D18" w:rsidP="00FF0D18">
      <w:pPr>
        <w:spacing w:after="0" w:line="240" w:lineRule="auto"/>
        <w:ind w:left="720" w:firstLine="720"/>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San José, Costa Rica</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Teléfono: (506) 2547-4264</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Correo electrónico: despachomh@hacienda.go.cr</w:t>
      </w:r>
    </w:p>
    <w:p w:rsidR="00FF0D18" w:rsidRDefault="00FF0D18" w:rsidP="00FF0D18">
      <w:pPr>
        <w:spacing w:after="0" w:line="240" w:lineRule="auto"/>
        <w:jc w:val="both"/>
        <w:rPr>
          <w:rFonts w:ascii="Times New Roman" w:eastAsia="Times New Roman" w:hAnsi="Times New Roman" w:cs="Times New Roman"/>
          <w:sz w:val="24"/>
          <w:szCs w:val="20"/>
          <w:lang w:val="es-ES_tradnl"/>
        </w:rPr>
      </w:pPr>
    </w:p>
    <w:p w:rsidR="00E0235E" w:rsidRPr="00EF61C8" w:rsidRDefault="00E0235E"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721C2B" w:rsidP="00FF0D18">
      <w:pPr>
        <w:spacing w:after="0" w:line="240" w:lineRule="auto"/>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0"/>
          <w:lang w:val="es-ES_tradnl"/>
        </w:rPr>
        <w:t>Del Organismo Ejecutor:</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Dirección Postal:</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sz w:val="24"/>
          <w:szCs w:val="20"/>
          <w:lang w:val="es-ES_tradnl"/>
        </w:rPr>
        <w:tab/>
        <w:t>Ministerio de Obras Públicas y Transporte</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Plantel Central del MOPT costado Sur Gimnasio del Liceo de Costa Rica Avenidas 20 y 22, calles 9 y 11, Plaza Gonzalez Víquez</w:t>
      </w:r>
    </w:p>
    <w:p w:rsidR="00FF0D18" w:rsidRPr="00EF61C8" w:rsidRDefault="00FF0D18" w:rsidP="00FF0D18">
      <w:pPr>
        <w:spacing w:after="0" w:line="240" w:lineRule="auto"/>
        <w:ind w:left="720"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San José, Costa Rica</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 xml:space="preserve">Teléfono: (506) 2523-2000 </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Correo electrónico: tfiguerm@mopt.go.cr</w:t>
      </w:r>
    </w:p>
    <w:p w:rsidR="00FF0D18" w:rsidRDefault="00FF0D18" w:rsidP="00FF0D18">
      <w:pPr>
        <w:spacing w:after="0" w:line="240" w:lineRule="auto"/>
        <w:jc w:val="both"/>
        <w:rPr>
          <w:rFonts w:ascii="Times New Roman" w:eastAsia="Times New Roman" w:hAnsi="Times New Roman" w:cs="Times New Roman"/>
          <w:sz w:val="24"/>
          <w:szCs w:val="20"/>
          <w:lang w:val="es-ES_tradnl"/>
        </w:rPr>
      </w:pPr>
    </w:p>
    <w:p w:rsidR="00E0235E" w:rsidRPr="00EF61C8" w:rsidRDefault="00E0235E"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Del Banco: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Dirección Postal:</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Banco Interamericano de Desarrollo</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Representación del Banco en Costa Rica)</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Centro Corporativo El Cedral</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Piso 4, Edificio A</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300 metros este del Peaje Autopista Próspero Fernández-Escazú</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San José, Costa Rica</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721C2B" w:rsidP="00FF0D18">
      <w:pPr>
        <w:spacing w:after="0" w:line="240" w:lineRule="auto"/>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0"/>
          <w:lang w:val="es-ES_tradnl"/>
        </w:rPr>
        <w:tab/>
      </w:r>
      <w:r w:rsidR="00FF0D18" w:rsidRPr="00EF61C8">
        <w:rPr>
          <w:rFonts w:ascii="Times New Roman" w:eastAsia="Times New Roman" w:hAnsi="Times New Roman" w:cs="Times New Roman"/>
          <w:sz w:val="24"/>
          <w:szCs w:val="20"/>
          <w:lang w:val="es-ES_tradnl"/>
        </w:rPr>
        <w:t>Correo electrónico:</w:t>
      </w:r>
      <w:r w:rsidR="00FF0D18" w:rsidRPr="00EF61C8">
        <w:rPr>
          <w:rFonts w:ascii="Times New Roman" w:eastAsia="Times New Roman" w:hAnsi="Times New Roman" w:cs="Times New Roman"/>
          <w:sz w:val="20"/>
          <w:szCs w:val="20"/>
          <w:lang w:val="es-ES_tradnl"/>
        </w:rPr>
        <w:t xml:space="preserve"> </w:t>
      </w:r>
      <w:hyperlink r:id="rId27" w:history="1">
        <w:r w:rsidR="00FF0D18" w:rsidRPr="00EF61C8">
          <w:rPr>
            <w:rFonts w:ascii="Times New Roman" w:eastAsia="Times New Roman" w:hAnsi="Times New Roman" w:cs="Times New Roman"/>
            <w:sz w:val="24"/>
            <w:szCs w:val="20"/>
            <w:lang w:val="es-ES_tradnl"/>
          </w:rPr>
          <w:t>bidcostarica@iadb.org</w:t>
        </w:r>
      </w:hyperlink>
    </w:p>
    <w:p w:rsidR="00FF0D18" w:rsidRPr="00EF61C8" w:rsidRDefault="00FF0D18" w:rsidP="00FF0D18">
      <w:pPr>
        <w:spacing w:after="0" w:line="240" w:lineRule="auto"/>
        <w:ind w:firstLine="720"/>
        <w:jc w:val="both"/>
        <w:rPr>
          <w:rFonts w:ascii="Times New Roman" w:eastAsia="Times New Roman" w:hAnsi="Times New Roman" w:cs="Times New Roman"/>
          <w:color w:val="0000FF"/>
          <w:sz w:val="20"/>
          <w:szCs w:val="20"/>
          <w:u w:val="single"/>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t>(b)</w:t>
      </w:r>
      <w:r w:rsidRPr="00EF61C8">
        <w:rPr>
          <w:rFonts w:ascii="Times New Roman" w:eastAsia="Times New Roman" w:hAnsi="Times New Roman" w:cs="Times New Roman"/>
          <w:sz w:val="24"/>
          <w:szCs w:val="20"/>
          <w:lang w:val="es-ES_tradnl"/>
        </w:rPr>
        <w:tab/>
        <w:t>Cualquier notificación que las partes deban realizar en virtud de este Contrato sobre asuntos distintos a aquéllos relacionados con la ejecución del Programa, incluyendo las solicitudes de desembolsos, deberá realizarse por escrito y ser enviada por correo certificado</w:t>
      </w:r>
      <w:r w:rsidRPr="00EF61C8">
        <w:rPr>
          <w:rFonts w:ascii="Times New Roman" w:eastAsia="Times New Roman" w:hAnsi="Times New Roman" w:cs="Times New Roman"/>
          <w:sz w:val="20"/>
          <w:szCs w:val="20"/>
          <w:lang w:val="es-ES_tradnl"/>
        </w:rPr>
        <w:t xml:space="preserve">, </w:t>
      </w:r>
      <w:r w:rsidRPr="00EF61C8">
        <w:rPr>
          <w:rFonts w:ascii="Times New Roman" w:eastAsia="Times New Roman" w:hAnsi="Times New Roman" w:cs="Times New Roman"/>
          <w:sz w:val="24"/>
          <w:szCs w:val="20"/>
          <w:lang w:val="es-ES_tradnl"/>
        </w:rPr>
        <w:t xml:space="preserve">correo electrónico o facsímil, dirigido a su destinatario a cualquiera de las direcciones que enseguida se anotan y se considerarán realizados desde el momento en que la notificación correspondiente sea recibida por el destinatario en la respectiva dirección, o por medios </w:t>
      </w:r>
      <w:r w:rsidRPr="00EF61C8">
        <w:rPr>
          <w:rFonts w:ascii="Times New Roman" w:eastAsia="Times New Roman" w:hAnsi="Times New Roman" w:cs="Times New Roman"/>
          <w:sz w:val="24"/>
          <w:szCs w:val="20"/>
          <w:lang w:val="es-ES_tradnl"/>
        </w:rPr>
        <w:lastRenderedPageBreak/>
        <w:t xml:space="preserve">electrónicos en los términos y condiciones que el Banco establezca e informe al Prestatario, a menos que las Partes acuerden por escrito otra manera de notificación. </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 xml:space="preserve">Del Prestatario: </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Dirección Postal:</w:t>
      </w:r>
    </w:p>
    <w:p w:rsidR="00FF0D18" w:rsidRPr="00EF61C8" w:rsidRDefault="00FF0D18" w:rsidP="00FF0D18">
      <w:pPr>
        <w:spacing w:after="0" w:line="240" w:lineRule="auto"/>
        <w:ind w:firstLine="720"/>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Ministerio de Hacienda</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Avenida 2da, Calles 3 y 5</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San José, Costa Rica</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0"/>
          <w:lang w:val="es-ES_tradnl"/>
        </w:rPr>
        <w:t>Teléfono:</w:t>
      </w:r>
      <w:r w:rsidRPr="00EF61C8">
        <w:rPr>
          <w:rFonts w:ascii="Times New Roman" w:eastAsia="Times New Roman" w:hAnsi="Times New Roman" w:cs="Times New Roman"/>
          <w:sz w:val="24"/>
          <w:szCs w:val="24"/>
          <w:lang w:val="es-ES_tradnl"/>
        </w:rPr>
        <w:t xml:space="preserve"> (506) 2547-4264</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Correo electrónico: despachomh@hacienda.go.cr</w:t>
      </w:r>
    </w:p>
    <w:p w:rsidR="00FF0D18" w:rsidRDefault="00FF0D18" w:rsidP="00FF0D18">
      <w:pPr>
        <w:spacing w:after="0" w:line="240" w:lineRule="auto"/>
        <w:jc w:val="both"/>
        <w:rPr>
          <w:rFonts w:ascii="Times New Roman" w:eastAsia="Times New Roman" w:hAnsi="Times New Roman" w:cs="Times New Roman"/>
          <w:sz w:val="24"/>
          <w:szCs w:val="20"/>
          <w:lang w:val="es-ES_tradnl"/>
        </w:rPr>
      </w:pPr>
    </w:p>
    <w:p w:rsidR="00E0235E" w:rsidRPr="00EF61C8" w:rsidRDefault="00E0235E"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Del Banco: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Dirección Postal:</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Banco Interamericano de Desarrollo</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n-US"/>
        </w:rPr>
      </w:pPr>
      <w:r w:rsidRPr="00EF61C8">
        <w:rPr>
          <w:rFonts w:ascii="Times New Roman" w:eastAsia="Times New Roman" w:hAnsi="Times New Roman" w:cs="Times New Roman"/>
          <w:sz w:val="24"/>
          <w:szCs w:val="20"/>
          <w:lang w:val="en-US"/>
        </w:rPr>
        <w:t>1300 New York Avenue, N.W.</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n-US"/>
        </w:rPr>
      </w:pPr>
      <w:r w:rsidRPr="00EF61C8">
        <w:rPr>
          <w:rFonts w:ascii="Times New Roman" w:eastAsia="Times New Roman" w:hAnsi="Times New Roman" w:cs="Times New Roman"/>
          <w:sz w:val="24"/>
          <w:szCs w:val="20"/>
          <w:lang w:val="en-US"/>
        </w:rPr>
        <w:t>Washington, D.C. 20577</w:t>
      </w:r>
    </w:p>
    <w:p w:rsidR="00FF0D18" w:rsidRPr="00EF61C8" w:rsidRDefault="00FF0D18" w:rsidP="00FF0D18">
      <w:pPr>
        <w:spacing w:after="0" w:line="240" w:lineRule="auto"/>
        <w:ind w:left="1440"/>
        <w:jc w:val="both"/>
        <w:rPr>
          <w:rFonts w:ascii="Times New Roman" w:eastAsia="Times New Roman" w:hAnsi="Times New Roman" w:cs="Times New Roman"/>
          <w:sz w:val="24"/>
          <w:szCs w:val="20"/>
          <w:lang w:val="en-US"/>
        </w:rPr>
      </w:pPr>
      <w:r w:rsidRPr="00EF61C8">
        <w:rPr>
          <w:rFonts w:ascii="Times New Roman" w:eastAsia="Times New Roman" w:hAnsi="Times New Roman" w:cs="Times New Roman"/>
          <w:sz w:val="24"/>
          <w:szCs w:val="20"/>
          <w:lang w:val="en-US"/>
        </w:rPr>
        <w:t>EE.UU.</w:t>
      </w:r>
    </w:p>
    <w:p w:rsidR="00FF0D18" w:rsidRPr="00EF61C8" w:rsidRDefault="00FF0D18" w:rsidP="00FF0D18">
      <w:pPr>
        <w:spacing w:after="0" w:line="240" w:lineRule="auto"/>
        <w:jc w:val="both"/>
        <w:rPr>
          <w:rFonts w:ascii="Times New Roman" w:eastAsia="Times New Roman" w:hAnsi="Times New Roman" w:cs="Times New Roman"/>
          <w:sz w:val="24"/>
          <w:szCs w:val="20"/>
          <w:lang w:val="en-US"/>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Facsímil: (202) 623-3096</w:t>
      </w:r>
    </w:p>
    <w:p w:rsidR="00FF0D18" w:rsidRDefault="00FF0D18" w:rsidP="00FF0D18">
      <w:pPr>
        <w:spacing w:after="0" w:line="240" w:lineRule="auto"/>
        <w:jc w:val="both"/>
        <w:rPr>
          <w:rFonts w:ascii="Times New Roman" w:eastAsia="Times New Roman" w:hAnsi="Times New Roman" w:cs="Times New Roman"/>
          <w:sz w:val="24"/>
          <w:szCs w:val="20"/>
          <w:lang w:val="es-ES_tradnl"/>
        </w:rPr>
      </w:pPr>
    </w:p>
    <w:p w:rsidR="00E0235E" w:rsidRPr="00EF61C8" w:rsidRDefault="00E0235E"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b/>
          <w:sz w:val="24"/>
          <w:szCs w:val="24"/>
          <w:lang w:val="es-ES_tradnl"/>
        </w:rPr>
        <w:t>CLÁUSULA 6.03.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Cláusula Compromisoria</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0"/>
          <w:lang w:val="es-ES_tradnl"/>
        </w:rPr>
        <w:t>Para la solución de toda controversia que se derive o esté relacionada con el presente Contrato y que no se resuelva por acuerdo entre las Partes, éstas se someten incondicional e irrevocablemente al procedimiento y fallo del tribunal de arbitraje a que se refiere el Capítulo XII de las Normas Generales.</w:t>
      </w:r>
      <w:r w:rsidRPr="00EF61C8">
        <w:rPr>
          <w:rFonts w:ascii="Times New Roman" w:eastAsia="Times New Roman" w:hAnsi="Times New Roman" w:cs="Times New Roman"/>
          <w:sz w:val="24"/>
          <w:szCs w:val="20"/>
          <w:vertAlign w:val="superscript"/>
          <w:lang w:val="es-ES_tradnl"/>
        </w:rPr>
        <w:t xml:space="preserve"> </w:t>
      </w:r>
    </w:p>
    <w:p w:rsidR="00FF0D18" w:rsidRPr="00EF61C8" w:rsidRDefault="00FF0D18" w:rsidP="00FF0D18">
      <w:pPr>
        <w:keepNext/>
        <w:keepLine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lastRenderedPageBreak/>
        <w:tab/>
        <w:t xml:space="preserve">EN FE DE LO CUAL, el Prestatario y el Banco, actuando cada uno por medio de su representante autorizado, suscriben este Contrato en dos (2) ejemplares de igual tenor en San José, Costa Rica, el día arriba indicado. </w:t>
      </w:r>
    </w:p>
    <w:p w:rsidR="00FF0D18" w:rsidRDefault="00FF0D18" w:rsidP="00FF0D18">
      <w:pPr>
        <w:keepNext/>
        <w:keepLines/>
        <w:spacing w:after="0" w:line="240" w:lineRule="auto"/>
        <w:jc w:val="both"/>
        <w:rPr>
          <w:rFonts w:ascii="Times New Roman" w:eastAsia="Times New Roman" w:hAnsi="Times New Roman" w:cs="Times New Roman"/>
          <w:sz w:val="24"/>
          <w:szCs w:val="20"/>
          <w:lang w:val="es-ES_tradnl"/>
        </w:rPr>
      </w:pPr>
    </w:p>
    <w:p w:rsidR="00E0235E" w:rsidRPr="00EF61C8" w:rsidRDefault="00E0235E" w:rsidP="00FF0D18">
      <w:pPr>
        <w:keepNext/>
        <w:keepLines/>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keepNext/>
        <w:keepLines/>
        <w:spacing w:after="0" w:line="240" w:lineRule="auto"/>
        <w:jc w:val="both"/>
        <w:rPr>
          <w:rFonts w:ascii="Times New Roman" w:eastAsia="Times New Roman" w:hAnsi="Times New Roman" w:cs="Times New Roman"/>
          <w:sz w:val="24"/>
          <w:szCs w:val="20"/>
          <w:lang w:val="es-ES_tradnl"/>
        </w:rPr>
      </w:pPr>
    </w:p>
    <w:tbl>
      <w:tblPr>
        <w:tblW w:w="0" w:type="auto"/>
        <w:tblInd w:w="120" w:type="dxa"/>
        <w:tblLayout w:type="fixed"/>
        <w:tblCellMar>
          <w:left w:w="120" w:type="dxa"/>
          <w:right w:w="120" w:type="dxa"/>
        </w:tblCellMar>
        <w:tblLook w:val="0000" w:firstRow="0" w:lastRow="0" w:firstColumn="0" w:lastColumn="0" w:noHBand="0" w:noVBand="0"/>
      </w:tblPr>
      <w:tblGrid>
        <w:gridCol w:w="4475"/>
        <w:gridCol w:w="4475"/>
      </w:tblGrid>
      <w:tr w:rsidR="00FF0D18" w:rsidRPr="00EF61C8" w:rsidTr="00FF0D18">
        <w:trPr>
          <w:trHeight w:val="2244"/>
        </w:trPr>
        <w:tc>
          <w:tcPr>
            <w:tcW w:w="4475" w:type="dxa"/>
          </w:tcPr>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r w:rsidRPr="00EF61C8">
              <w:rPr>
                <w:rFonts w:ascii="Times New Roman" w:eastAsia="Times New Roman" w:hAnsi="Times New Roman" w:cs="Times New Roman"/>
                <w:sz w:val="24"/>
                <w:szCs w:val="24"/>
                <w:lang w:val="pt-BR"/>
              </w:rPr>
              <w:t>REPÚBLICA DE COSTA RICA</w:t>
            </w:r>
          </w:p>
          <w:p w:rsidR="00FF0D18" w:rsidRPr="00EF61C8" w:rsidRDefault="00FF0D18" w:rsidP="00FF0D18">
            <w:pPr>
              <w:keepNext/>
              <w:keepLines/>
              <w:spacing w:after="0" w:line="240" w:lineRule="auto"/>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bookmarkStart w:id="30" w:name="_Hlk18412908"/>
            <w:r w:rsidRPr="00EF61C8">
              <w:rPr>
                <w:rFonts w:ascii="Times New Roman" w:eastAsia="Times New Roman" w:hAnsi="Times New Roman" w:cs="Times New Roman"/>
                <w:sz w:val="24"/>
                <w:szCs w:val="24"/>
                <w:lang w:val="pt-BR"/>
              </w:rPr>
              <w:t>________________________________</w:t>
            </w:r>
          </w:p>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pt-BR"/>
              </w:rPr>
            </w:pPr>
            <w:r w:rsidRPr="00EF61C8">
              <w:rPr>
                <w:rFonts w:ascii="Times New Roman" w:eastAsia="Times New Roman" w:hAnsi="Times New Roman" w:cs="Times New Roman"/>
                <w:iCs/>
                <w:sz w:val="24"/>
                <w:szCs w:val="24"/>
                <w:lang w:val="pt-BR"/>
              </w:rPr>
              <w:t>Rodrigo Chaves Robles</w:t>
            </w:r>
          </w:p>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pt-BR"/>
              </w:rPr>
            </w:pPr>
            <w:r w:rsidRPr="00EF61C8">
              <w:rPr>
                <w:rFonts w:ascii="Times New Roman" w:eastAsia="Times New Roman" w:hAnsi="Times New Roman" w:cs="Times New Roman"/>
                <w:iCs/>
                <w:sz w:val="24"/>
                <w:szCs w:val="24"/>
                <w:lang w:val="pt-BR"/>
              </w:rPr>
              <w:t>Ministro de Hacienda</w:t>
            </w:r>
          </w:p>
          <w:bookmarkEnd w:id="30"/>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pt-BR"/>
              </w:rPr>
            </w:pPr>
          </w:p>
        </w:tc>
        <w:tc>
          <w:tcPr>
            <w:tcW w:w="4475" w:type="dxa"/>
          </w:tcPr>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BANCO INTERAMERICANO</w:t>
            </w: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DE DESARROLLO</w:t>
            </w:r>
          </w:p>
          <w:p w:rsidR="00FF0D18" w:rsidRPr="00EF61C8" w:rsidRDefault="00FF0D18" w:rsidP="00FF0D18">
            <w:pPr>
              <w:keepNext/>
              <w:keepLines/>
              <w:spacing w:after="0" w:line="240" w:lineRule="auto"/>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____________________________</w:t>
            </w:r>
          </w:p>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es-ES_tradnl"/>
              </w:rPr>
            </w:pPr>
            <w:r w:rsidRPr="00EF61C8">
              <w:rPr>
                <w:rFonts w:ascii="Times New Roman" w:eastAsia="Times New Roman" w:hAnsi="Times New Roman" w:cs="Times New Roman"/>
                <w:iCs/>
                <w:sz w:val="24"/>
                <w:szCs w:val="24"/>
                <w:lang w:val="es-ES_tradnl"/>
              </w:rPr>
              <w:t>José Ramón Gómez</w:t>
            </w:r>
          </w:p>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es-ES_tradnl"/>
              </w:rPr>
            </w:pPr>
            <w:r w:rsidRPr="00EF61C8">
              <w:rPr>
                <w:rFonts w:ascii="Times New Roman" w:eastAsia="Times New Roman" w:hAnsi="Times New Roman" w:cs="Times New Roman"/>
                <w:iCs/>
                <w:sz w:val="24"/>
                <w:szCs w:val="24"/>
                <w:lang w:val="es-ES_tradnl"/>
              </w:rPr>
              <w:t>Representante del Banco en Costa Rica</w:t>
            </w:r>
          </w:p>
        </w:tc>
      </w:tr>
      <w:tr w:rsidR="00FF0D18" w:rsidRPr="00EF61C8" w:rsidTr="00FF0D18">
        <w:trPr>
          <w:trHeight w:val="2961"/>
        </w:trPr>
        <w:tc>
          <w:tcPr>
            <w:tcW w:w="4475" w:type="dxa"/>
          </w:tcPr>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r w:rsidRPr="00EF61C8">
              <w:rPr>
                <w:rFonts w:ascii="Times New Roman" w:eastAsia="Times New Roman" w:hAnsi="Times New Roman" w:cs="Times New Roman"/>
                <w:sz w:val="24"/>
                <w:szCs w:val="24"/>
                <w:lang w:val="pt-BR"/>
              </w:rPr>
              <w:t>________________________________</w:t>
            </w:r>
          </w:p>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pt-BR"/>
              </w:rPr>
            </w:pPr>
            <w:r w:rsidRPr="00EF61C8">
              <w:rPr>
                <w:rFonts w:ascii="Times New Roman" w:eastAsia="Times New Roman" w:hAnsi="Times New Roman" w:cs="Times New Roman"/>
                <w:iCs/>
                <w:sz w:val="24"/>
                <w:szCs w:val="24"/>
                <w:lang w:val="pt-BR"/>
              </w:rPr>
              <w:t>Rodolfo Méndez Mata</w:t>
            </w:r>
          </w:p>
          <w:p w:rsidR="00FF0D18" w:rsidRPr="00EF61C8" w:rsidRDefault="00FF0D18" w:rsidP="00FF0D18">
            <w:pPr>
              <w:keepNext/>
              <w:keepLines/>
              <w:spacing w:after="0" w:line="240" w:lineRule="auto"/>
              <w:jc w:val="center"/>
              <w:rPr>
                <w:rFonts w:ascii="Times New Roman" w:eastAsia="Times New Roman" w:hAnsi="Times New Roman" w:cs="Times New Roman"/>
                <w:iCs/>
                <w:sz w:val="24"/>
                <w:szCs w:val="24"/>
                <w:lang w:val="pt-BR"/>
              </w:rPr>
            </w:pPr>
            <w:r w:rsidRPr="00EF61C8">
              <w:rPr>
                <w:rFonts w:ascii="Times New Roman" w:eastAsia="Times New Roman" w:hAnsi="Times New Roman" w:cs="Times New Roman"/>
                <w:iCs/>
                <w:sz w:val="24"/>
                <w:szCs w:val="24"/>
                <w:lang w:val="pt-BR"/>
              </w:rPr>
              <w:t xml:space="preserve">Ministro de Obras Públicas y Transporte </w:t>
            </w: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tc>
        <w:tc>
          <w:tcPr>
            <w:tcW w:w="4475" w:type="dxa"/>
          </w:tcPr>
          <w:p w:rsidR="00FF0D18" w:rsidRPr="00EF61C8" w:rsidRDefault="00FF0D18" w:rsidP="00FF0D18">
            <w:pPr>
              <w:keepNext/>
              <w:keepLines/>
              <w:spacing w:after="0" w:line="240" w:lineRule="auto"/>
              <w:jc w:val="center"/>
              <w:rPr>
                <w:rFonts w:ascii="Times New Roman" w:eastAsia="Times New Roman" w:hAnsi="Times New Roman" w:cs="Times New Roman"/>
                <w:sz w:val="24"/>
                <w:szCs w:val="24"/>
                <w:lang w:val="pt-BR"/>
              </w:rPr>
            </w:pPr>
          </w:p>
        </w:tc>
      </w:tr>
    </w:tbl>
    <w:p w:rsidR="00FF0D18" w:rsidRPr="00EF61C8" w:rsidRDefault="00FF0D18" w:rsidP="00FF0D18">
      <w:pPr>
        <w:spacing w:after="0" w:line="240" w:lineRule="auto"/>
        <w:rPr>
          <w:rFonts w:ascii="Times New Roman" w:eastAsia="Times New Roman" w:hAnsi="Times New Roman" w:cs="Times New Roman"/>
          <w:sz w:val="16"/>
          <w:szCs w:val="20"/>
          <w:lang w:val="pt-BR"/>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Default="00FF0D18" w:rsidP="00FF0D18">
      <w:pPr>
        <w:spacing w:after="0" w:line="240" w:lineRule="auto"/>
        <w:jc w:val="right"/>
        <w:rPr>
          <w:rFonts w:ascii="Times New Roman" w:eastAsia="Times New Roman" w:hAnsi="Times New Roman" w:cs="Times New Roman"/>
          <w:sz w:val="20"/>
          <w:szCs w:val="20"/>
          <w:lang w:val="es-ES_tradnl"/>
        </w:rPr>
      </w:pPr>
    </w:p>
    <w:p w:rsidR="00FF0D18" w:rsidRPr="00EF61C8" w:rsidRDefault="00FF0D18" w:rsidP="00FF0D18">
      <w:pPr>
        <w:spacing w:after="0" w:line="240" w:lineRule="auto"/>
        <w:jc w:val="right"/>
        <w:rPr>
          <w:rFonts w:ascii="Times New Roman" w:eastAsia="Times New Roman" w:hAnsi="Times New Roman" w:cs="Times New Roman"/>
          <w:b/>
          <w:bCs/>
          <w:sz w:val="20"/>
          <w:szCs w:val="20"/>
          <w:lang w:val="es-ES_tradnl"/>
        </w:rPr>
      </w:pPr>
      <w:r w:rsidRPr="00EF61C8">
        <w:rPr>
          <w:rFonts w:ascii="Times New Roman" w:eastAsia="Times New Roman" w:hAnsi="Times New Roman" w:cs="Times New Roman"/>
          <w:sz w:val="20"/>
          <w:szCs w:val="20"/>
          <w:lang w:val="es-ES_tradnl"/>
        </w:rPr>
        <w:t>LEG/SGO/CID/EZSHARE-1354864508-14761</w:t>
      </w:r>
    </w:p>
    <w:p w:rsidR="00FF0D18" w:rsidRPr="00EF61C8" w:rsidRDefault="00FF0D18" w:rsidP="00FF0D18">
      <w:pPr>
        <w:keepNext/>
        <w:tabs>
          <w:tab w:val="left" w:pos="-1440"/>
          <w:tab w:val="left" w:pos="720"/>
          <w:tab w:val="left" w:pos="1320"/>
          <w:tab w:val="left" w:pos="2160"/>
        </w:tabs>
        <w:spacing w:after="0" w:line="240" w:lineRule="auto"/>
        <w:jc w:val="right"/>
        <w:outlineLvl w:val="1"/>
        <w:rPr>
          <w:rFonts w:ascii="Times New Roman" w:eastAsia="Times New Roman" w:hAnsi="Times New Roman" w:cs="Times New Roman"/>
          <w:sz w:val="20"/>
          <w:szCs w:val="20"/>
          <w:lang w:val="es-ES_tradnl"/>
        </w:rPr>
      </w:pPr>
    </w:p>
    <w:p w:rsidR="00FF0D18" w:rsidRPr="00EF61C8" w:rsidRDefault="00FF0D18" w:rsidP="00FF0D18">
      <w:pPr>
        <w:spacing w:after="0" w:line="276"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CONTRATO DE</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b/>
          <w:sz w:val="24"/>
          <w:szCs w:val="24"/>
          <w:lang w:val="es-ES_tradnl"/>
        </w:rPr>
        <w:t>PRÉSTAMO</w:t>
      </w:r>
    </w:p>
    <w:p w:rsidR="00FF0D18" w:rsidRPr="00EF61C8" w:rsidRDefault="00FF0D18" w:rsidP="00FF0D18">
      <w:pPr>
        <w:spacing w:after="0" w:line="240"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NORMAS GENERALES</w:t>
      </w:r>
    </w:p>
    <w:p w:rsidR="00FF0D18" w:rsidRPr="00EF61C8" w:rsidRDefault="00FF0D18" w:rsidP="00FF0D18">
      <w:pPr>
        <w:spacing w:after="0" w:line="240"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Enero 2019</w:t>
      </w:r>
    </w:p>
    <w:p w:rsidR="00FF0D18" w:rsidRPr="00EF61C8" w:rsidRDefault="00FF0D18" w:rsidP="00FF0D18">
      <w:pPr>
        <w:spacing w:after="0" w:line="240" w:lineRule="auto"/>
        <w:rPr>
          <w:rFonts w:ascii="Times New Roman" w:eastAsia="Times New Roman" w:hAnsi="Times New Roman" w:cs="Times New Roman"/>
          <w:b/>
          <w:sz w:val="24"/>
          <w:szCs w:val="24"/>
          <w:lang w:val="es-ES_tradnl"/>
        </w:rPr>
      </w:pPr>
    </w:p>
    <w:p w:rsidR="00904280" w:rsidRDefault="00904280" w:rsidP="00FF0D18">
      <w:pPr>
        <w:keepNext/>
        <w:spacing w:after="0" w:line="276" w:lineRule="auto"/>
        <w:jc w:val="center"/>
        <w:outlineLvl w:val="0"/>
        <w:rPr>
          <w:rFonts w:ascii="Times New Roman" w:eastAsia="Times New Roman" w:hAnsi="Times New Roman" w:cs="Times New Roman"/>
          <w:b/>
          <w:sz w:val="24"/>
          <w:szCs w:val="24"/>
          <w:lang w:val="es-ES_tradnl"/>
        </w:rPr>
      </w:pPr>
    </w:p>
    <w:p w:rsidR="00FF0D18" w:rsidRPr="00EF61C8" w:rsidRDefault="00FF0D18" w:rsidP="00FF0D18">
      <w:pPr>
        <w:keepNext/>
        <w:spacing w:after="0" w:line="276" w:lineRule="auto"/>
        <w:jc w:val="center"/>
        <w:outlineLvl w:val="0"/>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w:t>
      </w:r>
    </w:p>
    <w:p w:rsidR="00FF0D18" w:rsidRPr="00EF61C8" w:rsidRDefault="00FF0D18" w:rsidP="00FF0D18">
      <w:pPr>
        <w:keepNext/>
        <w:spacing w:after="0" w:line="276"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Aplicación e Interpretación</w:t>
      </w:r>
    </w:p>
    <w:p w:rsidR="00FF0D18" w:rsidRDefault="00FF0D18" w:rsidP="00FF0D18">
      <w:pPr>
        <w:spacing w:after="0" w:line="240" w:lineRule="auto"/>
        <w:rPr>
          <w:rFonts w:ascii="Times New Roman" w:eastAsia="Times New Roman" w:hAnsi="Times New Roman" w:cs="Times New Roman"/>
          <w:sz w:val="24"/>
          <w:szCs w:val="24"/>
          <w:lang w:val="es-ES_tradnl"/>
        </w:rPr>
      </w:pPr>
    </w:p>
    <w:p w:rsidR="00904280" w:rsidRPr="00EF61C8" w:rsidRDefault="00904280"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Aplicación de las Normas Generales</w:t>
      </w:r>
      <w:r w:rsidRPr="00EF61C8">
        <w:rPr>
          <w:rFonts w:ascii="Times New Roman" w:eastAsia="Times New Roman" w:hAnsi="Times New Roman" w:cs="Times New Roman"/>
          <w:sz w:val="24"/>
          <w:szCs w:val="24"/>
          <w:lang w:val="es-ES_tradnl"/>
        </w:rPr>
        <w:t>. Estas Normas Generales son aplicables, de manera uniforme, a los contratos de préstamo para el financiamiento de proyectos de inversión con recursos del capital ordinario del Banco, que este último celebre con sus países miembros o con otros prestatarios que, para los efectos del respectivo contrato de préstamo, cuenten con la garantía de un país miembro del Banco.</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1.02.</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u w:val="single"/>
          <w:lang w:val="es-ES_tradnl"/>
        </w:rPr>
        <w:t>Interpretación</w:t>
      </w:r>
      <w:r w:rsidRPr="00EF61C8">
        <w:rPr>
          <w:rFonts w:ascii="Times New Roman" w:eastAsia="Times New Roman" w:hAnsi="Times New Roman" w:cs="Times New Roman"/>
          <w:sz w:val="24"/>
          <w:szCs w:val="24"/>
          <w:lang w:val="es-ES_tradnl"/>
        </w:rPr>
        <w:t xml:space="preserve">. (a) </w:t>
      </w:r>
      <w:r w:rsidRPr="00EF61C8">
        <w:rPr>
          <w:rFonts w:ascii="Times New Roman" w:eastAsia="Times New Roman" w:hAnsi="Times New Roman" w:cs="Times New Roman"/>
          <w:b/>
          <w:sz w:val="24"/>
          <w:szCs w:val="24"/>
          <w:lang w:val="es-ES_tradnl"/>
        </w:rPr>
        <w:t>Inconsistencia</w:t>
      </w:r>
      <w:r w:rsidRPr="00EF61C8">
        <w:rPr>
          <w:rFonts w:ascii="Times New Roman" w:eastAsia="Times New Roman" w:hAnsi="Times New Roman" w:cs="Times New Roman"/>
          <w:sz w:val="24"/>
          <w:szCs w:val="24"/>
          <w:lang w:val="es-ES_tradnl"/>
        </w:rPr>
        <w:t>. En caso de contradicción o inconsistencia entre las disposiciones de las Estipulaciones Especiales, cualquier anexo del Contrato y el o los Contratos de Garantía, si los hubiere, y estas Normas Generales, las disposiciones de aquéllos prevalecerán sobre las disposiciones de estas Normas Generales. Si la contradicción o inconsistencia existiere entre disposiciones de un mismo elemento de este Contrato o entre las disposiciones de las Estipulaciones Especiales, cualquier anexo del Contrato y el o los Contratos de Garantía, si los hubiere, la disposición específica prevalecerá sobre la general.</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 xml:space="preserve">Títulos y Subtítulos. </w:t>
      </w:r>
      <w:r w:rsidRPr="00EF61C8">
        <w:rPr>
          <w:rFonts w:ascii="Times New Roman" w:eastAsia="Times New Roman" w:hAnsi="Times New Roman" w:cs="Times New Roman"/>
          <w:sz w:val="24"/>
          <w:szCs w:val="24"/>
          <w:lang w:val="es-ES_tradnl"/>
        </w:rPr>
        <w:t>Cualquier</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título o subtítulo de los capítulos, artículos, cláusulas u otras secciones de este Contrato se incluyen sólo a manera de referencia y no deben ser tomados en cuenta en la i</w:t>
      </w:r>
      <w:r w:rsidR="00BA64D6">
        <w:rPr>
          <w:rFonts w:ascii="Times New Roman" w:eastAsia="Times New Roman" w:hAnsi="Times New Roman" w:cs="Times New Roman"/>
          <w:sz w:val="24"/>
          <w:szCs w:val="24"/>
          <w:lang w:val="es-ES_tradnl"/>
        </w:rPr>
        <w:t>nterpretación de este Contrato.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Plazos.</w:t>
      </w:r>
      <w:r w:rsidRPr="00EF61C8">
        <w:rPr>
          <w:rFonts w:ascii="Times New Roman" w:eastAsia="Times New Roman" w:hAnsi="Times New Roman" w:cs="Times New Roman"/>
          <w:sz w:val="24"/>
          <w:szCs w:val="24"/>
          <w:lang w:val="es-ES_tradnl"/>
        </w:rPr>
        <w:t xml:space="preserve"> Salvo que el Contrato disponga lo contrario, los plazos de días, meses o años se entenderán de días, meses o años calendario.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widowControl w:val="0"/>
        <w:spacing w:after="0" w:line="276" w:lineRule="auto"/>
        <w:jc w:val="center"/>
        <w:outlineLvl w:val="1"/>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II</w:t>
      </w:r>
    </w:p>
    <w:p w:rsidR="00FF0D18" w:rsidRPr="00EF61C8" w:rsidRDefault="00FF0D18" w:rsidP="00FF0D18">
      <w:pPr>
        <w:widowControl w:val="0"/>
        <w:spacing w:after="0" w:line="276"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Definiciones</w:t>
      </w:r>
    </w:p>
    <w:p w:rsidR="00FF0D18" w:rsidRPr="00EF61C8" w:rsidRDefault="00FF0D18" w:rsidP="00FF0D18">
      <w:pPr>
        <w:widowControl w:val="0"/>
        <w:spacing w:after="0" w:line="240" w:lineRule="auto"/>
        <w:rPr>
          <w:rFonts w:ascii="Times New Roman" w:eastAsia="Times New Roman" w:hAnsi="Times New Roman" w:cs="Times New Roman"/>
          <w:sz w:val="24"/>
          <w:szCs w:val="24"/>
          <w:lang w:val="es-ES_tradnl"/>
        </w:rPr>
      </w:pPr>
    </w:p>
    <w:p w:rsidR="00FF0D18" w:rsidRDefault="00FF0D18" w:rsidP="00FF0D18">
      <w:pPr>
        <w:widowControl w:val="0"/>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2.01.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Definiciones</w:t>
      </w:r>
      <w:r w:rsidRPr="00EF61C8">
        <w:rPr>
          <w:rFonts w:ascii="Times New Roman" w:eastAsia="Times New Roman" w:hAnsi="Times New Roman" w:cs="Times New Roman"/>
          <w:sz w:val="24"/>
          <w:szCs w:val="24"/>
          <w:lang w:val="es-ES_tradnl"/>
        </w:rPr>
        <w:t xml:space="preserve">. Cuando los siguientes términos se utilicen con mayúscula en este Contrato o en el (o los) Contrato(s) de Garantía, si lo(s) hubiere, éstos tendrán el significado que se les asigna a continuación. </w:t>
      </w:r>
      <w:r w:rsidR="00BA64D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Cualquier referencia al singular incluye el plural y viceversa.  Cualquier término que figure en mayúsculas en el numeral 77 de este Artículo 2.01 y que no esté definido de alguna manera en ese literal, tendrá el mismo significado que le haya sido asignado en las definiciones de ISDA de 2006, según la publicación del </w:t>
      </w:r>
      <w:r w:rsidRPr="00EF61C8">
        <w:rPr>
          <w:rFonts w:ascii="Times New Roman" w:eastAsia="Times New Roman" w:hAnsi="Times New Roman" w:cs="Times New Roman"/>
          <w:i/>
          <w:sz w:val="24"/>
          <w:szCs w:val="24"/>
          <w:lang w:val="es-ES_tradnl"/>
        </w:rPr>
        <w:t>International Swaps and Derivatives Association, Inc.</w:t>
      </w:r>
      <w:r w:rsidRPr="00EF61C8">
        <w:rPr>
          <w:rFonts w:ascii="Times New Roman" w:eastAsia="Times New Roman" w:hAnsi="Times New Roman" w:cs="Times New Roman"/>
          <w:sz w:val="24"/>
          <w:szCs w:val="24"/>
          <w:lang w:val="es-ES_tradnl"/>
        </w:rPr>
        <w:t xml:space="preserve"> (Asociación Internacional de Operaciones de Permuta Financiera e Instrumentos Derivados), en sus </w:t>
      </w:r>
      <w:r w:rsidRPr="00EF61C8">
        <w:rPr>
          <w:rFonts w:ascii="Times New Roman" w:eastAsia="Times New Roman" w:hAnsi="Times New Roman" w:cs="Times New Roman"/>
          <w:sz w:val="24"/>
          <w:szCs w:val="24"/>
          <w:lang w:val="es-ES_tradnl"/>
        </w:rPr>
        <w:lastRenderedPageBreak/>
        <w:t>versiones modificadas y complementadas, las cuales se incorporan en este Contrato por referencia.</w:t>
      </w:r>
    </w:p>
    <w:p w:rsidR="00904280" w:rsidRPr="00EF61C8" w:rsidRDefault="00904280" w:rsidP="00FF0D18">
      <w:pPr>
        <w:widowControl w:val="0"/>
        <w:tabs>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“Agencia de Contrataciones” significa la entidad con capacidad legal para suscribir contratos y que, mediante acuerdo con el Prestatario o, en su caso, el Organismo Ejecutor, asume, en todo o en parte, la responsabilidad de llevar a cabo las adquisiciones de bienes o las contrataciones de obras, servicios de consultoría o servicios diferentes de consultoría del Proyecto.</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150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“Agente de Cálculo” significa el Banco, con excepción de la utilización de dicho término en la definición de Tasa de Interés LIBOR, en cuyo caso tendrá el significado asignado a dicho término en las Definiciones de ISDA de 2006, según la publicación del </w:t>
      </w:r>
      <w:r w:rsidRPr="00EF61C8">
        <w:rPr>
          <w:rFonts w:ascii="Times New Roman" w:eastAsia="Times New Roman" w:hAnsi="Times New Roman" w:cs="Times New Roman"/>
          <w:i/>
          <w:sz w:val="24"/>
          <w:szCs w:val="24"/>
          <w:lang w:val="es-ES_tradnl"/>
        </w:rPr>
        <w:t xml:space="preserve">International Swaps and Derivatives Association, Inc. </w:t>
      </w:r>
      <w:r w:rsidRPr="00EF61C8">
        <w:rPr>
          <w:rFonts w:ascii="Times New Roman" w:eastAsia="Times New Roman" w:hAnsi="Times New Roman" w:cs="Times New Roman"/>
          <w:sz w:val="24"/>
          <w:szCs w:val="24"/>
          <w:lang w:val="es-ES_tradnl"/>
        </w:rPr>
        <w:t xml:space="preserve">(Asociación Internacional de Operaciones de Permuta Financiera e Instrumentos Derivados), en sus versiones modificadas y complementadas. </w:t>
      </w:r>
      <w:r w:rsidR="00ED2F3B">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Todas las determinaciones efectuadas por el Agente de Cálculo tendrán un carácter final, concluyente y obligatorio para las partes (salvo error manifiesto) y, de ser hechas por el Banco en calidad de Agente de Cálculo, se efectuarán mediante justificación documentada, de buena fe y en forma comercialmente razonable.</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“Anticipo de Fondos” significa el monto de recursos adelantados por el Banco al Prestatario, con cargo al Préstamo, para atender Gastos Elegibles del Proyecto, de conformidad con lo establecido en el Artículo </w:t>
      </w:r>
      <w:r w:rsidR="00ED2F3B">
        <w:rPr>
          <w:rFonts w:ascii="Times New Roman" w:eastAsia="Times New Roman" w:hAnsi="Times New Roman" w:cs="Times New Roman"/>
          <w:sz w:val="24"/>
          <w:szCs w:val="24"/>
          <w:lang w:val="es-ES_tradnl"/>
        </w:rPr>
        <w:t>4.07 de estas Normas Generales.</w:t>
      </w:r>
    </w:p>
    <w:p w:rsidR="00FF0D18" w:rsidRPr="00EF61C8" w:rsidRDefault="00FF0D18" w:rsidP="00FF0D18">
      <w:pPr>
        <w:tabs>
          <w:tab w:val="left" w:pos="-1440"/>
          <w:tab w:val="left" w:pos="-720"/>
          <w:tab w:val="left" w:pos="7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“Aporte Local” significa los recursos adicionales a los financiados por el Banco, que resulten necesarios para la completa e ininterrumpida ejecución del Proyecto. </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“Banco” tendrá el significado que se le asigne en las Estipulaciones Especiales de este Contrato.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significa el establecimiento de un límite superior y un límite inferior par</w:t>
      </w:r>
      <w:r w:rsidR="00ED2F3B">
        <w:rPr>
          <w:rFonts w:ascii="Times New Roman" w:eastAsia="Times New Roman" w:hAnsi="Times New Roman" w:cs="Times New Roman"/>
          <w:sz w:val="24"/>
          <w:szCs w:val="24"/>
          <w:lang w:val="es-ES_tradnl"/>
        </w:rPr>
        <w:t>a una tasa variable de interés.</w:t>
      </w:r>
    </w:p>
    <w:p w:rsidR="00FF0D18" w:rsidRPr="00EF61C8" w:rsidRDefault="00FF0D18" w:rsidP="00FF0D18">
      <w:p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“Cantidad Nocional” significa, con respecto a una Conversión de Productos Básicos, el número de unidades del producto básico subyacente.</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“Carta Notificación de Conversión” significa la notificación por medio de la cual el Banco comunica al Prestatario los términos y condiciones financieros en que una Conversión ha sido efectuada de acuerdo con la Carta Solicitud de Conversión enviada por el Prestatario.</w:t>
      </w:r>
    </w:p>
    <w:p w:rsidR="00FF0D18" w:rsidRPr="00EF61C8" w:rsidRDefault="00FF0D18" w:rsidP="00FF0D18">
      <w:pPr>
        <w:tabs>
          <w:tab w:val="left" w:pos="-1440"/>
          <w:tab w:val="left" w:pos="-720"/>
          <w:tab w:val="left" w:pos="720"/>
          <w:tab w:val="num" w:pos="1440"/>
          <w:tab w:val="left" w:pos="2160"/>
        </w:tabs>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“Carta Notificación de Modificación de Cronograma de Amortización” significa la notificación por medio de la cual el Banco da respuesta a una Carta Solicitud de Modificación</w:t>
      </w:r>
      <w:r w:rsidR="00ED2F3B">
        <w:rPr>
          <w:rFonts w:ascii="Times New Roman" w:eastAsia="Times New Roman" w:hAnsi="Times New Roman" w:cs="Times New Roman"/>
          <w:sz w:val="24"/>
          <w:szCs w:val="24"/>
          <w:lang w:val="es-ES_tradnl"/>
        </w:rPr>
        <w:t xml:space="preserve"> de Cronograma de Amortización.</w:t>
      </w:r>
    </w:p>
    <w:p w:rsidR="00FF0D18" w:rsidRPr="00EF61C8" w:rsidRDefault="00FF0D18" w:rsidP="00FF0D18">
      <w:pPr>
        <w:tabs>
          <w:tab w:val="left" w:pos="-1440"/>
          <w:tab w:val="left" w:pos="-720"/>
          <w:tab w:val="left" w:pos="720"/>
          <w:tab w:val="num" w:pos="1440"/>
          <w:tab w:val="left" w:pos="2160"/>
        </w:tabs>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widowControl w:val="0"/>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“Carta Solicitud de Conversión” significa la notificación irrevocable por medio de la cual el Prestatario solicita al Banco una Conversión, de acuerdo co</w:t>
      </w:r>
      <w:r w:rsidR="00ED2F3B">
        <w:rPr>
          <w:rFonts w:ascii="Times New Roman" w:eastAsia="Times New Roman" w:hAnsi="Times New Roman" w:cs="Times New Roman"/>
          <w:sz w:val="24"/>
          <w:szCs w:val="24"/>
          <w:lang w:val="es-ES_tradnl"/>
        </w:rPr>
        <w:t xml:space="preserve">n lo establecido en </w:t>
      </w:r>
      <w:r w:rsidR="00ED2F3B">
        <w:rPr>
          <w:rFonts w:ascii="Times New Roman" w:eastAsia="Times New Roman" w:hAnsi="Times New Roman" w:cs="Times New Roman"/>
          <w:sz w:val="24"/>
          <w:szCs w:val="24"/>
          <w:lang w:val="es-ES_tradnl"/>
        </w:rPr>
        <w:lastRenderedPageBreak/>
        <w:t xml:space="preserve">el Artículo </w:t>
      </w:r>
      <w:r w:rsidRPr="00EF61C8">
        <w:rPr>
          <w:rFonts w:ascii="Times New Roman" w:eastAsia="Times New Roman" w:hAnsi="Times New Roman" w:cs="Times New Roman"/>
          <w:sz w:val="24"/>
          <w:szCs w:val="24"/>
          <w:lang w:val="es-ES_tradnl"/>
        </w:rPr>
        <w:t>5.01 de estas Normas Generales.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“Carta Solicitud de Modificación de Cronograma de Amortización” significa la notificación irrevocable por medio de la cual el Prestatario solicita al Banco una modificación</w:t>
      </w:r>
      <w:r w:rsidR="00ED2F3B">
        <w:rPr>
          <w:rFonts w:ascii="Times New Roman" w:eastAsia="Times New Roman" w:hAnsi="Times New Roman" w:cs="Times New Roman"/>
          <w:sz w:val="24"/>
          <w:szCs w:val="24"/>
          <w:lang w:val="es-ES_tradnl"/>
        </w:rPr>
        <w:t xml:space="preserve"> al Cronograma de Amortización.</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 w:val="num" w:pos="333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“Contrato” significa este contrato de préstamo.</w:t>
      </w:r>
    </w:p>
    <w:p w:rsidR="00FF0D18" w:rsidRPr="00EF61C8" w:rsidRDefault="00FF0D18" w:rsidP="00FF0D18">
      <w:pPr>
        <w:tabs>
          <w:tab w:val="left" w:pos="-1440"/>
          <w:tab w:val="left" w:pos="-720"/>
          <w:tab w:val="left" w:pos="720"/>
          <w:tab w:val="num" w:pos="1440"/>
          <w:tab w:val="left" w:pos="2160"/>
        </w:tabs>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“Contrato de Derivados” significa cualquier contrato suscrito entre el Banco y el Prestatario o entre el Banco y el Garante para documentar y/o confirmar una o más transacciones de derivados acordadas entre el Banco y el Prestatario o entre el Banco y el Garante y sus modificaciones posteriores. Son parte integrante de los Contratos de Derivados todos los anexos y demás acuerdos suplementarios a los mismos.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“Contrato de Garantía” significa, si lo hubiere, el contrato en virtud del cual se garantiza el cumplimiento de todas o algunas de las obligaciones que contrae el Prestatario bajo este Contrato y en el que el Garante asume otras obligaciones que quedan a su cargo.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“Convención para el Cálculo de Intereses” significa la convención para el conteo de días utilizada para el cálculo del pago de intereses, la cual se establece en la Carta Notificación de Conversión.</w:t>
      </w:r>
    </w:p>
    <w:p w:rsidR="00FF0D18" w:rsidRPr="00EF61C8" w:rsidRDefault="00FF0D18" w:rsidP="00FF0D18">
      <w:pPr>
        <w:tabs>
          <w:tab w:val="left" w:pos="-1440"/>
          <w:tab w:val="left" w:pos="-720"/>
          <w:tab w:val="left" w:pos="720"/>
          <w:tab w:val="left" w:pos="1440"/>
          <w:tab w:val="left" w:pos="216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significa una modificación de los términos de la totalidad o una parte del Préstamo solicitada por el Prestatario y aceptada por el Banco, en los términos de este Contrato y podrá ser: (i) una Conversión de Moneda; (ii) una Conversión de Tasa de Interés; o (iii) una Conversión de Productos Básicos.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Moneda” significa, con respecto a un desembolso o a la totalidad o a una parte del Saldo Deudor, el cambio de moneda de denominación a una Moneda Local o a una Moneda Principal.</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Moneda por Plazo Parcial” significa una Conversión de Moneda por un Plazo de Conversión inferior al plazo previsto en el Cronograma de Amortización solicitado para dicha Conversión de Moneda, según lo previsto en el Artículo 5.03 de estas Normas Generales.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Moneda por Plazo Total” significa una Conversión de Moneda por un Plazo de Conversión igual al plazo previsto en el Cronograma de Amortización solicitado para dicha Conversión de Moneda, según lo previsto en el Artículo 5.03 de estas Normas G</w:t>
      </w:r>
      <w:r w:rsidR="00ED2F3B">
        <w:rPr>
          <w:rFonts w:ascii="Times New Roman" w:eastAsia="Times New Roman" w:hAnsi="Times New Roman" w:cs="Times New Roman"/>
          <w:sz w:val="24"/>
          <w:szCs w:val="24"/>
          <w:lang w:val="es-ES_tradnl"/>
        </w:rPr>
        <w:t>enerales.</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Productos Básicos” significa, con respecto a todo o parte de un Saldo Deudor Requerido, la contratación de una Opción de Venta de Productos Básicos o de una Opción de Compra de Productos Básicos de conformidad con lo establecido en el Artículo 5.01 de estas Normas Generales.</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“Conversión de Productos Básicos por Plazo Parcial” significa una Conversión de Productos Básicos cuya Fecha de Vencimiento de Conversión de Productos Básicos es anterior a la Fecha Final de Amortización.</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Productos Básicos por Plazo Total” significa una Conversión de Productos Básicos cuya Fecha de Vencimiento de Conversión de Productos Básicos coincide con la Fecha Final de Amortización.</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Tasa de Interés” significa (i) el cambio del tipo de tasa de interés con respecto a la totalidad o a una parte del Saldo Deudor; o (ii) el establecimiento de un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o una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con respecto a la totalidad o una parte del Saldo Deudor; o (iii) cualquier otra opción de cobertura (</w:t>
      </w:r>
      <w:r w:rsidRPr="00EF61C8">
        <w:rPr>
          <w:rFonts w:ascii="Times New Roman" w:eastAsia="Times New Roman" w:hAnsi="Times New Roman" w:cs="Times New Roman"/>
          <w:i/>
          <w:sz w:val="24"/>
          <w:szCs w:val="24"/>
          <w:lang w:val="es-ES_tradnl"/>
        </w:rPr>
        <w:t>hedging</w:t>
      </w:r>
      <w:r w:rsidRPr="00EF61C8">
        <w:rPr>
          <w:rFonts w:ascii="Times New Roman" w:eastAsia="Times New Roman" w:hAnsi="Times New Roman" w:cs="Times New Roman"/>
          <w:sz w:val="24"/>
          <w:szCs w:val="24"/>
          <w:lang w:val="es-ES_tradnl"/>
        </w:rPr>
        <w:t>) que afecte la tasa de interés aplicable a la totalidad o a una parte del Saldo Deudor.</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“Conversión de Tasa de Interés por Plazo Parcial” significa una Conversión de Tasa de Interés por un Plazo de Conversión inferior al plazo previsto en el Cronograma de Amortización solicitado para dicha Conversión de Tasa de Interés, según lo previsto en el Artículo 5.04 de estas Normas Generales.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“Conversión de Tasa de Interés por Plazo Total” significa una Conversión de Tasa de Interés por un Plazo de Conversión igual al plazo previsto en el Cronograma de Amortización solicitado para la Conversión de Tasa de Interés, según lo previsto en el Artículo </w:t>
      </w:r>
      <w:r w:rsidR="00ED2F3B">
        <w:rPr>
          <w:rFonts w:ascii="Times New Roman" w:eastAsia="Times New Roman" w:hAnsi="Times New Roman" w:cs="Times New Roman"/>
          <w:sz w:val="24"/>
          <w:szCs w:val="24"/>
          <w:lang w:val="es-ES_tradnl"/>
        </w:rPr>
        <w:t>5.04 de estas Normas Generales.</w:t>
      </w:r>
    </w:p>
    <w:p w:rsidR="00FF0D18" w:rsidRPr="00EF61C8" w:rsidRDefault="00FF0D18" w:rsidP="00FF0D18">
      <w:pPr>
        <w:tabs>
          <w:tab w:val="left" w:pos="-1440"/>
          <w:tab w:val="left" w:pos="-720"/>
          <w:tab w:val="left" w:pos="720"/>
          <w:tab w:val="left" w:pos="2160"/>
          <w:tab w:val="left" w:pos="6390"/>
        </w:tabs>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“Costo de Fondeo del Banco” significa un margen de costo calculado trimestralmente sobre la Tasa de Interés LIBOR en Dólares a tres (3) meses, con base en el promedio ponderado del costo de los instrumentos de fondeo del Banco aplicables a la Facilidad de Financiamiento Flexible, expresado en términos de un porcentaje anual, según lo determine el Banco.</w:t>
      </w:r>
    </w:p>
    <w:p w:rsidR="00FF0D18" w:rsidRPr="00EF61C8" w:rsidRDefault="00FF0D18" w:rsidP="00FF0D18">
      <w:pPr>
        <w:tabs>
          <w:tab w:val="left" w:pos="-1440"/>
          <w:tab w:val="left" w:pos="-720"/>
          <w:tab w:val="left" w:pos="7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“Cronograma de Amortización” significa el cronograma original establecido en las Estipulaciones Especiales para el pago de las cuotas de amortización del Préstamo o el cronograma o cronogramas que resulten de modificaciones acordadas entre las Partes de conformidad con lo previsto en el Artículo </w:t>
      </w:r>
      <w:r w:rsidR="00ED2F3B">
        <w:rPr>
          <w:rFonts w:ascii="Times New Roman" w:eastAsia="Times New Roman" w:hAnsi="Times New Roman" w:cs="Times New Roman"/>
          <w:sz w:val="24"/>
          <w:szCs w:val="24"/>
          <w:lang w:val="es-ES_tradnl"/>
        </w:rPr>
        <w:t>3.02 de estas Normas Generales.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“Día Hábil” significa un día en que los bancos comerciales y los mercados cambiarios efectúen liquidaciones de pagos y estén abiertos para negocios generales (incluidas transacciones cambiarias y transacciones de depósitos en moneda extranjera) en la ciudad de Nueva York o, en el caso de una Conversión, en las ciudades indicadas en la Carta Notificación de Conversión.</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“Directorio” significa el Directorio Ejecutivo del Banco.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“Dólar” significa la moneda de curso legal en los Estados Unidos de América.</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“Estipulaciones Especiales” significa el conjunto de cláusulas que componen la primera parte de este Contrato.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“Facilidad de Financiamiento Flexible” significa la plataforma financiera que el Banco utiliza para efectuar Préstamos con garantía soberana con cargo al capital ordinario del Banco.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Conversión” significa la Fecha de Conversión de Moneda, la Fecha de Conversión de Tasa de Interés o la Fecha de Conversión de Productos Básicos, según el caso.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Conversión de Moneda” significa, en relación con Conversiones de Moneda para nuevos desembolsos, la fecha efectiva en la cual el Banco efectúa el desembolso y para las Conversiones de Moneda de Saldos Deudores, la fecha en que se redenomina la deuda. Estas fechas se establecerán en la Carta Notificación de Conversión.</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Conversión de Productos Básicos” significa la fecha de contratación de una Conversión de Productos Básicos. Esta fecha se establecerá en la Carta Notificación de Conversión.</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Conversión de Tasa de Interés” significa la fecha efectiva de la Conversión de Tasa de Interés a partir de la cual aplicará la nueva tasa de interés. Esta fecha se establecerá en la Carta Notificación de Conversión.</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Determinación de la Tasa de Interés Basada en LIBOR para cada Trimestre” significa el día 15 de los meses de enero, abril, julio y octubre de cada año calendario. La Tasa de Interés Basada en LIBOR, determinada por el Banco en una Fecha de Determinación de la Tasa de Interés Basada en LIBOR para cada Trimestre, será aplicada retroactivamente a los primeros quince (15) días del Trimestre respectivo y continuará siendo aplicada durante y has</w:t>
      </w:r>
      <w:r w:rsidR="00ED2F3B">
        <w:rPr>
          <w:rFonts w:ascii="Times New Roman" w:eastAsia="Times New Roman" w:hAnsi="Times New Roman" w:cs="Times New Roman"/>
          <w:sz w:val="24"/>
          <w:szCs w:val="24"/>
          <w:lang w:val="es-ES_tradnl"/>
        </w:rPr>
        <w:t>ta el último día del Trimestre.</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Liquidación de Conversión de Productos Básicos” significa, con respecto a una Conversión de Productos Básicos, la fecha en que el Monto de Liquidación en Efectivo de dicha conversión debe ser pagado, la cual ocurrirá a los cinco (5) Días Hábiles posteriores a una Fecha de Vencimiento de Conversión de Productos Básicos salvo que las Partes acuerden una fecha distinta especificada en la Carta Notificación de Conversión.</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Valuación de Pago” significa la fecha que se determina con base en un cierto número de Días Hábiles bancarios antes de cualquier fecha de pago de cuotas de amortización o intereses, según se especifique en una Carta Notificación de Conversión.</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“Fecha de Vencimiento de Conversión de Productos Básicos” significa el Día Hábil en el cual vence la Opción de Productos Básicos. Esta fecha se establecerá en la Carta Notificación de Conversión.</w:t>
      </w:r>
    </w:p>
    <w:p w:rsidR="00FF0D18" w:rsidRPr="00EF61C8" w:rsidRDefault="00ED2F3B"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 xml:space="preserve"> </w:t>
      </w:r>
      <w:r w:rsidR="00FF0D18" w:rsidRPr="00EF61C8">
        <w:rPr>
          <w:rFonts w:ascii="Times New Roman" w:eastAsia="Times New Roman" w:hAnsi="Times New Roman" w:cs="Times New Roman"/>
          <w:sz w:val="24"/>
          <w:szCs w:val="24"/>
          <w:lang w:val="es-ES_tradnl"/>
        </w:rPr>
        <w:t>“Fecha Final de Amortización” significa la última fecha de amortización del Préstamo de acuerdo con lo previsto en</w:t>
      </w:r>
      <w:r>
        <w:rPr>
          <w:rFonts w:ascii="Times New Roman" w:eastAsia="Times New Roman" w:hAnsi="Times New Roman" w:cs="Times New Roman"/>
          <w:sz w:val="24"/>
          <w:szCs w:val="24"/>
          <w:lang w:val="es-ES_tradnl"/>
        </w:rPr>
        <w:t xml:space="preserve"> las Estipulaciones Especiales.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“Garante” significa el país miembro del Banco y ente sub-nacional del mismo, de haberlo, que suscribe el Con</w:t>
      </w:r>
      <w:r w:rsidR="00ED2F3B">
        <w:rPr>
          <w:rFonts w:ascii="Times New Roman" w:eastAsia="Times New Roman" w:hAnsi="Times New Roman" w:cs="Times New Roman"/>
          <w:sz w:val="24"/>
          <w:szCs w:val="24"/>
          <w:lang w:val="es-ES_tradnl"/>
        </w:rPr>
        <w:t>trato de Garantía con el Banco.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“Gasto Elegible” tendrá el significado que se le asigne en las </w:t>
      </w:r>
      <w:r w:rsidRPr="00EF61C8">
        <w:rPr>
          <w:rFonts w:ascii="Times New Roman" w:eastAsia="Arial Unicode MS" w:hAnsi="Times New Roman" w:cs="Times New Roman"/>
          <w:sz w:val="24"/>
          <w:szCs w:val="24"/>
          <w:lang w:val="es-ES_tradnl"/>
        </w:rPr>
        <w:t>Estipulaciones Especiales de este Contrato.</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“Índice del Producto Básico Subyacente” significa un índice publicado del precio del producto básico subyacente sujeto de una Opción de Productos Básicos. La fuente y cálculo del Índice del Producto Básico Subyacente se establecerán en la Carta Notificación de Conversión. Si el Índice del Producto Básico Subyacente relacionado con un producto básico (i) no es calculado ni anunciado por su patrocinador vigente en la Fecha de Conversión de Productos Básicos, pero es calculado y anunciado por un patrocinador sucesor aceptable para el Agente de Cálculo, o (ii) es reemplazado por un índice sucesor que utiliza, en la determinación del Agente de Cálculo, la misma fórmula o un método de cálculo sustancialmente similar al utilizado en el cálculo del Índice del Producto Básico Subyacente, entonces, el respectivo índice será, en cada caso, el Índice del Producto Básico Subyacente.</w:t>
      </w:r>
    </w:p>
    <w:p w:rsidR="00FF0D18" w:rsidRPr="00EF61C8" w:rsidRDefault="00FF0D18" w:rsidP="00FF0D18">
      <w:pPr>
        <w:tabs>
          <w:tab w:val="left" w:pos="0"/>
          <w:tab w:val="left" w:pos="1440"/>
          <w:tab w:val="left" w:pos="2040"/>
          <w:tab w:val="left" w:pos="252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“Moneda Convertida” significa cualquier Moneda Local o Moneda Principal en la que se denomina la totalidad o una parte del Préstamo tras la ejecución de una Conversión de Moneda.</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“Moneda de Aprobación” significa la moneda en la que el Banco aprueba el Préstamo, que puede ser Dó</w:t>
      </w:r>
      <w:r w:rsidR="00ED2F3B">
        <w:rPr>
          <w:rFonts w:ascii="Times New Roman" w:eastAsia="Times New Roman" w:hAnsi="Times New Roman" w:cs="Times New Roman"/>
          <w:sz w:val="24"/>
          <w:szCs w:val="24"/>
          <w:lang w:val="es-ES_tradnl"/>
        </w:rPr>
        <w:t>lares o cualquier Moneda Local.</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“Moneda de Liquidación” significa la moneda utilizada en el Préstamo para liquidar pagos de capital e intereses. Para el caso de monedas de libre convertibilidad (</w:t>
      </w:r>
      <w:r w:rsidRPr="00EF61C8">
        <w:rPr>
          <w:rFonts w:ascii="Times New Roman" w:eastAsia="Times New Roman" w:hAnsi="Times New Roman" w:cs="Times New Roman"/>
          <w:i/>
          <w:sz w:val="24"/>
          <w:szCs w:val="24"/>
          <w:lang w:val="es-ES_tradnl"/>
        </w:rPr>
        <w:t>fully deliverable</w:t>
      </w:r>
      <w:r w:rsidRPr="00EF61C8">
        <w:rPr>
          <w:rFonts w:ascii="Times New Roman" w:eastAsia="Times New Roman" w:hAnsi="Times New Roman" w:cs="Times New Roman"/>
          <w:sz w:val="24"/>
          <w:szCs w:val="24"/>
          <w:lang w:val="es-ES_tradnl"/>
        </w:rPr>
        <w:t>), la Moneda de Liquidación será la Moneda Convertida.</w:t>
      </w:r>
      <w:r w:rsidR="00ED2F3B">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Para el caso de monedas que no son de libre convertibilidad (</w:t>
      </w:r>
      <w:r w:rsidRPr="00EF61C8">
        <w:rPr>
          <w:rFonts w:ascii="Times New Roman" w:eastAsia="Times New Roman" w:hAnsi="Times New Roman" w:cs="Times New Roman"/>
          <w:i/>
          <w:sz w:val="24"/>
          <w:szCs w:val="24"/>
          <w:lang w:val="es-ES_tradnl"/>
        </w:rPr>
        <w:t>non-deliverable</w:t>
      </w:r>
      <w:r w:rsidRPr="00EF61C8">
        <w:rPr>
          <w:rFonts w:ascii="Times New Roman" w:eastAsia="Times New Roman" w:hAnsi="Times New Roman" w:cs="Times New Roman"/>
          <w:sz w:val="24"/>
          <w:szCs w:val="24"/>
          <w:lang w:val="es-ES_tradnl"/>
        </w:rPr>
        <w:t>), la Moneda de Liquidación será el Dólar.</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“Moneda Local” significa cualquier moneda de curso legal distinta al Dólar en los paíse</w:t>
      </w:r>
      <w:r w:rsidR="00ED2F3B">
        <w:rPr>
          <w:rFonts w:ascii="Times New Roman" w:eastAsia="Times New Roman" w:hAnsi="Times New Roman" w:cs="Times New Roman"/>
          <w:sz w:val="24"/>
          <w:szCs w:val="24"/>
          <w:lang w:val="es-ES_tradnl"/>
        </w:rPr>
        <w:t>s de Latinoamérica y el Caribe.</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“Moneda Principal” significa cualquier moneda de curso legal en los países miembros del Banco q</w:t>
      </w:r>
      <w:r w:rsidR="00ED2F3B">
        <w:rPr>
          <w:rFonts w:ascii="Times New Roman" w:eastAsia="Times New Roman" w:hAnsi="Times New Roman" w:cs="Times New Roman"/>
          <w:sz w:val="24"/>
          <w:szCs w:val="24"/>
          <w:lang w:val="es-ES_tradnl"/>
        </w:rPr>
        <w:t>ue no sea Dólar o Moneda Local.</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“Monto de Liquidación en Efectivo” tendrá el significado qu</w:t>
      </w:r>
      <w:r w:rsidR="00911B06">
        <w:rPr>
          <w:rFonts w:ascii="Times New Roman" w:eastAsia="Times New Roman" w:hAnsi="Times New Roman" w:cs="Times New Roman"/>
          <w:sz w:val="24"/>
          <w:szCs w:val="24"/>
          <w:lang w:val="es-ES_tradnl"/>
        </w:rPr>
        <w:t xml:space="preserve">e se le asigna en los Artículos </w:t>
      </w:r>
      <w:r w:rsidRPr="00EF61C8">
        <w:rPr>
          <w:rFonts w:ascii="Times New Roman" w:eastAsia="Times New Roman" w:hAnsi="Times New Roman" w:cs="Times New Roman"/>
          <w:sz w:val="24"/>
          <w:szCs w:val="24"/>
          <w:lang w:val="es-ES_tradnl"/>
        </w:rPr>
        <w:t>5.11(b), (c) y (d) de estas Normas Generales.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“Normas Generales” significa el conjunto de artículos que componen esta segunda parte del Contrato.</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“Opción de Compra de Productos Básicos” significa, con respecto a todo o parte de un Saldo Deudor Requerido, una opción de compra a ser liquidada en efectivo ejercitable por el Prestatario de conformidad con lo establecido en el Artículo 5.11 de estas Normas Generales.</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“Opción de Productos Básicos” tendrá el significado que se le asigna en el Artículo 5.11(a) de estas Normas Generales.</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“Opción de Venta de Productos Básicos” significa, con respecto a todo o parte de un Saldo Deudor Requerido, una opción de venta a ser liquidada en efectivo ejercitable por el Prestatario de conformidad con lo establecido en el Artículo 5.11 de estas Normas Generales.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“Organismo Contratante” significa la entidad con capacidad legal para suscribir el contrato de adquisición de bienes, contrato de obras, de consultoría y servicios diferentes de consultoría con el contratista, proveedor y la firma consultora o el consultor individual, según sea el caso.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“Organismo Ejecutor” significa la entidad con personería jurídica responsable de la ejecución del Proyecto y de la utilización de los recursos del Préstamo. Cuando exista más de un Organismo Ejecutor, éstos serán co-ejecutores y se les denominará indistintamente, “Organismos Ejecutores” u “Organi</w:t>
      </w:r>
      <w:r w:rsidR="00E42ACE">
        <w:rPr>
          <w:rFonts w:ascii="Times New Roman" w:eastAsia="Times New Roman" w:hAnsi="Times New Roman" w:cs="Times New Roman"/>
          <w:sz w:val="24"/>
          <w:szCs w:val="24"/>
          <w:lang w:val="es-ES_tradnl"/>
        </w:rPr>
        <w:t>smos Co-Ejecutores”.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4"/>
          <w:lang w:val="es-ES_tradnl"/>
        </w:rPr>
        <w:t>“Partes” tendrá el significado que se le asigna en el preámbulo de las Estipulaciones Especiales.</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4"/>
          <w:lang w:val="es-ES_tradnl"/>
        </w:rPr>
        <w:t>“Período de Cierre” significa el plazo de hasta noventa (90) días contado a partir del vencimiento del Plazo Original de Desembolsos o sus extensiones.</w:t>
      </w:r>
    </w:p>
    <w:p w:rsidR="00FF0D18" w:rsidRPr="00EF61C8" w:rsidRDefault="00FF0D18" w:rsidP="00FF0D18">
      <w:pPr>
        <w:spacing w:after="0" w:line="240" w:lineRule="auto"/>
        <w:ind w:left="720"/>
        <w:rPr>
          <w:rFonts w:ascii="Times New Roman" w:eastAsia="Calibri"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“Plan de Adquisiciones” significa una herramienta de programación y seguimiento de las adquisiciones y contrataciones del Proyecto, en los términos descritos en las Estipulaciones Especiales, Políticas de Adquisiciones y en las Políticas de Consultores.</w:t>
      </w:r>
    </w:p>
    <w:p w:rsidR="00FF0D18" w:rsidRPr="00EF61C8" w:rsidRDefault="00FF0D18" w:rsidP="00FF0D18">
      <w:pPr>
        <w:spacing w:after="0" w:line="240" w:lineRule="auto"/>
        <w:ind w:left="720"/>
        <w:rPr>
          <w:rFonts w:ascii="Times New Roman" w:eastAsia="Calibri"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“Plan Financiero” significa una herramienta de planificación y monitoreo de los flujos de fondos del Proyecto, que se articula con otras herramientas de planificación de proyectos, inclu</w:t>
      </w:r>
      <w:r w:rsidR="00E42ACE">
        <w:rPr>
          <w:rFonts w:ascii="Times New Roman" w:eastAsia="Calibri" w:hAnsi="Times New Roman" w:cs="Times New Roman"/>
          <w:sz w:val="24"/>
          <w:szCs w:val="24"/>
          <w:lang w:val="es-ES_tradnl"/>
        </w:rPr>
        <w:t>yendo el Plan de Adquisiciones.</w:t>
      </w:r>
    </w:p>
    <w:p w:rsidR="00FF0D18" w:rsidRPr="00EF61C8" w:rsidRDefault="00FF0D18" w:rsidP="00FF0D18">
      <w:pPr>
        <w:tabs>
          <w:tab w:val="left" w:pos="0"/>
          <w:tab w:val="left" w:pos="1440"/>
          <w:tab w:val="left" w:pos="2040"/>
          <w:tab w:val="left" w:pos="252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“Plazo de Conversión” significa, para cualquier Conversión, con excepción de la Conversión de Productos Básicos, el período comprendido entre la Fecha de Conversión y el último día del período de interés en el cual la Conversión termina según sus términos. No obstante, para efectos del último pago de capital e intereses, el Plazo de Conversión termina en el día en que se pagan los intereses correspondien</w:t>
      </w:r>
      <w:r w:rsidR="00E42ACE">
        <w:rPr>
          <w:rFonts w:ascii="Times New Roman" w:eastAsia="Times New Roman" w:hAnsi="Times New Roman" w:cs="Times New Roman"/>
          <w:sz w:val="24"/>
          <w:szCs w:val="24"/>
          <w:lang w:val="es-ES_tradnl"/>
        </w:rPr>
        <w:t>tes a dicho período de interés.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“Plazo de Ejecución” significa el plazo en Días Hábiles durante el cual el Banco puede ejecutar una Conversión según sea determinado por el Prestatario en la Carta </w:t>
      </w:r>
      <w:r w:rsidRPr="00EF61C8">
        <w:rPr>
          <w:rFonts w:ascii="Times New Roman" w:eastAsia="Times New Roman" w:hAnsi="Times New Roman" w:cs="Times New Roman"/>
          <w:sz w:val="24"/>
          <w:szCs w:val="24"/>
          <w:lang w:val="es-ES_tradnl"/>
        </w:rPr>
        <w:lastRenderedPageBreak/>
        <w:t>Solicitud de Conversión. El Plazo de Ejecución comienza a contar desde el día en que la Carta Solicitud de Conversión es recibida por el Banco.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“Plazo Original de Desembolsos” significa el plazo originalmente previsto para los desembolsos del Préstamo, el cual se establece en las Estipulaciones Especiales.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BF64AF"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BF64AF">
        <w:rPr>
          <w:rFonts w:ascii="Times New Roman" w:eastAsia="Times New Roman" w:hAnsi="Times New Roman" w:cs="Times New Roman"/>
          <w:sz w:val="24"/>
          <w:szCs w:val="24"/>
          <w:lang w:val="es-ES_tradnl"/>
        </w:rPr>
        <w:t>“Políticas de Adquisiciones” significa las Políticas para la Adquisición de Bienes y Obras Financiados por el Banco Interamericano de Desarrollo vigentes al momento de la aprobación del Préstamo por el Banco.</w:t>
      </w:r>
    </w:p>
    <w:p w:rsidR="00FF0D18" w:rsidRPr="00EF61C8" w:rsidRDefault="00FF0D18" w:rsidP="00FF0D18">
      <w:pPr>
        <w:spacing w:after="0" w:line="240" w:lineRule="auto"/>
        <w:ind w:left="720"/>
        <w:rPr>
          <w:rFonts w:ascii="Times New Roman" w:eastAsia="Calibri" w:hAnsi="Times New Roman" w:cs="Times New Roman"/>
          <w:b/>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“Políticas de Consultores” significa las Políticas para la Selección y Contratación de Consultores Financiados por el Banco Interamericano de Desarrollo vigentes al momento de la aprobación del Préstamo por el Banco.</w:t>
      </w:r>
    </w:p>
    <w:p w:rsidR="00FF0D18" w:rsidRPr="00EF61C8" w:rsidRDefault="00FF0D18" w:rsidP="00FF0D18">
      <w:pPr>
        <w:spacing w:after="0" w:line="240" w:lineRule="auto"/>
        <w:ind w:left="720"/>
        <w:rPr>
          <w:rFonts w:ascii="Times New Roman" w:eastAsia="Calibri"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“Práctica Prohibida” significa las prácticas que el Banco prohíbe en relación con las actividades que éste financie, definidas por el Directorio o que se definan en el futuro y se informen al Prestatario, entre otras, práctica coercitiva, práctica colusoria, práctica corrupta, práctica frau</w:t>
      </w:r>
      <w:r w:rsidR="00E42ACE">
        <w:rPr>
          <w:rFonts w:ascii="Times New Roman" w:eastAsia="Times New Roman" w:hAnsi="Times New Roman" w:cs="Times New Roman"/>
          <w:sz w:val="24"/>
          <w:szCs w:val="24"/>
          <w:lang w:val="es-ES_tradnl"/>
        </w:rPr>
        <w:t>dulenta y práctica obstructiva.</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“Precio Especificado” significa el precio del producto básico subyacente según el Índice del Producto Básico Subyacente en la Fecha de Vencimiento de Conversión de Productos Básicos excepto que, para ciertos Tipos de Opciones, dicho precio será calculado sobre la base de una fórmula a ser determinada en la Carta Notificación de Conversión.</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“Precio de Ejercicio” significa, con respecto a una Conversión de Productos Básicos, el precio fijo al cual (i) el propietario de una Opción de Compra de Productos Básicos tiene el derecho de comprar, o (ii) el propietario de una Opción de Venta de Productos Básicos tiene el derecho de vender, el producto básico subyacente (liquidable en efectivo).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“Préstamo” tendrá el significado que se le asigna en las Estipulaciones Especiales de este Contrato.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“Prestatario” tendrá el significado que se le asigna en el preámbulo de las Estipulaciones Especiales de este Contrato.</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“Proyecto” o “Programa” significa el proyecto o programa que se identifica en las Estipulaciones Especiales y consiste en el conjunto de actividades con un objetivo de desarrollo a cuya financiación contribuyen los recursos del Préstamo.</w:t>
      </w:r>
    </w:p>
    <w:p w:rsidR="00FF0D18" w:rsidRPr="00EF61C8" w:rsidRDefault="00FF0D18" w:rsidP="00FF0D18">
      <w:pPr>
        <w:tabs>
          <w:tab w:val="left" w:pos="0"/>
          <w:tab w:val="left" w:pos="1440"/>
          <w:tab w:val="left" w:pos="2040"/>
          <w:tab w:val="left" w:pos="252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“Saldo Deudor” significa el monto que el Prestatario adeuda al Banco por concepto de la parte desembolsada del Préstamo. </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“Saldo Deudor Requerido” tendrá el significado que se le asigna en el Artículo 5.02(f) de estas Normas Generales.</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0"/>
          <w:lang w:val="es-ES_tradnl"/>
        </w:rPr>
        <w:lastRenderedPageBreak/>
        <w:t>“Semestre</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sz w:val="24"/>
          <w:szCs w:val="20"/>
          <w:lang w:val="es-ES_tradnl"/>
        </w:rPr>
        <w:t xml:space="preserve"> significa los primeros o los segundos seis (6) meses de un año calendario.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“Tasa Base de Interés” significa la tasa determinada por el Banco al momento de la ejecución de una Conversión, con excepción de la Conversión de Productos Básicos, en función de: (i) la moneda solicitada por el Prestatario; (ii) el tipo de tasa de interés solicitada por el Prestatario; (iii) el Cronograma de Amortización; (iv) las condiciones de mercado vigentes; y (v) uno de los siguientes, entre otros: (1) la Tasa de Interés LIBOR en Dólares a tres (3) meses, más un margen que refleje el costo estimado de captación de recursos en Dólares del Banco existente al momento del desembolso o de la Conversión; o (2) el costo efectivo de la captación del financiamiento del Banco utilizado como base para la Conversión; (3) el índice de tasa de interés correspondiente más un margen que refleje el costo estimado de captación de recursos en la moneda solicitada al momento del desembolso o de la Conversión; o (4) con respecto a los Saldos Deudores que han sido objeto de una Conversión previa, con excepción de la Conversión de Productos Básicos, la tasa de interés vigen</w:t>
      </w:r>
      <w:r w:rsidR="00E42ACE">
        <w:rPr>
          <w:rFonts w:ascii="Times New Roman" w:eastAsia="Times New Roman" w:hAnsi="Times New Roman" w:cs="Times New Roman"/>
          <w:sz w:val="24"/>
          <w:szCs w:val="24"/>
          <w:lang w:val="es-ES_tradnl"/>
        </w:rPr>
        <w:t>te para dichos Saldos Deudores.</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“Tasa de Interés Basada en LIBOR” significa la Tasa de Interés LIBOR más el Costo de Fondeo del Banco, determinada en una Fecha de Determinación de la Tasa de Interés Basada en LIBOR para cada Trimestre.</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“Tasa de Interés LIBOR”</w:t>
      </w:r>
      <w:r w:rsidRPr="00EF61C8">
        <w:rPr>
          <w:rFonts w:ascii="Times New Roman" w:eastAsia="Times New Roman" w:hAnsi="Times New Roman" w:cs="Times New Roman"/>
          <w:b/>
          <w:sz w:val="24"/>
          <w:szCs w:val="24"/>
          <w:vertAlign w:val="superscript"/>
          <w:lang w:val="es-ES_tradnl"/>
        </w:rPr>
        <w:t xml:space="preserve"> </w:t>
      </w:r>
      <w:r w:rsidRPr="00EF61C8">
        <w:rPr>
          <w:rFonts w:ascii="Times New Roman" w:eastAsia="Times New Roman" w:hAnsi="Times New Roman" w:cs="Times New Roman"/>
          <w:sz w:val="24"/>
          <w:szCs w:val="24"/>
          <w:lang w:val="es-ES_tradnl"/>
        </w:rPr>
        <w:t xml:space="preserve">significa la “USD-LIBOR-ICE”, que es la tasa administrada por </w:t>
      </w:r>
      <w:r w:rsidRPr="00EF61C8">
        <w:rPr>
          <w:rFonts w:ascii="Times New Roman" w:eastAsia="Times New Roman" w:hAnsi="Times New Roman" w:cs="Times New Roman"/>
          <w:i/>
          <w:sz w:val="24"/>
          <w:szCs w:val="24"/>
          <w:lang w:val="es-ES_tradnl"/>
        </w:rPr>
        <w:t>ICE Benchmark Administration</w:t>
      </w:r>
      <w:r w:rsidRPr="00EF61C8">
        <w:rPr>
          <w:rFonts w:ascii="Times New Roman" w:eastAsia="Times New Roman" w:hAnsi="Times New Roman" w:cs="Times New Roman"/>
          <w:sz w:val="24"/>
          <w:szCs w:val="24"/>
          <w:lang w:val="es-ES_tradnl"/>
        </w:rPr>
        <w:t xml:space="preserve"> (o cualquier otra entidad que la reemplace en la administración de la referida tasa) aplicable a depósitos en Dólares a un plazo de tres (3) meses que figura en la página correspondiente de las páginas </w:t>
      </w:r>
      <w:r w:rsidRPr="00EF61C8">
        <w:rPr>
          <w:rFonts w:ascii="Times New Roman" w:eastAsia="Times New Roman" w:hAnsi="Times New Roman" w:cs="Times New Roman"/>
          <w:i/>
          <w:sz w:val="24"/>
          <w:szCs w:val="24"/>
          <w:lang w:val="es-ES_tradnl"/>
        </w:rPr>
        <w:t>Bloomberg Financial Markets Service</w:t>
      </w:r>
      <w:r w:rsidRPr="00EF61C8">
        <w:rPr>
          <w:rFonts w:ascii="Times New Roman" w:eastAsia="Times New Roman" w:hAnsi="Times New Roman" w:cs="Times New Roman"/>
          <w:sz w:val="24"/>
          <w:szCs w:val="24"/>
          <w:lang w:val="es-ES_tradnl"/>
        </w:rPr>
        <w:t xml:space="preserve"> o </w:t>
      </w:r>
      <w:r w:rsidRPr="00EF61C8">
        <w:rPr>
          <w:rFonts w:ascii="Times New Roman" w:eastAsia="Times New Roman" w:hAnsi="Times New Roman" w:cs="Times New Roman"/>
          <w:i/>
          <w:sz w:val="24"/>
          <w:szCs w:val="24"/>
          <w:lang w:val="es-ES_tradnl"/>
        </w:rPr>
        <w:t>Reuters Service</w:t>
      </w:r>
      <w:r w:rsidRPr="00EF61C8">
        <w:rPr>
          <w:rFonts w:ascii="Times New Roman" w:eastAsia="Times New Roman" w:hAnsi="Times New Roman" w:cs="Times New Roman"/>
          <w:sz w:val="24"/>
          <w:szCs w:val="24"/>
          <w:lang w:val="es-ES_tradnl"/>
        </w:rPr>
        <w:t xml:space="preserve">, o, de no estar disponibles, en la página correspondiente de cualquier otro servicio seleccionado por el Banco en que figure dicha tasa, a las 11:00 a.m., hora de Londres, en una fecha que es dos (2) Días Bancarios Londinenses antes de la Fecha de Determinación de la Tasa de Interés Basada en LIBOR para cada Trimestre. Si dicha Tasa de Interés LIBOR no apareciera en la página correspondiente, la Tasa de Interés LIBOR correspondiente a esa Fecha de Determinación de la Tasa de Interés Basada en LIBOR para cada Trimestre será determinada como si las partes hubiesen especificado “USD-LIBOR-Bancos Referenciales” como la Tasa de Interés LIBOR aplicable. Para estos efectos, “USD-LIBOR-Bancos Referenciales” significa que la Tasa de Interés LIBOR correspondiente a una Fecha de Determinación de la Tasa de Interés Basada en LIBOR para cada Trimestre será determinada en función de las tasas a las que los Bancos Referenciales estén ofreciendo los depósitos en Dólares a los bancos de primer orden en el mercado interbancario de Londres aproximadamente a las 11:00 a.m., hora de Londres, en una fecha que es dos (2) Días Bancarios Londinenses antes de la Fecha de Determinación de la Tasa de Interés Basada en LIBOR para cada Trimestre, a un plazo de (3) meses, comenzando en la Fecha de Determinación de la Tasa de Interés Basada en LIBOR para cada Trimestre y en un Monto Representativo. El Agente o Agentes de Cálculo utilizado(s) por el Banco solicitará(n) una cotización de la Tasa de Interés LIBOR a la oficina principal en Londres de cada uno de los Bancos Referenciales. Si se obtiene un mínimo de dos (2) cotizaciones, la Tasa de Interés LIBOR correspondiente a esa Fecha de Determinación de la Tasa de Interés </w:t>
      </w:r>
      <w:r w:rsidRPr="00EF61C8">
        <w:rPr>
          <w:rFonts w:ascii="Times New Roman" w:eastAsia="Times New Roman" w:hAnsi="Times New Roman" w:cs="Times New Roman"/>
          <w:sz w:val="24"/>
          <w:szCs w:val="24"/>
          <w:lang w:val="es-ES_tradnl"/>
        </w:rPr>
        <w:lastRenderedPageBreak/>
        <w:t>Basada en LIBOR para cada Trimestre será la media aritmética de las cotizaciones. De obtenerse menos de dos (2) cotizaciones según lo solicitado, la Tasa de Interés LIBOR correspondiente a esa Fecha de Determinación de la Tasa de Interés Basada en LIBOR para cada Trimestre será la media aritmética de las tasas cotizadas por los principales bancos en la ciudad de Nueva York, escogidos por el Agente o Agentes de Cálculo utilizado(s) por el Banco, aproximadamente a las 11:00 a.m., hora de Nueva York, aplicable a préstamos en Dólares concedidos a los principales bancos europeos, a un plazo de tres (3) meses, comenzando en la Fecha de Determinación de la Tasa de Interés Basada en LIBOR para cada Trimestre y en un Monto Representativo. Si el Banco obtiene la Tasa de Interés LIBOR de más de un Agente de Cálculo, como resultado del procedimiento descrito anteriormente, el Banco determinará a su sola discreción, la Tasa de Interés LIBOR aplicable en una Fecha de Determinación de la Tasa de Interés Basada en LIBOR para cada Trimestre, con fundamento en las tasas de interés proporcionadas por los Agentes de Cálculo. Para los propósitos de esta disposición, si la Fecha de Determinación de la Tasa de Interés Basada en LIBOR para cada Trimestre no es un día bancario en la ciudad de Nueva York, se utilizarán las Tasas de Interés LIBOR cotizadas en el primer día bancario en Nueva York inmediat</w:t>
      </w:r>
      <w:r w:rsidR="00E42ACE">
        <w:rPr>
          <w:rFonts w:ascii="Times New Roman" w:eastAsia="Times New Roman" w:hAnsi="Times New Roman" w:cs="Times New Roman"/>
          <w:sz w:val="24"/>
          <w:szCs w:val="24"/>
          <w:lang w:val="es-ES_tradnl"/>
        </w:rPr>
        <w:t>amente siguiente.</w:t>
      </w:r>
    </w:p>
    <w:p w:rsidR="00FF0D18" w:rsidRPr="00EF61C8" w:rsidRDefault="00FF0D18" w:rsidP="00FF0D18">
      <w:pPr>
        <w:tabs>
          <w:tab w:val="left" w:pos="-1440"/>
          <w:tab w:val="left" w:pos="-720"/>
          <w:tab w:val="left" w:pos="1350"/>
          <w:tab w:val="left" w:pos="2160"/>
        </w:tabs>
        <w:suppressAutoHyphens/>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“Tipo de Cambio de Valuación” es igual a la cantidad de unidades de Moneda Convertida por un Dólar, aplicable a cada Fecha de Valuación de Pago, de acuerdo con la fuente que se establezca en la Carta Notificación de Conversión.</w:t>
      </w:r>
    </w:p>
    <w:p w:rsidR="00FF0D18" w:rsidRPr="00EF61C8" w:rsidRDefault="00FF0D18" w:rsidP="00FF0D18">
      <w:p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“Tipo de Opción” significa el tipo de Opción de Productos Básicos en relación con el cual el Banco puede, sujeto a la disponibilidad en el mercado y a consideraciones operativas y de manejo de riesgo, ejecutar una Conversión de Productos Básicos incluidas, entre otras, las opciones europea, asiática con media aritmética y precio de ejercicio fijo, y binaria.</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significa el establecimiento de un límite superior para una tasa variable de interés. </w:t>
      </w:r>
    </w:p>
    <w:p w:rsidR="00FF0D18" w:rsidRPr="00EF61C8" w:rsidRDefault="00FF0D18" w:rsidP="00FF0D18">
      <w:pPr>
        <w:tabs>
          <w:tab w:val="left" w:pos="-1440"/>
          <w:tab w:val="left" w:pos="-720"/>
          <w:tab w:val="left" w:pos="1350"/>
          <w:tab w:val="left" w:pos="216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“Trimestre” significa cada uno de los siguientes períodos de tres (3) meses del año calendario: el período que comienza el 1 de enero y termina el 31 de marzo; el período que comienza el 1 de abril y termina el 30 de junio; el período que comienza el 1 de julio y termina el 30 de septiembre; y el período que comienza el 1 de octubre y termina el 31 de diciembre.</w:t>
      </w:r>
    </w:p>
    <w:p w:rsidR="00FF0D18" w:rsidRPr="00EF61C8" w:rsidRDefault="00FF0D18" w:rsidP="00FF0D18">
      <w:pPr>
        <w:tabs>
          <w:tab w:val="left" w:pos="-1440"/>
          <w:tab w:val="left" w:pos="-720"/>
          <w:tab w:val="left" w:pos="720"/>
          <w:tab w:val="left" w:pos="2160"/>
        </w:tabs>
        <w:autoSpaceDE w:val="0"/>
        <w:autoSpaceDN w:val="0"/>
        <w:adjustRightInd w:val="0"/>
        <w:spacing w:after="0" w:line="240" w:lineRule="auto"/>
        <w:ind w:left="720"/>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“VPP” significa vida promedio ponderada, ya sea la VPP Original o la que resulte de una modificación del Cronograma de Amortización, como resultado de una Conversión o no. La VPP se calcula en años (utilizando dos decimales), sobre la base del Cronograma de Amortización de todos los tramos y se define como la división entre (i) y (ii) siendo:</w:t>
      </w:r>
    </w:p>
    <w:p w:rsidR="00FF0D18" w:rsidRPr="00EF61C8" w:rsidRDefault="00FF0D18" w:rsidP="00FF0D18">
      <w:pPr>
        <w:tabs>
          <w:tab w:val="left" w:pos="-1440"/>
          <w:tab w:val="left" w:pos="-720"/>
          <w:tab w:val="left" w:pos="720"/>
          <w:tab w:val="left" w:pos="1440"/>
          <w:tab w:val="left" w:pos="2160"/>
          <w:tab w:val="left" w:pos="2640"/>
        </w:tabs>
        <w:spacing w:before="120" w:after="12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t>(i)</w:t>
      </w:r>
      <w:r w:rsidRPr="00EF61C8">
        <w:rPr>
          <w:rFonts w:ascii="Times New Roman" w:eastAsia="Times New Roman" w:hAnsi="Times New Roman" w:cs="Times New Roman"/>
          <w:sz w:val="24"/>
          <w:szCs w:val="24"/>
          <w:lang w:val="es-ES_tradnl"/>
        </w:rPr>
        <w:tab/>
        <w:t xml:space="preserve">la </w:t>
      </w:r>
      <w:r w:rsidRPr="00EF61C8">
        <w:rPr>
          <w:rFonts w:ascii="Times New Roman" w:eastAsia="Times New Roman" w:hAnsi="Times New Roman" w:cs="Times New Roman"/>
          <w:i/>
          <w:sz w:val="24"/>
          <w:szCs w:val="24"/>
          <w:lang w:val="es-ES_tradnl"/>
        </w:rPr>
        <w:t>sumatoria</w:t>
      </w:r>
      <w:r w:rsidRPr="00EF61C8">
        <w:rPr>
          <w:rFonts w:ascii="Times New Roman" w:eastAsia="Times New Roman" w:hAnsi="Times New Roman" w:cs="Times New Roman"/>
          <w:sz w:val="24"/>
          <w:szCs w:val="24"/>
          <w:lang w:val="es-ES_tradnl"/>
        </w:rPr>
        <w:t xml:space="preserve"> de los productos de (A) y (B), definidos como:</w:t>
      </w:r>
    </w:p>
    <w:p w:rsidR="00FF0D18" w:rsidRPr="00EF61C8" w:rsidRDefault="00FF0D18" w:rsidP="00FF0D18">
      <w:pPr>
        <w:numPr>
          <w:ilvl w:val="0"/>
          <w:numId w:val="10"/>
        </w:numPr>
        <w:tabs>
          <w:tab w:val="left" w:pos="-1440"/>
          <w:tab w:val="left" w:pos="-720"/>
          <w:tab w:val="left" w:pos="600"/>
          <w:tab w:val="left" w:pos="1440"/>
          <w:tab w:val="left" w:pos="2160"/>
        </w:tabs>
        <w:autoSpaceDE w:val="0"/>
        <w:autoSpaceDN w:val="0"/>
        <w:adjustRightInd w:val="0"/>
        <w:spacing w:before="120" w:after="12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el monto de cada pago de amo</w:t>
      </w:r>
      <w:r w:rsidR="00E42ACE">
        <w:rPr>
          <w:rFonts w:ascii="Times New Roman" w:eastAsia="Times New Roman" w:hAnsi="Times New Roman" w:cs="Times New Roman"/>
          <w:sz w:val="24"/>
          <w:szCs w:val="24"/>
          <w:lang w:val="es-ES_tradnl"/>
        </w:rPr>
        <w:t>rtización;</w:t>
      </w:r>
    </w:p>
    <w:p w:rsidR="00FF0D18" w:rsidRPr="00EF61C8" w:rsidRDefault="00FF0D18" w:rsidP="00FF0D18">
      <w:pPr>
        <w:numPr>
          <w:ilvl w:val="0"/>
          <w:numId w:val="10"/>
        </w:numPr>
        <w:tabs>
          <w:tab w:val="left" w:pos="-1440"/>
          <w:tab w:val="left" w:pos="-720"/>
          <w:tab w:val="left" w:pos="600"/>
          <w:tab w:val="left" w:pos="1440"/>
          <w:tab w:val="left" w:pos="2160"/>
        </w:tabs>
        <w:autoSpaceDE w:val="0"/>
        <w:autoSpaceDN w:val="0"/>
        <w:adjustRightInd w:val="0"/>
        <w:spacing w:before="120" w:after="12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 xml:space="preserve">la diferencia en el número de días entre la fecha de pago de amortización y la fecha de suscripción de este Contrato, dividido por 365 días; </w:t>
      </w:r>
    </w:p>
    <w:p w:rsidR="00FF0D18" w:rsidRPr="00EF61C8" w:rsidRDefault="00FF0D18" w:rsidP="00FF0D18">
      <w:pPr>
        <w:tabs>
          <w:tab w:val="left" w:pos="-1440"/>
          <w:tab w:val="left" w:pos="-720"/>
          <w:tab w:val="left" w:pos="600"/>
          <w:tab w:val="left" w:pos="2160"/>
        </w:tabs>
        <w:spacing w:before="120" w:after="120" w:line="240" w:lineRule="auto"/>
        <w:ind w:left="2880" w:hanging="2880"/>
        <w:jc w:val="both"/>
        <w:rPr>
          <w:rFonts w:ascii="Times New Roman" w:eastAsia="Times New Roman" w:hAnsi="Times New Roman" w:cs="Times New Roman"/>
          <w:i/>
          <w:sz w:val="24"/>
          <w:szCs w:val="24"/>
          <w:lang w:val="es-ES_tradnl"/>
        </w:rPr>
      </w:pP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i/>
          <w:sz w:val="24"/>
          <w:szCs w:val="24"/>
          <w:lang w:val="es-ES_tradnl"/>
        </w:rPr>
        <w:t>y</w:t>
      </w:r>
    </w:p>
    <w:p w:rsidR="00FF0D18" w:rsidRPr="00EF61C8" w:rsidRDefault="00FF0D18" w:rsidP="00FF0D18">
      <w:pPr>
        <w:tabs>
          <w:tab w:val="left" w:pos="-1440"/>
          <w:tab w:val="left" w:pos="-720"/>
          <w:tab w:val="left" w:pos="600"/>
          <w:tab w:val="left" w:pos="1440"/>
          <w:tab w:val="left" w:pos="2160"/>
          <w:tab w:val="left" w:pos="2880"/>
        </w:tabs>
        <w:spacing w:before="120" w:after="12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t>(ii)</w:t>
      </w:r>
      <w:r w:rsidRPr="00EF61C8">
        <w:rPr>
          <w:rFonts w:ascii="Times New Roman" w:eastAsia="Times New Roman" w:hAnsi="Times New Roman" w:cs="Times New Roman"/>
          <w:sz w:val="24"/>
          <w:szCs w:val="24"/>
          <w:lang w:val="es-ES_tradnl"/>
        </w:rPr>
        <w:tab/>
        <w:t xml:space="preserve">la suma de los pagos de amortización. </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t>La fórmula a aplicar es la siguiente:</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600"/>
          <w:tab w:val="left" w:pos="1200"/>
          <w:tab w:val="left" w:pos="2040"/>
          <w:tab w:val="left" w:pos="2640"/>
        </w:tabs>
        <w:spacing w:before="120" w:after="120" w:line="240" w:lineRule="auto"/>
        <w:jc w:val="center"/>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position w:val="-34"/>
          <w:sz w:val="24"/>
          <w:szCs w:val="24"/>
          <w:lang w:val="es-ES_tradnl"/>
        </w:rPr>
        <w:object w:dxaOrig="384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4pt;height:64.5pt" o:ole="">
            <v:imagedata r:id="rId28" o:title=""/>
          </v:shape>
          <o:OLEObject Type="Embed" ProgID="Equation.3" ShapeID="_x0000_i1025" DrawAspect="Content" ObjectID="_1649578123" r:id="rId29"/>
        </w:object>
      </w:r>
    </w:p>
    <w:p w:rsidR="00FF0D18" w:rsidRPr="00EF61C8" w:rsidRDefault="00FF0D18" w:rsidP="00FF0D18">
      <w:pPr>
        <w:tabs>
          <w:tab w:val="left" w:pos="-1440"/>
          <w:tab w:val="left" w:pos="-720"/>
          <w:tab w:val="left" w:pos="600"/>
          <w:tab w:val="left" w:pos="1200"/>
          <w:tab w:val="left" w:pos="2160"/>
          <w:tab w:val="left" w:pos="2640"/>
        </w:tabs>
        <w:spacing w:before="120" w:after="120" w:line="240" w:lineRule="auto"/>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sz w:val="24"/>
          <w:szCs w:val="24"/>
          <w:lang w:val="es-ES_tradnl"/>
        </w:rPr>
        <w:tab/>
        <w:t>donde:</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VPP</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ab/>
        <w:t>es la vida promedio ponderada de todos los tramos del Préstamo, expresada en años.</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m</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ab/>
        <w:t>es el número total de los tramos del Préstamo.</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n</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ab/>
        <w:t>es el número total de pagos de amortización para cada tramo del Préstamo.</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A</w:t>
      </w:r>
      <w:r w:rsidRPr="00EF61C8">
        <w:rPr>
          <w:rFonts w:ascii="Times New Roman" w:eastAsia="Times New Roman" w:hAnsi="Times New Roman" w:cs="Times New Roman"/>
          <w:i/>
          <w:sz w:val="24"/>
          <w:szCs w:val="24"/>
          <w:vertAlign w:val="subscript"/>
          <w:lang w:val="es-ES_tradnl"/>
        </w:rPr>
        <w:t>i,j</w:t>
      </w:r>
      <w:r w:rsidRPr="00EF61C8">
        <w:rPr>
          <w:rFonts w:ascii="Times New Roman" w:eastAsia="Times New Roman" w:hAnsi="Times New Roman" w:cs="Times New Roman"/>
          <w:sz w:val="24"/>
          <w:szCs w:val="24"/>
          <w:lang w:val="es-ES_tradnl"/>
        </w:rPr>
        <w:tab/>
        <w:t xml:space="preserve">es el monto de la amortización referente al pago </w:t>
      </w:r>
      <w:r w:rsidRPr="00EF61C8">
        <w:rPr>
          <w:rFonts w:ascii="Times New Roman" w:eastAsia="Times New Roman" w:hAnsi="Times New Roman" w:cs="Times New Roman"/>
          <w:i/>
          <w:sz w:val="24"/>
          <w:szCs w:val="24"/>
          <w:lang w:val="es-ES_tradnl"/>
        </w:rPr>
        <w:t>i</w:t>
      </w:r>
      <w:r w:rsidRPr="00EF61C8">
        <w:rPr>
          <w:rFonts w:ascii="Times New Roman" w:eastAsia="Times New Roman" w:hAnsi="Times New Roman" w:cs="Times New Roman"/>
          <w:sz w:val="24"/>
          <w:szCs w:val="24"/>
          <w:lang w:val="es-ES_tradnl"/>
        </w:rPr>
        <w:t xml:space="preserve"> del tramo </w:t>
      </w:r>
      <w:r w:rsidRPr="00EF61C8">
        <w:rPr>
          <w:rFonts w:ascii="Times New Roman" w:eastAsia="Times New Roman" w:hAnsi="Times New Roman" w:cs="Times New Roman"/>
          <w:i/>
          <w:sz w:val="24"/>
          <w:szCs w:val="24"/>
          <w:lang w:val="es-ES_tradnl"/>
        </w:rPr>
        <w:t>j</w:t>
      </w:r>
      <w:r w:rsidRPr="00EF61C8">
        <w:rPr>
          <w:rFonts w:ascii="Times New Roman" w:eastAsia="Times New Roman" w:hAnsi="Times New Roman" w:cs="Times New Roman"/>
          <w:sz w:val="24"/>
          <w:szCs w:val="24"/>
          <w:lang w:val="es-ES_tradnl"/>
        </w:rPr>
        <w:t>, calculado en Dólares, o en el caso de una Conversión, en el equivalente en Dólares, a la tasa de cambio determinada por el Agente de Cálculo para la fecha de modificación del Cronograma de Amortización.</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FP</w:t>
      </w:r>
      <w:r w:rsidRPr="00EF61C8">
        <w:rPr>
          <w:rFonts w:ascii="Times New Roman" w:eastAsia="Times New Roman" w:hAnsi="Times New Roman" w:cs="Times New Roman"/>
          <w:i/>
          <w:sz w:val="24"/>
          <w:szCs w:val="24"/>
          <w:vertAlign w:val="subscript"/>
          <w:lang w:val="es-ES_tradnl"/>
        </w:rPr>
        <w:t>i,j</w:t>
      </w:r>
      <w:r w:rsidRPr="00EF61C8">
        <w:rPr>
          <w:rFonts w:ascii="Times New Roman" w:eastAsia="Times New Roman" w:hAnsi="Times New Roman" w:cs="Times New Roman"/>
          <w:sz w:val="24"/>
          <w:szCs w:val="24"/>
          <w:lang w:val="es-ES_tradnl"/>
        </w:rPr>
        <w:tab/>
        <w:t xml:space="preserve">es la fecha de pago referente al pago </w:t>
      </w:r>
      <w:r w:rsidRPr="00EF61C8">
        <w:rPr>
          <w:rFonts w:ascii="Times New Roman" w:eastAsia="Times New Roman" w:hAnsi="Times New Roman" w:cs="Times New Roman"/>
          <w:i/>
          <w:sz w:val="24"/>
          <w:szCs w:val="24"/>
          <w:lang w:val="es-ES_tradnl"/>
        </w:rPr>
        <w:t>i</w:t>
      </w:r>
      <w:r w:rsidRPr="00EF61C8">
        <w:rPr>
          <w:rFonts w:ascii="Times New Roman" w:eastAsia="Times New Roman" w:hAnsi="Times New Roman" w:cs="Times New Roman"/>
          <w:sz w:val="24"/>
          <w:szCs w:val="24"/>
          <w:lang w:val="es-ES_tradnl"/>
        </w:rPr>
        <w:t xml:space="preserve"> del tramo </w:t>
      </w:r>
      <w:r w:rsidRPr="00EF61C8">
        <w:rPr>
          <w:rFonts w:ascii="Times New Roman" w:eastAsia="Times New Roman" w:hAnsi="Times New Roman" w:cs="Times New Roman"/>
          <w:i/>
          <w:sz w:val="24"/>
          <w:szCs w:val="24"/>
          <w:lang w:val="es-ES_tradnl"/>
        </w:rPr>
        <w:t>j</w:t>
      </w:r>
      <w:r w:rsidRPr="00EF61C8">
        <w:rPr>
          <w:rFonts w:ascii="Times New Roman" w:eastAsia="Times New Roman" w:hAnsi="Times New Roman" w:cs="Times New Roman"/>
          <w:sz w:val="24"/>
          <w:szCs w:val="24"/>
          <w:lang w:val="es-ES_tradnl"/>
        </w:rPr>
        <w:t>.</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FS</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ab/>
        <w:t>es la fecha de suscripción de este Contrato.</w:t>
      </w:r>
    </w:p>
    <w:p w:rsidR="00FF0D18" w:rsidRPr="00EF61C8" w:rsidRDefault="00FF0D18" w:rsidP="00FF0D18">
      <w:pPr>
        <w:tabs>
          <w:tab w:val="left" w:pos="-1440"/>
          <w:tab w:val="left" w:pos="-720"/>
          <w:tab w:val="left" w:pos="600"/>
          <w:tab w:val="left" w:pos="1200"/>
          <w:tab w:val="left" w:pos="2160"/>
          <w:tab w:val="left" w:pos="2880"/>
        </w:tabs>
        <w:spacing w:before="120" w:after="120" w:line="240" w:lineRule="auto"/>
        <w:ind w:left="288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i/>
          <w:sz w:val="24"/>
          <w:szCs w:val="24"/>
          <w:lang w:val="es-ES_tradnl"/>
        </w:rPr>
        <w:t>AT</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ab/>
        <w:t xml:space="preserve">es la suma de todos los </w:t>
      </w:r>
      <w:r w:rsidRPr="00EF61C8">
        <w:rPr>
          <w:rFonts w:ascii="Times New Roman" w:eastAsia="Times New Roman" w:hAnsi="Times New Roman" w:cs="Times New Roman"/>
          <w:i/>
          <w:sz w:val="24"/>
          <w:szCs w:val="24"/>
          <w:lang w:val="es-ES_tradnl"/>
        </w:rPr>
        <w:t>A</w:t>
      </w:r>
      <w:r w:rsidRPr="00EF61C8">
        <w:rPr>
          <w:rFonts w:ascii="Times New Roman" w:eastAsia="Times New Roman" w:hAnsi="Times New Roman" w:cs="Times New Roman"/>
          <w:i/>
          <w:sz w:val="24"/>
          <w:szCs w:val="24"/>
          <w:vertAlign w:val="subscript"/>
          <w:lang w:val="es-ES_tradnl"/>
        </w:rPr>
        <w:t>i,j</w:t>
      </w:r>
      <w:r w:rsidRPr="00EF61C8">
        <w:rPr>
          <w:rFonts w:ascii="Times New Roman" w:eastAsia="Times New Roman" w:hAnsi="Times New Roman" w:cs="Times New Roman"/>
          <w:sz w:val="24"/>
          <w:szCs w:val="24"/>
          <w:lang w:val="es-ES_tradnl"/>
        </w:rPr>
        <w:t xml:space="preserve"> , calculada en Dólares, o en el caso de una Conversión, en el equivalente en Dólares, a la fecha del cálculo a la tasa de cambio determinada por el Agente de Cálculo.</w:t>
      </w:r>
      <w:r w:rsidRPr="00EF61C8">
        <w:rPr>
          <w:rFonts w:ascii="Times New Roman" w:eastAsia="Times New Roman" w:hAnsi="Times New Roman" w:cs="Times New Roman"/>
          <w:sz w:val="24"/>
          <w:szCs w:val="24"/>
          <w:vertAlign w:val="superscript"/>
          <w:lang w:val="es-ES_tradnl"/>
        </w:rPr>
        <w:t xml:space="preserve"> </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3"/>
          <w:numId w:val="35"/>
        </w:numPr>
        <w:tabs>
          <w:tab w:val="left" w:pos="-1440"/>
          <w:tab w:val="left" w:pos="-720"/>
          <w:tab w:val="left" w:pos="720"/>
          <w:tab w:val="num" w:pos="1440"/>
          <w:tab w:val="left" w:pos="2160"/>
        </w:tabs>
        <w:autoSpaceDE w:val="0"/>
        <w:autoSpaceDN w:val="0"/>
        <w:adjustRightInd w:val="0"/>
        <w:spacing w:after="0" w:line="240" w:lineRule="auto"/>
        <w:ind w:left="72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“VPP Original” significa la VPP del Préstamo vigente en la fecha de suscripción de este Contrato y establecida en</w:t>
      </w:r>
      <w:r w:rsidR="00E42ACE">
        <w:rPr>
          <w:rFonts w:ascii="Times New Roman" w:eastAsia="Times New Roman" w:hAnsi="Times New Roman" w:cs="Times New Roman"/>
          <w:sz w:val="24"/>
          <w:szCs w:val="24"/>
          <w:lang w:val="es-ES_tradnl"/>
        </w:rPr>
        <w:t xml:space="preserve"> las Estipulaciones Especiales.</w:t>
      </w:r>
    </w:p>
    <w:p w:rsidR="00FF0D18" w:rsidRPr="00EF61C8" w:rsidRDefault="00FF0D18" w:rsidP="00FF0D18">
      <w:pPr>
        <w:keepNext/>
        <w:spacing w:after="0" w:line="240" w:lineRule="auto"/>
        <w:jc w:val="center"/>
        <w:outlineLvl w:val="1"/>
        <w:rPr>
          <w:rFonts w:ascii="Times New Roman" w:eastAsia="Times New Roman" w:hAnsi="Times New Roman" w:cs="Times New Roman"/>
          <w:b/>
          <w:sz w:val="24"/>
          <w:szCs w:val="24"/>
          <w:lang w:val="es-ES_tradnl"/>
        </w:rPr>
      </w:pPr>
    </w:p>
    <w:p w:rsidR="00FF0D18" w:rsidRPr="00EF61C8" w:rsidRDefault="00FF0D18" w:rsidP="00FF0D18">
      <w:pPr>
        <w:keepNext/>
        <w:spacing w:after="0" w:line="240" w:lineRule="auto"/>
        <w:jc w:val="center"/>
        <w:outlineLvl w:val="1"/>
        <w:rPr>
          <w:rFonts w:ascii="Times New Roman" w:eastAsia="Times New Roman" w:hAnsi="Times New Roman" w:cs="Times New Roman"/>
          <w:b/>
          <w:sz w:val="24"/>
          <w:szCs w:val="24"/>
          <w:lang w:val="es-ES_tradnl"/>
        </w:rPr>
      </w:pPr>
    </w:p>
    <w:p w:rsidR="00FF0D18" w:rsidRPr="00EF61C8" w:rsidRDefault="00FF0D18" w:rsidP="00FF0D18">
      <w:pPr>
        <w:keepNext/>
        <w:tabs>
          <w:tab w:val="left" w:pos="-1440"/>
          <w:tab w:val="left" w:pos="-720"/>
          <w:tab w:val="left" w:pos="720"/>
          <w:tab w:val="left" w:pos="1320"/>
          <w:tab w:val="left" w:pos="2160"/>
        </w:tabs>
        <w:spacing w:after="0" w:line="240" w:lineRule="auto"/>
        <w:jc w:val="center"/>
        <w:outlineLvl w:val="2"/>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III</w:t>
      </w:r>
    </w:p>
    <w:p w:rsidR="00FF0D18" w:rsidRPr="00EF61C8" w:rsidRDefault="00FF0D18" w:rsidP="00FF0D18">
      <w:pPr>
        <w:keepNext/>
        <w:tabs>
          <w:tab w:val="left" w:pos="-1440"/>
          <w:tab w:val="left" w:pos="-720"/>
          <w:tab w:val="left" w:pos="720"/>
          <w:tab w:val="left" w:pos="1320"/>
          <w:tab w:val="left" w:pos="2160"/>
        </w:tabs>
        <w:spacing w:after="0" w:line="240"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Amortización, intereses, comisión de crédito,</w:t>
      </w:r>
    </w:p>
    <w:p w:rsidR="00FF0D18" w:rsidRPr="00EF61C8" w:rsidRDefault="00FF0D18" w:rsidP="00FF0D18">
      <w:pPr>
        <w:keepNext/>
        <w:tabs>
          <w:tab w:val="left" w:pos="-1440"/>
          <w:tab w:val="left" w:pos="-720"/>
          <w:tab w:val="left" w:pos="720"/>
          <w:tab w:val="left" w:pos="1320"/>
          <w:tab w:val="left" w:pos="2160"/>
        </w:tabs>
        <w:spacing w:after="0" w:line="240"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inspección y vigilancia y pagos anticipados</w:t>
      </w:r>
    </w:p>
    <w:p w:rsidR="00FF0D18" w:rsidRPr="00EF61C8" w:rsidRDefault="00FF0D18" w:rsidP="00FF0D18">
      <w:pPr>
        <w:spacing w:after="0" w:line="240" w:lineRule="auto"/>
        <w:rPr>
          <w:rFonts w:ascii="Times New Roman" w:eastAsia="Times New Roman" w:hAnsi="Times New Roman" w:cs="Times New Roman"/>
          <w:b/>
          <w:sz w:val="24"/>
          <w:szCs w:val="24"/>
          <w:lang w:val="es-ES_tradnl"/>
        </w:rPr>
      </w:pPr>
    </w:p>
    <w:p w:rsidR="00FF0D18" w:rsidRPr="00EF61C8" w:rsidRDefault="00FF0D18" w:rsidP="00FF0D18">
      <w:pPr>
        <w:widowControl w:val="0"/>
        <w:tabs>
          <w:tab w:val="left" w:pos="600"/>
          <w:tab w:val="left" w:pos="1200"/>
          <w:tab w:val="left" w:pos="2160"/>
          <w:tab w:val="left" w:pos="2520"/>
        </w:tabs>
        <w:suppressAutoHyphens/>
        <w:spacing w:after="0" w:line="240" w:lineRule="auto"/>
        <w:jc w:val="both"/>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ARTÍCULO 3.01.</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u w:val="single"/>
          <w:lang w:val="es-ES_tradnl"/>
        </w:rPr>
        <w:t>Fechas de pago de amortización, intereses, comisión de crédito y otros costos</w:t>
      </w:r>
      <w:r w:rsidRPr="00EF61C8">
        <w:rPr>
          <w:rFonts w:ascii="Times New Roman" w:eastAsia="Times New Roman" w:hAnsi="Times New Roman" w:cs="Times New Roman"/>
          <w:sz w:val="24"/>
          <w:szCs w:val="24"/>
          <w:lang w:val="es-ES_tradnl"/>
        </w:rPr>
        <w:t xml:space="preserve">. El Préstamo será amortizado de acuerdo con el Cronograma de Amortización. Los intereses y las cuotas de amortización se pagarán el día 15 del mes, de acuerdo con lo </w:t>
      </w:r>
      <w:r w:rsidRPr="00EF61C8">
        <w:rPr>
          <w:rFonts w:ascii="Times New Roman" w:eastAsia="Times New Roman" w:hAnsi="Times New Roman" w:cs="Times New Roman"/>
          <w:sz w:val="24"/>
          <w:szCs w:val="24"/>
          <w:lang w:val="es-ES_tradnl"/>
        </w:rPr>
        <w:lastRenderedPageBreak/>
        <w:t>establecido en las Estipulaciones Especiales, en una Carta Notificación de Modificación de Cronograma de Amortización o en una Carta Notificación de Conversión, según sea el caso. Las fechas de pagos de amortización, comisión de crédito y otros costos coincidirán siempre con una fecha de pago de intereses.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bookmarkStart w:id="31" w:name="cronograma"/>
      <w:r w:rsidRPr="00EF61C8">
        <w:rPr>
          <w:rFonts w:ascii="Times New Roman" w:eastAsia="Times New Roman" w:hAnsi="Times New Roman" w:cs="Times New Roman"/>
          <w:b/>
          <w:sz w:val="24"/>
          <w:szCs w:val="24"/>
          <w:lang w:val="es-ES_tradnl"/>
        </w:rPr>
        <w:t>ARTÍCULO 3.02</w:t>
      </w:r>
      <w:bookmarkEnd w:id="31"/>
      <w:r w:rsidRPr="00EF61C8">
        <w:rPr>
          <w:rFonts w:ascii="Times New Roman" w:eastAsia="Times New Roman" w:hAnsi="Times New Roman" w:cs="Times New Roman"/>
          <w:b/>
          <w:sz w:val="24"/>
          <w:szCs w:val="24"/>
          <w:lang w:val="es-ES_tradnl"/>
        </w:rPr>
        <w:t>.</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Modificación del Cronograma de Amortización</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(a) El Prestatario, con la anuencia del Garante, si lo hubiere, podrá solicitar la modificación del Cronograma de Amortización en cualquier momento a partir de la fecha de entrada en vigencia del Contrato y hasta sesenta (60) días antes del vencimiento del Plazo Original de Desembolsos. También podrá solicitar la modificación del Cronograma de Amortización, con ocasión de una Conversión de Moneda o Conversión de Tasa de Interés en los términos establecidos en los Artículos 5.03 y 5.04 de estas Normas Generales. </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 xml:space="preserve">Para solicitar una modificación del Cronograma de Amortización, el Prestatario deberá presentar al Banco una Carta Solicitud de Modificación de Cronograma de Amortización, que deberá: (i) señalar si la modificación del Cronograma de Amortización propuesta se aplica a la totalidad o una parte del Préstamo; y (ii) indicar el nuevo cronograma de pagos, que incluirá la primera y última fecha de amortización, la frecuencia de pagos y el porcentaje que éstos representan de la totalidad del Préstamo o del tramo del mismo para el que se solicita la modificación. </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La aceptación por parte del Banco de las modificaciones del Cronograma de Amortización solicitadas estará sujeta a las debidas consideraciones operativas y de manejo de riesgo del Banco y al cumplimient</w:t>
      </w:r>
      <w:r w:rsidR="00E42ACE">
        <w:rPr>
          <w:rFonts w:ascii="Times New Roman" w:eastAsia="Times New Roman" w:hAnsi="Times New Roman" w:cs="Times New Roman"/>
          <w:sz w:val="24"/>
          <w:szCs w:val="24"/>
          <w:lang w:val="es-ES_tradnl"/>
        </w:rPr>
        <w:t>o de los siguientes requisitos:</w:t>
      </w: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7"/>
        </w:numPr>
        <w:tabs>
          <w:tab w:val="left" w:pos="-1440"/>
          <w:tab w:val="left" w:pos="-720"/>
          <w:tab w:val="left" w:pos="720"/>
          <w:tab w:val="left" w:pos="1320"/>
          <w:tab w:val="left" w:pos="2160"/>
        </w:tabs>
        <w:autoSpaceDE w:val="0"/>
        <w:autoSpaceDN w:val="0"/>
        <w:adjustRightInd w:val="0"/>
        <w:spacing w:after="0" w:line="240" w:lineRule="auto"/>
        <w:ind w:left="216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la última fecha de amortización y la VPP acumulada de todos los Cronogramas de Amortización no excedan ni la Fecha Final de Amortización ni la VPP Original;</w:t>
      </w:r>
    </w:p>
    <w:p w:rsidR="00FF0D18" w:rsidRPr="00EF61C8" w:rsidRDefault="00FF0D18" w:rsidP="00FF0D18">
      <w:pPr>
        <w:tabs>
          <w:tab w:val="left" w:pos="-1440"/>
          <w:tab w:val="left" w:pos="-720"/>
          <w:tab w:val="left" w:pos="720"/>
          <w:tab w:val="left" w:pos="1320"/>
          <w:tab w:val="left" w:pos="2160"/>
        </w:tabs>
        <w:spacing w:after="0" w:line="240" w:lineRule="auto"/>
        <w:ind w:left="2040"/>
        <w:rPr>
          <w:rFonts w:ascii="Times New Roman" w:eastAsia="Times New Roman" w:hAnsi="Times New Roman" w:cs="Times New Roman"/>
          <w:sz w:val="24"/>
          <w:szCs w:val="24"/>
          <w:lang w:val="es-ES_tradnl"/>
        </w:rPr>
      </w:pPr>
    </w:p>
    <w:p w:rsidR="00FF0D18" w:rsidRPr="00EF61C8" w:rsidRDefault="00FF0D18" w:rsidP="00FF0D18">
      <w:pPr>
        <w:numPr>
          <w:ilvl w:val="0"/>
          <w:numId w:val="17"/>
        </w:numPr>
        <w:tabs>
          <w:tab w:val="left" w:pos="-1440"/>
          <w:tab w:val="left" w:pos="-720"/>
          <w:tab w:val="left" w:pos="720"/>
          <w:tab w:val="left" w:pos="1320"/>
          <w:tab w:val="left" w:pos="2160"/>
        </w:tabs>
        <w:autoSpaceDE w:val="0"/>
        <w:autoSpaceDN w:val="0"/>
        <w:adjustRightInd w:val="0"/>
        <w:spacing w:after="0" w:line="240" w:lineRule="auto"/>
        <w:ind w:left="216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el tramo del Préstamo sujeto a un nuevo Cronograma de Amortización no sea menor al equivalente de tres millon</w:t>
      </w:r>
      <w:r w:rsidR="00E42ACE">
        <w:rPr>
          <w:rFonts w:ascii="Times New Roman" w:eastAsia="Times New Roman" w:hAnsi="Times New Roman" w:cs="Times New Roman"/>
          <w:sz w:val="24"/>
          <w:szCs w:val="24"/>
          <w:lang w:val="es-ES_tradnl"/>
        </w:rPr>
        <w:t>es de Dólares (US$3.000.000); y</w:t>
      </w:r>
    </w:p>
    <w:p w:rsidR="00FF0D18" w:rsidRPr="00EF61C8" w:rsidRDefault="00FF0D18" w:rsidP="00FF0D18">
      <w:pPr>
        <w:tabs>
          <w:tab w:val="left" w:pos="-1440"/>
          <w:tab w:val="left" w:pos="-720"/>
          <w:tab w:val="left" w:pos="720"/>
          <w:tab w:val="left" w:pos="1320"/>
          <w:tab w:val="left" w:pos="2160"/>
        </w:tabs>
        <w:spacing w:after="0" w:line="240" w:lineRule="auto"/>
        <w:ind w:left="2040"/>
        <w:rPr>
          <w:rFonts w:ascii="Times New Roman" w:eastAsia="Times New Roman" w:hAnsi="Times New Roman" w:cs="Times New Roman"/>
          <w:sz w:val="24"/>
          <w:szCs w:val="24"/>
          <w:lang w:val="es-ES_tradnl"/>
        </w:rPr>
      </w:pPr>
    </w:p>
    <w:p w:rsidR="00FF0D18" w:rsidRPr="00EF61C8" w:rsidRDefault="00FF0D18" w:rsidP="00FF0D18">
      <w:pPr>
        <w:numPr>
          <w:ilvl w:val="0"/>
          <w:numId w:val="17"/>
        </w:numPr>
        <w:tabs>
          <w:tab w:val="left" w:pos="-1440"/>
          <w:tab w:val="left" w:pos="-720"/>
          <w:tab w:val="left" w:pos="720"/>
          <w:tab w:val="left" w:pos="1320"/>
          <w:tab w:val="left" w:pos="2160"/>
        </w:tabs>
        <w:autoSpaceDE w:val="0"/>
        <w:autoSpaceDN w:val="0"/>
        <w:adjustRightInd w:val="0"/>
        <w:spacing w:after="0" w:line="240" w:lineRule="auto"/>
        <w:ind w:left="216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el tramo del Préstamo sujeto a la modificación del Cronograma de Amortización no haya sido objeto de una modificación anterior salvo que la nueva modificación al Cronograma de Amortización sea resulta</w:t>
      </w:r>
      <w:r w:rsidR="00E42ACE">
        <w:rPr>
          <w:rFonts w:ascii="Times New Roman" w:eastAsia="Times New Roman" w:hAnsi="Times New Roman" w:cs="Times New Roman"/>
          <w:sz w:val="24"/>
          <w:szCs w:val="24"/>
          <w:lang w:val="es-ES_tradnl"/>
        </w:rPr>
        <w:t>do de una Conversión de Moneda.</w:t>
      </w:r>
    </w:p>
    <w:p w:rsidR="00FF0D18" w:rsidRPr="00EF61C8" w:rsidRDefault="00FF0D18" w:rsidP="00FF0D18">
      <w:pPr>
        <w:tabs>
          <w:tab w:val="left" w:pos="-1440"/>
          <w:tab w:val="left" w:pos="-720"/>
          <w:tab w:val="left" w:pos="720"/>
          <w:tab w:val="left" w:pos="1320"/>
          <w:tab w:val="left" w:pos="2160"/>
        </w:tabs>
        <w:spacing w:after="0" w:line="240" w:lineRule="auto"/>
        <w:ind w:left="204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El Banco notificará al Prestatario su decisión mediante una Carta Notificación de Modificación de Cronograma de Amortización. Si el Banco acepta la solicitud del Prestatario, la Carta Notificación de Modificación del Cronograma de Amortización incluirá: (i) el nuevo Cronograma de Amortización correspondiente al Préstamo o tramo del mismo; (ii) la VPP acumulada del Préstamo; y (iii) la fecha efectiva del nu</w:t>
      </w:r>
      <w:r w:rsidR="00E42ACE">
        <w:rPr>
          <w:rFonts w:ascii="Times New Roman" w:eastAsia="Times New Roman" w:hAnsi="Times New Roman" w:cs="Times New Roman"/>
          <w:sz w:val="24"/>
          <w:szCs w:val="24"/>
          <w:lang w:val="es-ES_tradnl"/>
        </w:rPr>
        <w:t>evo Cronograma de Amortización.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(e)</w:t>
      </w:r>
      <w:r w:rsidRPr="00EF61C8">
        <w:rPr>
          <w:rFonts w:ascii="Times New Roman" w:eastAsia="Times New Roman" w:hAnsi="Times New Roman" w:cs="Times New Roman"/>
          <w:sz w:val="24"/>
          <w:szCs w:val="24"/>
          <w:lang w:val="es-ES_tradnl"/>
        </w:rPr>
        <w:tab/>
        <w:t xml:space="preserve">El Préstamo no podrá tener más de cuatro (4) tramos denominados en Moneda Principal con Cronogramas de Amortización distintos. Los tramos del Préstamo </w:t>
      </w:r>
      <w:r w:rsidRPr="00EF61C8">
        <w:rPr>
          <w:rFonts w:ascii="Times New Roman" w:eastAsia="Times New Roman" w:hAnsi="Times New Roman" w:cs="Times New Roman"/>
          <w:sz w:val="24"/>
          <w:szCs w:val="24"/>
          <w:lang w:val="es-ES_tradnl"/>
        </w:rPr>
        <w:lastRenderedPageBreak/>
        <w:t>denominados en Moneda Local podrán exceder dicho número, sujeto a las debidas consideraciones operativas y de manejo de riesgo del Banco.</w:t>
      </w:r>
    </w:p>
    <w:p w:rsidR="00FF0D18" w:rsidRPr="00EF61C8" w:rsidRDefault="00FF0D18" w:rsidP="00A53941">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(f) </w:t>
      </w:r>
      <w:r w:rsidRPr="00EF61C8">
        <w:rPr>
          <w:rFonts w:ascii="Times New Roman" w:eastAsia="Times New Roman" w:hAnsi="Times New Roman" w:cs="Times New Roman"/>
          <w:sz w:val="24"/>
          <w:szCs w:val="24"/>
          <w:lang w:val="es-ES_tradnl"/>
        </w:rPr>
        <w:tab/>
        <w:t>Con el objeto de que en todo momento la VPP del Préstamo continúe siendo igual o menor a la VPP Original, en cualquier evento en que la VPP del Préstamo exceda la VPP Original, el Cronograma de Amortiz</w:t>
      </w:r>
      <w:r w:rsidR="00A53941">
        <w:rPr>
          <w:rFonts w:ascii="Times New Roman" w:eastAsia="Times New Roman" w:hAnsi="Times New Roman" w:cs="Times New Roman"/>
          <w:sz w:val="24"/>
          <w:szCs w:val="24"/>
          <w:lang w:val="es-ES_tradnl"/>
        </w:rPr>
        <w:t xml:space="preserve">ación habrá de ser modificado.  </w:t>
      </w:r>
      <w:r w:rsidRPr="00EF61C8">
        <w:rPr>
          <w:rFonts w:ascii="Times New Roman" w:eastAsia="Times New Roman" w:hAnsi="Times New Roman" w:cs="Times New Roman"/>
          <w:sz w:val="24"/>
          <w:szCs w:val="24"/>
          <w:lang w:val="es-ES_tradnl"/>
        </w:rPr>
        <w:t>Para dichos efectos, el Banco informará al Prestatario de dicho evento, solicitando al Prestatario pronunciarse respecto del nuevo cronograma de amortización, de acuerdo con lo establecido en este Artículo. Salvo que el Prestatario expresamente solicite lo contrario, la modificación consistirá en el adelanto de la Fecha Final de Amortización con el correspondiente ajust</w:t>
      </w:r>
      <w:r w:rsidR="00A53941">
        <w:rPr>
          <w:rFonts w:ascii="Times New Roman" w:eastAsia="Times New Roman" w:hAnsi="Times New Roman" w:cs="Times New Roman"/>
          <w:sz w:val="24"/>
          <w:szCs w:val="24"/>
          <w:lang w:val="es-ES_tradnl"/>
        </w:rPr>
        <w:t>e a las cuotas de amortización.</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(g)</w:t>
      </w:r>
      <w:r w:rsidRPr="00EF61C8">
        <w:rPr>
          <w:rFonts w:ascii="Times New Roman" w:eastAsia="Times New Roman" w:hAnsi="Times New Roman" w:cs="Times New Roman"/>
          <w:sz w:val="24"/>
          <w:szCs w:val="24"/>
          <w:lang w:val="es-ES_tradnl"/>
        </w:rPr>
        <w:tab/>
        <w:t>Sin perjuicio de lo establecido en el literal (f) anterior, el Cronograma de Amortización deberá ser modificado en los casos en que se acuerden extensiones al Plazo Original de Desembolsos que: (i) impliquen que dicho plazo se extienda más allá de la fecha de sesenta (60) días antes del vencimiento de la primera cuota de amortización del Préstamo o, en su caso, del tramo del Préstamo, y (ii) se efectúen desembolsos durante dicha extensión. La modificación consistirá en (i) adelantar la Fecha Final de Amortización o, en el caso que el Préstamo tenga distintos tramos, en adelantar la Fecha Final de Amortización del tramo o tramos del Préstamo cuyos recursos se desembolsan durante la extensión del Plazo Original de Desembolsos, salvo que el Prestatario expresamente solicite, en su lugar, (ii) el incremento del monto de la cuota de amortización siguiente a cada desembolso del Préstamo o, en su caso, del tramo del Préstamo que ocasione una VPP mayor a la VPP Original. En el segundo caso, el Banco determinará el monto correspondiente a cada cuota de amortización.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Intereses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(a)</w:t>
      </w:r>
      <w:r w:rsidRPr="00EF61C8">
        <w:rPr>
          <w:rFonts w:ascii="Times New Roman" w:eastAsia="Times New Roman" w:hAnsi="Times New Roman" w:cs="Times New Roman"/>
          <w:b/>
          <w:sz w:val="24"/>
          <w:szCs w:val="24"/>
          <w:lang w:val="es-ES_tradnl"/>
        </w:rPr>
        <w:t xml:space="preserve"> Intereses sobre Saldos Deudores que no han sido objeto de Conversión</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Mientras el Préstamo no haya sido objeto de Conversión alguna, el Prestatario</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pagará intereses sobre los Saldos Deudores diarios a una Tasa de Interés Basada en LIBOR más el margen aplicable para préstamos del capital ordinario. En este caso, los intereses se devengarán a una tasa anual para cada Trimestre determinada por el Banco en una Fecha de Determinación de la Tasa de Interés Basad</w:t>
      </w:r>
      <w:r w:rsidR="00A53941">
        <w:rPr>
          <w:rFonts w:ascii="Times New Roman" w:eastAsia="Times New Roman" w:hAnsi="Times New Roman" w:cs="Times New Roman"/>
          <w:sz w:val="24"/>
          <w:szCs w:val="24"/>
          <w:lang w:val="es-ES_tradnl"/>
        </w:rPr>
        <w:t>a en LIBOR para cada Trimestre.</w:t>
      </w:r>
    </w:p>
    <w:p w:rsidR="00FF0D18" w:rsidRPr="00EF61C8" w:rsidRDefault="00FF0D18" w:rsidP="00FF0D18">
      <w:pPr>
        <w:tabs>
          <w:tab w:val="left" w:pos="-1440"/>
          <w:tab w:val="left" w:pos="-720"/>
          <w:tab w:val="left" w:pos="720"/>
          <w:tab w:val="left" w:pos="132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Intereses sobre Saldos Deudores que han sido objeto de Conversión</w:t>
      </w:r>
      <w:r w:rsidRPr="00EF61C8">
        <w:rPr>
          <w:rFonts w:ascii="Times New Roman" w:eastAsia="Times New Roman" w:hAnsi="Times New Roman" w:cs="Times New Roman"/>
          <w:sz w:val="24"/>
          <w:szCs w:val="24"/>
          <w:lang w:val="es-ES_tradnl"/>
        </w:rPr>
        <w:t xml:space="preserve">. Si los Saldos Deudores han sido objeto de una Conversión, el Prestatario deberá pagar intereses sobre los Saldos Deudores convertidos bajo dicha Conversión a: (i) la Tasa Base de Interés que determine el Banco; </w:t>
      </w:r>
      <w:r w:rsidRPr="00EF61C8">
        <w:rPr>
          <w:rFonts w:ascii="Times New Roman" w:eastAsia="Times New Roman" w:hAnsi="Times New Roman" w:cs="Times New Roman"/>
          <w:i/>
          <w:sz w:val="24"/>
          <w:szCs w:val="24"/>
          <w:lang w:val="es-ES_tradnl"/>
        </w:rPr>
        <w:t>más</w:t>
      </w:r>
      <w:r w:rsidRPr="00EF61C8">
        <w:rPr>
          <w:rFonts w:ascii="Times New Roman" w:eastAsia="Times New Roman" w:hAnsi="Times New Roman" w:cs="Times New Roman"/>
          <w:sz w:val="24"/>
          <w:szCs w:val="24"/>
          <w:lang w:val="es-ES_tradnl"/>
        </w:rPr>
        <w:t xml:space="preserve"> (ii) el margen aplicable para préstamos del capital ordinario del Banco. </w:t>
      </w:r>
    </w:p>
    <w:p w:rsidR="00FF0D18" w:rsidRPr="00EF61C8" w:rsidRDefault="00FF0D18" w:rsidP="00FF0D18">
      <w:pPr>
        <w:tabs>
          <w:tab w:val="left" w:pos="-1440"/>
          <w:tab w:val="left" w:pos="-720"/>
          <w:tab w:val="left" w:pos="720"/>
          <w:tab w:val="left" w:pos="144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Intereses sobre Saldos Deudores sujetos a un Tope (</w:t>
      </w:r>
      <w:r w:rsidRPr="00EF61C8">
        <w:rPr>
          <w:rFonts w:ascii="Times New Roman" w:eastAsia="Times New Roman" w:hAnsi="Times New Roman" w:cs="Times New Roman"/>
          <w:b/>
          <w:i/>
          <w:sz w:val="24"/>
          <w:szCs w:val="24"/>
          <w:lang w:val="es-ES_tradnl"/>
        </w:rPr>
        <w:t>cap</w:t>
      </w:r>
      <w:r w:rsidRPr="00EF61C8">
        <w:rPr>
          <w:rFonts w:ascii="Times New Roman" w:eastAsia="Times New Roman" w:hAnsi="Times New Roman" w:cs="Times New Roman"/>
          <w:b/>
          <w:sz w:val="24"/>
          <w:szCs w:val="24"/>
          <w:lang w:val="es-ES_tradnl"/>
        </w:rPr>
        <w:t>) de Tasa de Interés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En el supuesto de que se haya efectuado una Conversión de Tasa de Interés para establecer un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y la tasa de interés pagadera por el Prestatario en virtud de lo establecido en este Artículo exceda el Tope (</w:t>
      </w:r>
      <w:r w:rsidRPr="00EF61C8">
        <w:rPr>
          <w:rFonts w:ascii="Times New Roman" w:eastAsia="Times New Roman" w:hAnsi="Times New Roman" w:cs="Times New Roman"/>
          <w:i/>
          <w:sz w:val="24"/>
          <w:szCs w:val="24"/>
          <w:lang w:val="es-ES_tradnl"/>
        </w:rPr>
        <w:t>cap</w:t>
      </w:r>
      <w:r w:rsidRPr="00EF61C8">
        <w:rPr>
          <w:rFonts w:ascii="Times New Roman" w:eastAsia="Times New Roman" w:hAnsi="Times New Roman" w:cs="Times New Roman"/>
          <w:sz w:val="24"/>
          <w:szCs w:val="24"/>
          <w:lang w:val="es-ES_tradnl"/>
        </w:rPr>
        <w:t>) de Tasa de Interés en cualquier momento durante el Plazo de Conversión, la tasa máxima de interés aplicable durante dicho Plazo de Conversión será equivalente al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w:t>
      </w:r>
      <w:r w:rsidR="00A53941">
        <w:rPr>
          <w:rFonts w:ascii="Times New Roman" w:eastAsia="Times New Roman" w:hAnsi="Times New Roman" w:cs="Times New Roman"/>
          <w:sz w:val="24"/>
          <w:szCs w:val="24"/>
          <w:lang w:val="es-ES_tradnl"/>
        </w:rPr>
        <w:t>erés.</w:t>
      </w:r>
    </w:p>
    <w:p w:rsidR="00FF0D18" w:rsidRPr="00EF61C8" w:rsidRDefault="00FF0D18" w:rsidP="00FF0D18">
      <w:pPr>
        <w:tabs>
          <w:tab w:val="left" w:pos="-1440"/>
          <w:tab w:val="left" w:pos="-720"/>
          <w:tab w:val="left" w:pos="720"/>
          <w:tab w:val="left" w:pos="132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Intereses sobre Saldos Deudores sujetos a una Banda (</w:t>
      </w:r>
      <w:r w:rsidRPr="00EF61C8">
        <w:rPr>
          <w:rFonts w:ascii="Times New Roman" w:eastAsia="Times New Roman" w:hAnsi="Times New Roman" w:cs="Times New Roman"/>
          <w:b/>
          <w:i/>
          <w:sz w:val="24"/>
          <w:szCs w:val="24"/>
          <w:lang w:val="es-ES_tradnl"/>
        </w:rPr>
        <w:t>collar</w:t>
      </w:r>
      <w:r w:rsidRPr="00EF61C8">
        <w:rPr>
          <w:rFonts w:ascii="Times New Roman" w:eastAsia="Times New Roman" w:hAnsi="Times New Roman" w:cs="Times New Roman"/>
          <w:b/>
          <w:sz w:val="24"/>
          <w:szCs w:val="24"/>
          <w:lang w:val="es-ES_tradnl"/>
        </w:rPr>
        <w:t>) de Tasa de Interés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En el supuesto en que se haya efectuado una Conversión de Tasa de Interés para </w:t>
      </w:r>
      <w:r w:rsidRPr="00EF61C8">
        <w:rPr>
          <w:rFonts w:ascii="Times New Roman" w:eastAsia="Times New Roman" w:hAnsi="Times New Roman" w:cs="Times New Roman"/>
          <w:sz w:val="24"/>
          <w:szCs w:val="24"/>
          <w:lang w:val="es-ES_tradnl"/>
        </w:rPr>
        <w:lastRenderedPageBreak/>
        <w:t>establecer una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y la tasa de interés pagadera por el Prestatario en virtud de lo establecido en este Artículo exceda o esté por debajo del límite superior o inferior, respectivamente,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en cualquier momento durante el Plazo de Conversión, la tasa máxima o mínima de interés aplicable durante dicho Plazo de Conversión será, respectivamente, el límite superior o el límite inferior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w:t>
      </w:r>
    </w:p>
    <w:p w:rsidR="00FF0D18" w:rsidRPr="00EF61C8" w:rsidRDefault="00FF0D18" w:rsidP="00FF0D18">
      <w:pPr>
        <w:tabs>
          <w:tab w:val="left" w:pos="-1440"/>
          <w:tab w:val="left" w:pos="-720"/>
          <w:tab w:val="left" w:pos="720"/>
          <w:tab w:val="left" w:pos="132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(e)</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lang w:val="es-ES_tradnl"/>
        </w:rPr>
        <w:t>Modificaciones a la base de cálculo de intereses</w:t>
      </w:r>
      <w:r w:rsidRPr="00EF61C8">
        <w:rPr>
          <w:rFonts w:ascii="Times New Roman" w:eastAsia="Times New Roman" w:hAnsi="Times New Roman" w:cs="Times New Roman"/>
          <w:sz w:val="24"/>
          <w:szCs w:val="24"/>
          <w:lang w:val="es-ES_tradnl"/>
        </w:rPr>
        <w:t>. Las Partes acuerdan que, no obstante cualquier modificación en la práctica del mercado que, en cualquier momento, afecte la determinación de la Tasa de Interés LIBOR, los pagos por el Prestatario deberán permanecer vincul</w:t>
      </w:r>
      <w:r w:rsidR="00A53941">
        <w:rPr>
          <w:rFonts w:ascii="Times New Roman" w:eastAsia="Times New Roman" w:hAnsi="Times New Roman" w:cs="Times New Roman"/>
          <w:sz w:val="24"/>
          <w:szCs w:val="24"/>
          <w:lang w:val="es-ES_tradnl"/>
        </w:rPr>
        <w:t xml:space="preserve">ados a la captación del Banco.  </w:t>
      </w:r>
      <w:r w:rsidRPr="00EF61C8">
        <w:rPr>
          <w:rFonts w:ascii="Times New Roman" w:eastAsia="Times New Roman" w:hAnsi="Times New Roman" w:cs="Times New Roman"/>
          <w:sz w:val="24"/>
          <w:szCs w:val="24"/>
          <w:lang w:val="es-ES_tradnl"/>
        </w:rPr>
        <w:t xml:space="preserve">Para efectos de obtener y mantener dicho vínculo en tales circunstancias, las Partes acuerdan expresamente que el Agente de Cálculo, buscando reflejar la captación correspondiente del Banco, deberá determinar: (i) la ocurrencia de tales modificaciones; y (ii) la tasa base alternativa aplicable para determinar el monto apropiado a </w:t>
      </w:r>
      <w:r w:rsidR="00A53941">
        <w:rPr>
          <w:rFonts w:ascii="Times New Roman" w:eastAsia="Times New Roman" w:hAnsi="Times New Roman" w:cs="Times New Roman"/>
          <w:sz w:val="24"/>
          <w:szCs w:val="24"/>
          <w:lang w:val="es-ES_tradnl"/>
        </w:rPr>
        <w:t xml:space="preserve">ser pagado por el Prestatario.  </w:t>
      </w:r>
      <w:r w:rsidRPr="00EF61C8">
        <w:rPr>
          <w:rFonts w:ascii="Times New Roman" w:eastAsia="Times New Roman" w:hAnsi="Times New Roman" w:cs="Times New Roman"/>
          <w:sz w:val="24"/>
          <w:szCs w:val="24"/>
          <w:lang w:val="es-ES_tradnl"/>
        </w:rPr>
        <w:t xml:space="preserve">El Agente de Cálculo deberá notificar la tasa base alternativa aplicable al Prestatario y al Garante, si lo hubiere, con anticipación mínima de sesenta (60) días.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La tasa base alternativa será efectiva en la fecha de vencimiento de tal plazo de notificación.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3.04.</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u w:val="single"/>
          <w:lang w:val="es-ES_tradnl"/>
        </w:rPr>
        <w:t>Comisión de crédito</w:t>
      </w:r>
      <w:r w:rsidRPr="00EF61C8">
        <w:rPr>
          <w:rFonts w:ascii="Times New Roman" w:eastAsia="Times New Roman" w:hAnsi="Times New Roman" w:cs="Times New Roman"/>
          <w:sz w:val="24"/>
          <w:szCs w:val="24"/>
          <w:lang w:val="es-ES_tradnl"/>
        </w:rPr>
        <w:t xml:space="preserve">. (a) El Prestatario pagará una comisión de crédito sobre el saldo no desembolsado del Préstamo a un porcentaje que será establecido por el Banco periódicamente, como resultado de su revisión de cargos financieros para préstamos de capital ordinario sin que, en ningún caso, </w:t>
      </w:r>
      <w:r w:rsidR="00A53941">
        <w:rPr>
          <w:rFonts w:ascii="Times New Roman" w:eastAsia="Times New Roman" w:hAnsi="Times New Roman" w:cs="Times New Roman"/>
          <w:sz w:val="24"/>
          <w:szCs w:val="24"/>
          <w:lang w:val="es-ES_tradnl"/>
        </w:rPr>
        <w:t>pueda exceder el 0,75% por año.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La comisión de crédito empezará a devengarse a los sesenta (60) días de la fecha de suscripción del Contrato.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 xml:space="preserve">La comisión de crédito cesará de devengarse: (i) cuando se hayan efectuado todos los desembolsos o (ii) en todo o parte, según sea el caso, cuando haya quedado total o parcialmente sin efecto el Préstamo, de conformidad con los Artículos 4.02, 4.12, 4.13 ó </w:t>
      </w:r>
      <w:r w:rsidR="00A53941">
        <w:rPr>
          <w:rFonts w:ascii="Times New Roman" w:eastAsia="Times New Roman" w:hAnsi="Times New Roman" w:cs="Times New Roman"/>
          <w:sz w:val="24"/>
          <w:szCs w:val="24"/>
          <w:lang w:val="es-ES_tradnl"/>
        </w:rPr>
        <w:t>8.02 de estas Normas Generales.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3.05.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Cálculo de los intereses y de la comisión de crédito</w:t>
      </w:r>
      <w:r w:rsidRPr="00EF61C8">
        <w:rPr>
          <w:rFonts w:ascii="Times New Roman" w:eastAsia="Times New Roman" w:hAnsi="Times New Roman" w:cs="Times New Roman"/>
          <w:sz w:val="24"/>
          <w:szCs w:val="24"/>
          <w:lang w:val="es-ES_tradnl"/>
        </w:rPr>
        <w:t>. Los intereses y la comisión de crédito se calcularán con base en el número exacto de días del período de intereses correspondiente.</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3.06.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Recursos para inspección y vigilancia</w:t>
      </w:r>
      <w:r w:rsidRPr="00EF61C8">
        <w:rPr>
          <w:rFonts w:ascii="Times New Roman" w:eastAsia="Times New Roman" w:hAnsi="Times New Roman" w:cs="Times New Roman"/>
          <w:sz w:val="24"/>
          <w:szCs w:val="24"/>
          <w:lang w:val="es-ES_tradnl"/>
        </w:rPr>
        <w:t xml:space="preserve">. El Prestatario no estará obligado a cubrir </w:t>
      </w:r>
      <w:r w:rsidRPr="00EF61C8">
        <w:rPr>
          <w:rFonts w:ascii="Times New Roman" w:eastAsia="Times New Roman" w:hAnsi="Times New Roman" w:cs="Times New Roman"/>
          <w:color w:val="000000"/>
          <w:sz w:val="24"/>
          <w:szCs w:val="24"/>
          <w:lang w:val="es-ES_tradnl"/>
        </w:rPr>
        <w:t>los gastos del Banco por concepto de inspección y vigilancia generales, salvo</w:t>
      </w:r>
      <w:r w:rsidRPr="00EF61C8">
        <w:rPr>
          <w:rFonts w:ascii="Times New Roman" w:eastAsia="Times New Roman" w:hAnsi="Times New Roman" w:cs="Times New Roman"/>
          <w:sz w:val="24"/>
          <w:szCs w:val="24"/>
          <w:lang w:val="es-ES_tradnl"/>
        </w:rPr>
        <w:t xml:space="preserve"> que el Banco establezca lo contrario durante el Plazo Original de Desembolsos como consecuencia de su revisión periódica de cargos financieros para préstamos del capital ordinario, y notifique al Prestatario al respecto.</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En este caso, el Prestatario deberá indicar al Banco si pagará dicho monto directamente o si el Banco deberá retirar y retener dicho monto de los recursos del Préstamo.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En ningún caso, podrá cobrarse por este concepto en un semestre determinado más de lo que resulte de aplicar el 1% al monto del Préstamo, dividido por el número de semestres comprendido en el Plazo Original </w:t>
      </w:r>
      <w:r w:rsidR="00A53941">
        <w:rPr>
          <w:rFonts w:ascii="Times New Roman" w:eastAsia="Times New Roman" w:hAnsi="Times New Roman" w:cs="Times New Roman"/>
          <w:sz w:val="24"/>
          <w:szCs w:val="24"/>
          <w:lang w:val="es-ES_tradnl"/>
        </w:rPr>
        <w:t>de Desembolsos.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lastRenderedPageBreak/>
        <w:t>ARTÍCULO 3.07.</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Moneda de los pagos de amortización, intereses, comisiones y cuotas de inspección y vigilancia</w:t>
      </w:r>
      <w:r w:rsidRPr="00EF61C8">
        <w:rPr>
          <w:rFonts w:ascii="Times New Roman" w:eastAsia="Times New Roman" w:hAnsi="Times New Roman" w:cs="Times New Roman"/>
          <w:sz w:val="24"/>
          <w:szCs w:val="24"/>
          <w:lang w:val="es-ES_tradnl"/>
        </w:rPr>
        <w:t>. Los pagos de amortización e intereses serán efectuados en Dólares, salvo que se haya realizado una Conversión de Moneda, en cuyo caso apli</w:t>
      </w:r>
      <w:r w:rsidR="00A53941">
        <w:rPr>
          <w:rFonts w:ascii="Times New Roman" w:eastAsia="Times New Roman" w:hAnsi="Times New Roman" w:cs="Times New Roman"/>
          <w:sz w:val="24"/>
          <w:szCs w:val="24"/>
          <w:lang w:val="es-ES_tradnl"/>
        </w:rPr>
        <w:t xml:space="preserve">cará lo previsto en el Artículo </w:t>
      </w:r>
      <w:r w:rsidRPr="00EF61C8">
        <w:rPr>
          <w:rFonts w:ascii="Times New Roman" w:eastAsia="Times New Roman" w:hAnsi="Times New Roman" w:cs="Times New Roman"/>
          <w:sz w:val="24"/>
          <w:szCs w:val="24"/>
          <w:lang w:val="es-ES_tradnl"/>
        </w:rPr>
        <w:t>5.05 de estas Normas Generales. Los pagos de comisión de crédito y cuotas de inspección y vigilancia se efectuarán siem</w:t>
      </w:r>
      <w:r w:rsidR="00A53941">
        <w:rPr>
          <w:rFonts w:ascii="Times New Roman" w:eastAsia="Times New Roman" w:hAnsi="Times New Roman" w:cs="Times New Roman"/>
          <w:sz w:val="24"/>
          <w:szCs w:val="24"/>
          <w:lang w:val="es-ES_tradnl"/>
        </w:rPr>
        <w:t>pre en la Moneda de Aprobación.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3.08.</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Pagos anticipados</w:t>
      </w:r>
      <w:r w:rsidRPr="00EF61C8">
        <w:rPr>
          <w:rFonts w:ascii="Times New Roman" w:eastAsia="Times New Roman" w:hAnsi="Times New Roman" w:cs="Times New Roman"/>
          <w:sz w:val="24"/>
          <w:szCs w:val="24"/>
          <w:lang w:val="es-ES_tradnl"/>
        </w:rPr>
        <w:t xml:space="preserve">. (a) </w:t>
      </w:r>
      <w:r w:rsidRPr="00EF61C8">
        <w:rPr>
          <w:rFonts w:ascii="Times New Roman" w:eastAsia="Times New Roman" w:hAnsi="Times New Roman" w:cs="Times New Roman"/>
          <w:b/>
          <w:sz w:val="24"/>
          <w:szCs w:val="24"/>
          <w:lang w:val="es-ES_tradnl"/>
        </w:rPr>
        <w:t>Pagos Anticipados de Saldos Deudores denominados en Dólares con Tasa de Interés Basada en LIBOR</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El Prestatario podrá pagar anticipadamente la totalidad o una parte de cualquier Saldo Deudor denominado en Dólares a Tasa de Interés Basada en LIBOR en una fecha de pago de intereses, mediante la presentación al Banco de una notificación escrita de carácter irrevocable con, al menos, treinta (30) días de anticipación, con la anuencia del Garante, si lo hubiere.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Dicho pago se imputará de acuerdo a lo establecido en el Artículo 3.09 de estas Normas Generales.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En la eventualidad de que el pago anticipado no cubra la totalidad del Saldo Deudor, el pago se aplicará en forma proporcional a las cuotas de amortización pendientes de pago.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Si el Préstamo tuviese tramos con Cronogramas de Amortización diferentes, el Prestatario deberá prepagar la totalidad del tramo correspondiente, salvo que</w:t>
      </w:r>
      <w:r w:rsidR="00A53941">
        <w:rPr>
          <w:rFonts w:ascii="Times New Roman" w:eastAsia="Times New Roman" w:hAnsi="Times New Roman" w:cs="Times New Roman"/>
          <w:sz w:val="24"/>
          <w:szCs w:val="24"/>
          <w:lang w:val="es-ES_tradnl"/>
        </w:rPr>
        <w:t xml:space="preserve"> el Banco acuerde lo contrario.</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b/>
          <w:sz w:val="24"/>
          <w:szCs w:val="24"/>
          <w:lang w:val="es-ES_tradnl"/>
        </w:rPr>
        <w:tab/>
        <w:t>Pagos Anticipados de montos que han sido objeto de Conversión</w:t>
      </w:r>
      <w:r w:rsidRPr="00EF61C8">
        <w:rPr>
          <w:rFonts w:ascii="Times New Roman" w:eastAsia="Times New Roman" w:hAnsi="Times New Roman" w:cs="Times New Roman"/>
          <w:sz w:val="24"/>
          <w:szCs w:val="24"/>
          <w:lang w:val="es-ES_tradnl"/>
        </w:rPr>
        <w:t xml:space="preserve">. Siempre que el Banco pueda revertir o reasignar su correspondiente captación del financiamiento o cualquier cobertura relacionada, el Prestatario, con la anuencia del Garante, si lo hubiere, podrá pagar anticipadamente en una de las fechas de pago de intereses establecidas en el Cronograma de Amortización adjunto a la Carta Notificación de Conversión: (i) la totalidad o una parte del monto que haya sido objeto de una Conversión de Moneda; (ii) la totalidad o una parte del monto que haya sido objeto de una Conversión de Tasa de Interés; y/o (iii) la totalidad o una parte de un monto equivalente al Saldo Deudor Requerido bajo una Conversión de Productos Básicos. Para este efecto, el Prestatario deberá presentar al Banco con, por lo menos, treinta (30) días de anticipación, una notificación escrita de carácter irrevocable.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En dicha notificación el Prestatario deberá especificar el monto que desea pagar en forma anticipada y las Conversiones a las que se refiere.</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En la eventualidad de que el pago anticipado no cubra la totalidad del Saldo Deudor relacionado con dicha Conversión, éste se aplicará en forma proporcional a las cuotas pendientes de pago de dicha Conversión. El Prestatario no podrá efectuar pagos anticipados por un monto menor al equivalente de tres millones de Dólares (US$3.000.000), salvo que el Saldo Deudor remanente relacionado con la Conversión correspondiente fuese menor y se pague en su totalidad.</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 xml:space="preserve">Para efectos de los literales (a) y (b) anteriores, los siguientes pagos serán considerados como pagos anticipados: (i) la devolución de Anticipo de Fondos no justificados; y (ii) los pagos como consecuencia de que la totalidad o una parte del Préstamo haya sido declarado vencido y pagadero de inmediato de acuerdo con lo dispuesto en el Artículo 8.02 de estas Normas Generales. </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 xml:space="preserve">Sin perjuicio de lo dispuesto en el literal (b) anterior, en los casos de pago anticipado, el Prestatario recibirá del Banco o, en su defecto, le pagará al Banco, según sea el caso, cualquier ganancia o costo incurrido por el Banco por revertir o reasignar su correspondiente captación del financiamiento o cualquier cobertura relacionada, determinada por el Agente de Cálculo. </w:t>
      </w:r>
      <w:r w:rsidR="00A53941">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Si se tratase de ganancia, la misma se aplicará, en primer lugar, a </w:t>
      </w:r>
      <w:r w:rsidRPr="00EF61C8">
        <w:rPr>
          <w:rFonts w:ascii="Times New Roman" w:eastAsia="Times New Roman" w:hAnsi="Times New Roman" w:cs="Times New Roman"/>
          <w:sz w:val="24"/>
          <w:szCs w:val="24"/>
          <w:lang w:val="es-ES_tradnl"/>
        </w:rPr>
        <w:lastRenderedPageBreak/>
        <w:t xml:space="preserve">cualquier monto vencido pendiente de pago por el Prestatario. </w:t>
      </w:r>
      <w:r w:rsidR="00950F87">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Si se tratase de costo, el Prestatario pagará el monto correspondiente de forma conjunta y e</w:t>
      </w:r>
      <w:r w:rsidR="00950F87">
        <w:rPr>
          <w:rFonts w:ascii="Times New Roman" w:eastAsia="Times New Roman" w:hAnsi="Times New Roman" w:cs="Times New Roman"/>
          <w:sz w:val="24"/>
          <w:szCs w:val="24"/>
          <w:lang w:val="es-ES_tradnl"/>
        </w:rPr>
        <w:t>n la fecha del pago anticipado.</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3.09.</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Imputación de los pagos</w:t>
      </w:r>
      <w:r w:rsidRPr="00EF61C8">
        <w:rPr>
          <w:rFonts w:ascii="Times New Roman" w:eastAsia="Times New Roman" w:hAnsi="Times New Roman" w:cs="Times New Roman"/>
          <w:sz w:val="24"/>
          <w:szCs w:val="24"/>
          <w:lang w:val="es-ES_tradnl"/>
        </w:rPr>
        <w:t>. Todo pago se imputará, en primer término, a la devolución de Anticipo de Fondos que no hayan sido justificados después de transcurrido el Período de Cierre, luego a comisiones e intereses exigibles en la fecha del pago y, si hubiere un saldo, a la amortización</w:t>
      </w:r>
      <w:r w:rsidR="00950F87">
        <w:rPr>
          <w:rFonts w:ascii="Times New Roman" w:eastAsia="Times New Roman" w:hAnsi="Times New Roman" w:cs="Times New Roman"/>
          <w:sz w:val="24"/>
          <w:szCs w:val="24"/>
          <w:lang w:val="es-ES_tradnl"/>
        </w:rPr>
        <w:t xml:space="preserve"> de cuotas vencidas de capital.</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3.10.</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Vencimientos en días que no son Días Hábiles</w:t>
      </w:r>
      <w:r w:rsidRPr="00EF61C8">
        <w:rPr>
          <w:rFonts w:ascii="Times New Roman" w:eastAsia="Times New Roman" w:hAnsi="Times New Roman" w:cs="Times New Roman"/>
          <w:sz w:val="24"/>
          <w:szCs w:val="24"/>
          <w:lang w:val="es-ES_tradnl"/>
        </w:rPr>
        <w:t>. Todo pago o cualquiera otra prestación que, en cumplimiento de este Contrato, debiera llevarse a cabo en un día que no sea Día Hábil, se entenderá válidamente efectuado en el primer Día Hábil siguiente sin que, en tal caso, proceda recargo alguno.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3.11.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Lugar de los pagos</w:t>
      </w:r>
      <w:r w:rsidRPr="00EF61C8">
        <w:rPr>
          <w:rFonts w:ascii="Times New Roman" w:eastAsia="Times New Roman" w:hAnsi="Times New Roman" w:cs="Times New Roman"/>
          <w:sz w:val="24"/>
          <w:szCs w:val="24"/>
          <w:lang w:val="es-ES_tradnl"/>
        </w:rPr>
        <w:t>. Todo pago deberá efectuarse en la oficina principal del Banco en Washington, Distrito de Columbia, Estados Unidos de América, a menos que el Banco designe otro lugar o lugares para este efecto, previa notificación escrita al Prestatario.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widowControl w:val="0"/>
        <w:spacing w:after="0" w:line="276" w:lineRule="auto"/>
        <w:jc w:val="center"/>
        <w:rPr>
          <w:rFonts w:ascii="Times New Roman" w:eastAsia="Times New Roman" w:hAnsi="Times New Roman" w:cs="Times New Roman"/>
          <w:b/>
          <w:bCs/>
          <w:sz w:val="24"/>
          <w:szCs w:val="24"/>
          <w:lang w:val="es-ES_tradnl"/>
        </w:rPr>
      </w:pPr>
      <w:r w:rsidRPr="00EF61C8">
        <w:rPr>
          <w:rFonts w:ascii="Times New Roman" w:eastAsia="Times New Roman" w:hAnsi="Times New Roman" w:cs="Times New Roman"/>
          <w:b/>
          <w:bCs/>
          <w:sz w:val="24"/>
          <w:szCs w:val="24"/>
          <w:lang w:val="es-ES_tradnl"/>
        </w:rPr>
        <w:t>CAPÍTULO IV</w:t>
      </w:r>
    </w:p>
    <w:p w:rsidR="00FF0D18" w:rsidRPr="00EF61C8" w:rsidRDefault="00FF0D18" w:rsidP="00FF0D18">
      <w:pPr>
        <w:widowControl w:val="0"/>
        <w:spacing w:after="0" w:line="276"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Desembolsos, renuncia y cancelación automática</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4.01.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Condiciones previas al primer desembolso de los recursos del Préstamo</w:t>
      </w:r>
      <w:r w:rsidRPr="00EF61C8">
        <w:rPr>
          <w:rFonts w:ascii="Times New Roman" w:eastAsia="Times New Roman" w:hAnsi="Times New Roman" w:cs="Times New Roman"/>
          <w:sz w:val="24"/>
          <w:szCs w:val="20"/>
          <w:lang w:val="es-ES_tradnl"/>
        </w:rPr>
        <w:t>. Sin perjuicio de otras condiciones que se establezcan en las Estipulaciones Especiales, el primer desembolso de los recursos del Préstamo está sujeto a que se cumplan, a satisfacción del Banco, las siguientes condiciones:</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950F87" w:rsidP="00950F87">
      <w:pPr>
        <w:spacing w:after="0" w:line="240" w:lineRule="auto"/>
        <w:ind w:left="1350" w:hanging="500"/>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(a)</w:t>
      </w:r>
      <w:r>
        <w:rPr>
          <w:rFonts w:ascii="Times New Roman" w:eastAsia="Times New Roman" w:hAnsi="Times New Roman" w:cs="Times New Roman"/>
          <w:sz w:val="24"/>
          <w:szCs w:val="24"/>
          <w:lang w:val="es-ES_tradnl"/>
        </w:rPr>
        <w:tab/>
      </w:r>
      <w:r w:rsidR="00FF0D18" w:rsidRPr="00EF61C8">
        <w:rPr>
          <w:rFonts w:ascii="Times New Roman" w:eastAsia="Times New Roman" w:hAnsi="Times New Roman" w:cs="Times New Roman"/>
          <w:sz w:val="24"/>
          <w:szCs w:val="24"/>
          <w:lang w:val="es-ES_tradnl"/>
        </w:rPr>
        <w:t>Que el Banco haya recibido uno o más informes jurídicos fundados que establezcan, con señalamiento de las disposiciones constitucionales, legales y reglamentarias pertinentes, que las obligaciones contraídas por el Prestatario en este Contrato y las del Garante en los Contratos de Garantía, si los hubiere, son válidas y exigibles. Dichos informes deberán referirse, además, a cualquier consulta jurídica que el Banco estime pertinente formular.</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ind w:left="1350" w:hanging="63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w:t>
      </w:r>
      <w:r w:rsidRPr="00EF61C8">
        <w:rPr>
          <w:rFonts w:ascii="Times New Roman" w:eastAsia="Times New Roman" w:hAnsi="Times New Roman" w:cs="Times New Roman"/>
          <w:sz w:val="24"/>
          <w:szCs w:val="20"/>
          <w:lang w:val="es-ES_tradnl"/>
        </w:rPr>
        <w:tab/>
        <w:t>Que el Prestatario o, en su caso, el Organismo Ejecutor, haya designado uno o más funcionarios que puedan representarlo para efectos de solicitar los desembolsos del Préstamo y en otros actos relacionados con la gestión financiera del Proyecto y haya hecho llegar al Banco ejemplares auténticos de las firmas de dichos representantes.  Si se designaren dos o más funcionarios, corresponderá señalar si los designados pueden actuar separadamente o si tienen que hacerlo de manera conjunta.</w:t>
      </w:r>
    </w:p>
    <w:p w:rsidR="00FF0D18" w:rsidRPr="00EF61C8" w:rsidRDefault="00FF0D18" w:rsidP="00FF0D18">
      <w:pPr>
        <w:widowControl w:val="0"/>
        <w:spacing w:after="0" w:line="240" w:lineRule="auto"/>
        <w:ind w:left="720"/>
        <w:rPr>
          <w:rFonts w:ascii="Times New Roman" w:eastAsia="Times New Roman" w:hAnsi="Times New Roman" w:cs="Times New Roman"/>
          <w:sz w:val="24"/>
          <w:szCs w:val="20"/>
          <w:lang w:val="es-ES_tradnl"/>
        </w:rPr>
      </w:pPr>
    </w:p>
    <w:p w:rsidR="00FF0D18" w:rsidRPr="00EF61C8" w:rsidRDefault="00FF0D18" w:rsidP="00FF0D18">
      <w:pPr>
        <w:widowControl w:val="0"/>
        <w:spacing w:after="0" w:line="240" w:lineRule="auto"/>
        <w:ind w:left="1350" w:hanging="63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 xml:space="preserve">Que el Prestatario o, en su caso, el Organismo Ejecutor, haya proporcionado al Banco por escrito, a través de su representante autorizado para solicitar los desembolsos del Préstamo, información sobre la cuenta bancaria en la cual se depositarán los desembolsos del Préstamo. Se requerirán cuentas separadas </w:t>
      </w:r>
      <w:r w:rsidRPr="00EF61C8">
        <w:rPr>
          <w:rFonts w:ascii="Times New Roman" w:eastAsia="Times New Roman" w:hAnsi="Times New Roman" w:cs="Times New Roman"/>
          <w:sz w:val="24"/>
          <w:szCs w:val="24"/>
          <w:lang w:val="es-ES_tradnl"/>
        </w:rPr>
        <w:lastRenderedPageBreak/>
        <w:t>para desembolsos en Moneda Local, Dólar y Moneda Principal. Dicha información no será necesaria para el caso en que el Banco acepte que los recursos del Préstamo sean registrados en la cuenta única de la tesorería del Prestatario.</w:t>
      </w:r>
    </w:p>
    <w:p w:rsidR="00FF0D18" w:rsidRPr="00EF61C8" w:rsidRDefault="00FF0D18" w:rsidP="00FF0D18">
      <w:pPr>
        <w:widowControl w:val="0"/>
        <w:spacing w:after="0" w:line="240" w:lineRule="auto"/>
        <w:ind w:left="1350" w:hanging="630"/>
        <w:jc w:val="both"/>
        <w:rPr>
          <w:rFonts w:ascii="Times New Roman" w:eastAsia="Times New Roman" w:hAnsi="Times New Roman" w:cs="Times New Roman"/>
          <w:sz w:val="24"/>
          <w:szCs w:val="24"/>
          <w:lang w:val="es-ES_tradnl"/>
        </w:rPr>
      </w:pPr>
    </w:p>
    <w:p w:rsidR="00FF0D18" w:rsidRPr="00EF61C8" w:rsidRDefault="00950F87" w:rsidP="00FF0D18">
      <w:pPr>
        <w:widowControl w:val="0"/>
        <w:spacing w:after="0" w:line="240" w:lineRule="auto"/>
        <w:ind w:left="1350" w:hanging="630"/>
        <w:jc w:val="both"/>
        <w:rPr>
          <w:rFonts w:ascii="Times New Roman" w:eastAsia="Times New Roman" w:hAnsi="Times New Roman" w:cs="Times New Roman"/>
          <w:sz w:val="24"/>
          <w:szCs w:val="20"/>
          <w:lang w:val="es-ES_tradnl"/>
        </w:rPr>
      </w:pPr>
      <w:r>
        <w:rPr>
          <w:rFonts w:ascii="Times New Roman" w:eastAsia="Times New Roman" w:hAnsi="Times New Roman" w:cs="Times New Roman"/>
          <w:sz w:val="24"/>
          <w:szCs w:val="24"/>
          <w:lang w:val="es-ES_tradnl"/>
        </w:rPr>
        <w:t>(d)</w:t>
      </w:r>
      <w:r w:rsidR="00FF0D18" w:rsidRPr="00EF61C8">
        <w:rPr>
          <w:rFonts w:ascii="Times New Roman" w:eastAsia="Times New Roman" w:hAnsi="Times New Roman" w:cs="Times New Roman"/>
          <w:sz w:val="24"/>
          <w:szCs w:val="24"/>
          <w:lang w:val="es-ES_tradnl"/>
        </w:rPr>
        <w:tab/>
        <w:t>Que el Prestatario o, en su caso, el Organismo Ejecutor haya demostrado al Banco que cuenta con un sistema de información financiera y una estructura de control interno adecuados para los propósitos indicados en este Contrato.</w:t>
      </w:r>
    </w:p>
    <w:p w:rsidR="00FF0D18" w:rsidRPr="00EF61C8" w:rsidRDefault="00FF0D18" w:rsidP="00FF0D18">
      <w:pPr>
        <w:widowControl w:val="0"/>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4.02.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Plazo para cumplir las condiciones previas al primer desembolso</w:t>
      </w:r>
      <w:r w:rsidRPr="00EF61C8">
        <w:rPr>
          <w:rFonts w:ascii="Times New Roman" w:eastAsia="Times New Roman" w:hAnsi="Times New Roman" w:cs="Times New Roman"/>
          <w:sz w:val="24"/>
          <w:szCs w:val="24"/>
          <w:lang w:val="es-ES_tradnl"/>
        </w:rPr>
        <w:t>. Si dentro de los ciento ochenta (180) días contados a partir de la fecha de entrada en vigencia de este Contrato, o de un plazo más amplio que las Partes acuerden por escrito, no se cumplieren las condiciones previas al primer desembolso establecidas en el Artículo 4.01 de estas Normas Generales y otras condiciones previas al primer desembolso que se hubiesen acordado en las Estipulaciones Especiales, el Banco podrá poner término a este Contrato en forma anticipada mediante notificación al Prestatario.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0"/>
          <w:lang w:val="es-ES_tradnl"/>
        </w:rPr>
        <w:t>ARTÍCULO 4.03.</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4"/>
          <w:u w:val="single"/>
          <w:lang w:val="es-ES_tradnl"/>
        </w:rPr>
        <w:t>Requisitos para todo desembolso</w:t>
      </w:r>
      <w:r w:rsidRPr="00EF61C8">
        <w:rPr>
          <w:rFonts w:ascii="Times New Roman" w:eastAsia="Times New Roman" w:hAnsi="Times New Roman" w:cs="Times New Roman"/>
          <w:sz w:val="24"/>
          <w:szCs w:val="24"/>
          <w:lang w:val="es-ES_tradnl"/>
        </w:rPr>
        <w:t>. (a) Como requisito de todo desembolso y sin perjuicio de las condiciones previas al primer desembolso de los recursos del Préstamo establecidas en el Artículo 4.01 de estas Normas Generales y, si las hubiere, en las Estipulaciones Especiales, el Prestatario se compromete a presentar o, en su caso, a que el Organismo Ejecutor presente, al Banco por escrito, ya sea físicamente o por medios electrónicos, según la forma y las condiciones especificadas por el Banco, una solicitud de desembolso acompañada de los documentos pertinentes y demás antecedentes que el Banco pueda haberle requerido. Salvo que el Banco acepte lo contrario, la última solicitud de desembolso deberá ser entregada al Banco, a más tardar, con treinta (30) días de anticipación a la fecha de expiración del Plazo Original de Desembols</w:t>
      </w:r>
      <w:r w:rsidR="00950F87">
        <w:rPr>
          <w:rFonts w:ascii="Times New Roman" w:eastAsia="Times New Roman" w:hAnsi="Times New Roman" w:cs="Times New Roman"/>
          <w:sz w:val="24"/>
          <w:szCs w:val="24"/>
          <w:lang w:val="es-ES_tradnl"/>
        </w:rPr>
        <w:t>os o de la extensión del mismo.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A menos que las Partes lo acuerden de otra manera, sólo se harán desembolsos por sumas no inferiores al equivalente de</w:t>
      </w:r>
      <w:r w:rsidR="00950F87">
        <w:rPr>
          <w:rFonts w:ascii="Times New Roman" w:eastAsia="Times New Roman" w:hAnsi="Times New Roman" w:cs="Times New Roman"/>
          <w:sz w:val="24"/>
          <w:szCs w:val="24"/>
          <w:lang w:val="es-ES_tradnl"/>
        </w:rPr>
        <w:t xml:space="preserve"> cien mil Dólares (US$100.000).</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Cualquier cargo, comisión o gasto aplicado a la cuenta bancaria donde se depositen los desembolsos de recursos del Préstamo, estará a cargo y será responsabilidad del Prestatario o del Organismo Ejecutor, según sea el caso.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sz w:val="24"/>
          <w:szCs w:val="24"/>
          <w:lang w:val="es-ES_tradnl"/>
        </w:rPr>
        <w:t>(d)</w:t>
      </w:r>
      <w:r w:rsidRPr="00EF61C8">
        <w:rPr>
          <w:rFonts w:ascii="Times New Roman" w:eastAsia="Times New Roman" w:hAnsi="Times New Roman" w:cs="Times New Roman"/>
          <w:sz w:val="24"/>
          <w:szCs w:val="24"/>
          <w:lang w:val="es-ES_tradnl"/>
        </w:rPr>
        <w:tab/>
        <w:t>Adicionalmente, e</w:t>
      </w:r>
      <w:r w:rsidRPr="00EF61C8">
        <w:rPr>
          <w:rFonts w:ascii="Times New Roman" w:eastAsia="Times New Roman" w:hAnsi="Times New Roman" w:cs="Times New Roman"/>
          <w:sz w:val="24"/>
          <w:szCs w:val="20"/>
          <w:lang w:val="es-ES_tradnl"/>
        </w:rPr>
        <w:t>l Garante no podrá haber incurrido en un retardo de más de ciento veinte (120) días en el pago de las sumas que adeude al Banco por concepto de cualquier préstamo o garantía.</w:t>
      </w:r>
    </w:p>
    <w:p w:rsidR="00FF0D18" w:rsidRPr="00EF61C8" w:rsidRDefault="00FF0D18" w:rsidP="00FF0D18">
      <w:pPr>
        <w:spacing w:after="0" w:line="240" w:lineRule="auto"/>
        <w:jc w:val="both"/>
        <w:rPr>
          <w:rFonts w:ascii="Times New Roman" w:eastAsia="Times New Roman" w:hAnsi="Times New Roman" w:cs="Times New Roman"/>
          <w:b/>
          <w:bCs/>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bCs/>
          <w:sz w:val="24"/>
          <w:szCs w:val="20"/>
          <w:lang w:val="es-ES_tradnl"/>
        </w:rPr>
        <w:t>ARTÍCULO 4.04.</w:t>
      </w:r>
      <w:r w:rsidRPr="00EF61C8">
        <w:rPr>
          <w:rFonts w:ascii="Times New Roman" w:eastAsia="Times New Roman" w:hAnsi="Times New Roman" w:cs="Times New Roman"/>
          <w:b/>
          <w:bCs/>
          <w:sz w:val="24"/>
          <w:szCs w:val="20"/>
          <w:lang w:val="es-ES_tradnl"/>
        </w:rPr>
        <w:tab/>
      </w:r>
      <w:r w:rsidRPr="00EF61C8">
        <w:rPr>
          <w:rFonts w:ascii="Times New Roman" w:eastAsia="Times New Roman" w:hAnsi="Times New Roman" w:cs="Times New Roman"/>
          <w:b/>
          <w:bCs/>
          <w:sz w:val="24"/>
          <w:szCs w:val="20"/>
          <w:u w:val="single"/>
          <w:lang w:val="es-ES_tradnl"/>
        </w:rPr>
        <w:t>Ingresos generados en la cuenta bancaria para los desembolsos</w:t>
      </w:r>
      <w:r w:rsidRPr="00EF61C8">
        <w:rPr>
          <w:rFonts w:ascii="Times New Roman" w:eastAsia="Times New Roman" w:hAnsi="Times New Roman" w:cs="Times New Roman"/>
          <w:sz w:val="24"/>
          <w:szCs w:val="20"/>
          <w:lang w:val="es-ES_tradnl"/>
        </w:rPr>
        <w:t>. Los ingresos generados por recursos del Préstamo, depositados en la cuenta bancaria designada para recibir los desembolsos, deberán ser destinad</w:t>
      </w:r>
      <w:r w:rsidR="00950F87">
        <w:rPr>
          <w:rFonts w:ascii="Times New Roman" w:eastAsia="Times New Roman" w:hAnsi="Times New Roman" w:cs="Times New Roman"/>
          <w:sz w:val="24"/>
          <w:szCs w:val="20"/>
          <w:lang w:val="es-ES_tradnl"/>
        </w:rPr>
        <w:t>os al pago de Gastos Elegibles.</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0"/>
          <w:lang w:val="es-ES_tradnl"/>
        </w:rPr>
        <w:t>ARTÍCULO 4.05.</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4"/>
          <w:u w:val="single"/>
          <w:lang w:val="es-ES_tradnl"/>
        </w:rPr>
        <w:t>Métodos para efectuar los desembolsos</w:t>
      </w:r>
      <w:r w:rsidRPr="00EF61C8">
        <w:rPr>
          <w:rFonts w:ascii="Times New Roman" w:eastAsia="Times New Roman" w:hAnsi="Times New Roman" w:cs="Times New Roman"/>
          <w:sz w:val="24"/>
          <w:szCs w:val="24"/>
          <w:lang w:val="es-ES_tradnl"/>
        </w:rPr>
        <w:t>. Por solicitud del Prestatario o, en su caso, del Organismo Ejecutor, el Banco podrá efectuar los desembolsos de los recursos del Préstamo mediante: (a) reembolso de gastos; (b) Anticipo de Fondos; (c) pagos directos a terceros; y (d) reembolso contr</w:t>
      </w:r>
      <w:r w:rsidR="00950F87">
        <w:rPr>
          <w:rFonts w:ascii="Times New Roman" w:eastAsia="Times New Roman" w:hAnsi="Times New Roman" w:cs="Times New Roman"/>
          <w:sz w:val="24"/>
          <w:szCs w:val="24"/>
          <w:lang w:val="es-ES_tradnl"/>
        </w:rPr>
        <w:t>a garantía de carta de crédito.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lastRenderedPageBreak/>
        <w:t>ARTÍCULO 4.06.</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4"/>
          <w:u w:val="single"/>
          <w:lang w:val="es-ES_tradnl"/>
        </w:rPr>
        <w:t>Reembolso de gastos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sz w:val="24"/>
          <w:szCs w:val="20"/>
          <w:lang w:val="es-ES_tradnl"/>
        </w:rPr>
        <w:t xml:space="preserve"> (a) El Prestatario o, en su caso, el Organismo Ejecutor, podrá solicitar desembolsos bajo el método de reembolso de gastos cuando el Prestatario o, en su caso, el Organismo Ejecutor, haya pagado los Gastos E</w:t>
      </w:r>
      <w:r w:rsidR="00950F87">
        <w:rPr>
          <w:rFonts w:ascii="Times New Roman" w:eastAsia="Times New Roman" w:hAnsi="Times New Roman" w:cs="Times New Roman"/>
          <w:sz w:val="24"/>
          <w:szCs w:val="20"/>
          <w:lang w:val="es-ES_tradnl"/>
        </w:rPr>
        <w:t>legibles con recursos propios.</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t>(b)</w:t>
      </w:r>
      <w:r w:rsidRPr="00EF61C8">
        <w:rPr>
          <w:rFonts w:ascii="Times New Roman" w:eastAsia="Times New Roman" w:hAnsi="Times New Roman" w:cs="Times New Roman"/>
          <w:sz w:val="24"/>
          <w:szCs w:val="20"/>
          <w:lang w:val="es-ES_tradnl"/>
        </w:rPr>
        <w:tab/>
        <w:t>A menos que las Partes acuerden lo contrario, las solicitudes de desembolso para reembolso de gastos deberán realizarse prontamente a medida que el Prestatario o, en su caso, el Organismo Ejecutor, incurra en dichos gastos y, a más tardar, dentro de los sesenta (60) días siguientes a la</w:t>
      </w:r>
      <w:r w:rsidR="00950F87">
        <w:rPr>
          <w:rFonts w:ascii="Times New Roman" w:eastAsia="Times New Roman" w:hAnsi="Times New Roman" w:cs="Times New Roman"/>
          <w:sz w:val="24"/>
          <w:szCs w:val="20"/>
          <w:lang w:val="es-ES_tradnl"/>
        </w:rPr>
        <w:t xml:space="preserve"> finalización de cada Semestre.</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4.07.</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Anticipo de Fondos</w:t>
      </w:r>
      <w:r w:rsidRPr="00EF61C8">
        <w:rPr>
          <w:rFonts w:ascii="Times New Roman" w:eastAsia="Times New Roman" w:hAnsi="Times New Roman" w:cs="Times New Roman"/>
          <w:sz w:val="24"/>
          <w:szCs w:val="20"/>
          <w:lang w:val="es-ES_tradnl"/>
        </w:rPr>
        <w:t>. (a) El Prestatario o, en su caso, el Organismo Ejecutor, podrá solicitar desembolsos bajo el método de Anticipo de Fondos.</w:t>
      </w:r>
      <w:r w:rsidR="00950F87">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 xml:space="preserve"> El monto del Anticipo de Fondos será fijado por el Banco con base en: (i) las necesidades de liquidez del Proyecto para atender previsiones periódicas de Gastos Elegibles durante un período de hasta seis (6) meses, a menos que el Plan Financiero determine un periodo mayor que en ningún caso podrá exceder de doce (12) meses; y (ii) los riesgos asociados a la capacidad demostrada del Prestatario o, en su caso, del Organismo Ejecutor, para gestionar y util</w:t>
      </w:r>
      <w:r w:rsidR="00950F87">
        <w:rPr>
          <w:rFonts w:ascii="Times New Roman" w:eastAsia="Times New Roman" w:hAnsi="Times New Roman" w:cs="Times New Roman"/>
          <w:sz w:val="24"/>
          <w:szCs w:val="20"/>
          <w:lang w:val="es-ES_tradnl"/>
        </w:rPr>
        <w:t>izar los recursos del Préstamo.</w:t>
      </w:r>
    </w:p>
    <w:p w:rsidR="00FF0D18" w:rsidRPr="00EF61C8" w:rsidRDefault="00FF0D18" w:rsidP="00FF0D18">
      <w:pPr>
        <w:spacing w:after="0" w:line="240" w:lineRule="auto"/>
        <w:ind w:left="720"/>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5"/>
        </w:numPr>
        <w:spacing w:after="0" w:line="240" w:lineRule="auto"/>
        <w:ind w:left="0"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Cada Anticipo de Fondos estará sujeto a que: (i) la solicitud del Anticipo de Fondos sea presentada de forma aceptable al Banco; y (ii) con excepción del primer Anticipo de Fondos, el Prestatario o, en su caso, el Organismo Ejecutor, haya presentado, y el Banco haya aceptado, la justificación del uso de, al menos, el ochenta por ciento (80%) del total de los saldos acumulados pendientes de justificación por dicho concepto, a menos que el Plan Financiero determine un porcentaje menor, que en ningún caso podrá ser menor al cincuenta por ciento (50%).</w:t>
      </w:r>
    </w:p>
    <w:p w:rsidR="00FF0D18" w:rsidRPr="00EF61C8" w:rsidRDefault="00FF0D18" w:rsidP="00FF0D18">
      <w:pPr>
        <w:spacing w:after="0" w:line="240" w:lineRule="auto"/>
        <w:ind w:left="720"/>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5"/>
        </w:numPr>
        <w:tabs>
          <w:tab w:val="left" w:pos="1440"/>
        </w:tabs>
        <w:spacing w:after="0" w:line="240" w:lineRule="auto"/>
        <w:ind w:left="0"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Banco podrá incrementar el monto del último Anticipo de Fondos vigente otorgado al Prestatario o al Organismo Ejecutor, según sea el caso, una sola vez durante la vigencia del Plan Financiero y en la medida que se requieran recursos adicionales para el pago de Gastos Elegibles no previstos en el mismo.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5"/>
        </w:numPr>
        <w:spacing w:after="0" w:line="240" w:lineRule="auto"/>
        <w:ind w:left="0"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 xml:space="preserve">El Prestatario se compromete a presentar o, en su caso, a que el Organismo Ejecutor presente, la última solicitud de Anticipo de Fondos, a más tardar, treinta (30) días antes de la fecha de </w:t>
      </w:r>
      <w:r w:rsidRPr="00EF61C8">
        <w:rPr>
          <w:rFonts w:ascii="Times New Roman" w:eastAsia="Times New Roman" w:hAnsi="Times New Roman" w:cs="Times New Roman"/>
          <w:sz w:val="24"/>
          <w:szCs w:val="24"/>
          <w:lang w:val="es-ES_tradnl"/>
        </w:rPr>
        <w:t>vencimiento del Plazo Original de Desembolsos o sus extensiones</w:t>
      </w:r>
      <w:r w:rsidRPr="00EF61C8">
        <w:rPr>
          <w:rFonts w:ascii="Times New Roman" w:eastAsia="Times New Roman" w:hAnsi="Times New Roman" w:cs="Times New Roman"/>
          <w:sz w:val="24"/>
          <w:szCs w:val="20"/>
          <w:lang w:val="es-ES_tradnl"/>
        </w:rPr>
        <w:t xml:space="preserve">, en el entendimiento de que las justificaciones correspondientes a dicho Anticipo de Fondos serán presentadas al Banco durante el Período de Cierre. El Banco no desembolsará recursos con posterioridad al </w:t>
      </w:r>
      <w:r w:rsidRPr="00EF61C8">
        <w:rPr>
          <w:rFonts w:ascii="Times New Roman" w:eastAsia="Times New Roman" w:hAnsi="Times New Roman" w:cs="Times New Roman"/>
          <w:sz w:val="24"/>
          <w:szCs w:val="24"/>
          <w:lang w:val="es-ES_tradnl"/>
        </w:rPr>
        <w:t>vencimiento del Plazo Original de Desembolsos o sus extensiones.</w:t>
      </w:r>
    </w:p>
    <w:p w:rsidR="00FF0D18" w:rsidRPr="00EF61C8" w:rsidRDefault="00FF0D18" w:rsidP="00FF0D18">
      <w:pPr>
        <w:spacing w:after="0" w:line="240" w:lineRule="auto"/>
        <w:ind w:left="720"/>
        <w:rPr>
          <w:rFonts w:ascii="Times New Roman" w:eastAsia="Times New Roman" w:hAnsi="Times New Roman" w:cs="Times New Roman"/>
          <w:sz w:val="24"/>
          <w:szCs w:val="20"/>
          <w:lang w:val="es-ES_tradnl"/>
        </w:rPr>
      </w:pPr>
    </w:p>
    <w:p w:rsidR="00FF0D18" w:rsidRPr="00EF61C8" w:rsidRDefault="00FF0D18" w:rsidP="00FF0D18">
      <w:pPr>
        <w:numPr>
          <w:ilvl w:val="0"/>
          <w:numId w:val="15"/>
        </w:numPr>
        <w:spacing w:after="0" w:line="240" w:lineRule="auto"/>
        <w:ind w:left="0"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valor de cada Anticipo de Fondos al Prestatario o al Organismo Ejecutor, según sea el caso, debe ser mantenido por el valor equivalente expresado en la moneda del desembolso respectivo o en la Moneda de Aprobación. La justificación de Gastos Elegibles incurridos con los recursos de un Anticipo de Fondos debe realizarse por el equivalente del total del Anticipo de Fondos expresado en la moneda del desembolso respectivo o en la Moneda de Aprobación, utilizando el tipo de cambio establecido en el Contrato. El Banco podrá aceptar ajustes en la justificación del Anticipo de Fondos por concepto de fluctuaciones de tipo de cambio, siempre que éstas no afe</w:t>
      </w:r>
      <w:r w:rsidR="00950F87">
        <w:rPr>
          <w:rFonts w:ascii="Times New Roman" w:eastAsia="Times New Roman" w:hAnsi="Times New Roman" w:cs="Times New Roman"/>
          <w:sz w:val="24"/>
          <w:szCs w:val="20"/>
          <w:lang w:val="es-ES_tradnl"/>
        </w:rPr>
        <w:t>cten la ejecución del Proyecto.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lastRenderedPageBreak/>
        <w:t>ARTÍCULO 4.08.</w:t>
      </w: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b/>
          <w:sz w:val="24"/>
          <w:szCs w:val="20"/>
          <w:u w:val="single"/>
          <w:lang w:val="es-ES_tradnl"/>
        </w:rPr>
        <w:t>Pagos directos a terceros</w:t>
      </w:r>
      <w:r w:rsidRPr="00EF61C8">
        <w:rPr>
          <w:rFonts w:ascii="Times New Roman" w:eastAsia="Times New Roman" w:hAnsi="Times New Roman" w:cs="Times New Roman"/>
          <w:sz w:val="24"/>
          <w:szCs w:val="20"/>
          <w:lang w:val="es-ES_tradnl"/>
        </w:rPr>
        <w:t>. (a) El Prestatario o el Organismo Ejecutor, según corresponda, podrá solicitar desembolsos bajo el método de pagos directos a terceros, con el objeto de que el Banco pague directamente a proveedores o contratistas por cuenta del Prestatario o, en su caso, del Organismo Ejecutor.</w:t>
      </w:r>
    </w:p>
    <w:p w:rsidR="00FF0D18" w:rsidRPr="00EF61C8" w:rsidRDefault="00FF0D18" w:rsidP="00FF0D18">
      <w:pPr>
        <w:spacing w:after="0" w:line="240" w:lineRule="auto"/>
        <w:ind w:left="36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w:t>
      </w:r>
      <w:r w:rsidRPr="00EF61C8">
        <w:rPr>
          <w:rFonts w:ascii="Times New Roman" w:eastAsia="Times New Roman" w:hAnsi="Times New Roman" w:cs="Times New Roman"/>
          <w:sz w:val="24"/>
          <w:szCs w:val="20"/>
          <w:lang w:val="es-ES_tradnl"/>
        </w:rPr>
        <w:tab/>
        <w:t>En el caso de pagos directos a terceros, el Prestatario o el Organismo Ejecutor será responsable del pago del monto correspondiente a la diferencia entre el monto del desembolso solicitado por el Prestatario o el Organismo Ejecutor y el monto recibido por el tercero, por concepto de fluctuaciones cambiarias, comisiones y otros costos financieros.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4"/>
          <w:lang w:val="es-ES_tradnl"/>
        </w:rPr>
        <w:t xml:space="preserve">ARTÍCULO 4.09. </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Reembolso contra garantía de carta de crédito</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0"/>
          <w:lang w:val="es-ES_tradnl"/>
        </w:rPr>
        <w:t xml:space="preserve"> El Prestatario o, en su caso, el Organismo Ejecutor, podrá solicitar desembolsos bajo el método de reembolso contra garantía de carta de crédito</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0"/>
          <w:lang w:val="es-ES_tradnl"/>
        </w:rPr>
        <w:t>para efectos de reembolsar a bancos comerciales por concepto de pagos efectuados a contratistas o proveedores de bienes y servicios en virtud de una carta de crédito emitida y/o confirmada por un banco comercial y garantizada por el Banco.</w:t>
      </w:r>
      <w:r w:rsidR="007D6A96">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 xml:space="preserve"> La carta de crédito deberá ser emita y/o confirmada de </w:t>
      </w:r>
      <w:r w:rsidRPr="00EF61C8">
        <w:rPr>
          <w:rFonts w:ascii="Times New Roman" w:eastAsia="Times New Roman" w:hAnsi="Times New Roman" w:cs="Times New Roman"/>
          <w:sz w:val="24"/>
          <w:szCs w:val="24"/>
          <w:lang w:val="es-ES_tradnl"/>
        </w:rPr>
        <w:t>manera satisfactoria para el Banco.</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0"/>
          <w:lang w:val="es-ES_tradnl"/>
        </w:rPr>
        <w:t xml:space="preserve"> Los recursos comprometidos en virtud de la carta de crédito y garantizados por el Banco deberán ser destinados exclusivamente para los fines establecidos en dicha carta de crédito, mientras se encuentre vigente la garantía.</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4.10.</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Tasa de Cambio</w:t>
      </w:r>
      <w:r w:rsidRPr="00EF61C8">
        <w:rPr>
          <w:rFonts w:ascii="Times New Roman" w:eastAsia="Times New Roman" w:hAnsi="Times New Roman" w:cs="Times New Roman"/>
          <w:sz w:val="24"/>
          <w:szCs w:val="20"/>
          <w:lang w:val="es-ES_tradnl"/>
        </w:rPr>
        <w:t>. (a) El Prestatario se compromete a justificar o a que, en su caso, el Organismo Ejecutor justifique, los gastos efectuados con cargo al Préstamo o al Aporte Local, expresando dichos gastos en la moneda de denominación del respectivo desembolso o en la Moneda de Aprobación.</w:t>
      </w: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t>(b)</w:t>
      </w:r>
      <w:r w:rsidRPr="00EF61C8">
        <w:rPr>
          <w:rFonts w:ascii="Times New Roman" w:eastAsia="Times New Roman" w:hAnsi="Times New Roman" w:cs="Times New Roman"/>
          <w:sz w:val="24"/>
          <w:szCs w:val="20"/>
          <w:lang w:val="es-ES_tradnl"/>
        </w:rPr>
        <w:tab/>
      </w:r>
      <w:r w:rsidRPr="00EF61C8">
        <w:rPr>
          <w:rFonts w:ascii="Times New Roman" w:eastAsia="Times New Roman" w:hAnsi="Times New Roman" w:cs="Times New Roman"/>
          <w:bCs/>
          <w:sz w:val="24"/>
          <w:szCs w:val="24"/>
          <w:lang w:val="es-ES_tradnl"/>
        </w:rPr>
        <w:t>Con el fin de determinar la equivalencia de un Gasto Elegible que se efectúe en Moneda Local del país del Prestatario a la moneda en que se realicen los desembolsos, o bien, a la Moneda de Aprobación, para efectos de la rendición de cuentas y la justificación de gastos, cualquiera sea la fuente de financiamiento del Gasto Elegible, se utilizará una de las siguientes tasas de cambio, según se establece en las Estipulaciones Especiales:</w:t>
      </w:r>
    </w:p>
    <w:p w:rsidR="00FF0D18" w:rsidRPr="00EF61C8" w:rsidRDefault="00FF0D18" w:rsidP="00FF0D18">
      <w:pPr>
        <w:tabs>
          <w:tab w:val="left" w:pos="-1440"/>
          <w:tab w:val="left" w:pos="-720"/>
          <w:tab w:val="left" w:pos="720"/>
          <w:tab w:val="left" w:pos="1320"/>
          <w:tab w:val="left" w:pos="2160"/>
        </w:tabs>
        <w:spacing w:after="0" w:line="240" w:lineRule="auto"/>
        <w:ind w:left="720"/>
        <w:jc w:val="both"/>
        <w:rPr>
          <w:rFonts w:ascii="Times New Roman" w:eastAsia="Times New Roman" w:hAnsi="Times New Roman" w:cs="Times New Roman"/>
          <w:bCs/>
          <w:sz w:val="24"/>
          <w:szCs w:val="24"/>
          <w:lang w:val="es-ES_tradnl"/>
        </w:rPr>
      </w:pPr>
    </w:p>
    <w:p w:rsidR="00FF0D18" w:rsidRPr="00EF61C8" w:rsidRDefault="00FF0D18" w:rsidP="00FF0D18">
      <w:pPr>
        <w:numPr>
          <w:ilvl w:val="0"/>
          <w:numId w:val="21"/>
        </w:numPr>
        <w:tabs>
          <w:tab w:val="left" w:pos="-1440"/>
          <w:tab w:val="left" w:pos="-720"/>
          <w:tab w:val="left" w:pos="720"/>
          <w:tab w:val="left" w:pos="1440"/>
          <w:tab w:val="left" w:pos="2160"/>
        </w:tabs>
        <w:spacing w:after="0" w:line="240" w:lineRule="auto"/>
        <w:ind w:left="1440" w:hanging="720"/>
        <w:jc w:val="both"/>
        <w:rPr>
          <w:rFonts w:ascii="Times New Roman" w:eastAsia="Times New Roman" w:hAnsi="Times New Roman" w:cs="Times New Roman"/>
          <w:bCs/>
          <w:sz w:val="24"/>
          <w:szCs w:val="24"/>
          <w:lang w:val="es-ES_tradnl"/>
        </w:rPr>
      </w:pPr>
      <w:r w:rsidRPr="00EF61C8">
        <w:rPr>
          <w:rFonts w:ascii="Times New Roman" w:eastAsia="Times New Roman" w:hAnsi="Times New Roman" w:cs="Times New Roman"/>
          <w:bCs/>
          <w:sz w:val="24"/>
          <w:szCs w:val="24"/>
          <w:lang w:val="es-ES_tradnl"/>
        </w:rPr>
        <w:t>La tasa de cambio efectiva en la fecha de conversión de la Moneda de Aprobación o moneda del desembolso a la Moneda Local del país del Prestatario; o</w:t>
      </w:r>
    </w:p>
    <w:p w:rsidR="00FF0D18" w:rsidRPr="00EF61C8" w:rsidRDefault="00FF0D18" w:rsidP="00FF0D18">
      <w:pPr>
        <w:tabs>
          <w:tab w:val="left" w:pos="-1440"/>
          <w:tab w:val="left" w:pos="-720"/>
          <w:tab w:val="left" w:pos="720"/>
          <w:tab w:val="left" w:pos="1320"/>
          <w:tab w:val="left" w:pos="2160"/>
        </w:tabs>
        <w:spacing w:after="0" w:line="240" w:lineRule="auto"/>
        <w:ind w:left="1296"/>
        <w:jc w:val="both"/>
        <w:rPr>
          <w:rFonts w:ascii="Times New Roman" w:eastAsia="Times New Roman" w:hAnsi="Times New Roman" w:cs="Times New Roman"/>
          <w:bCs/>
          <w:sz w:val="24"/>
          <w:szCs w:val="24"/>
          <w:lang w:val="es-ES_tradnl"/>
        </w:rPr>
      </w:pPr>
    </w:p>
    <w:p w:rsidR="00FF0D18" w:rsidRPr="00EF61C8" w:rsidRDefault="00FF0D18" w:rsidP="00FF0D18">
      <w:pPr>
        <w:numPr>
          <w:ilvl w:val="0"/>
          <w:numId w:val="22"/>
        </w:numPr>
        <w:tabs>
          <w:tab w:val="left" w:pos="-1440"/>
          <w:tab w:val="left" w:pos="-720"/>
          <w:tab w:val="left" w:pos="720"/>
          <w:tab w:val="left" w:pos="1440"/>
          <w:tab w:val="left" w:pos="2160"/>
        </w:tabs>
        <w:spacing w:after="0" w:line="240" w:lineRule="auto"/>
        <w:ind w:left="1440"/>
        <w:jc w:val="both"/>
        <w:rPr>
          <w:rFonts w:ascii="Times New Roman" w:eastAsia="Times New Roman" w:hAnsi="Times New Roman" w:cs="Times New Roman"/>
          <w:bCs/>
          <w:sz w:val="24"/>
          <w:szCs w:val="24"/>
          <w:lang w:val="es-ES_tradnl"/>
        </w:rPr>
      </w:pPr>
      <w:r w:rsidRPr="00EF61C8">
        <w:rPr>
          <w:rFonts w:ascii="Times New Roman" w:eastAsia="Times New Roman" w:hAnsi="Times New Roman" w:cs="Times New Roman"/>
          <w:bCs/>
          <w:sz w:val="24"/>
          <w:szCs w:val="24"/>
          <w:lang w:val="es-ES_tradnl"/>
        </w:rPr>
        <w:t xml:space="preserve">La tasa de cambio efectiva en la fecha de pago del gasto en la Moneda Local del país del Prestatario. </w:t>
      </w: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bCs/>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bCs/>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 xml:space="preserve">En aquellos casos en que se seleccione la tasa de </w:t>
      </w:r>
      <w:r w:rsidR="007D6A96">
        <w:rPr>
          <w:rFonts w:ascii="Times New Roman" w:eastAsia="Times New Roman" w:hAnsi="Times New Roman" w:cs="Times New Roman"/>
          <w:sz w:val="24"/>
          <w:szCs w:val="24"/>
          <w:lang w:val="es-ES_tradnl"/>
        </w:rPr>
        <w:t xml:space="preserve">cambio establecida en el inciso </w:t>
      </w:r>
      <w:r w:rsidRPr="00EF61C8">
        <w:rPr>
          <w:rFonts w:ascii="Times New Roman" w:eastAsia="Times New Roman" w:hAnsi="Times New Roman" w:cs="Times New Roman"/>
          <w:sz w:val="24"/>
          <w:szCs w:val="24"/>
          <w:lang w:val="es-ES_tradnl"/>
        </w:rPr>
        <w:t xml:space="preserve">(b)(i) de este Artículo, </w:t>
      </w:r>
      <w:r w:rsidRPr="00EF61C8">
        <w:rPr>
          <w:rFonts w:ascii="Times New Roman" w:eastAsia="Times New Roman" w:hAnsi="Times New Roman" w:cs="Times New Roman"/>
          <w:bCs/>
          <w:sz w:val="24"/>
          <w:szCs w:val="24"/>
          <w:lang w:val="es-ES_tradnl"/>
        </w:rPr>
        <w:t xml:space="preserve">para efectos de determinar la equivalencia de gastos incurridos en Moneda Local con cargo al Aporte Local o el reembolso de gastos con cargo al Préstamo, se utilizará la tasa de cambio acordada con el Banco en las Estipulaciones Especiales. </w:t>
      </w:r>
    </w:p>
    <w:p w:rsidR="00FF0D18" w:rsidRPr="00EF61C8" w:rsidRDefault="00FF0D18" w:rsidP="00FF0D18">
      <w:pPr>
        <w:spacing w:after="0" w:line="240" w:lineRule="auto"/>
        <w:ind w:firstLine="720"/>
        <w:jc w:val="both"/>
        <w:rPr>
          <w:rFonts w:ascii="Times New Roman" w:eastAsia="Times New Roman" w:hAnsi="Times New Roman" w:cs="Times New Roman"/>
          <w:bCs/>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4.11.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Recibos</w:t>
      </w:r>
      <w:r w:rsidRPr="00EF61C8">
        <w:rPr>
          <w:rFonts w:ascii="Times New Roman" w:eastAsia="Times New Roman" w:hAnsi="Times New Roman" w:cs="Times New Roman"/>
          <w:sz w:val="24"/>
          <w:szCs w:val="24"/>
          <w:lang w:val="es-ES_tradnl"/>
        </w:rPr>
        <w:t>. A solicitud del Banco, el Prestatario suscribirá y entregará al Banco, a la finalización de los desembolsos, el recibo o recibos que representen las sumas desembolsadas.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lastRenderedPageBreak/>
        <w:t>ARTÍCULO 4.12.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Renuncia a parte del Préstamo</w:t>
      </w:r>
      <w:r w:rsidRPr="00EF61C8">
        <w:rPr>
          <w:rFonts w:ascii="Times New Roman" w:eastAsia="Times New Roman" w:hAnsi="Times New Roman" w:cs="Times New Roman"/>
          <w:sz w:val="24"/>
          <w:szCs w:val="24"/>
          <w:lang w:val="es-ES_tradnl"/>
        </w:rPr>
        <w:t>. El Prestatario, de acuerdo con el Garante, si lo hubiere, mediante notificación al Banco, podrá renunciar a su derecho de utilizar cualquier parte del Préstamo que no haya sido desembolsada antes del recibo de dicha notificación, siempre que no se trate de los recursos del Préstamo que se encuentren sujetos a la garantía de reembolso de una carta de crédito irrevocable, según lo previsto en el Artículo 8.04 de estas Normas Generales.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4.13.</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u w:val="single"/>
          <w:lang w:val="es-ES_tradnl"/>
        </w:rPr>
        <w:t>Cancelación automática de parte del Préstamo</w:t>
      </w:r>
      <w:r w:rsidRPr="00EF61C8">
        <w:rPr>
          <w:rFonts w:ascii="Times New Roman" w:eastAsia="Times New Roman" w:hAnsi="Times New Roman" w:cs="Times New Roman"/>
          <w:sz w:val="24"/>
          <w:szCs w:val="24"/>
          <w:lang w:val="es-ES_tradnl"/>
        </w:rPr>
        <w:t>. Expirado el Plazo Original de Desembolsos y cualquier extensión del mismo, la parte del Préstamo que no hubiere sido comprometida o desembolsada quedará automáticamente cancelada.</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4.14.</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Período de Cierre</w:t>
      </w:r>
      <w:r w:rsidRPr="00EF61C8">
        <w:rPr>
          <w:rFonts w:ascii="Times New Roman" w:eastAsia="Times New Roman" w:hAnsi="Times New Roman" w:cs="Times New Roman"/>
          <w:sz w:val="24"/>
          <w:szCs w:val="20"/>
          <w:lang w:val="es-ES_tradnl"/>
        </w:rPr>
        <w:t>. (a) El Prestatario se compromete a llevar a cabo o, en su caso, a que el Organismo Ejecutor lleve a cabo, las siguientes acciones durante el Período de Cierre: (i) finalizar los pagos pendientes a terceros, si los hubiere; (ii) reconciliar sus registros y presentar, a satisfacción del Banco, la documentación de respaldo de los gastos efectuados con cargo al Proyecto y demás informaciones que el Banco solicite; y (iii) devolver al Banco el saldo sin justificar de los recur</w:t>
      </w:r>
      <w:r w:rsidR="007D6A96">
        <w:rPr>
          <w:rFonts w:ascii="Times New Roman" w:eastAsia="Times New Roman" w:hAnsi="Times New Roman" w:cs="Times New Roman"/>
          <w:sz w:val="24"/>
          <w:szCs w:val="20"/>
          <w:lang w:val="es-ES_tradnl"/>
        </w:rPr>
        <w:t>sos desembolsados del Préstamo.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w:t>
      </w:r>
      <w:r w:rsidRPr="00EF61C8">
        <w:rPr>
          <w:rFonts w:ascii="Times New Roman" w:eastAsia="Times New Roman" w:hAnsi="Times New Roman" w:cs="Times New Roman"/>
          <w:sz w:val="24"/>
          <w:szCs w:val="20"/>
          <w:lang w:val="es-ES_tradnl"/>
        </w:rPr>
        <w:tab/>
        <w:t>Sin perjuicio de lo anterior, si el Contrato prevé informes de auditoría financiera externa financiados con cargo a los recursos del Préstamo, el Prestatario se compromete a reservar o, en su caso, a que el Organismo Ejecutor reserve, en la forma que se acuerde con el Banco, recursos suficientes para el pago de las mismas.</w:t>
      </w:r>
      <w:r w:rsidR="007D6A96">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 xml:space="preserve"> En este caso, el Prestatario se compromete, asimismo, a acordar o, en su caso, a que el Organismo Ejecutor acuerde, con el Banco, la forma en que se llevarán a cabo los pagos correspondientes a dichas auditorías. </w:t>
      </w:r>
      <w:r w:rsidR="007D6A96">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 xml:space="preserve">En el evento de que el Banco no reciba los mencionados informes de auditoría financiera externa dentro de los plazos estipulados en este Contrato, el Prestatario se compromete a devolver o, en su caso, a que el Organismo Ejecutor devuelva, al Banco, los recursos reservados para tal fin, sin que ello implique una renuncia del Banco al ejercicio de los derechos previstos en el </w:t>
      </w:r>
      <w:r w:rsidR="007D6A96">
        <w:rPr>
          <w:rFonts w:ascii="Times New Roman" w:eastAsia="Times New Roman" w:hAnsi="Times New Roman" w:cs="Times New Roman"/>
          <w:sz w:val="24"/>
          <w:szCs w:val="20"/>
          <w:lang w:val="es-ES_tradnl"/>
        </w:rPr>
        <w:t>Capítulo VIII de este Contrato.</w:t>
      </w:r>
    </w:p>
    <w:p w:rsidR="00FF0D18" w:rsidRPr="00EF61C8" w:rsidRDefault="00FF0D18" w:rsidP="00FF0D18">
      <w:pPr>
        <w:spacing w:after="0" w:line="240" w:lineRule="auto"/>
        <w:jc w:val="center"/>
        <w:rPr>
          <w:rFonts w:ascii="Times New Roman" w:eastAsia="Times New Roman" w:hAnsi="Times New Roman" w:cs="Times New Roman"/>
          <w:b/>
          <w:bCs/>
          <w:sz w:val="24"/>
          <w:szCs w:val="24"/>
          <w:lang w:val="es-ES_tradnl"/>
        </w:rPr>
      </w:pPr>
    </w:p>
    <w:p w:rsidR="00FF0D18" w:rsidRPr="00EF61C8" w:rsidRDefault="00FF0D18" w:rsidP="00FF0D18">
      <w:pPr>
        <w:keepNext/>
        <w:keepLines/>
        <w:spacing w:after="0" w:line="276" w:lineRule="auto"/>
        <w:jc w:val="center"/>
        <w:rPr>
          <w:rFonts w:ascii="Times New Roman" w:eastAsia="Times New Roman" w:hAnsi="Times New Roman" w:cs="Times New Roman"/>
          <w:b/>
          <w:bCs/>
          <w:sz w:val="24"/>
          <w:szCs w:val="24"/>
          <w:lang w:val="es-ES_tradnl"/>
        </w:rPr>
      </w:pPr>
      <w:r w:rsidRPr="00EF61C8">
        <w:rPr>
          <w:rFonts w:ascii="Times New Roman" w:eastAsia="Times New Roman" w:hAnsi="Times New Roman" w:cs="Times New Roman"/>
          <w:b/>
          <w:bCs/>
          <w:sz w:val="24"/>
          <w:szCs w:val="24"/>
          <w:lang w:val="es-ES_tradnl"/>
        </w:rPr>
        <w:t>CAPÍTULO V</w:t>
      </w:r>
    </w:p>
    <w:p w:rsidR="00FF0D18" w:rsidRPr="00EF61C8" w:rsidRDefault="00FF0D18" w:rsidP="00FF0D18">
      <w:pPr>
        <w:keepNext/>
        <w:keepLines/>
        <w:spacing w:after="0" w:line="276" w:lineRule="auto"/>
        <w:jc w:val="center"/>
        <w:rPr>
          <w:rFonts w:ascii="Times New Roman" w:eastAsia="Times New Roman" w:hAnsi="Times New Roman" w:cs="Times New Roman"/>
          <w:b/>
          <w:bCs/>
          <w:sz w:val="24"/>
          <w:szCs w:val="24"/>
          <w:u w:val="single"/>
          <w:lang w:val="es-ES_tradnl"/>
        </w:rPr>
      </w:pPr>
      <w:r w:rsidRPr="00EF61C8">
        <w:rPr>
          <w:rFonts w:ascii="Times New Roman" w:eastAsia="Times New Roman" w:hAnsi="Times New Roman" w:cs="Times New Roman"/>
          <w:b/>
          <w:bCs/>
          <w:sz w:val="24"/>
          <w:szCs w:val="24"/>
          <w:u w:val="single"/>
          <w:lang w:val="es-ES_tradnl"/>
        </w:rPr>
        <w:t>Conversiones</w:t>
      </w:r>
    </w:p>
    <w:p w:rsidR="00FF0D18" w:rsidRPr="00EF61C8" w:rsidRDefault="00FF0D18" w:rsidP="00FF0D18">
      <w:pPr>
        <w:keepNext/>
        <w:keepLines/>
        <w:spacing w:after="0" w:line="276" w:lineRule="auto"/>
        <w:jc w:val="center"/>
        <w:rPr>
          <w:rFonts w:ascii="Times New Roman" w:eastAsia="Times New Roman" w:hAnsi="Times New Roman" w:cs="Times New Roman"/>
          <w:b/>
          <w:bCs/>
          <w:sz w:val="24"/>
          <w:szCs w:val="24"/>
          <w:lang w:val="es-ES_tradnl"/>
        </w:rPr>
      </w:pPr>
    </w:p>
    <w:p w:rsidR="00FF0D18" w:rsidRPr="00EF61C8" w:rsidRDefault="00FF0D18" w:rsidP="00FF0D18">
      <w:pPr>
        <w:keepNext/>
        <w:keepLines/>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Ejercicio de la opción de Conversión</w:t>
      </w:r>
      <w:r w:rsidRPr="00EF61C8">
        <w:rPr>
          <w:rFonts w:ascii="Times New Roman" w:eastAsia="Times New Roman" w:hAnsi="Times New Roman" w:cs="Times New Roman"/>
          <w:sz w:val="24"/>
          <w:szCs w:val="24"/>
          <w:lang w:val="es-ES_tradnl"/>
        </w:rPr>
        <w:t>. (a) El Prestatario podrá solicitar una Conversión de Moneda, una Conversión de Tasa de Interés o una Conversión de Productos Básicos mediante la entrega al Banco de una “Carta Solicitud de Conversión” de carácter irrevocable, en la forma y el contenido satisfactorios para el Banco, en la que se indiquen los términos y condiciones financieras solicitados por el Prestatario para la respectiva Conversión.</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El Banco podrá proporcionar al Prestatario un modelo de</w:t>
      </w:r>
      <w:r w:rsidR="007D6A96">
        <w:rPr>
          <w:rFonts w:ascii="Times New Roman" w:eastAsia="Times New Roman" w:hAnsi="Times New Roman" w:cs="Times New Roman"/>
          <w:sz w:val="24"/>
          <w:szCs w:val="24"/>
          <w:lang w:val="es-ES_tradnl"/>
        </w:rPr>
        <w:t xml:space="preserve"> Carta Solicitud de Conversión.</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La Carta Solicitud de Conversión deberá estar firmada por un representante debidamente autorizado del Prestatario, deberá tener la anuencia del Garante, si lo hubiere, y contendrá, cuando menos, la información que se señala a continuación:</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8"/>
        </w:numPr>
        <w:tabs>
          <w:tab w:val="left" w:pos="720"/>
          <w:tab w:val="left" w:pos="1440"/>
        </w:tabs>
        <w:autoSpaceDE w:val="0"/>
        <w:autoSpaceDN w:val="0"/>
        <w:adjustRightInd w:val="0"/>
        <w:spacing w:after="0" w:line="240" w:lineRule="auto"/>
        <w:ind w:left="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lastRenderedPageBreak/>
        <w:t>Para todas las Conversiones</w:t>
      </w:r>
      <w:r w:rsidRPr="00EF61C8">
        <w:rPr>
          <w:rFonts w:ascii="Times New Roman" w:eastAsia="Times New Roman" w:hAnsi="Times New Roman" w:cs="Times New Roman"/>
          <w:sz w:val="24"/>
          <w:szCs w:val="24"/>
          <w:lang w:val="es-ES_tradnl"/>
        </w:rPr>
        <w:t>. (A) número de Préstamo; (B) monto objeto de la Conversión; (C) tipo de Conversión (Conversión de Moneda, Conversión de Tasa de Interés o Conversión de Productos Básicos); (D) número de cuenta donde se habrán de depositar fondos, en caso de ser aplicable; y (E) Convenció</w:t>
      </w:r>
      <w:r w:rsidR="007D6A96">
        <w:rPr>
          <w:rFonts w:ascii="Times New Roman" w:eastAsia="Times New Roman" w:hAnsi="Times New Roman" w:cs="Times New Roman"/>
          <w:sz w:val="24"/>
          <w:szCs w:val="24"/>
          <w:lang w:val="es-ES_tradnl"/>
        </w:rPr>
        <w:t>n para el Cálculo de Intereses.</w:t>
      </w:r>
    </w:p>
    <w:p w:rsidR="00FF0D18" w:rsidRPr="00EF61C8" w:rsidRDefault="00FF0D18" w:rsidP="00FF0D18">
      <w:pPr>
        <w:spacing w:after="0" w:line="240" w:lineRule="auto"/>
        <w:ind w:left="2040"/>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8"/>
        </w:numPr>
        <w:tabs>
          <w:tab w:val="left" w:pos="720"/>
          <w:tab w:val="left" w:pos="1440"/>
        </w:tabs>
        <w:autoSpaceDE w:val="0"/>
        <w:autoSpaceDN w:val="0"/>
        <w:adjustRightInd w:val="0"/>
        <w:spacing w:after="0" w:line="240" w:lineRule="auto"/>
        <w:ind w:left="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Para Conversiones de Moneda</w:t>
      </w:r>
      <w:r w:rsidRPr="00EF61C8">
        <w:rPr>
          <w:rFonts w:ascii="Times New Roman" w:eastAsia="Times New Roman" w:hAnsi="Times New Roman" w:cs="Times New Roman"/>
          <w:sz w:val="24"/>
          <w:szCs w:val="24"/>
          <w:lang w:val="es-ES_tradnl"/>
        </w:rPr>
        <w:t>. (A) moneda a la que el Prestatario solicita convertir el Préstamo; (B) Cronograma de Amortización asociado con dicha Conversión de Moneda, el cual podrá tener un plazo de amortización igual o menor a la Fecha Final de Amortización; (C) la parte del desembolso o del Saldo Deudor al que aplicará la Conversión; (D) el tipo de interés aplicable a los montos objeto de la Conversión de Moneda; (E) si la Conversión de Moneda es por Plazo Total o Plazo Parcial; (F) la Moneda de Liquidación; (</w:t>
      </w:r>
      <w:r w:rsidR="007D6A96">
        <w:rPr>
          <w:rFonts w:ascii="Times New Roman" w:eastAsia="Times New Roman" w:hAnsi="Times New Roman" w:cs="Times New Roman"/>
          <w:sz w:val="24"/>
          <w:szCs w:val="24"/>
          <w:lang w:val="es-ES_tradnl"/>
        </w:rPr>
        <w:t xml:space="preserve">G) el Plazo de Ejecución; y (H) </w:t>
      </w:r>
      <w:r w:rsidRPr="00EF61C8">
        <w:rPr>
          <w:rFonts w:ascii="Times New Roman" w:eastAsia="Times New Roman" w:hAnsi="Times New Roman" w:cs="Times New Roman"/>
          <w:sz w:val="24"/>
          <w:szCs w:val="24"/>
          <w:lang w:val="es-ES_tradnl"/>
        </w:rPr>
        <w:t xml:space="preserve">cualquier otra instrucción relativa a la solicitud de Conversión de Moneda. </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Si la Carta Solicitud de Conversión se presenta en relación con un desembolso, la solicitud deberá indicar el monto del desembolso en unidades de la Moneda de Aprobación, en unidades de Dólar o en unidades de la moneda a la que se desea convertir, salvo que se trate del último desembolso, en cuyo caso la solicitud tendrá que ser hecha en unidades de la Moneda de Aprobación.  En estos casos, si el Banco efectúa la Conversión, los desembolsos serán denominados en Moneda Convertida y se harán en: (i) la Moneda Convertida; o (ii) en un monto equivalente en Dólares al tipo de cambio establecido en la Carta Notificación de Conversión, que será aquel que determine el Banco al momento de la captación de su financiamiento. Si la Carta Solicitud de Conversión se refiere a Saldos Deudores, la solicitud deberá indicar el monto en unidades de la moneda de denom</w:t>
      </w:r>
      <w:r w:rsidR="007D6A96">
        <w:rPr>
          <w:rFonts w:ascii="Times New Roman" w:eastAsia="Times New Roman" w:hAnsi="Times New Roman" w:cs="Times New Roman"/>
          <w:sz w:val="24"/>
          <w:szCs w:val="24"/>
          <w:lang w:val="es-ES_tradnl"/>
        </w:rPr>
        <w:t>inación de los Saldos Deudores.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8"/>
        </w:numPr>
        <w:tabs>
          <w:tab w:val="left" w:pos="720"/>
          <w:tab w:val="left" w:pos="1440"/>
        </w:tabs>
        <w:autoSpaceDE w:val="0"/>
        <w:autoSpaceDN w:val="0"/>
        <w:adjustRightInd w:val="0"/>
        <w:spacing w:after="0" w:line="240" w:lineRule="auto"/>
        <w:ind w:left="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Para Conversiones de Tasa de Interés</w:t>
      </w:r>
      <w:r w:rsidRPr="00EF61C8">
        <w:rPr>
          <w:rFonts w:ascii="Times New Roman" w:eastAsia="Times New Roman" w:hAnsi="Times New Roman" w:cs="Times New Roman"/>
          <w:sz w:val="24"/>
          <w:szCs w:val="24"/>
          <w:lang w:val="es-ES_tradnl"/>
        </w:rPr>
        <w:t>. (A) tipo de t</w:t>
      </w:r>
      <w:r w:rsidR="007D6A96">
        <w:rPr>
          <w:rFonts w:ascii="Times New Roman" w:eastAsia="Times New Roman" w:hAnsi="Times New Roman" w:cs="Times New Roman"/>
          <w:sz w:val="24"/>
          <w:szCs w:val="24"/>
          <w:lang w:val="es-ES_tradnl"/>
        </w:rPr>
        <w:t xml:space="preserve">asa de interés solicitada; (B) </w:t>
      </w:r>
      <w:r w:rsidRPr="00EF61C8">
        <w:rPr>
          <w:rFonts w:ascii="Times New Roman" w:eastAsia="Times New Roman" w:hAnsi="Times New Roman" w:cs="Times New Roman"/>
          <w:sz w:val="24"/>
          <w:szCs w:val="24"/>
          <w:lang w:val="es-ES_tradnl"/>
        </w:rPr>
        <w:t>la parte del Saldo Deudor a la que aplicará la Conversión de Tasa de Interés; (C) si la Conversión de Tasa de Interés es por Plazo</w:t>
      </w:r>
      <w:r w:rsidR="007D6A96">
        <w:rPr>
          <w:rFonts w:ascii="Times New Roman" w:eastAsia="Times New Roman" w:hAnsi="Times New Roman" w:cs="Times New Roman"/>
          <w:sz w:val="24"/>
          <w:szCs w:val="24"/>
          <w:lang w:val="es-ES_tradnl"/>
        </w:rPr>
        <w:t xml:space="preserve"> Total o por Plazo Parcial; (D) </w:t>
      </w:r>
      <w:r w:rsidRPr="00EF61C8">
        <w:rPr>
          <w:rFonts w:ascii="Times New Roman" w:eastAsia="Times New Roman" w:hAnsi="Times New Roman" w:cs="Times New Roman"/>
          <w:sz w:val="24"/>
          <w:szCs w:val="24"/>
          <w:lang w:val="es-ES_tradnl"/>
        </w:rPr>
        <w:t>el Cronograma de Amortización asociado con dicha Conversión de Tasa de Interés, el cual podrá tener un plazo de amortización igual o menor a la Fecha Final de Amortización; y (E) para Conversiones de Tasa de Interés para el establecimiento de un Tope (</w:t>
      </w:r>
      <w:r w:rsidRPr="00EF61C8">
        <w:rPr>
          <w:rFonts w:ascii="Times New Roman" w:eastAsia="Times New Roman" w:hAnsi="Times New Roman" w:cs="Times New Roman"/>
          <w:i/>
          <w:sz w:val="24"/>
          <w:szCs w:val="24"/>
          <w:lang w:val="es-ES_tradnl"/>
        </w:rPr>
        <w:t>cap</w:t>
      </w:r>
      <w:r w:rsidRPr="00EF61C8">
        <w:rPr>
          <w:rFonts w:ascii="Times New Roman" w:eastAsia="Times New Roman" w:hAnsi="Times New Roman" w:cs="Times New Roman"/>
          <w:sz w:val="24"/>
          <w:szCs w:val="24"/>
          <w:lang w:val="es-ES_tradnl"/>
        </w:rPr>
        <w:t>) de Tasa de Interés o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los límites superior y/o inferior aplic</w:t>
      </w:r>
      <w:r w:rsidR="007D6A96">
        <w:rPr>
          <w:rFonts w:ascii="Times New Roman" w:eastAsia="Times New Roman" w:hAnsi="Times New Roman" w:cs="Times New Roman"/>
          <w:sz w:val="24"/>
          <w:szCs w:val="24"/>
          <w:lang w:val="es-ES_tradnl"/>
        </w:rPr>
        <w:t xml:space="preserve">ables, según sea el caso; y (F) </w:t>
      </w:r>
      <w:r w:rsidRPr="00EF61C8">
        <w:rPr>
          <w:rFonts w:ascii="Times New Roman" w:eastAsia="Times New Roman" w:hAnsi="Times New Roman" w:cs="Times New Roman"/>
          <w:sz w:val="24"/>
          <w:szCs w:val="24"/>
          <w:lang w:val="es-ES_tradnl"/>
        </w:rPr>
        <w:t>cualquier otra instrucción relativa a la solicitud de Conversión de Tasa de Interés.</w:t>
      </w:r>
    </w:p>
    <w:p w:rsidR="00FF0D18" w:rsidRPr="00EF61C8" w:rsidRDefault="00FF0D18" w:rsidP="00FF0D18">
      <w:pPr>
        <w:tabs>
          <w:tab w:val="left" w:pos="720"/>
          <w:tab w:val="left" w:pos="1440"/>
        </w:tabs>
        <w:autoSpaceDE w:val="0"/>
        <w:autoSpaceDN w:val="0"/>
        <w:adjustRightInd w:val="0"/>
        <w:spacing w:after="0" w:line="240" w:lineRule="auto"/>
        <w:ind w:left="1440"/>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8"/>
        </w:numPr>
        <w:tabs>
          <w:tab w:val="left" w:pos="720"/>
          <w:tab w:val="left" w:pos="1440"/>
        </w:tabs>
        <w:autoSpaceDE w:val="0"/>
        <w:autoSpaceDN w:val="0"/>
        <w:adjustRightInd w:val="0"/>
        <w:spacing w:after="0" w:line="240" w:lineRule="auto"/>
        <w:ind w:left="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Para Conversiones de Productos Básicos</w:t>
      </w:r>
      <w:r w:rsidRPr="00EF61C8">
        <w:rPr>
          <w:rFonts w:ascii="Times New Roman" w:eastAsia="Times New Roman" w:hAnsi="Times New Roman" w:cs="Times New Roman"/>
          <w:sz w:val="24"/>
          <w:szCs w:val="24"/>
          <w:lang w:val="es-ES_tradnl"/>
        </w:rPr>
        <w:t xml:space="preserve">. (A) si se solicita una Opción de Venta de Productos Básicos o una Opción de Compra de Productos Básicos; (B) el Tipo de Opción; (C) la identidad del producto básico sujeto de dicha Conversión de Productos Básicos, incluyendo las propiedades físicas del mismo; (D) la Cantidad Nocional; (E) el Índice del Producto Básico Subyacente; (F) el Precio de Ejercicio; (G) la Fecha de Vencimiento de Conversión de Productos Básicos; (H) si la Conversión es una Conversión de Productos Básicos por Plazo Total o una Conversión de Productos Básicos </w:t>
      </w:r>
      <w:r w:rsidRPr="00EF61C8">
        <w:rPr>
          <w:rFonts w:ascii="Times New Roman" w:eastAsia="Times New Roman" w:hAnsi="Times New Roman" w:cs="Times New Roman"/>
          <w:sz w:val="24"/>
          <w:szCs w:val="24"/>
          <w:lang w:val="es-ES_tradnl"/>
        </w:rPr>
        <w:lastRenderedPageBreak/>
        <w:t>por Plazo Parcial; (I) la fórmula para la determinación del Monto de Liquidación en Efectivo, de ser el caso; (J) el Saldo Deudor Requerido; (K) la información específica de la cuenta bancaria en la que el Banco pagará al Prestatario, de ser el caso, el Monto de Liquidación en la Fecha de Liquidación de la Conversión de Productos Básicos; (L) a opción del Prestatario, el monto máximo de la prima que está dispuesto a pagar para contratar una Conversión de Productos Básicos en base a una Cantidad Nocional y un Precio de Ejercicio determinados, tal como se prevé en el párrafo (e) a continuación; y (M) cualesquiera otras instrucciones relacionadas con la solicitud de Conversión de Productos Básicos.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Cualquier monto de capital pagadero dentro del p</w:t>
      </w:r>
      <w:r w:rsidR="007D6A96">
        <w:rPr>
          <w:rFonts w:ascii="Times New Roman" w:eastAsia="Times New Roman" w:hAnsi="Times New Roman" w:cs="Times New Roman"/>
          <w:sz w:val="24"/>
          <w:szCs w:val="24"/>
          <w:lang w:val="es-ES_tradnl"/>
        </w:rPr>
        <w:t xml:space="preserve">eríodo contado desde los quince </w:t>
      </w:r>
      <w:r w:rsidRPr="00EF61C8">
        <w:rPr>
          <w:rFonts w:ascii="Times New Roman" w:eastAsia="Times New Roman" w:hAnsi="Times New Roman" w:cs="Times New Roman"/>
          <w:sz w:val="24"/>
          <w:szCs w:val="24"/>
          <w:lang w:val="es-ES_tradnl"/>
        </w:rPr>
        <w:t>(15) días previos al comienzo del Plazo de Ejecución hasta e incluyendo la Fecha de Conversión no podrá ser objeto de Conversión y deberá ser pagado en los términos aplicables previamente a</w:t>
      </w:r>
      <w:r w:rsidR="007D6A96">
        <w:rPr>
          <w:rFonts w:ascii="Times New Roman" w:eastAsia="Times New Roman" w:hAnsi="Times New Roman" w:cs="Times New Roman"/>
          <w:sz w:val="24"/>
          <w:szCs w:val="24"/>
          <w:lang w:val="es-ES_tradnl"/>
        </w:rPr>
        <w:t xml:space="preserve"> la ejecución de la Conversión.</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w:t>
      </w:r>
      <w:r w:rsidRPr="00EF61C8">
        <w:rPr>
          <w:rFonts w:ascii="Times New Roman" w:eastAsia="Times New Roman" w:hAnsi="Times New Roman" w:cs="Times New Roman"/>
          <w:sz w:val="24"/>
          <w:szCs w:val="24"/>
          <w:lang w:val="es-ES_tradnl"/>
        </w:rPr>
        <w:tab/>
        <w:t>Una vez que el Banco haya recibido la Carta Solicitud de Conversión, procederá a revisar la misma. Si la encuentra aceptable, el Banco efectuará la Conversión durante el Plazo de Ejecución de acuerdo con lo previsto en este Capítulo V. Efectuada la Conversión, el Banco enviará al Prestatario una Carta Notificación de Conversión con los términos y condicione</w:t>
      </w:r>
      <w:r w:rsidR="007D6A96">
        <w:rPr>
          <w:rFonts w:ascii="Times New Roman" w:eastAsia="Times New Roman" w:hAnsi="Times New Roman" w:cs="Times New Roman"/>
          <w:sz w:val="24"/>
          <w:szCs w:val="24"/>
          <w:lang w:val="es-ES_tradnl"/>
        </w:rPr>
        <w:t>s financieros de la Conversión.</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w:t>
      </w:r>
      <w:r w:rsidRPr="00EF61C8">
        <w:rPr>
          <w:rFonts w:ascii="Times New Roman" w:eastAsia="Times New Roman" w:hAnsi="Times New Roman" w:cs="Times New Roman"/>
          <w:sz w:val="24"/>
          <w:szCs w:val="24"/>
          <w:lang w:val="es-ES_tradnl"/>
        </w:rPr>
        <w:tab/>
        <w:t xml:space="preserve">Con respecto a las Conversiones de Productos Básicos, el Prestatario podrá indicar en la Carta Solicitud de Conversión el monto máximo de la prima que está dispuesto a pagar para contratar una Conversión de Productos Básicos teniendo en cuenta una Cantidad Nocional y un Precio de Ejercicio determinados. </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Para el caso de que no se especifique un límite, el Banco podrá contratar la cobertura de productos básicos relacionada al precio de la prima prevaleciente en el mercado. Alternativamente, el Prestatario podrá dar instrucciones al Banco para que contrate la cobertura de productos básicos relacionada con base a un monto de la prima en Dólares y un Precio de Ejercicio determinados. </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La Cantidad Nocional resultante reflejará las condiciones de mercado en el momento de la contratación de la cobertura.</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w:t>
      </w:r>
      <w:r w:rsidRPr="00EF61C8">
        <w:rPr>
          <w:rFonts w:ascii="Times New Roman" w:eastAsia="Times New Roman" w:hAnsi="Times New Roman" w:cs="Times New Roman"/>
          <w:sz w:val="24"/>
          <w:szCs w:val="24"/>
          <w:lang w:val="es-ES_tradnl"/>
        </w:rPr>
        <w:tab/>
        <w:t xml:space="preserve">Si el Banco determina que la Carta Solicitud de Conversión no cumple con los requisitos previstos en este Contrato, el Banco notificará al efecto al Prestatario durante el Plazo de Ejecución. </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Prestatario podrá presentar una nueva Carta Solicitud de Conversión, en cuyo caso el Plazo de Ejecución para dicha Conversión empezará a contar desde el momento en que el Banco reciba la nueva</w:t>
      </w:r>
      <w:r w:rsidR="007D6A96">
        <w:rPr>
          <w:rFonts w:ascii="Times New Roman" w:eastAsia="Times New Roman" w:hAnsi="Times New Roman" w:cs="Times New Roman"/>
          <w:sz w:val="24"/>
          <w:szCs w:val="24"/>
          <w:lang w:val="es-ES_tradnl"/>
        </w:rPr>
        <w:t xml:space="preserve"> Carta Solicitud de Conversión.</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(g)</w:t>
      </w:r>
      <w:r w:rsidRPr="00EF61C8">
        <w:rPr>
          <w:rFonts w:ascii="Times New Roman" w:eastAsia="Times New Roman" w:hAnsi="Times New Roman" w:cs="Times New Roman"/>
          <w:sz w:val="24"/>
          <w:szCs w:val="24"/>
          <w:lang w:val="es-ES_tradnl"/>
        </w:rPr>
        <w:tab/>
        <w:t>Si durante el Plazo de Ejecución el Banco no logra efectuar la Conversión en los términos solicitados por el Prestatario en la Carta Solicitud de Conversión, dicha carta se considerará nula y sin efecto, sin perjuicio de que el Prestatario pueda presentar una nueva Carta Solicitud de Conversión.</w:t>
      </w:r>
    </w:p>
    <w:p w:rsidR="00FF45F3" w:rsidRPr="00EF61C8" w:rsidRDefault="00FF45F3"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(h)</w:t>
      </w:r>
      <w:r w:rsidRPr="00EF61C8">
        <w:rPr>
          <w:rFonts w:ascii="Times New Roman" w:eastAsia="Times New Roman" w:hAnsi="Times New Roman" w:cs="Times New Roman"/>
          <w:sz w:val="24"/>
          <w:szCs w:val="24"/>
          <w:lang w:val="es-ES_tradnl"/>
        </w:rPr>
        <w:tab/>
        <w:t xml:space="preserve">Si durante el Plazo de Ejecución ocurre una catástrofe nacional o internacional, una crisis de naturaleza financiera o económica, un cambio en los mercados de capitales o cualquier otra circunstancia extraordinaria que pudiera afectar, en opinión del </w:t>
      </w:r>
      <w:r w:rsidRPr="00EF61C8">
        <w:rPr>
          <w:rFonts w:ascii="Times New Roman" w:eastAsia="Times New Roman" w:hAnsi="Times New Roman" w:cs="Times New Roman"/>
          <w:sz w:val="24"/>
          <w:szCs w:val="24"/>
          <w:lang w:val="es-ES_tradnl"/>
        </w:rPr>
        <w:lastRenderedPageBreak/>
        <w:t xml:space="preserve">Banco, material y negativamente su habilidad para efectuar una Conversión o efectuar una captación de financiamiento o cobertura relacionada, el Banco notificará al Prestatario y acordará con éste cualquier actuación que haya de llevarse a cabo con respecto a dicha Carta </w:t>
      </w:r>
      <w:r w:rsidR="007D6A96">
        <w:rPr>
          <w:rFonts w:ascii="Times New Roman" w:eastAsia="Times New Roman" w:hAnsi="Times New Roman" w:cs="Times New Roman"/>
          <w:sz w:val="24"/>
          <w:szCs w:val="24"/>
          <w:lang w:val="es-ES_tradnl"/>
        </w:rPr>
        <w:t>Solicitud de Conversión.</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Requisitos para toda Conversión</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Cualquier Conversión estará suje</w:t>
      </w:r>
      <w:r w:rsidR="007D6A96">
        <w:rPr>
          <w:rFonts w:ascii="Times New Roman" w:eastAsia="Times New Roman" w:hAnsi="Times New Roman" w:cs="Times New Roman"/>
          <w:sz w:val="24"/>
          <w:szCs w:val="24"/>
          <w:lang w:val="es-ES_tradnl"/>
        </w:rPr>
        <w:t>ta a los siguientes requisitos:</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s>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w:t>
      </w:r>
      <w:r w:rsidRPr="00EF61C8">
        <w:rPr>
          <w:rFonts w:ascii="Times New Roman" w:eastAsia="Times New Roman" w:hAnsi="Times New Roman" w:cs="Times New Roman"/>
          <w:sz w:val="24"/>
          <w:szCs w:val="24"/>
          <w:lang w:val="es-ES_tradnl"/>
        </w:rPr>
        <w:tab/>
        <w:t>La viabilidad de que el Banco realice cualquier Conversión dependerá de la facultad del Banco de captar su financiamiento o, de ser el caso, de contratar cualquier cobertura bajo términos y condiciones que, a criterio del Banco, sean aceptables para éste de acuerdo a sus propias políticas, y estará sujeta a consideraciones legales, operativas y de manejo de riesgo y a las condici</w:t>
      </w:r>
      <w:r w:rsidR="007D6A96">
        <w:rPr>
          <w:rFonts w:ascii="Times New Roman" w:eastAsia="Times New Roman" w:hAnsi="Times New Roman" w:cs="Times New Roman"/>
          <w:sz w:val="24"/>
          <w:szCs w:val="24"/>
          <w:lang w:val="es-ES_tradnl"/>
        </w:rPr>
        <w:t>ones prevalecientes de mercado.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 xml:space="preserve">El Banco no efectuará Conversiones sobre montos inferiores al equivalente de tres millones de Dólares (US$3.000.000), salvo que: (i) en caso del último desembolso, el monto pendiente de desembolsar fuese menor; o (ii) en caso de un Préstamo completamente desembolsado, el Saldo Deudor bajo cualquier </w:t>
      </w:r>
      <w:r w:rsidR="007D6A96">
        <w:rPr>
          <w:rFonts w:ascii="Times New Roman" w:eastAsia="Times New Roman" w:hAnsi="Times New Roman" w:cs="Times New Roman"/>
          <w:sz w:val="24"/>
          <w:szCs w:val="24"/>
          <w:lang w:val="es-ES_tradnl"/>
        </w:rPr>
        <w:t>tramo del Préstamo fuese menor.</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 xml:space="preserve">El número de Conversiones de Moneda a Moneda Principal no podrá ser superior a cuatro (4) durante la vigencia de este Contrato. </w:t>
      </w:r>
      <w:r w:rsidR="007D6A96">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Este límite no aplicará a Conversiones de Moneda a Moneda Local.</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El número de Conversiones de Tasa de Interés no podrá ser superior a cuatro (4) durante la vigencia de este Contrato.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s>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w:t>
      </w:r>
      <w:r w:rsidRPr="00EF61C8">
        <w:rPr>
          <w:rFonts w:ascii="Times New Roman" w:eastAsia="Times New Roman" w:hAnsi="Times New Roman" w:cs="Times New Roman"/>
          <w:sz w:val="24"/>
          <w:szCs w:val="24"/>
          <w:lang w:val="es-ES_tradnl"/>
        </w:rPr>
        <w:tab/>
        <w:t>No habrá límite en el número de Conversiones de Productos Básicos que puedan contratarse durante la vigencia de este Contrato.</w:t>
      </w: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s>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w:t>
      </w:r>
      <w:r w:rsidRPr="00EF61C8">
        <w:rPr>
          <w:rFonts w:ascii="Times New Roman" w:eastAsia="Times New Roman" w:hAnsi="Times New Roman" w:cs="Times New Roman"/>
          <w:sz w:val="24"/>
          <w:szCs w:val="24"/>
          <w:lang w:val="es-ES_tradnl"/>
        </w:rPr>
        <w:tab/>
        <w:t>Cada Conversión de Productos Básicos solamente será ejecutada por el Banco en relación con Saldos Deudores de acuerdo con la siguiente fórmula (en adelante, el “Saldo Deudor Requerido”):</w:t>
      </w: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24"/>
        </w:numPr>
        <w:tabs>
          <w:tab w:val="left" w:pos="144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Para las Opciones de Compra de Productos Básicos, el Saldo Deudor Requerido será la Cantidad Nocional * (Z - Precio de Ejercicio), donde Z es el precio futuro más alto del producto básico esperado a la Fecha de Vencimiento de Conversión de Productos Básicos, para el Tipo de Opción correspondiente, según sea calculado por el Banco; y</w:t>
      </w: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24"/>
        </w:numPr>
        <w:tabs>
          <w:tab w:val="left" w:pos="144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Para las Opciones de Venta de Productos Básicos, el Saldo Deudor Requerido será la Cantidad Nocional * (Precio de Ejercicio - Y), donde Y es el precio futuro más bajo del producto básico esperado a la Fecha de Vencimiento de Conversión de Productos Básicos, para el Tipo de Opción correspondiente, según sea calculado por el Banco.</w:t>
      </w: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s>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(g)</w:t>
      </w:r>
      <w:r w:rsidRPr="00EF61C8">
        <w:rPr>
          <w:rFonts w:ascii="Times New Roman" w:eastAsia="Times New Roman" w:hAnsi="Times New Roman" w:cs="Times New Roman"/>
          <w:sz w:val="24"/>
          <w:szCs w:val="24"/>
          <w:lang w:val="es-ES_tradnl"/>
        </w:rPr>
        <w:tab/>
        <w:t>Cualquier modificación del Cronograma de Amortización solicitado por el Prestatario al momento de solicitar una Conversión de Moneda estará sujeto a lo previsto en los Artículos 3.02(c) y 5.03(b) de estas Normas Generales. Cualquier modificación del Cronograma de Amortización solicitado por el Prestatario al momento de solicitar una Conversión de Tasa de Interés estará sujeto a lo previsto en los Artículos 3.02(c) y 5.0</w:t>
      </w:r>
      <w:r w:rsidR="00E02830">
        <w:rPr>
          <w:rFonts w:ascii="Times New Roman" w:eastAsia="Times New Roman" w:hAnsi="Times New Roman" w:cs="Times New Roman"/>
          <w:sz w:val="24"/>
          <w:szCs w:val="24"/>
          <w:lang w:val="es-ES_tradnl"/>
        </w:rPr>
        <w:t>4(b) de estas Normas Generales.</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(h)</w:t>
      </w:r>
      <w:r w:rsidRPr="00EF61C8">
        <w:rPr>
          <w:rFonts w:ascii="Times New Roman" w:eastAsia="Times New Roman" w:hAnsi="Times New Roman" w:cs="Times New Roman"/>
          <w:sz w:val="24"/>
          <w:szCs w:val="24"/>
          <w:lang w:val="es-ES_tradnl"/>
        </w:rPr>
        <w:tab/>
        <w:t>El Cronograma de Amortización resultante de una Conversión de Moneda o Conversión de Tasa de Interés determinado en la Carta Notificación de Conversión no podrá ser modificado posteriormente durante el Plazo de Conversión, salvo qu</w:t>
      </w:r>
      <w:r w:rsidR="00E02830">
        <w:rPr>
          <w:rFonts w:ascii="Times New Roman" w:eastAsia="Times New Roman" w:hAnsi="Times New Roman" w:cs="Times New Roman"/>
          <w:sz w:val="24"/>
          <w:szCs w:val="24"/>
          <w:lang w:val="es-ES_tradnl"/>
        </w:rPr>
        <w:t>e el Banco acepte lo contrario.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(i)</w:t>
      </w:r>
      <w:r w:rsidRPr="00EF61C8">
        <w:rPr>
          <w:rFonts w:ascii="Times New Roman" w:eastAsia="Times New Roman" w:hAnsi="Times New Roman" w:cs="Times New Roman"/>
          <w:sz w:val="24"/>
          <w:szCs w:val="24"/>
          <w:lang w:val="es-ES_tradnl"/>
        </w:rPr>
        <w:tab/>
        <w:t>Salvo que el Banco acepte lo contrario, una Conversión de Tasa de Interés con respecto a montos que han sido previamente objeto de una Conversión de Moneda, sólo podrá efectuarse: (i) sobre la totalidad del Saldo Deudor asociado a dic</w:t>
      </w:r>
      <w:r w:rsidR="00E02830">
        <w:rPr>
          <w:rFonts w:ascii="Times New Roman" w:eastAsia="Times New Roman" w:hAnsi="Times New Roman" w:cs="Times New Roman"/>
          <w:sz w:val="24"/>
          <w:szCs w:val="24"/>
          <w:lang w:val="es-ES_tradnl"/>
        </w:rPr>
        <w:t xml:space="preserve">ha Conversión de Moneda; y (ii) </w:t>
      </w:r>
      <w:r w:rsidRPr="00EF61C8">
        <w:rPr>
          <w:rFonts w:ascii="Times New Roman" w:eastAsia="Times New Roman" w:hAnsi="Times New Roman" w:cs="Times New Roman"/>
          <w:sz w:val="24"/>
          <w:szCs w:val="24"/>
          <w:lang w:val="es-ES_tradnl"/>
        </w:rPr>
        <w:t>por un plazo igual al plazo remanente de la respectiva Conversión de Moneda.</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Conversión de Moneda por Plazo Total o Plazo Parcial</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(a) El Prestatario podrá solicitar una Conversión de Moneda por Plazo Total o una Conversión de Moneda por Plazo Parcial. </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La Conversión de Moneda por Plazo Total y la Conversión de Moneda por Plazo Parcial podrán ser solicitadas y efectuadas hasta la Fecha Final de Amortización.</w:t>
      </w:r>
      <w:r w:rsidR="00E02830">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No obstante si el Prestatario hace la solicitud con menos de sesenta (60) días de anticipación al vencimiento del Plazo Original de Desembolsos, entonces dicha Conversión de Moneda tendrá la limitación de que el Saldo Deudor bajo el nuevo Cronograma de Amortización solicitado no deberá, en ningún momento, exceder el Saldo Deudor bajo el Cronograma de Amortización original, teniendo en cuenta los tipos de cambio establecidos en la Carta Notific</w:t>
      </w:r>
      <w:r w:rsidR="00E02830">
        <w:rPr>
          <w:rFonts w:ascii="Times New Roman" w:eastAsia="Times New Roman" w:hAnsi="Times New Roman" w:cs="Times New Roman"/>
          <w:sz w:val="24"/>
          <w:szCs w:val="24"/>
          <w:lang w:val="es-ES_tradnl"/>
        </w:rPr>
        <w:t>ación de Conversión.</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9"/>
        </w:numPr>
        <w:tabs>
          <w:tab w:val="left" w:pos="-720"/>
          <w:tab w:val="left" w:pos="0"/>
          <w:tab w:val="left" w:pos="720"/>
          <w:tab w:val="left" w:pos="1440"/>
          <w:tab w:val="left" w:pos="2160"/>
          <w:tab w:val="left" w:pos="2250"/>
        </w:tabs>
        <w:suppressAutoHyphens/>
        <w:autoSpaceDE w:val="0"/>
        <w:autoSpaceDN w:val="0"/>
        <w:adjustRightInd w:val="0"/>
        <w:spacing w:after="0" w:line="240" w:lineRule="auto"/>
        <w:ind w:left="0"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En caso de una Conversión de Moneda por Plazo Parcial, el Prestatario deberá incluir en la Carta Solicitud de Conversión: (i) el Cronograma de Amortización hasta el final del Plazo de Conversión; y (ii) el Cronograma de Amortización correspondiente al Saldo Deudor pagadero a partir del vencimiento del Plazo de Conversión y hasta la Fecha Final de Amortización, el cual deberá corresponder a los términos y condiciones que eran aplicables con anterioridad a la ejecución de la Conversión de Moneda.</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Antes del vencimiento de la Conversión de Moneda por Plazo Parcial, el Prestatario, con la anuencia del Garante, si lo hubiere, podrá solicitar al Banco una de las siguientes opciones: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25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(i)</w:t>
      </w:r>
      <w:r w:rsidRPr="00EF61C8">
        <w:rPr>
          <w:rFonts w:ascii="Times New Roman" w:eastAsia="Times New Roman" w:hAnsi="Times New Roman" w:cs="Times New Roman"/>
          <w:sz w:val="24"/>
          <w:szCs w:val="24"/>
          <w:lang w:val="es-ES_tradnl"/>
        </w:rPr>
        <w:tab/>
        <w:t xml:space="preserve">La realización de una nueva Conversión de Moneda, previa presentación de una nueva Carta Solicitud de Conversión dentro de un período no menor a quince (15) Días Hábiles antes de la fecha de vencimiento de la Conversión de Moneda por Plazo Parcial. Esta nueva Conversión de Moneda tendrá la </w:t>
      </w:r>
      <w:r w:rsidRPr="00EF61C8">
        <w:rPr>
          <w:rFonts w:ascii="Times New Roman" w:eastAsia="Times New Roman" w:hAnsi="Times New Roman" w:cs="Times New Roman"/>
          <w:sz w:val="24"/>
          <w:szCs w:val="24"/>
          <w:lang w:val="es-ES_tradnl"/>
        </w:rPr>
        <w:lastRenderedPageBreak/>
        <w:t>limitación adicional de que el Saldo Deudor bajo el nuevo Cronograma de Amortización no deberá exceder, en ningún momento, el Saldo Deudor bajo el Cronograma de Amortización solicitado en la Conversión de Moneda por Plazo Parcial original. Si fuese viable, sujeto a condiciones de mercado, efectuar una nueva Conversión, el Saldo Deudor del monto originalmente convertido seguirá denominado en la Moneda Convertida, aplicándose la nueva Tasa Base de Interés, que refleje las condiciones de mercado prevalecientes en el momento de ejecución de la nueva Conversión.</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25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(ii)</w:t>
      </w:r>
      <w:r w:rsidRPr="00EF61C8">
        <w:rPr>
          <w:rFonts w:ascii="Times New Roman" w:eastAsia="Times New Roman" w:hAnsi="Times New Roman" w:cs="Times New Roman"/>
          <w:sz w:val="24"/>
          <w:szCs w:val="24"/>
          <w:lang w:val="es-ES_tradnl"/>
        </w:rPr>
        <w:tab/>
        <w:t xml:space="preserve">El pago anticipado del Saldo Deudor del monto convertido, mediante solicitud por escrito al Banco, por lo menos, treinta (30) días antes de la fecha de vencimiento de la Conversión de Moneda por Plazo Parcial. </w:t>
      </w:r>
      <w:r w:rsidR="00E02830">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Este pago se realizará en la fecha de vencimiento de la Conversión de Moneda por Plazo Parcial en la Moneda de Liquidación, de acuerdo con lo establecido en el Artículo </w:t>
      </w:r>
      <w:r w:rsidR="00E02830">
        <w:rPr>
          <w:rFonts w:ascii="Times New Roman" w:eastAsia="Times New Roman" w:hAnsi="Times New Roman" w:cs="Times New Roman"/>
          <w:sz w:val="24"/>
          <w:szCs w:val="24"/>
          <w:lang w:val="es-ES_tradnl"/>
        </w:rPr>
        <w:t>5.05 de estas Normas Generales.</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ind w:left="2160" w:hanging="2160"/>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(e)</w:t>
      </w:r>
      <w:r w:rsidRPr="00EF61C8">
        <w:rPr>
          <w:rFonts w:ascii="Times New Roman" w:eastAsia="Times New Roman" w:hAnsi="Times New Roman" w:cs="Times New Roman"/>
          <w:sz w:val="24"/>
          <w:szCs w:val="24"/>
          <w:lang w:val="es-ES_tradnl"/>
        </w:rPr>
        <w:tab/>
        <w:t>Para efectos de lo previsto en el literal (d) de este Artículo 5.03, el Saldo Deudor originalmente sujeto a Conversión de Moneda será automáticamente convertido a Dólares al vencimiento de la respectiva Conversión de Moneda por Plazo Parcial y estará sujeto a la Tasa de Interés prevista en el Artículo 3.03(a) de las Normas Generales: (i) si el Banco no pudiese efectuar una nueva Conversión; o (ii) si quince (15) días antes de la fecha de vencimiento de la Conversión de Moneda por Plazo Parcial, el Banco no recibiese una solicitud del Prestatario en los términos previstos en el literal (d) de este Artículo 5.03; o (iii) si en la fecha de vencimiento de la Conversión de Moneda por Plazo Parcial, el Prestatario no hubiese efectuado el pago a</w:t>
      </w:r>
      <w:r w:rsidR="00E02830">
        <w:rPr>
          <w:rFonts w:ascii="Times New Roman" w:eastAsia="Times New Roman" w:hAnsi="Times New Roman" w:cs="Times New Roman"/>
          <w:sz w:val="24"/>
          <w:szCs w:val="24"/>
          <w:lang w:val="es-ES_tradnl"/>
        </w:rPr>
        <w:t>nticipado que había solicitado.</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(f)</w:t>
      </w:r>
      <w:r w:rsidRPr="00EF61C8">
        <w:rPr>
          <w:rFonts w:ascii="Times New Roman" w:eastAsia="Times New Roman" w:hAnsi="Times New Roman" w:cs="Times New Roman"/>
          <w:sz w:val="24"/>
          <w:szCs w:val="24"/>
          <w:lang w:val="es-ES_tradnl"/>
        </w:rPr>
        <w:tab/>
        <w:t>En el caso de que el Saldo Deudor originalmente sujeto a Conversión de Moneda sea convertido a Dólares de acuerdo con lo previsto en el literal (e) anterior, el Banco deberá poner en conocimiento del Prestatario y del Garante, si lo hubiere, al final del plazo de la Conversión de Moneda por Plazo Parcial, los montos convertidos a Dólares, así como el tipo de cambio correspondiente de acuerdo con las condiciones prevalecientes del mercado, según lo determine el Agente de Cálculo.</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(g)</w:t>
      </w:r>
      <w:r w:rsidRPr="00EF61C8">
        <w:rPr>
          <w:rFonts w:ascii="Times New Roman" w:eastAsia="Times New Roman" w:hAnsi="Times New Roman" w:cs="Times New Roman"/>
          <w:sz w:val="24"/>
          <w:szCs w:val="24"/>
          <w:lang w:val="es-ES_tradnl"/>
        </w:rPr>
        <w:tab/>
        <w:t>El Saldo Deudor convertido a Dólares podrá ser objeto de una nueva solicitud de Conversión de Moneda, sujeto a lo</w:t>
      </w:r>
      <w:r w:rsidR="00E02830">
        <w:rPr>
          <w:rFonts w:ascii="Times New Roman" w:eastAsia="Times New Roman" w:hAnsi="Times New Roman" w:cs="Times New Roman"/>
          <w:sz w:val="24"/>
          <w:szCs w:val="24"/>
          <w:lang w:val="es-ES_tradnl"/>
        </w:rPr>
        <w:t xml:space="preserve"> estipulado en este Capítulo V.</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(h)</w:t>
      </w:r>
      <w:r w:rsidRPr="00EF61C8">
        <w:rPr>
          <w:rFonts w:ascii="Times New Roman" w:eastAsia="Times New Roman" w:hAnsi="Times New Roman" w:cs="Times New Roman"/>
          <w:sz w:val="24"/>
          <w:szCs w:val="24"/>
          <w:lang w:val="es-ES_tradnl"/>
        </w:rPr>
        <w:tab/>
        <w:t xml:space="preserve">Al vencimiento de una Conversión de Moneda por Plazo Total, el Prestatario deberá pagar íntegramente el Saldo Deudor del monto convertido en la Moneda de Liquidación, de acuerdo con lo previsto en el Artículo 5.05 de estas Normas Generales, no pudiendo solicitar </w:t>
      </w:r>
      <w:r w:rsidR="00E02830">
        <w:rPr>
          <w:rFonts w:ascii="Times New Roman" w:eastAsia="Times New Roman" w:hAnsi="Times New Roman" w:cs="Times New Roman"/>
          <w:sz w:val="24"/>
          <w:szCs w:val="24"/>
          <w:lang w:val="es-ES_tradnl"/>
        </w:rPr>
        <w:t>una nueva Conversión de Moneda.</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sz w:val="24"/>
          <w:szCs w:val="24"/>
          <w:lang w:val="es-ES_tradnl"/>
        </w:rPr>
        <w:tab/>
        <w:t>(i)</w:t>
      </w:r>
      <w:r w:rsidRPr="00EF61C8">
        <w:rPr>
          <w:rFonts w:ascii="Times New Roman" w:eastAsia="Times New Roman" w:hAnsi="Times New Roman" w:cs="Times New Roman"/>
          <w:sz w:val="24"/>
          <w:szCs w:val="24"/>
          <w:lang w:val="es-ES_tradnl"/>
        </w:rPr>
        <w:tab/>
        <w:t>Dentro del plazo de treinta (30) días contados a partir de la fecha de cancelación o modificación de una Conversión de Moneda, el Prestatario recibirá del Banco o alternativamente pagará al Banco, según sea el caso, los montos relativos a cualquier ganancia o costo incurrido por el Banco por revertir o reasignar la captación de su financiamiento, o cualquier cobertura relacionada, asociada con la cancelación o modificación de dicha Conversión de Moneda.</w:t>
      </w:r>
      <w:r w:rsidR="00E02830">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Si se tratase de ganancia, la misma se </w:t>
      </w:r>
      <w:r w:rsidRPr="00EF61C8">
        <w:rPr>
          <w:rFonts w:ascii="Times New Roman" w:eastAsia="Times New Roman" w:hAnsi="Times New Roman" w:cs="Times New Roman"/>
          <w:sz w:val="24"/>
          <w:szCs w:val="24"/>
          <w:lang w:val="es-ES_tradnl"/>
        </w:rPr>
        <w:lastRenderedPageBreak/>
        <w:t>aplicará, en primer lugar, a cualquier monto vencido pendiente de pago por el Prestatario al Banco.</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ARTÍCULO 5.04.</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Conversión de Tasa de Interés por Plazo Total o Plazo Parcial</w:t>
      </w:r>
      <w:r w:rsidRPr="00EF61C8">
        <w:rPr>
          <w:rFonts w:ascii="Times New Roman" w:eastAsia="Times New Roman" w:hAnsi="Times New Roman" w:cs="Times New Roman"/>
          <w:sz w:val="24"/>
          <w:szCs w:val="24"/>
          <w:lang w:val="es-ES_tradnl"/>
        </w:rPr>
        <w:t xml:space="preserve">. (a) El Prestatario podrá solicitar una Conversión de Tasa de Interés por Plazo Total o una Conversión de </w:t>
      </w:r>
      <w:r w:rsidR="00E02830">
        <w:rPr>
          <w:rFonts w:ascii="Times New Roman" w:eastAsia="Times New Roman" w:hAnsi="Times New Roman" w:cs="Times New Roman"/>
          <w:sz w:val="24"/>
          <w:szCs w:val="24"/>
          <w:lang w:val="es-ES_tradnl"/>
        </w:rPr>
        <w:t>Tasa Interés por Plazo Parcial.</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La Conversión de Tasa de Interés por Plazo Total y la Conversión de Tasa de Interés por Plazo Parcial podrán ser solicitadas y efectuadas hasta la Fecha Final de Amortización. No obstante, si el Prestatario hace la solicitud con menos de sesenta (60) días de anticipación al vencimiento del Plazo Original de Desembolsos, entonces dicha Conversión tendrá la limitación de que el Saldo Deudor bajo el nuevo Cronograma de Amortización solicitado no deberá, en ningún momento, exceder el Saldo Deudor bajo el Cronograma de Amortización original.</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En caso de Conversión de Tasa de Interés por Plazo Parcial sobre montos denominados en Dólares, el Prestatario deberá incluir en la Carta Solicitud de Conversión: (i) el Cronograma de Amortización hasta el final del Plazo de Conversión; y (ii) el Cronograma de Amortización para el Saldo Deudor pagadero a partir del vencimiento del Plazo de Conversión y hasta la Fecha Final de Amortización, el cual corresponderá a los términos y condiciones que eran aplicables con anterioridad a la ejecución de la Conversión de Tasa de Interés.</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En caso de Conversión de Tasa de Interés por Plazo Parcial sobre montos denominados en Dólares, la Tasa de Interés aplicable a los Saldos Deudores al vencimiento de dicha Conversión de Tasa de Interés por Plazo Parcial, será la establecida en el Artículo 3.03(a) de estas Normas Generales. Las Conversiones de Tasa de Interés por Plazo Parcial sobre Saldos Deudores denominados en moneda distinta del Dólar estarán sujetas al requisito previsto en el Artículo 5.02(g) y, por lo tanto, tendrán el mismo tratamiento relativo al vencimiento del Plazo de Conversión de las Conversiones de Moneda por Plazo Parcial previsto en el Artículo 5.03(d) de estas Normas Generales.</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(e)</w:t>
      </w:r>
      <w:r w:rsidRPr="00EF61C8">
        <w:rPr>
          <w:rFonts w:ascii="Times New Roman" w:eastAsia="Times New Roman" w:hAnsi="Times New Roman" w:cs="Times New Roman"/>
          <w:sz w:val="24"/>
          <w:szCs w:val="24"/>
          <w:lang w:val="es-ES_tradnl"/>
        </w:rPr>
        <w:tab/>
        <w:t xml:space="preserve">Dentro del plazo de treinta (30) días contados a partir de la fecha de cancelación o modificación de una Conversión de Tasa de Interés, el Prestatario recibirá del Banco o, alternativamente, pagará al Banco, según sea el caso, los montos relativos a cualquier ganancia o costo incurrido por el Banco por revertir o reasignar la captación de su financiamiento, o cualquier cobertura relacionada, asociada con la cancelación o modificación de dicha Conversión de Tasa de Interés. </w:t>
      </w:r>
      <w:r w:rsidR="00E02830">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Si se tratase de ganancia, la misma se aplicará, en primer lugar, a cualquier monto vencido pendiente de pago por el Prestatario al Banco.</w:t>
      </w: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Pagos de cuotas de amortización e intereses en caso de Conversión de Moneda</w:t>
      </w:r>
      <w:r w:rsidRPr="00EF61C8">
        <w:rPr>
          <w:rFonts w:ascii="Times New Roman" w:eastAsia="Times New Roman" w:hAnsi="Times New Roman" w:cs="Times New Roman"/>
          <w:sz w:val="24"/>
          <w:szCs w:val="24"/>
          <w:lang w:val="es-ES_tradnl"/>
        </w:rPr>
        <w:t xml:space="preserve">. De acuerdo con lo establecido en el Artículo 3.07 de estas Normas Generales, en los casos en que ha habido una Conversión de Moneda, los pagos de cuotas de amortización e intereses de los montos convertidos se efectuarán en la Moneda de Liquidación. En caso de que la Moneda de Liquidación sea Dólares, se aplicará el Tipo de </w:t>
      </w:r>
      <w:r w:rsidRPr="00EF61C8">
        <w:rPr>
          <w:rFonts w:ascii="Times New Roman" w:eastAsia="Times New Roman" w:hAnsi="Times New Roman" w:cs="Times New Roman"/>
          <w:sz w:val="24"/>
          <w:szCs w:val="24"/>
          <w:lang w:val="es-ES_tradnl"/>
        </w:rPr>
        <w:lastRenderedPageBreak/>
        <w:t>Cambio de Valuación vigente en la Fecha de Valuación de Pago para la respectiva fecha de vencimiento, de acuerdo a lo establecido en la Ca</w:t>
      </w:r>
      <w:r w:rsidR="00E02830">
        <w:rPr>
          <w:rFonts w:ascii="Times New Roman" w:eastAsia="Times New Roman" w:hAnsi="Times New Roman" w:cs="Times New Roman"/>
          <w:sz w:val="24"/>
          <w:szCs w:val="24"/>
          <w:lang w:val="es-ES_tradnl"/>
        </w:rPr>
        <w:t>rta Notificación de Conversión.</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Terminación anticipada de una Conversión</w:t>
      </w:r>
      <w:r w:rsidRPr="00EF61C8">
        <w:rPr>
          <w:rFonts w:ascii="Times New Roman" w:eastAsia="Times New Roman" w:hAnsi="Times New Roman" w:cs="Times New Roman"/>
          <w:bCs/>
          <w:sz w:val="24"/>
          <w:szCs w:val="24"/>
          <w:lang w:val="es-ES_tradnl"/>
        </w:rPr>
        <w:t>.</w:t>
      </w:r>
      <w:r w:rsidRPr="00EF61C8">
        <w:rPr>
          <w:rFonts w:ascii="Times New Roman" w:eastAsia="Times New Roman" w:hAnsi="Times New Roman" w:cs="Times New Roman"/>
          <w:sz w:val="24"/>
          <w:szCs w:val="24"/>
          <w:lang w:val="es-ES_tradnl"/>
        </w:rPr>
        <w:t xml:space="preserve"> El Prestatario podrá solicitar por escrito la terminación anticipada de una Conversión la cual estará sujeta a que el Banco pueda terminar su captación de financiamiento correspondiente o la cobertura relacionada. </w:t>
      </w:r>
      <w:r w:rsidR="00E02830">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En ese caso, el Prestatario recibirá del Banco o, alternativamente, le pagará al Banco, según sea el caso, cualquier ganancia, incluido cualquier pago resultante de la terminación anticipada de una cobertura de productos básicos, o costo incurrido por el Banco por revertir o reasignar su captación de financiamiento correspondiente o cualquier cobertura relacionada, según lo determine el Agente de Cálculo. Si se tratase de un costo, el Prestatario pagará prontamente el monto correspondiente al Banco. Si se tratase de ganancia, la misma se aplicará, en primer lugar, a cualquier monto vencido pendiente de pago por el Prestatario al Banco por concepto de, entre otros, comisiones o primas adeudadas.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5.07.</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Comisiones de transacción aplicables a Conversiones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(a) Las comisiones de transacción aplicables a las Conversiones efectuadas bajo este Contrato serán las que el Banco determine periódicamente. </w:t>
      </w:r>
      <w:r w:rsidR="00E02830">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Cada Carta Notificación de Conversión indicará, si la hubiere, la comisión de transacción que el Prestatario estará obligado a pagar al Banco en relación con la ejecución de la respectiva Conversión, la cual se mantendrá vigente durante el Plazo de Co</w:t>
      </w:r>
      <w:r w:rsidR="00E02830">
        <w:rPr>
          <w:rFonts w:ascii="Times New Roman" w:eastAsia="Times New Roman" w:hAnsi="Times New Roman" w:cs="Times New Roman"/>
          <w:sz w:val="24"/>
          <w:szCs w:val="24"/>
          <w:lang w:val="es-ES_tradnl"/>
        </w:rPr>
        <w:t>nversión de dicha Conversión.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La comisión de transacción aplicable a una Conversión de Moneda: (i) será expresada en forma de puntos básicos por año; (ii) se devengará en la Moneda Convertida desde la Fecha de Conversión (inclusive) sobre el Saldo Deudor de dich</w:t>
      </w:r>
      <w:r w:rsidR="00E02830">
        <w:rPr>
          <w:rFonts w:ascii="Times New Roman" w:eastAsia="Times New Roman" w:hAnsi="Times New Roman" w:cs="Times New Roman"/>
          <w:sz w:val="24"/>
          <w:szCs w:val="24"/>
          <w:lang w:val="es-ES_tradnl"/>
        </w:rPr>
        <w:t xml:space="preserve">a Conversión de Moneda; y (iii) </w:t>
      </w:r>
      <w:r w:rsidRPr="00EF61C8">
        <w:rPr>
          <w:rFonts w:ascii="Times New Roman" w:eastAsia="Times New Roman" w:hAnsi="Times New Roman" w:cs="Times New Roman"/>
          <w:sz w:val="24"/>
          <w:szCs w:val="24"/>
          <w:lang w:val="es-ES_tradnl"/>
        </w:rPr>
        <w:t xml:space="preserve">se pagará junto con cada pago de intereses de acuerdo con lo establecido en el Artículo </w:t>
      </w:r>
      <w:r w:rsidR="00E02830">
        <w:rPr>
          <w:rFonts w:ascii="Times New Roman" w:eastAsia="Times New Roman" w:hAnsi="Times New Roman" w:cs="Times New Roman"/>
          <w:sz w:val="24"/>
          <w:szCs w:val="24"/>
          <w:lang w:val="es-ES_tradnl"/>
        </w:rPr>
        <w:t>5.05 de estas Normas Generales.</w:t>
      </w:r>
    </w:p>
    <w:p w:rsidR="00FF0D18" w:rsidRPr="00EF61C8" w:rsidRDefault="00FF0D18" w:rsidP="00FF0D18">
      <w:pPr>
        <w:spacing w:after="0" w:line="240" w:lineRule="auto"/>
        <w:rPr>
          <w:rFonts w:ascii="Times New Roman" w:eastAsia="Times New Roman" w:hAnsi="Times New Roman" w:cs="Times New Roman"/>
          <w:b/>
          <w:sz w:val="24"/>
          <w:szCs w:val="24"/>
          <w:lang w:val="es-ES_tradnl"/>
        </w:rPr>
      </w:pPr>
    </w:p>
    <w:p w:rsidR="00FF0D18" w:rsidRPr="00EF61C8" w:rsidRDefault="00FF0D18" w:rsidP="00FF0D18">
      <w:pPr>
        <w:tabs>
          <w:tab w:val="left" w:pos="1440"/>
        </w:tabs>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 xml:space="preserve">La comisión de transacción aplicable a una Conversión de Tasa de Interés: (i) será expresada en forma de puntos básicos por año; (ii) se devengará en la moneda de denominación del Saldo Deudor sujeto a dicha Conversión de Tasa de Interés; (iii) se devengará desde Fecha de Conversión (inclusive) sobre el Saldo Deudor sujeto a dicha Conversión de Tasa de Interés; y (iv) se pagará junto con cada pago de intereses de acuerdo con lo establecido en el Artículo 5.05 de estas Normas Generales. </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s>
        <w:autoSpaceDE w:val="0"/>
        <w:autoSpaceDN w:val="0"/>
        <w:adjustRightInd w:val="0"/>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w:t>
      </w:r>
      <w:r w:rsidRPr="00EF61C8">
        <w:rPr>
          <w:rFonts w:ascii="Times New Roman" w:eastAsia="Times New Roman" w:hAnsi="Times New Roman" w:cs="Times New Roman"/>
          <w:sz w:val="24"/>
          <w:szCs w:val="24"/>
          <w:lang w:val="es-ES_tradnl"/>
        </w:rPr>
        <w:tab/>
        <w:t>Sin perjuicio de las comisiones de transacción señaladas en los literales (b) y (c) anteriores, en el caso de Conversiones de Moneda o Conversiones de Tasa de Interés que contemplen Topes (</w:t>
      </w:r>
      <w:r w:rsidRPr="00EF61C8">
        <w:rPr>
          <w:rFonts w:ascii="Times New Roman" w:eastAsia="Times New Roman" w:hAnsi="Times New Roman" w:cs="Times New Roman"/>
          <w:i/>
          <w:sz w:val="24"/>
          <w:szCs w:val="24"/>
          <w:lang w:val="es-ES_tradnl"/>
        </w:rPr>
        <w:t>caps</w:t>
      </w:r>
      <w:r w:rsidRPr="00EF61C8">
        <w:rPr>
          <w:rFonts w:ascii="Times New Roman" w:eastAsia="Times New Roman" w:hAnsi="Times New Roman" w:cs="Times New Roman"/>
          <w:sz w:val="24"/>
          <w:szCs w:val="24"/>
          <w:lang w:val="es-ES_tradnl"/>
        </w:rPr>
        <w:t>) de Tasa de Interés o Bandas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se aplicará una comisión de transacción por concepto de dicho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o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la cual: (i) se denominará en la misma moneda del Saldo Deudor sujeto al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o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xml:space="preserve">) de Tasa de Interés; y (ii) se cancelará mediante un único pago en la Moneda de Liquidación, en la primera fecha de pago de intereses, de acuerdo con lo establecido en el Artículo </w:t>
      </w:r>
      <w:r w:rsidR="00E02830">
        <w:rPr>
          <w:rFonts w:ascii="Times New Roman" w:eastAsia="Times New Roman" w:hAnsi="Times New Roman" w:cs="Times New Roman"/>
          <w:sz w:val="24"/>
          <w:szCs w:val="24"/>
          <w:lang w:val="es-ES_tradnl"/>
        </w:rPr>
        <w:t>5.05 de estas Normas Generales.</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tabs>
          <w:tab w:val="left" w:pos="1440"/>
        </w:tabs>
        <w:autoSpaceDE w:val="0"/>
        <w:autoSpaceDN w:val="0"/>
        <w:adjustRightInd w:val="0"/>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w:t>
      </w:r>
      <w:r w:rsidRPr="00EF61C8">
        <w:rPr>
          <w:rFonts w:ascii="Times New Roman" w:eastAsia="Times New Roman" w:hAnsi="Times New Roman" w:cs="Times New Roman"/>
          <w:sz w:val="24"/>
          <w:szCs w:val="24"/>
          <w:lang w:val="es-ES_tradnl"/>
        </w:rPr>
        <w:tab/>
        <w:t xml:space="preserve">La comisión de transacción aplicable a una Conversión de Productos Básicos: (i) será expresada en forma de puntos básicos; (ii) se calculará sobre la base de la Cantidad Nocional multiplicada por el precio de cierre del producto básico en la Fecha de Conversión </w:t>
      </w:r>
      <w:r w:rsidRPr="00EF61C8">
        <w:rPr>
          <w:rFonts w:ascii="Times New Roman" w:eastAsia="Times New Roman" w:hAnsi="Times New Roman" w:cs="Times New Roman"/>
          <w:sz w:val="24"/>
          <w:szCs w:val="24"/>
          <w:lang w:val="es-ES_tradnl"/>
        </w:rPr>
        <w:lastRenderedPageBreak/>
        <w:t xml:space="preserve">de Productos Básicos según el Índice del Producto Básico Subyacente; y (iii) se pagará en Dólares, en un único pago por adelantado o en cuotas, según ello sea acordado entre el Banco y el Prestatario y se especifique en la Carta Notificación de Conversión. En ningún caso el Prestatario pagará dicha comisión al Banco después de la Fecha de Vencimiento de la Conversión de Productos Básicos o, si fuera el caso, de la fecha en que la Conversión de Productos Básicos sea terminada anticipadamente de conformidad con lo previsto en el Artículo </w:t>
      </w:r>
      <w:r w:rsidR="00867479">
        <w:rPr>
          <w:rFonts w:ascii="Times New Roman" w:eastAsia="Times New Roman" w:hAnsi="Times New Roman" w:cs="Times New Roman"/>
          <w:sz w:val="24"/>
          <w:szCs w:val="24"/>
          <w:lang w:val="es-ES_tradnl"/>
        </w:rPr>
        <w:t>5.06 de estas Normas Generales.</w:t>
      </w:r>
    </w:p>
    <w:p w:rsidR="00FF0D18" w:rsidRPr="00EF61C8" w:rsidRDefault="00FF0D18" w:rsidP="00FF0D18">
      <w:pPr>
        <w:tabs>
          <w:tab w:val="left" w:pos="1440"/>
        </w:tabs>
        <w:autoSpaceDE w:val="0"/>
        <w:autoSpaceDN w:val="0"/>
        <w:adjustRightInd w:val="0"/>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s>
        <w:autoSpaceDE w:val="0"/>
        <w:autoSpaceDN w:val="0"/>
        <w:adjustRightInd w:val="0"/>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(f)</w:t>
      </w:r>
      <w:r w:rsidRPr="00EF61C8">
        <w:rPr>
          <w:rFonts w:ascii="Times New Roman" w:eastAsia="Times New Roman" w:hAnsi="Times New Roman" w:cs="Times New Roman"/>
          <w:sz w:val="24"/>
          <w:szCs w:val="24"/>
          <w:lang w:val="es-ES_tradnl"/>
        </w:rPr>
        <w:tab/>
        <w:t>En caso de terminación anticipada de una Conversión de Productos Básicos, se aplicará una comisión de transacción adicional, que: (i) será expresada en forma de puntos básicos; (ii) se calculará sobre la base de la Cantidad Nocional multiplicada por el precio de cierre del producto básico en la fecha de la terminación anticipada de acuerdo con el Índice del Producto Básico Subyacente; y (iii) se pagará en Dólares, como un único pago, prontamente una vez ocurrida la terminación.</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5.08.</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Gastos de fondeo y primas o descuentos asociados a una Conversión</w:t>
      </w:r>
      <w:r w:rsidR="00867479">
        <w:rPr>
          <w:rFonts w:ascii="Times New Roman" w:eastAsia="Times New Roman" w:hAnsi="Times New Roman" w:cs="Times New Roman"/>
          <w:sz w:val="24"/>
          <w:szCs w:val="24"/>
          <w:lang w:val="es-ES_tradnl"/>
        </w:rPr>
        <w:t xml:space="preserve">. (a) </w:t>
      </w:r>
      <w:r w:rsidRPr="00EF61C8">
        <w:rPr>
          <w:rFonts w:ascii="Times New Roman" w:eastAsia="Times New Roman" w:hAnsi="Times New Roman" w:cs="Times New Roman"/>
          <w:sz w:val="24"/>
          <w:szCs w:val="24"/>
          <w:lang w:val="es-ES_tradnl"/>
        </w:rPr>
        <w:t>En</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el supuesto que el Banco utilice su costo efectivo de captación de financiamiento para determinar la Tasa Base de Interés, el Prestatario estará obligado a pagar las comisiones y otros gastos de captación en que haya incurrido el Banco. Adicionalmente, cualesquiera primas o descuentos relacionados con la captación de financiamiento, serán pagados o recibidos por el Prestatario, según sea el caso. </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Estos gastos y primas o descuentos se especificarán en la Ca</w:t>
      </w:r>
      <w:r w:rsidR="00867479">
        <w:rPr>
          <w:rFonts w:ascii="Times New Roman" w:eastAsia="Times New Roman" w:hAnsi="Times New Roman" w:cs="Times New Roman"/>
          <w:sz w:val="24"/>
          <w:szCs w:val="24"/>
          <w:lang w:val="es-ES_tradnl"/>
        </w:rPr>
        <w:t>rta Notificación de Conversión.</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Cuando la Conversión se efectúe con ocasión de un desembolso, el monto a ser desembolsado al Prestatario deberá ser ajustado para deducir o agregar cualquier monto adeudado por o pagadero al Prestatario en v</w:t>
      </w:r>
      <w:r w:rsidR="00867479">
        <w:rPr>
          <w:rFonts w:ascii="Times New Roman" w:eastAsia="Times New Roman" w:hAnsi="Times New Roman" w:cs="Times New Roman"/>
          <w:sz w:val="24"/>
          <w:szCs w:val="24"/>
          <w:lang w:val="es-ES_tradnl"/>
        </w:rPr>
        <w:t>irtud del literal (a) anterior.</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Cuando la Conversión se realice sobre Saldos Deudores, el monto adeudado por o pagadero al Prestatario en virtud del literal (a) anterior, deberá ser pagado por el Prestatario o por el Banco, según sea el caso, dentro de los treinta (30) días siguient</w:t>
      </w:r>
      <w:r w:rsidR="00867479">
        <w:rPr>
          <w:rFonts w:ascii="Times New Roman" w:eastAsia="Times New Roman" w:hAnsi="Times New Roman" w:cs="Times New Roman"/>
          <w:sz w:val="24"/>
          <w:szCs w:val="24"/>
          <w:lang w:val="es-ES_tradnl"/>
        </w:rPr>
        <w:t>es a la Fecha de la Conversión.</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5.09.</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Primas pagaderas por Topes (</w:t>
      </w:r>
      <w:r w:rsidRPr="00EF61C8">
        <w:rPr>
          <w:rFonts w:ascii="Times New Roman" w:eastAsia="Times New Roman" w:hAnsi="Times New Roman" w:cs="Times New Roman"/>
          <w:b/>
          <w:i/>
          <w:sz w:val="24"/>
          <w:szCs w:val="24"/>
          <w:u w:val="single"/>
          <w:lang w:val="es-ES_tradnl"/>
        </w:rPr>
        <w:t>caps</w:t>
      </w:r>
      <w:r w:rsidRPr="00EF61C8">
        <w:rPr>
          <w:rFonts w:ascii="Times New Roman" w:eastAsia="Times New Roman" w:hAnsi="Times New Roman" w:cs="Times New Roman"/>
          <w:b/>
          <w:sz w:val="24"/>
          <w:szCs w:val="24"/>
          <w:u w:val="single"/>
          <w:lang w:val="es-ES_tradnl"/>
        </w:rPr>
        <w:t>) de Tasa de Interés o Bandas (</w:t>
      </w:r>
      <w:r w:rsidRPr="00EF61C8">
        <w:rPr>
          <w:rFonts w:ascii="Times New Roman" w:eastAsia="Times New Roman" w:hAnsi="Times New Roman" w:cs="Times New Roman"/>
          <w:b/>
          <w:i/>
          <w:sz w:val="24"/>
          <w:szCs w:val="24"/>
          <w:u w:val="single"/>
          <w:lang w:val="es-ES_tradnl"/>
        </w:rPr>
        <w:t>collar</w:t>
      </w:r>
      <w:r w:rsidRPr="00EF61C8">
        <w:rPr>
          <w:rFonts w:ascii="Times New Roman" w:eastAsia="Times New Roman" w:hAnsi="Times New Roman" w:cs="Times New Roman"/>
          <w:b/>
          <w:sz w:val="24"/>
          <w:szCs w:val="24"/>
          <w:u w:val="single"/>
          <w:lang w:val="es-ES_tradnl"/>
        </w:rPr>
        <w:t>) de Tasa de Interés</w:t>
      </w:r>
      <w:r w:rsidRPr="00EF61C8">
        <w:rPr>
          <w:rFonts w:ascii="Times New Roman" w:eastAsia="Times New Roman" w:hAnsi="Times New Roman" w:cs="Times New Roman"/>
          <w:sz w:val="24"/>
          <w:szCs w:val="24"/>
          <w:lang w:val="es-ES_tradnl"/>
        </w:rPr>
        <w:t>. (a) Además de las comisiones de transacción pagaderas de acuerdo con el Artículo 5.07 de estas Normas Generales, el Prestatario deberá pagar al Banco una prima sobre el Saldo Deudor sujeto al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o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solicitado por el Prestatario, equivalente a la prima pagada por el Banco a una contraparte, si la hubiere, como resultado de la compra del Tope (</w:t>
      </w:r>
      <w:r w:rsidRPr="00EF61C8">
        <w:rPr>
          <w:rFonts w:ascii="Times New Roman" w:eastAsia="Times New Roman" w:hAnsi="Times New Roman" w:cs="Times New Roman"/>
          <w:i/>
          <w:sz w:val="24"/>
          <w:szCs w:val="24"/>
          <w:lang w:val="es-ES_tradnl"/>
        </w:rPr>
        <w:t>cap</w:t>
      </w:r>
      <w:r w:rsidRPr="00EF61C8">
        <w:rPr>
          <w:rFonts w:ascii="Times New Roman" w:eastAsia="Times New Roman" w:hAnsi="Times New Roman" w:cs="Times New Roman"/>
          <w:sz w:val="24"/>
          <w:szCs w:val="24"/>
          <w:lang w:val="es-ES_tradnl"/>
        </w:rPr>
        <w:t>) de Tasa de Interés o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El pago de dicha prima deberá efectuarse (i) en la moneda de denominación del Saldo Deudor sujeto al Tope</w:t>
      </w:r>
      <w:r w:rsidRPr="00EF61C8">
        <w:rPr>
          <w:rFonts w:ascii="Times New Roman" w:eastAsia="Times New Roman" w:hAnsi="Times New Roman" w:cs="Times New Roman"/>
          <w:i/>
          <w:sz w:val="24"/>
          <w:szCs w:val="24"/>
          <w:lang w:val="es-ES_tradnl"/>
        </w:rPr>
        <w:t xml:space="preserve"> (cap)</w:t>
      </w:r>
      <w:r w:rsidRPr="00EF61C8">
        <w:rPr>
          <w:rFonts w:ascii="Times New Roman" w:eastAsia="Times New Roman" w:hAnsi="Times New Roman" w:cs="Times New Roman"/>
          <w:sz w:val="24"/>
          <w:szCs w:val="24"/>
          <w:lang w:val="es-ES_tradnl"/>
        </w:rPr>
        <w:t xml:space="preserve"> de Tasa de Interés o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o en su equivalente en Dólares, al tipo de cambio establecido en la Carta Notificación de Conversión, debiendo ser aquella tasa de cambio que se determine al momento de la captación del financiamiento del Banco o de la ejecución de la cobertura relacionada; y (ii) en un pago único en una fecha acordada entre las Partes, pero, en ningún caso, después de treinta (30) días de la Fecha de Conversión; salvo si es operativamente posible para el Banco, éste acepte un mecanismo de pago diferente.</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ab/>
        <w:t>(b)</w:t>
      </w:r>
      <w:r w:rsidRPr="00EF61C8">
        <w:rPr>
          <w:rFonts w:ascii="Times New Roman" w:eastAsia="Times New Roman" w:hAnsi="Times New Roman" w:cs="Times New Roman"/>
          <w:sz w:val="24"/>
          <w:szCs w:val="24"/>
          <w:lang w:val="es-ES_tradnl"/>
        </w:rPr>
        <w:tab/>
        <w:t>Si el Prestatario solicitase una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podrá solicitar que el Banco establezca el límite inferior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para garantizar que la prima correspondiente a dicho límite inferior sea igual a la prima correspondiente al límite superior y de esta forma establecer una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sin costo (</w:t>
      </w:r>
      <w:r w:rsidRPr="00EF61C8">
        <w:rPr>
          <w:rFonts w:ascii="Times New Roman" w:eastAsia="Times New Roman" w:hAnsi="Times New Roman" w:cs="Times New Roman"/>
          <w:i/>
          <w:sz w:val="24"/>
          <w:szCs w:val="24"/>
          <w:lang w:val="es-ES_tradnl"/>
        </w:rPr>
        <w:t>zero cost collar</w:t>
      </w:r>
      <w:r w:rsidRPr="00EF61C8">
        <w:rPr>
          <w:rFonts w:ascii="Times New Roman" w:eastAsia="Times New Roman" w:hAnsi="Times New Roman" w:cs="Times New Roman"/>
          <w:sz w:val="24"/>
          <w:szCs w:val="24"/>
          <w:lang w:val="es-ES_tradnl"/>
        </w:rPr>
        <w:t>). Si el Prestatario optase por determinar los límites superior e inferior, la prima pagadera por el Prestatario al Banco con respecto al límite superior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se compensará con la prima pagadera por el Banco al Prestatario con respecto al límite inferior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xml:space="preserve">) de Tasa de Interés. </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No obstante, la prima pagadera por el Banco al Prestatario con respecto al límite inferior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no podrá, en ningún caso, exceder la prima pagadera por el Prestatario al Banco con respecto al límite superior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En consecuencia, durante el Plazo de Ejecución, el Banco podrá reducir el límite inferior de la Banda (</w:t>
      </w:r>
      <w:r w:rsidRPr="00EF61C8">
        <w:rPr>
          <w:rFonts w:ascii="Times New Roman" w:eastAsia="Times New Roman" w:hAnsi="Times New Roman" w:cs="Times New Roman"/>
          <w:i/>
          <w:sz w:val="24"/>
          <w:szCs w:val="24"/>
          <w:lang w:val="es-ES_tradnl"/>
        </w:rPr>
        <w:t>collar</w:t>
      </w:r>
      <w:r w:rsidRPr="00EF61C8">
        <w:rPr>
          <w:rFonts w:ascii="Times New Roman" w:eastAsia="Times New Roman" w:hAnsi="Times New Roman" w:cs="Times New Roman"/>
          <w:sz w:val="24"/>
          <w:szCs w:val="24"/>
          <w:lang w:val="es-ES_tradnl"/>
        </w:rPr>
        <w:t>) de Tasa de Interés a efectos de que la prima sobre éste no exceda la prima sobre el límite superior de la Banda (</w:t>
      </w:r>
      <w:r w:rsidRPr="00EF61C8">
        <w:rPr>
          <w:rFonts w:ascii="Times New Roman" w:eastAsia="Times New Roman" w:hAnsi="Times New Roman" w:cs="Times New Roman"/>
          <w:i/>
          <w:sz w:val="24"/>
          <w:szCs w:val="24"/>
          <w:lang w:val="es-ES_tradnl"/>
        </w:rPr>
        <w:t>collar</w:t>
      </w:r>
      <w:r w:rsidR="00867479">
        <w:rPr>
          <w:rFonts w:ascii="Times New Roman" w:eastAsia="Times New Roman" w:hAnsi="Times New Roman" w:cs="Times New Roman"/>
          <w:sz w:val="24"/>
          <w:szCs w:val="24"/>
          <w:lang w:val="es-ES_tradnl"/>
        </w:rPr>
        <w:t>) de Tasa de Interés.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5.10.</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Primas en relación con una Conversión de Productos Básicos</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En adición a las comisiones de transacción pagaderas de conformidad con el Artículo 5.07 de estas Normas Generales, pero sujeto al Artículo 5.01(e) de estas Normas Generales, el Prestatario deberá pagar al Banco una prima equivalente a la prima pagada por el Banco a una contraparte para efectuar una cobertura de productos básicos relacionada. </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Dicha prima se deberá pagar en Dólares, en un único pago por adelantado o en cuotas, según ello sea acordado entre el Banco y el Prestatario, y especificado en la Carta Notificación de Conversión. </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El Banco podrá aceptar mecanismos de pago alternativos, como expresar la prima en forma de puntos básicos por año, en cuyo caso se pagará junto con los intereses en cada fecha de pago de intereses. </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En ningún caso el Prestatario pagará dicha comisión al Banco después de la Fecha de Vencimiento de la Conversión de Productos Básicos o, si fuera el caso, de la fecha en que la Conversión de Productos Básicos sea terminada anticipadamente de conformidad con lo previsto en el Artículo 5.06 de estas Normas Generales.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bookmarkStart w:id="32" w:name="_Hlk532555434"/>
      <w:r w:rsidRPr="00EF61C8">
        <w:rPr>
          <w:rFonts w:ascii="Times New Roman" w:eastAsia="Times New Roman" w:hAnsi="Times New Roman" w:cs="Times New Roman"/>
          <w:b/>
          <w:sz w:val="24"/>
          <w:szCs w:val="24"/>
          <w:lang w:val="es-ES_tradnl"/>
        </w:rPr>
        <w:t>ARTÍCULO 5.11</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sz w:val="24"/>
          <w:szCs w:val="24"/>
          <w:u w:val="single"/>
          <w:lang w:val="es-ES_tradnl"/>
        </w:rPr>
        <w:t>Conversión de Productos Básicos</w:t>
      </w:r>
      <w:r w:rsidRPr="00EF61C8">
        <w:rPr>
          <w:rFonts w:ascii="Times New Roman" w:eastAsia="Times New Roman" w:hAnsi="Times New Roman" w:cs="Times New Roman"/>
          <w:sz w:val="24"/>
          <w:szCs w:val="24"/>
          <w:lang w:val="es-ES_tradnl"/>
        </w:rPr>
        <w:t>. Cada Conversión de Productos Básicos se ejecutará de acuerdo con los siguientes términos y condiciones: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 xml:space="preserve">(a) </w:t>
      </w:r>
      <w:r w:rsidRPr="00EF61C8">
        <w:rPr>
          <w:rFonts w:ascii="Times New Roman" w:eastAsia="Times New Roman" w:hAnsi="Times New Roman" w:cs="Times New Roman"/>
          <w:sz w:val="24"/>
          <w:szCs w:val="24"/>
          <w:lang w:val="es-ES_tradnl"/>
        </w:rPr>
        <w:tab/>
        <w:t>Cada Conversión de Productos Básicos estará relacionada con una Opción de Venta de Productos Básicos o con una Opción de Compra de Productos Básicos (cada una de ellas denominada una “Opción de Productos Básicos”). Una Opción de Productos Básicos implica el otorgamiento por parte del Banco al Prestatario del derecho, a ser ejercido según lo dispuesto en este Artículo 5.11, a que el Banco le pague el Monto de Liquidación en Efectivo, si lo hubiera, en la Fecha de Liquidación de Conversión de Productos Básicos.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Si, en la Fecha de Vencimiento de Conversión de Productos Básicos bajo una Opción de Compra de Productos Básicos, el Precio Especificado excede el Precio de Ejercicio, el “Monto de Liquidación en Efectivo” será igual al producto de (i) el exceso del Precio Especificado sobre el Precio de Ejercicio multiplicado por (ii) la Cantidad Nocional de dicha Opción de Producto Básico. De lo contrario, el “Monto de Liquidación en Efectivo” para dicha Opción de Compra de Productos Básicos será cero.</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25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Si, en la Fecha de Vencimiento de Conversión de Productos Básicos bajo una Opción de Venta de Productos Básicos, el Precio de Ejercicio excede el Precio Especificado, el “Monto de Liquidación en Efectivo” será igual al producto de (i) el exceso del Precio de Ejercicio sobre el Precio Especificado multiplicado por (ii) la Cantidad Nocional de dicha Opción de Producto Básico. De lo contrario, el “Monto de liquidación en Efectivo” para dicha Opción de Venta de Productos Básicos será cero.</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En caso de que la Conversión de Productos Básicos se refiera a un Tipo de Opción binaria, el “Monto de Liquidación en Efectivo” se determinará con base en una fórmula a ser especificada en la Carta Notificación de Conversión (Artículo 5.01(b)(iv)(I) de estas Normas Generales).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(e)</w:t>
      </w:r>
      <w:r w:rsidRPr="00EF61C8">
        <w:rPr>
          <w:rFonts w:ascii="Times New Roman" w:eastAsia="Times New Roman" w:hAnsi="Times New Roman" w:cs="Times New Roman"/>
          <w:sz w:val="24"/>
          <w:szCs w:val="24"/>
          <w:lang w:val="es-ES_tradnl"/>
        </w:rPr>
        <w:tab/>
        <w:t>En la Fecha de Vencimiento de Conversión de Productos Básicos, el Banco determinará y notificará al Prestatario el Monto de Liquidación en Efectivo. Si el Monto de Liquidación en Efectivo es mayor a cero, el Banco pagará dicho monto al Prestatario en la Fecha de Liquidación de la Conversión de Productos Básicos. En el caso de que un préstamo otorgado al Prestatario, o garantizado por el Prestatario, esté atrasado por más de treinta (30) días, el Banco podrá deducir del Monto de Liquidación en Efectivo todos los montos adeudados y pagaderos por el Prestatario al Banco bajo cualquier préstamo otorgado al Prestatario, o garantizado por el Prestatario, que se encuentre atrasado por cualquier período de tiempo, ya sea por más o por menos de treinta (30) días.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1440"/>
          <w:tab w:val="left" w:pos="2160"/>
          <w:tab w:val="left" w:pos="2250"/>
        </w:tabs>
        <w:suppressAutoHyphens/>
        <w:spacing w:after="0" w:line="240" w:lineRule="auto"/>
        <w:ind w:left="1440" w:hanging="144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(f)</w:t>
      </w:r>
      <w:r w:rsidRPr="00EF61C8">
        <w:rPr>
          <w:rFonts w:ascii="Times New Roman" w:eastAsia="Times New Roman" w:hAnsi="Times New Roman" w:cs="Times New Roman"/>
          <w:sz w:val="24"/>
          <w:szCs w:val="24"/>
          <w:lang w:val="es-ES_tradnl"/>
        </w:rPr>
        <w:tab/>
        <w:t xml:space="preserve">Si, en la fecha correspondiente, el Prestatario no realizase el pago de alguna prima pagadera en virtud de una Conversión de Productos Básicos, y dicho incumplimiento no se subsanase en un plazo razonable, el Banco podrá, mediante notificación por escrito al Prestatario, rescindir la Opción de Productos Básicos relacionada, en cuyo caso el Prestatario deberá pagar el Banco un monto, a ser determinado por el Banco, equivalente a los costos a ser incurridos por éste como resultado de revertir o reasignar cualquier cobertura de productos básicos relacionada. </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Alternativamente, el Banco podrá optar por no rescindir la Opción de Productos Básicos, en cuyo caso, cualquier Monto de Liquidación en Efectivo resultante en una Fecha de Vencimiento de Conversión de Productos Básicos será aplicado según lo dispuesto en el Artículo 5.06 de estas Normas Generales.</w:t>
      </w:r>
    </w:p>
    <w:bookmarkEnd w:id="32"/>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5.12.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Eventos de interrupción de las cotizaciones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Las partes reconocen que los pagos hechos por el Prestatario, tanto de amortización como de intereses, de los montos que han sido objeto de una Conversión, deben, en todo momento, mantenerse vinculados con la correspondiente captación del financiamiento del Banco en relación con pagos asociados a dicha Conversión.</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Por lo tanto, las Partes convienen que, no obstante la ocurrencia de cualquier evento de interrupción que materialmente afecte los diversos tipos de cambio, las tasas de interés e índice de ajuste de inflación utilizados en este Contrato, si lo hubiere, o las Cartas Notificación de Conversión, los pagos del Prestatario continuarán </w:t>
      </w:r>
      <w:r w:rsidRPr="00EF61C8">
        <w:rPr>
          <w:rFonts w:ascii="Times New Roman" w:eastAsia="Times New Roman" w:hAnsi="Times New Roman" w:cs="Times New Roman"/>
          <w:sz w:val="24"/>
          <w:szCs w:val="24"/>
          <w:lang w:val="es-ES_tradnl"/>
        </w:rPr>
        <w:lastRenderedPageBreak/>
        <w:t>vinculados a dicha captación del financiamiento del Banco.</w:t>
      </w:r>
      <w:r w:rsidR="00867479">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Con el fin de obtener y mantener esa vinculación bajo dichas circunstancias, las partes expresamente acuerdan que el Agente de Cálculo, actuando de buena fe y de una manera comercialmente razonable, tratando de reflejar la correspondiente captación del financiamiento del Banco, determinará la aplicabilidad tanto: (a) de dichos eventos de interrupción; y (b) de la tasa o el índice de reemplazo aplicable para determinar el monto apropiado a ser pagado por el Prestatario.</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5.13.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Cancelación y reversión de la Conversión de Moneda</w:t>
      </w:r>
      <w:r w:rsidRPr="00EF61C8">
        <w:rPr>
          <w:rFonts w:ascii="Times New Roman" w:eastAsia="Times New Roman" w:hAnsi="Times New Roman" w:cs="Times New Roman"/>
          <w:sz w:val="24"/>
          <w:szCs w:val="24"/>
          <w:lang w:val="es-ES_tradnl"/>
        </w:rPr>
        <w:t>. Si, luego de la fecha de suscripción del presente Contrato, se promulga, se emite o se produce un cambio en una ley, decreto u otra norma legal aplicable, o bien, se promulga, se emite o se produce un cambio en la interpretación de una ley, decreto u otra norma legal vigente al momento de la suscripción del presente Contrato, que, conforme el Banco razonablemente lo determine, le impida al Banco continuar manteniendo total o parcialmente su financiamiento en la Moneda Convertida por el plazo remanente y en los mismos términos de la Conversión de Moneda respectiva, el Prestatario, previa notificación por parte del Banco, tendrá la opción de redenominar a Dólares el Saldo Deudor objeto de la Conversión de Moneda a la tasa de cambio aplicable en ese momento, conforme ésta sea determinada por el Agente de Cálculo. Dicho Saldo Deudor quedará sujeto al Cronograma de Amortización que había sido acordado para dicha Conversión de Moneda y a la Tasa de Interés prevista en el Artículo 3.03(a) de estas Normas Generales. En su defecto, el Prestatario podrá pagar anticipadamente al Banco todas las sumas que adeude en la Moneda Convertida, de conformidad con lo previsto en el Artículo 3.08 de estas Normas Generales.</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5.14.</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Ganancias o costos asociados a la redenominación a Dólares</w:t>
      </w:r>
      <w:r w:rsidRPr="00EF61C8">
        <w:rPr>
          <w:rFonts w:ascii="Times New Roman" w:eastAsia="Times New Roman" w:hAnsi="Times New Roman" w:cs="Times New Roman"/>
          <w:sz w:val="24"/>
          <w:szCs w:val="24"/>
          <w:lang w:val="es-ES_tradnl"/>
        </w:rPr>
        <w:t>. En caso de que el Prestatario, con la anuencia del Garante, si lo hubiere, decida redenominar el Saldo Deudor objeto de una Conversión de Moneda a Dólares de acuerdo c</w:t>
      </w:r>
      <w:r w:rsidR="00AA5F0A">
        <w:rPr>
          <w:rFonts w:ascii="Times New Roman" w:eastAsia="Times New Roman" w:hAnsi="Times New Roman" w:cs="Times New Roman"/>
          <w:sz w:val="24"/>
          <w:szCs w:val="24"/>
          <w:lang w:val="es-ES_tradnl"/>
        </w:rPr>
        <w:t xml:space="preserve">on lo previsto en el Artículo </w:t>
      </w:r>
      <w:r w:rsidRPr="00EF61C8">
        <w:rPr>
          <w:rFonts w:ascii="Times New Roman" w:eastAsia="Times New Roman" w:hAnsi="Times New Roman" w:cs="Times New Roman"/>
          <w:sz w:val="24"/>
          <w:szCs w:val="24"/>
          <w:lang w:val="es-ES_tradnl"/>
        </w:rPr>
        <w:t>5.13 anterior, el Prestatario recibirá del Banco o, en su defecto, pagará al Banco, según sea el caso, los montos relativos a cualesquiera ganancias o costos determinados por el Agente de Cálculo, hasta la fecha de redenominación a Dólares, asociados con variaciones en las tasas de interés, dentro de un plazo de treinta (30) días a partir de la fecha de la redenominación. Cualquier ganancia asociada a dicha conversión a ser recibida por el Prestatario, será primeramente aplicada a cualquier monto vencido pendiente de pago al Banco por el Prestatario.</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5.15.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Retraso en el pago en caso de Conversión de Moneda</w:t>
      </w:r>
      <w:r w:rsidRPr="00EF61C8">
        <w:rPr>
          <w:rFonts w:ascii="Times New Roman" w:eastAsia="Times New Roman" w:hAnsi="Times New Roman" w:cs="Times New Roman"/>
          <w:sz w:val="24"/>
          <w:szCs w:val="24"/>
          <w:lang w:val="es-ES_tradnl"/>
        </w:rPr>
        <w:t>. El retraso en el pago de las sumas que el Prestatario adeude al Banco por capital, cualesquiera cargos financieros devengados con ocasión de una Conversión y cualesquiera primas pagaderas al Banco en virtud del Artículo 5.09 en Moneda distinta al Dólar, facultará al Banco a cobrar intereses a una tasa flotante en la Moneda Convertida determinada por el Agente de Cálc</w:t>
      </w:r>
      <w:r w:rsidR="00AA5F0A">
        <w:rPr>
          <w:rFonts w:ascii="Times New Roman" w:eastAsia="Times New Roman" w:hAnsi="Times New Roman" w:cs="Times New Roman"/>
          <w:sz w:val="24"/>
          <w:szCs w:val="24"/>
          <w:lang w:val="es-ES_tradnl"/>
        </w:rPr>
        <w:t xml:space="preserve">ulo, más un margen de 100 </w:t>
      </w:r>
      <w:r w:rsidRPr="00EF61C8">
        <w:rPr>
          <w:rFonts w:ascii="Times New Roman" w:eastAsia="Times New Roman" w:hAnsi="Times New Roman" w:cs="Times New Roman"/>
          <w:sz w:val="24"/>
          <w:szCs w:val="24"/>
          <w:lang w:val="es-ES_tradnl"/>
        </w:rPr>
        <w:t>puntos básicos (1%) sobre el total de las sumas en atraso, sin perjuicio de la aplicación de cargos adicionales que aseguren un pleno traspaso de costos en la eventualidad de que dicho margen no sea suficiente para que el Banco recupere los costos inc</w:t>
      </w:r>
      <w:r w:rsidR="00AA5F0A">
        <w:rPr>
          <w:rFonts w:ascii="Times New Roman" w:eastAsia="Times New Roman" w:hAnsi="Times New Roman" w:cs="Times New Roman"/>
          <w:sz w:val="24"/>
          <w:szCs w:val="24"/>
          <w:lang w:val="es-ES_tradnl"/>
        </w:rPr>
        <w:t>urridos a raíz de dicho atraso.</w:t>
      </w: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720"/>
          <w:tab w:val="left" w:pos="0"/>
          <w:tab w:val="left" w:pos="720"/>
          <w:tab w:val="left" w:pos="2160"/>
          <w:tab w:val="left" w:pos="2250"/>
        </w:tabs>
        <w:suppressAutoHyphen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5.16.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Costos adicionales en caso de Conversiones</w:t>
      </w:r>
      <w:r w:rsidRPr="00EF61C8">
        <w:rPr>
          <w:rFonts w:ascii="Times New Roman" w:eastAsia="Times New Roman" w:hAnsi="Times New Roman" w:cs="Times New Roman"/>
          <w:sz w:val="24"/>
          <w:szCs w:val="24"/>
          <w:lang w:val="es-ES_tradnl"/>
        </w:rPr>
        <w:t>. Si una acción u omisión del Prestatario o el Garante, si lo hubiere, incluyendo: (a) falta de pago en las fechas de vencimiento de montos de capital, intereses y comisiones relac</w:t>
      </w:r>
      <w:r w:rsidR="00AA5F0A">
        <w:rPr>
          <w:rFonts w:ascii="Times New Roman" w:eastAsia="Times New Roman" w:hAnsi="Times New Roman" w:cs="Times New Roman"/>
          <w:sz w:val="24"/>
          <w:szCs w:val="24"/>
          <w:lang w:val="es-ES_tradnl"/>
        </w:rPr>
        <w:t xml:space="preserve">ionados con una </w:t>
      </w:r>
      <w:r w:rsidR="00AA5F0A">
        <w:rPr>
          <w:rFonts w:ascii="Times New Roman" w:eastAsia="Times New Roman" w:hAnsi="Times New Roman" w:cs="Times New Roman"/>
          <w:sz w:val="24"/>
          <w:szCs w:val="24"/>
          <w:lang w:val="es-ES_tradnl"/>
        </w:rPr>
        <w:lastRenderedPageBreak/>
        <w:t xml:space="preserve">Conversión; (b) </w:t>
      </w:r>
      <w:r w:rsidRPr="00EF61C8">
        <w:rPr>
          <w:rFonts w:ascii="Times New Roman" w:eastAsia="Times New Roman" w:hAnsi="Times New Roman" w:cs="Times New Roman"/>
          <w:sz w:val="24"/>
          <w:szCs w:val="24"/>
          <w:lang w:val="es-ES_tradnl"/>
        </w:rPr>
        <w:t>revocación de o cambio en los términos contenidos en una Car</w:t>
      </w:r>
      <w:r w:rsidR="00AA5F0A">
        <w:rPr>
          <w:rFonts w:ascii="Times New Roman" w:eastAsia="Times New Roman" w:hAnsi="Times New Roman" w:cs="Times New Roman"/>
          <w:sz w:val="24"/>
          <w:szCs w:val="24"/>
          <w:lang w:val="es-ES_tradnl"/>
        </w:rPr>
        <w:t xml:space="preserve">ta Solicitud de Conversión; (c) </w:t>
      </w:r>
      <w:r w:rsidRPr="00EF61C8">
        <w:rPr>
          <w:rFonts w:ascii="Times New Roman" w:eastAsia="Times New Roman" w:hAnsi="Times New Roman" w:cs="Times New Roman"/>
          <w:sz w:val="24"/>
          <w:szCs w:val="24"/>
          <w:lang w:val="es-ES_tradnl"/>
        </w:rPr>
        <w:t>incumplimiento de un pago anticipado parcial o total del Saldo Deudor en la Moneda Convertida, previamente solicitado por el Prestatario por escrito; (d) un cambio en las leyes o regulaciones que tengan un impacto en el mantenimiento del total o una parte del Préstamo en los términos acordados de una Conversión; o (e) otras acciones no descritas anteriormente; resulta para el Banco en costos adicionales a los descritos en este Contrato, el Prestatario deberá pagar al Banco aquellas sumas, determinadas por el Agente de Cálculo, que aseguren un pleno traspaso de los costos incurridos.</w:t>
      </w:r>
    </w:p>
    <w:p w:rsidR="00FF0D18" w:rsidRPr="00EF61C8" w:rsidRDefault="00FF0D18" w:rsidP="00FF0D18">
      <w:pPr>
        <w:spacing w:after="0" w:line="276" w:lineRule="auto"/>
        <w:jc w:val="center"/>
        <w:rPr>
          <w:rFonts w:ascii="Times New Roman" w:eastAsia="Times New Roman" w:hAnsi="Times New Roman" w:cs="Times New Roman"/>
          <w:b/>
          <w:bCs/>
          <w:sz w:val="24"/>
          <w:szCs w:val="24"/>
          <w:lang w:val="es-ES_tradnl"/>
        </w:rPr>
      </w:pPr>
    </w:p>
    <w:p w:rsidR="00FF0D18" w:rsidRPr="00EF61C8" w:rsidRDefault="00FF0D18" w:rsidP="00FF0D18">
      <w:pPr>
        <w:widowControl w:val="0"/>
        <w:spacing w:after="0" w:line="240"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VI</w:t>
      </w:r>
    </w:p>
    <w:p w:rsidR="00FF0D18" w:rsidRPr="00EF61C8" w:rsidRDefault="00FF0D18" w:rsidP="00FF0D18">
      <w:pPr>
        <w:widowControl w:val="0"/>
        <w:spacing w:after="0" w:line="240"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Ejecución del Proyecto</w:t>
      </w:r>
    </w:p>
    <w:p w:rsidR="00FF0D18" w:rsidRPr="00EF61C8" w:rsidRDefault="00FF0D18" w:rsidP="00FF0D18">
      <w:pPr>
        <w:widowControl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6.01.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Sistemas de gestión financiera y control interno</w:t>
      </w:r>
      <w:r w:rsidRPr="00EF61C8">
        <w:rPr>
          <w:rFonts w:ascii="Times New Roman" w:eastAsia="Times New Roman" w:hAnsi="Times New Roman" w:cs="Times New Roman"/>
          <w:sz w:val="24"/>
          <w:szCs w:val="20"/>
          <w:lang w:val="es-ES_tradnl"/>
        </w:rPr>
        <w:t>.</w:t>
      </w:r>
      <w:r w:rsidRPr="00EF61C8">
        <w:rPr>
          <w:rFonts w:ascii="Times New Roman" w:eastAsia="Times New Roman" w:hAnsi="Times New Roman" w:cs="Times New Roman"/>
          <w:b/>
          <w:sz w:val="24"/>
          <w:szCs w:val="20"/>
          <w:lang w:val="es-ES_tradnl"/>
        </w:rPr>
        <w:t xml:space="preserve"> </w:t>
      </w:r>
      <w:r w:rsidRPr="00EF61C8">
        <w:rPr>
          <w:rFonts w:ascii="Times New Roman" w:eastAsia="Times New Roman" w:hAnsi="Times New Roman" w:cs="Times New Roman"/>
          <w:sz w:val="24"/>
          <w:szCs w:val="20"/>
          <w:lang w:val="es-ES_tradnl"/>
        </w:rPr>
        <w:t>(a)</w:t>
      </w:r>
      <w:r w:rsidRPr="00EF61C8">
        <w:rPr>
          <w:rFonts w:ascii="Times New Roman" w:eastAsia="Times New Roman" w:hAnsi="Times New Roman" w:cs="Times New Roman"/>
          <w:b/>
          <w:sz w:val="24"/>
          <w:szCs w:val="20"/>
          <w:lang w:val="es-ES_tradnl"/>
        </w:rPr>
        <w:t xml:space="preserve"> </w:t>
      </w:r>
      <w:r w:rsidRPr="00EF61C8">
        <w:rPr>
          <w:rFonts w:ascii="Times New Roman" w:eastAsia="Times New Roman" w:hAnsi="Times New Roman" w:cs="Times New Roman"/>
          <w:sz w:val="24"/>
          <w:szCs w:val="20"/>
          <w:lang w:val="es-ES_tradnl"/>
        </w:rPr>
        <w:t>El Prestatario se compromete a mantener o, en su caso, a que el Organismo Ejecutor y la Agencia de Contrataciones, si la hubiere, mantengan controles internos tendientes a asegurar razonablemente, que: (i) los recursos del Proyecto sean utilizados para los propósitos de este Contrato, con especial atención a los principios de economía y eficiencia; (ii) los activos del Proyecto sean adecuadamente salvaguardados; (iii) las transacciones, decisiones y actividades del Proyecto sean debidamente autorizadas y ejecutadas de acuerdo con las disposiciones de este Contrato y de cualquier otro contrato relacionado con el Proyecto; y (iv) las transacciones sean apropiadamente documentadas y sean registradas de forma que puedan producirse informes y r</w:t>
      </w:r>
      <w:r w:rsidR="00AA5F0A">
        <w:rPr>
          <w:rFonts w:ascii="Times New Roman" w:eastAsia="Times New Roman" w:hAnsi="Times New Roman" w:cs="Times New Roman"/>
          <w:sz w:val="24"/>
          <w:szCs w:val="20"/>
          <w:lang w:val="es-ES_tradnl"/>
        </w:rPr>
        <w:t>eportes oportunos y confiables.</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w:t>
      </w:r>
      <w:r w:rsidRPr="00EF61C8">
        <w:rPr>
          <w:rFonts w:ascii="Times New Roman" w:eastAsia="Times New Roman" w:hAnsi="Times New Roman" w:cs="Times New Roman"/>
          <w:sz w:val="24"/>
          <w:szCs w:val="20"/>
          <w:lang w:val="es-ES_tradnl"/>
        </w:rPr>
        <w:tab/>
        <w:t xml:space="preserve">El Prestatario se compromete a mantener y a que el Organismo Ejecutor y la Agencia de Contrataciones, si la hubiere, mantengan un sistema de gestión financiera aceptable y confiable que permita oportunamente, en lo que concierne a los recursos del Proyecto: (i) la planificación financiera; (ii) el registro contable, presupuestario y financiero; (iii) la administración de contratos; (iv) la realización de pagos; y (v) la emisión de informes de auditoría financiera y de otros informes relacionados con los recursos del Préstamo, del Aporte Local y de otras fuentes de financiamiento </w:t>
      </w:r>
      <w:r w:rsidR="00AA5F0A">
        <w:rPr>
          <w:rFonts w:ascii="Times New Roman" w:eastAsia="Times New Roman" w:hAnsi="Times New Roman" w:cs="Times New Roman"/>
          <w:sz w:val="24"/>
          <w:szCs w:val="20"/>
          <w:lang w:val="es-ES_tradnl"/>
        </w:rPr>
        <w:t>del Proyecto, si fuera el caso.</w:t>
      </w:r>
    </w:p>
    <w:p w:rsidR="00FF0D18" w:rsidRPr="00EF61C8" w:rsidRDefault="00FF0D18" w:rsidP="00FF0D18">
      <w:pPr>
        <w:spacing w:after="0" w:line="240" w:lineRule="auto"/>
        <w:jc w:val="both"/>
        <w:rPr>
          <w:rFonts w:ascii="Times New Roman" w:eastAsia="Times New Roman" w:hAnsi="Times New Roman" w:cs="Times New Roman"/>
          <w:b/>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ab/>
        <w:t>(c)</w:t>
      </w:r>
      <w:r w:rsidRPr="00EF61C8">
        <w:rPr>
          <w:rFonts w:ascii="Times New Roman" w:eastAsia="Times New Roman" w:hAnsi="Times New Roman" w:cs="Times New Roman"/>
          <w:sz w:val="24"/>
          <w:szCs w:val="20"/>
          <w:lang w:val="es-ES_tradnl"/>
        </w:rPr>
        <w:tab/>
        <w:t>El Prestatario</w:t>
      </w:r>
      <w:r w:rsidRPr="00EF61C8">
        <w:rPr>
          <w:rFonts w:ascii="Times New Roman" w:eastAsia="Times New Roman" w:hAnsi="Times New Roman" w:cs="Times New Roman"/>
          <w:sz w:val="20"/>
          <w:szCs w:val="20"/>
          <w:lang w:val="es-ES_tradnl"/>
        </w:rPr>
        <w:t xml:space="preserve"> </w:t>
      </w:r>
      <w:r w:rsidRPr="00EF61C8">
        <w:rPr>
          <w:rFonts w:ascii="Times New Roman" w:eastAsia="Times New Roman" w:hAnsi="Times New Roman" w:cs="Times New Roman"/>
          <w:sz w:val="24"/>
          <w:szCs w:val="20"/>
          <w:lang w:val="es-ES_tradnl"/>
        </w:rPr>
        <w:t xml:space="preserve">se compromete a conservar y a que el Organismo Ejecutor o la Agencia de Contrataciones, según corresponda, conserven los documentos y registros originales del Proyecto por un período mínimo de tres (3) años después del vencimiento del Plazo Original de Desembolsos o cualquiera de sus extensiones. </w:t>
      </w:r>
      <w:r w:rsidR="00AA5F0A">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 xml:space="preserve">Estos documentos y registros </w:t>
      </w:r>
      <w:r w:rsidR="00AA5F0A">
        <w:rPr>
          <w:rFonts w:ascii="Times New Roman" w:eastAsia="Times New Roman" w:hAnsi="Times New Roman" w:cs="Times New Roman"/>
          <w:sz w:val="24"/>
          <w:szCs w:val="20"/>
          <w:lang w:val="es-ES_tradnl"/>
        </w:rPr>
        <w:t xml:space="preserve">deberán ser adecuados para: (i) </w:t>
      </w:r>
      <w:r w:rsidRPr="00EF61C8">
        <w:rPr>
          <w:rFonts w:ascii="Times New Roman" w:eastAsia="Times New Roman" w:hAnsi="Times New Roman" w:cs="Times New Roman"/>
          <w:sz w:val="24"/>
          <w:szCs w:val="20"/>
          <w:lang w:val="es-ES_tradnl"/>
        </w:rPr>
        <w:t>respaldar las actividades, decisiones y transacciones relativas al Proyecto, incluidos todos los gastos incurridos; y (ii) evidenciar la correlación de gastos incurridos con cargo al Préstamo con el respectivo des</w:t>
      </w:r>
      <w:r w:rsidR="00AA5F0A">
        <w:rPr>
          <w:rFonts w:ascii="Times New Roman" w:eastAsia="Times New Roman" w:hAnsi="Times New Roman" w:cs="Times New Roman"/>
          <w:sz w:val="24"/>
          <w:szCs w:val="20"/>
          <w:lang w:val="es-ES_tradnl"/>
        </w:rPr>
        <w:t>embolso efectuado por el Banco.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keepNext/>
        <w:keepLines/>
        <w:spacing w:after="0" w:line="240" w:lineRule="auto"/>
        <w:ind w:firstLine="720"/>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0"/>
          <w:lang w:val="es-ES_tradnl"/>
        </w:rPr>
        <w:lastRenderedPageBreak/>
        <w:t>(d)</w:t>
      </w:r>
      <w:r w:rsidRPr="00EF61C8">
        <w:rPr>
          <w:rFonts w:ascii="Times New Roman" w:eastAsia="Times New Roman" w:hAnsi="Times New Roman" w:cs="Times New Roman"/>
          <w:sz w:val="24"/>
          <w:szCs w:val="20"/>
          <w:lang w:val="es-ES_tradnl"/>
        </w:rPr>
        <w:tab/>
        <w:t xml:space="preserve">El Prestatario se compromete a incluir o, en su caso, a que el Organismo Ejecutor y la Agencia de Contrataciones, si la hubiere, incluyan, en los documentos de licitación, las solicitudes de propuestas y en los contratos financiados con recursos del Préstamo, que éstos respectivamente celebren, una disposición que exija a los proveedores de bienes o servicios, contratistas, subcontratistas, consultores y sus representantes, miembros del personal, subconsultores, subcontratistas, o concesionarios, que contraten, conservar los documentos y registros relacionados con </w:t>
      </w:r>
      <w:r w:rsidRPr="00EF61C8">
        <w:rPr>
          <w:rFonts w:ascii="Times New Roman" w:eastAsia="Calibri" w:hAnsi="Times New Roman" w:cs="Times New Roman"/>
          <w:sz w:val="24"/>
          <w:szCs w:val="24"/>
          <w:lang w:val="es-ES_tradnl"/>
        </w:rPr>
        <w:t>actividades financiadas con recursos del Préstamo por un período de siete (7) años luego de terminado el trabajo contemplado en el respectivo contrato.</w:t>
      </w:r>
    </w:p>
    <w:p w:rsidR="00FF0D18" w:rsidRPr="00EF61C8" w:rsidRDefault="00FF0D18" w:rsidP="00FF0D18">
      <w:pPr>
        <w:widowControl w:val="0"/>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widowControl w:val="0"/>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6.02.</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Aporte Local</w:t>
      </w:r>
      <w:r w:rsidRPr="00EF61C8">
        <w:rPr>
          <w:rFonts w:ascii="Times New Roman" w:eastAsia="Times New Roman" w:hAnsi="Times New Roman" w:cs="Times New Roman"/>
          <w:sz w:val="24"/>
          <w:szCs w:val="20"/>
          <w:lang w:val="es-ES_tradnl"/>
        </w:rPr>
        <w:t xml:space="preserve">. El Prestatario se compromete a contribuir o, en su caso, a que el Organismo Ejecutor contribuya, de forma oportuna el Aporte Local. Si a la fecha de aprobación del Préstamo por el Banco se hubiere determinado la necesidad de Aporte Local, el monto estimado de dicho Aporte Local será el que se establece en las Estipulaciones Especiales. </w:t>
      </w:r>
      <w:r w:rsidR="00AA5F0A">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La estimación o la ausencia de estimación del Aporte Local no implica una limitación o reducción de la obligación de aportar oportunamente todos los recursos adicionales que sean necesarios para la completa e ininter</w:t>
      </w:r>
      <w:r w:rsidR="00AA5F0A">
        <w:rPr>
          <w:rFonts w:ascii="Times New Roman" w:eastAsia="Times New Roman" w:hAnsi="Times New Roman" w:cs="Times New Roman"/>
          <w:sz w:val="24"/>
          <w:szCs w:val="20"/>
          <w:lang w:val="es-ES_tradnl"/>
        </w:rPr>
        <w:t>rumpida ejecución del Proyecto.</w:t>
      </w:r>
    </w:p>
    <w:p w:rsidR="00AA5F0A" w:rsidRDefault="00AA5F0A" w:rsidP="00FF0D18">
      <w:pPr>
        <w:autoSpaceDE w:val="0"/>
        <w:autoSpaceDN w:val="0"/>
        <w:adjustRightInd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autoSpaceDE w:val="0"/>
        <w:autoSpaceDN w:val="0"/>
        <w:adjustRightInd w:val="0"/>
        <w:spacing w:after="0" w:line="240" w:lineRule="auto"/>
        <w:jc w:val="both"/>
        <w:rPr>
          <w:rFonts w:ascii="Times New Roman" w:eastAsia="Times New Roman" w:hAnsi="Times New Roman" w:cs="Times New Roman"/>
          <w:color w:val="000000"/>
          <w:sz w:val="24"/>
          <w:szCs w:val="24"/>
          <w:lang w:val="es-ES_tradnl"/>
        </w:rPr>
      </w:pPr>
      <w:r w:rsidRPr="00EF61C8">
        <w:rPr>
          <w:rFonts w:ascii="Times New Roman" w:eastAsia="Times New Roman" w:hAnsi="Times New Roman" w:cs="Times New Roman"/>
          <w:b/>
          <w:color w:val="000000"/>
          <w:sz w:val="24"/>
          <w:szCs w:val="24"/>
          <w:lang w:val="es-ES_tradnl"/>
        </w:rPr>
        <w:t>ARTÍCULO 6.03.</w:t>
      </w:r>
      <w:r w:rsidRPr="00EF61C8">
        <w:rPr>
          <w:rFonts w:ascii="Times New Roman" w:eastAsia="Times New Roman" w:hAnsi="Times New Roman" w:cs="Times New Roman"/>
          <w:b/>
          <w:color w:val="000000"/>
          <w:sz w:val="24"/>
          <w:szCs w:val="24"/>
          <w:lang w:val="es-ES_tradnl"/>
        </w:rPr>
        <w:tab/>
      </w:r>
      <w:r w:rsidRPr="00EF61C8">
        <w:rPr>
          <w:rFonts w:ascii="Times New Roman" w:eastAsia="Times New Roman" w:hAnsi="Times New Roman" w:cs="Times New Roman"/>
          <w:b/>
          <w:color w:val="000000"/>
          <w:sz w:val="24"/>
          <w:szCs w:val="24"/>
          <w:u w:val="single"/>
          <w:lang w:val="es-ES_tradnl"/>
        </w:rPr>
        <w:t>Disposiciones generales sobre ejecución del Proyecto</w:t>
      </w:r>
      <w:r w:rsidRPr="00EF61C8">
        <w:rPr>
          <w:rFonts w:ascii="Times New Roman" w:eastAsia="Times New Roman" w:hAnsi="Times New Roman" w:cs="Times New Roman"/>
          <w:color w:val="000000"/>
          <w:sz w:val="24"/>
          <w:szCs w:val="24"/>
          <w:lang w:val="es-ES_tradnl"/>
        </w:rPr>
        <w:t>. (a) El Prestatario se compromete a ejecutar el Proyecto o, en su caso, a que el Organismo Ejecutor lo ejecute, de acuerdo con los objetivos del mismo, con la debida diligencia, en forma económica, financiera, administrativa y técnicamente eficiente y de acuerdo con las disposiciones de este Contrato y con los planes, especificaciones, calendario de inversiones, presupuestos, reglamentos y otros documentos pertinentes al Proyecto que el Banco apruebe. Asimismo, el Prestatario conviene en que todas las obligaciones a su cargo o, en su caso, a cargo del Organismo Ejecutor, deberán ser cumplidas a satisfacción del Banco.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w:t>
      </w:r>
      <w:r w:rsidRPr="00EF61C8">
        <w:rPr>
          <w:rFonts w:ascii="Times New Roman" w:eastAsia="Times New Roman" w:hAnsi="Times New Roman" w:cs="Times New Roman"/>
          <w:sz w:val="24"/>
          <w:szCs w:val="20"/>
          <w:lang w:val="es-ES_tradnl"/>
        </w:rPr>
        <w:tab/>
        <w:t>Toda modificación importante en los planes, especificaciones, calendario de inversiones, presupuestos, reglamentos y otros documentos que el Banco apruebe, y todo cambio sustancial en contratos financiados con recursos del Préstamo, requieren el consentimiento escrito del Banco.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En caso de contradicción o inconsistencia entre las disposiciones de este Contrato y cualquier plan, especificación, calendario de inversiones, presupuesto, reglamento u otro documento pertinente al Proyecto que el Banco apruebe, las disposiciones de este Contrato preval</w:t>
      </w:r>
      <w:r w:rsidR="00AA5F0A">
        <w:rPr>
          <w:rFonts w:ascii="Times New Roman" w:eastAsia="Times New Roman" w:hAnsi="Times New Roman" w:cs="Times New Roman"/>
          <w:sz w:val="24"/>
          <w:szCs w:val="24"/>
          <w:lang w:val="es-ES_tradnl"/>
        </w:rPr>
        <w:t>ecerán sobre dichos documentos.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color w:val="000000"/>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color w:val="000000"/>
          <w:sz w:val="24"/>
          <w:szCs w:val="24"/>
          <w:lang w:val="es-ES_tradnl"/>
        </w:rPr>
        <w:t>ARTÍCULO 6.04.</w:t>
      </w:r>
      <w:r w:rsidRPr="00EF61C8">
        <w:rPr>
          <w:rFonts w:ascii="Times New Roman" w:eastAsia="Times New Roman" w:hAnsi="Times New Roman" w:cs="Times New Roman"/>
          <w:b/>
          <w:color w:val="000000"/>
          <w:sz w:val="24"/>
          <w:szCs w:val="24"/>
          <w:lang w:val="es-ES_tradnl"/>
        </w:rPr>
        <w:tab/>
      </w:r>
      <w:r w:rsidRPr="00EF61C8">
        <w:rPr>
          <w:rFonts w:ascii="Times New Roman" w:eastAsia="Times New Roman" w:hAnsi="Times New Roman" w:cs="Times New Roman"/>
          <w:b/>
          <w:color w:val="000000"/>
          <w:sz w:val="24"/>
          <w:szCs w:val="24"/>
          <w:u w:val="single"/>
          <w:lang w:val="es-ES_tradnl"/>
        </w:rPr>
        <w:t xml:space="preserve">Selección y contratación de obras y servicios diferentes de consultoría, </w:t>
      </w:r>
      <w:r w:rsidRPr="00EF61C8">
        <w:rPr>
          <w:rFonts w:ascii="Times New Roman" w:eastAsia="Times New Roman" w:hAnsi="Times New Roman" w:cs="Times New Roman"/>
          <w:b/>
          <w:sz w:val="24"/>
          <w:szCs w:val="24"/>
          <w:u w:val="single"/>
          <w:lang w:val="es-ES_tradnl"/>
        </w:rPr>
        <w:t>adquisición de bienes y selección y contratación de servicios de consultoría</w:t>
      </w:r>
      <w:r w:rsidRPr="00EF61C8">
        <w:rPr>
          <w:rFonts w:ascii="Times New Roman" w:eastAsia="Times New Roman" w:hAnsi="Times New Roman" w:cs="Times New Roman"/>
          <w:sz w:val="24"/>
          <w:szCs w:val="24"/>
          <w:lang w:val="es-ES_tradnl"/>
        </w:rPr>
        <w:t xml:space="preserve">. (a) Sujeto a lo dispuesto en el inciso (b) de este Artículo, el Prestatario se compromete a llevar a cabo o, en su caso, a que el Organismo Ejecutor y la Agencia de Contrataciones, si la hubiere, lleven a cabo la contratación de obras y servicios diferentes de consultoría, así como la adquisición de bienes, de acuerdo con lo estipulado en las Políticas de Adquisiciones y el Plan de Adquisiciones aprobado por el Banco, y la selección y contratación de servicios de consultoría, de acuerdo con lo estipulado en las Políticas de Consultores y el Plan de Adquisiciones aprobado por el Banco.  El Prestatario declara conocer las Políticas de Adquisiciones y las Políticas de Consultores y, en su caso, se compromete a poner dichas </w:t>
      </w:r>
      <w:r w:rsidRPr="00EF61C8">
        <w:rPr>
          <w:rFonts w:ascii="Times New Roman" w:eastAsia="Times New Roman" w:hAnsi="Times New Roman" w:cs="Times New Roman"/>
          <w:sz w:val="24"/>
          <w:szCs w:val="24"/>
          <w:lang w:val="es-ES_tradnl"/>
        </w:rPr>
        <w:lastRenderedPageBreak/>
        <w:t>Políticas en conocimiento del Organismo Ejecutor, de la Agencia de Contrataciones y de la agencia especializada.</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 xml:space="preserve">Cuando el Banco haya validado algún sistema o subsistema del país miembro del Banco donde se ejecutará el Proyecto el Prestatario o, en su caso, el Organismo Ejecutor, podrá llevar a cabo las adquisiciones y contrataciones financiadas total o parcialmente con recursos del Préstamo utilizando dichos sistemas o subsistemas de acuerdo con los términos de la validación del Banco y la legislación y procesos aplicables validados. </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Los términos de dicha validación serán notificados por escrito por el Banco al Prestatario y al Organismo Ejecutor. </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uso del sistema o subsistema del país podrá ser suspendido por el Banco cuando, a criterio de éste, se hayan suscitado cambios a los parámetros o prácticas con base en los cuales los mismos han sido validados por el Banco, y mientras el Banco no haya determinado si dichos cambios son compatibles con las mejores prácticas internacionales.</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Durante dicha suspensión, se aplicarán las Políticas de Adquisiciones y las Políticas de Consultores del Banco. </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El Prestatario se compromete a comunicar o, en su caso, a que el Organismo Ejecutor comunique al Banco cualquier cambio en la legislación o procesos aplicables validados. </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uso de sistema de país o subsistema de país no dispensa la aplicación de las disposiciones previstas en la Sección I de las Políticas de Adquisiciones y de las Políticas de Consultores, incluyendo el requisito de que las adquisiciones y contrataciones correspondientes consten en el Plan de Adquisiciones y se sujeten a las demás condiciones de este Contrato.</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Las disposiciones de la Sección I de las Políticas de Adquisiciones y de las Políticas de Consultores se aplicarán a todos los contratos, independientemente de su monto o método de contratación. </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Prestatario se compromete a incluir, o en su caso que el Organismo Ejecutor incluya en los documentos de licitación, los contratos, así como los instrumentos empleados en los sistemas electrónicos o de información (en soporte físico o electrónico), disposiciones destinadas a asegurar la aplicación de lo establecido en la Sección I de las Políticas de Adquisiciones y de las Políticas de Consultores, incluyendo las disposiciones de Prácticas Prohibidas.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 xml:space="preserve">El Prestatario se compromete a actualizar o, en su caso, a que el Organismo Ejecutor mantenga actualizado, el Plan de Adquisiciones y lo actualice, al menos, anualmente o con mayor frecuencia, según las necesidades del Proyecto. </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Cada versión actualizada de dicho Plan de Adquisiciones deberá ser sometida a la revisión y aprobación del Banco.</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440"/>
          <w:tab w:val="left" w:pos="2160"/>
        </w:tabs>
        <w:spacing w:after="0" w:line="240" w:lineRule="auto"/>
        <w:jc w:val="both"/>
        <w:rPr>
          <w:rFonts w:ascii="Times New Roman" w:eastAsia="Times New Roman" w:hAnsi="Times New Roman" w:cs="Times New Roman"/>
          <w:bCs/>
          <w:sz w:val="24"/>
          <w:szCs w:val="24"/>
          <w:lang w:val="es-ES_tradnl"/>
        </w:rPr>
      </w:pPr>
      <w:r w:rsidRPr="00EF61C8">
        <w:rPr>
          <w:rFonts w:ascii="Times New Roman" w:eastAsia="Times New Roman" w:hAnsi="Times New Roman" w:cs="Times New Roman"/>
          <w:sz w:val="24"/>
          <w:szCs w:val="24"/>
          <w:lang w:val="es-ES_tradnl"/>
        </w:rPr>
        <w:tab/>
        <w:t>(d)</w:t>
      </w:r>
      <w:r w:rsidRPr="00EF61C8">
        <w:rPr>
          <w:rFonts w:ascii="Times New Roman" w:eastAsia="Times New Roman" w:hAnsi="Times New Roman" w:cs="Times New Roman"/>
          <w:sz w:val="24"/>
          <w:szCs w:val="24"/>
          <w:lang w:val="es-ES_tradnl"/>
        </w:rPr>
        <w:tab/>
        <w:t xml:space="preserve">El Banco realizará la revisión de los procesos de selección, contratación y adquisición, según lo establecido </w:t>
      </w:r>
      <w:r w:rsidRPr="00EF61C8">
        <w:rPr>
          <w:rFonts w:ascii="Times New Roman" w:eastAsia="Times New Roman" w:hAnsi="Times New Roman" w:cs="Times New Roman"/>
          <w:bCs/>
          <w:sz w:val="24"/>
          <w:szCs w:val="24"/>
          <w:lang w:val="es-ES_tradnl"/>
        </w:rPr>
        <w:t>en el Plan de Adquisiciones</w:t>
      </w:r>
      <w:r w:rsidRPr="00EF61C8">
        <w:rPr>
          <w:rFonts w:ascii="Times New Roman" w:eastAsia="Times New Roman" w:hAnsi="Times New Roman" w:cs="Times New Roman"/>
          <w:sz w:val="24"/>
          <w:szCs w:val="24"/>
          <w:lang w:val="es-ES_tradnl"/>
        </w:rPr>
        <w:t>.</w:t>
      </w:r>
      <w:r w:rsidR="00AA5F0A">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bCs/>
          <w:sz w:val="24"/>
          <w:szCs w:val="24"/>
          <w:lang w:val="es-ES_tradnl"/>
        </w:rPr>
        <w:t>En cualquier momento durante la ejecución del Proyecto, el Banco podrá cambiar la modalidad de revisión de dichos procesos, informando previamente al Prestatario o al Organismo Ejecutor.</w:t>
      </w:r>
      <w:r w:rsidR="00AA5F0A">
        <w:rPr>
          <w:rFonts w:ascii="Times New Roman" w:eastAsia="Times New Roman" w:hAnsi="Times New Roman" w:cs="Times New Roman"/>
          <w:bCs/>
          <w:sz w:val="24"/>
          <w:szCs w:val="24"/>
          <w:lang w:val="es-ES_tradnl"/>
        </w:rPr>
        <w:t xml:space="preserve"> </w:t>
      </w:r>
      <w:r w:rsidRPr="00EF61C8">
        <w:rPr>
          <w:rFonts w:ascii="Times New Roman" w:eastAsia="Times New Roman" w:hAnsi="Times New Roman" w:cs="Times New Roman"/>
          <w:bCs/>
          <w:sz w:val="24"/>
          <w:szCs w:val="24"/>
          <w:lang w:val="es-ES_tradnl"/>
        </w:rPr>
        <w:t xml:space="preserve"> Los cambios aprobados por el Banco deberán ser reflejados en el Plan de Adquisiciones.</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6.05.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Utilización de bienes</w:t>
      </w:r>
      <w:r w:rsidRPr="00EF61C8">
        <w:rPr>
          <w:rFonts w:ascii="Times New Roman" w:eastAsia="Times New Roman" w:hAnsi="Times New Roman" w:cs="Times New Roman"/>
          <w:sz w:val="24"/>
          <w:szCs w:val="24"/>
          <w:lang w:val="es-ES_tradnl"/>
        </w:rPr>
        <w:t>. Salvo autorización expresa del Banco, los bienes adquiridos con los recursos del Préstamo deberán utilizarse exclusivamen</w:t>
      </w:r>
      <w:r w:rsidR="00AA5F0A">
        <w:rPr>
          <w:rFonts w:ascii="Times New Roman" w:eastAsia="Times New Roman" w:hAnsi="Times New Roman" w:cs="Times New Roman"/>
          <w:sz w:val="24"/>
          <w:szCs w:val="24"/>
          <w:lang w:val="es-ES_tradnl"/>
        </w:rPr>
        <w:t>te para los fines del Proyecto.</w:t>
      </w:r>
    </w:p>
    <w:p w:rsidR="00FF0D18" w:rsidRPr="00EF61C8" w:rsidRDefault="00FF0D18" w:rsidP="00FF0D18">
      <w:pPr>
        <w:tabs>
          <w:tab w:val="left" w:pos="720"/>
          <w:tab w:val="left" w:pos="1440"/>
          <w:tab w:val="left" w:pos="2040"/>
          <w:tab w:val="left" w:pos="252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bCs/>
          <w:sz w:val="24"/>
          <w:szCs w:val="24"/>
          <w:lang w:val="es-ES_tradnl"/>
        </w:rPr>
        <w:t>ARTÍCULO</w:t>
      </w:r>
      <w:r w:rsidRPr="00EF61C8">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b/>
          <w:bCs/>
          <w:sz w:val="24"/>
          <w:szCs w:val="24"/>
          <w:lang w:val="es-ES_tradnl"/>
        </w:rPr>
        <w:t>6.06</w:t>
      </w:r>
      <w:r w:rsidRPr="00EF61C8">
        <w:rPr>
          <w:rFonts w:ascii="Times New Roman" w:eastAsia="Times New Roman" w:hAnsi="Times New Roman" w:cs="Times New Roman"/>
          <w:b/>
          <w:sz w:val="24"/>
          <w:szCs w:val="24"/>
          <w:lang w:val="es-ES_tradnl"/>
        </w:rPr>
        <w:t>.</w:t>
      </w:r>
      <w:r w:rsidRPr="00EF61C8">
        <w:rPr>
          <w:rFonts w:ascii="Times New Roman" w:eastAsia="Times New Roman" w:hAnsi="Times New Roman" w:cs="Times New Roman"/>
          <w:sz w:val="24"/>
          <w:szCs w:val="24"/>
          <w:lang w:val="es-ES_tradnl"/>
        </w:rPr>
        <w:tab/>
      </w:r>
      <w:r w:rsidRPr="00EF61C8">
        <w:rPr>
          <w:rFonts w:ascii="Times New Roman" w:eastAsia="Times New Roman" w:hAnsi="Times New Roman" w:cs="Times New Roman"/>
          <w:b/>
          <w:bCs/>
          <w:sz w:val="24"/>
          <w:szCs w:val="24"/>
          <w:u w:val="single"/>
          <w:lang w:val="es-ES_tradnl"/>
        </w:rPr>
        <w:t>Salvaguardias ambientales y sociales</w:t>
      </w:r>
      <w:r w:rsidRPr="00EF61C8">
        <w:rPr>
          <w:rFonts w:ascii="Times New Roman" w:eastAsia="Times New Roman" w:hAnsi="Times New Roman" w:cs="Times New Roman"/>
          <w:sz w:val="24"/>
          <w:szCs w:val="24"/>
          <w:lang w:val="es-ES_tradnl"/>
        </w:rPr>
        <w:t xml:space="preserve">. (a) El Prestatario se compromete a llevar a cabo la ejecución (preparación, construcción y operación) de las actividades comprendidas en el Proyecto o, en su caso, a que el Organismo Ejecutor las lleve </w:t>
      </w:r>
      <w:r w:rsidRPr="00EF61C8">
        <w:rPr>
          <w:rFonts w:ascii="Times New Roman" w:eastAsia="Times New Roman" w:hAnsi="Times New Roman" w:cs="Times New Roman"/>
          <w:sz w:val="24"/>
          <w:szCs w:val="24"/>
          <w:lang w:val="es-ES_tradnl"/>
        </w:rPr>
        <w:lastRenderedPageBreak/>
        <w:t>a cabo, en forma consistente con las políticas ambientales y sociales del Banco, según las disposiciones específicas sobre aspectos ambientales y sociales que se incluyan en las Estipulacion</w:t>
      </w:r>
      <w:r w:rsidR="00AA5F0A">
        <w:rPr>
          <w:rFonts w:ascii="Times New Roman" w:eastAsia="Times New Roman" w:hAnsi="Times New Roman" w:cs="Times New Roman"/>
          <w:sz w:val="24"/>
          <w:szCs w:val="24"/>
          <w:lang w:val="es-ES_tradnl"/>
        </w:rPr>
        <w:t>es Especiales de este Contrato.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El Prestatario se compromete a informar inmediatamente al Banco, o, en su caso, a que el Organismo Ejecutor informe al Banco, la ocurrencia de cualquier incumplimiento de los compromisos ambientales y sociales establecidos en</w:t>
      </w:r>
      <w:r w:rsidR="00AA5F0A">
        <w:rPr>
          <w:rFonts w:ascii="Times New Roman" w:eastAsia="Times New Roman" w:hAnsi="Times New Roman" w:cs="Times New Roman"/>
          <w:sz w:val="24"/>
          <w:szCs w:val="24"/>
          <w:lang w:val="es-ES_tradnl"/>
        </w:rPr>
        <w:t xml:space="preserve"> las Estipulaciones Especiales.</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El Prestatario se compromete a implementar o, de ser el caso, a que el Organismo Ejecutor implemente un plan de acción correctivo, acordado con el Banco, para mitigar, corregir y compensar las consecuencias adversas que puedan derivarse de incumplimientos en la implementación de los compromisos ambientales y sociales establecidos en</w:t>
      </w:r>
      <w:r w:rsidR="00AA5F0A">
        <w:rPr>
          <w:rFonts w:ascii="Times New Roman" w:eastAsia="Times New Roman" w:hAnsi="Times New Roman" w:cs="Times New Roman"/>
          <w:sz w:val="24"/>
          <w:szCs w:val="24"/>
          <w:lang w:val="es-ES_tradnl"/>
        </w:rPr>
        <w:t xml:space="preserve"> las Estipulaciones Especiales.</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w:t>
      </w:r>
      <w:r w:rsidRPr="00EF61C8">
        <w:rPr>
          <w:rFonts w:ascii="Times New Roman" w:eastAsia="Times New Roman" w:hAnsi="Times New Roman" w:cs="Times New Roman"/>
          <w:sz w:val="24"/>
          <w:szCs w:val="24"/>
          <w:lang w:val="es-ES_tradnl"/>
        </w:rPr>
        <w:tab/>
        <w:t>El Prestatario se compromete a permitir que el Banco, por sí o mediante la contratación de servicios de consultoría, lleve a cabo actividades de supervisión, incluyendo auditorías ambientales y sociales del Proyecto, a fin de confirmar el cumplimiento de los compromisos ambientales y sociales incluidos en</w:t>
      </w:r>
      <w:r w:rsidR="00AA5F0A">
        <w:rPr>
          <w:rFonts w:ascii="Times New Roman" w:eastAsia="Times New Roman" w:hAnsi="Times New Roman" w:cs="Times New Roman"/>
          <w:sz w:val="24"/>
          <w:szCs w:val="24"/>
          <w:lang w:val="es-ES_tradnl"/>
        </w:rPr>
        <w:t xml:space="preserve"> las Estipulaciones Especiales.</w:t>
      </w:r>
    </w:p>
    <w:p w:rsidR="00FF0D18" w:rsidRPr="00EF61C8" w:rsidRDefault="00FF0D18" w:rsidP="00FF0D18">
      <w:pPr>
        <w:widowControl w:val="0"/>
        <w:autoSpaceDE w:val="0"/>
        <w:autoSpaceDN w:val="0"/>
        <w:adjustRightInd w:val="0"/>
        <w:spacing w:after="0" w:line="240" w:lineRule="auto"/>
        <w:rPr>
          <w:rFonts w:ascii="Times New Roman" w:eastAsia="MS Mincho" w:hAnsi="Times New Roman" w:cs="Times New Roman"/>
          <w:b/>
          <w:i/>
          <w:color w:val="262626"/>
          <w:sz w:val="24"/>
          <w:szCs w:val="24"/>
          <w:lang w:val="es-ES_tradnl" w:eastAsia="ja-JP"/>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6.07.</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Gastos inelegibles para el Proyecto</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En el evento que el Banco determine que un gasto efectuado no cumple con los requisitos para ser considerado un Gasto Elegible o Aporte Local, el Prestatario se compromete a tomar o, en su caso, a que el Organismo Ejecutor tome, las acciones necesarias para rectificar la situación, según lo requerido por el Banco y sin perjuicio de las demás medidas previstas que el Banco pudiere ejercer en virtud de este Contrato.</w:t>
      </w:r>
    </w:p>
    <w:p w:rsidR="00FF0D18" w:rsidRPr="00EF61C8" w:rsidRDefault="00FF0D18" w:rsidP="00FF0D18">
      <w:pPr>
        <w:spacing w:after="0" w:line="240" w:lineRule="auto"/>
        <w:rPr>
          <w:rFonts w:ascii="Times New Roman" w:eastAsia="Times New Roman" w:hAnsi="Times New Roman" w:cs="Times New Roman"/>
          <w:b/>
          <w:sz w:val="24"/>
          <w:szCs w:val="24"/>
          <w:lang w:val="es-ES_tradnl"/>
        </w:rPr>
      </w:pPr>
    </w:p>
    <w:p w:rsidR="00FF0D18" w:rsidRPr="00EF61C8" w:rsidRDefault="00FF0D18" w:rsidP="00FF0D18">
      <w:pPr>
        <w:keepNext/>
        <w:spacing w:after="0" w:line="240" w:lineRule="auto"/>
        <w:jc w:val="center"/>
        <w:outlineLvl w:val="1"/>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VII</w:t>
      </w:r>
    </w:p>
    <w:p w:rsidR="00FF0D18" w:rsidRPr="00EF61C8" w:rsidRDefault="00FF0D18" w:rsidP="00FF0D18">
      <w:pPr>
        <w:keepNext/>
        <w:tabs>
          <w:tab w:val="left" w:pos="-1440"/>
          <w:tab w:val="left" w:pos="-720"/>
          <w:tab w:val="left" w:pos="720"/>
          <w:tab w:val="left" w:pos="1320"/>
          <w:tab w:val="left" w:pos="2160"/>
        </w:tabs>
        <w:spacing w:after="0" w:line="276" w:lineRule="auto"/>
        <w:jc w:val="center"/>
        <w:outlineLvl w:val="0"/>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Supervisión y evaluación del Proyecto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autoSpaceDE w:val="0"/>
        <w:autoSpaceDN w:val="0"/>
        <w:adjustRightInd w:val="0"/>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7.01.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Inspecciones</w:t>
      </w:r>
      <w:r w:rsidRPr="00EF61C8">
        <w:rPr>
          <w:rFonts w:ascii="Times New Roman" w:eastAsia="Times New Roman" w:hAnsi="Times New Roman" w:cs="Times New Roman"/>
          <w:sz w:val="24"/>
          <w:szCs w:val="20"/>
          <w:lang w:val="es-ES_tradnl"/>
        </w:rPr>
        <w:t>. (a) El Banco podrá establecer los procedimientos de inspección que juzgue necesarios para asegurar el desarrollo satisfactorio del Proyecto.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(b)</w:t>
      </w:r>
      <w:r w:rsidRPr="00EF61C8">
        <w:rPr>
          <w:rFonts w:ascii="Times New Roman" w:eastAsia="Times New Roman" w:hAnsi="Times New Roman" w:cs="Times New Roman"/>
          <w:sz w:val="24"/>
          <w:szCs w:val="20"/>
          <w:lang w:val="es-ES_tradnl"/>
        </w:rPr>
        <w:tab/>
        <w:t>El Prestatario se compromete a permitir o, en su caso, a que el Organismo Ejecutor y la Agencia de Contrataciones, si la hubiere, permitan al Banco, sus</w:t>
      </w:r>
      <w:r w:rsidRPr="00EF61C8">
        <w:rPr>
          <w:rFonts w:ascii="Times New Roman" w:eastAsia="Calibri" w:hAnsi="Times New Roman" w:cs="Times New Roman"/>
          <w:sz w:val="24"/>
          <w:szCs w:val="24"/>
          <w:lang w:val="es-ES_tradnl"/>
        </w:rPr>
        <w:t xml:space="preserve"> inv</w:t>
      </w:r>
      <w:r w:rsidRPr="00EF61C8">
        <w:rPr>
          <w:rFonts w:ascii="Times New Roman" w:eastAsia="Times New Roman" w:hAnsi="Times New Roman" w:cs="Times New Roman"/>
          <w:sz w:val="24"/>
          <w:szCs w:val="20"/>
          <w:lang w:val="es-ES_tradnl"/>
        </w:rPr>
        <w:t>estigadores, representantes, auditores o expertos contratados por el mismo, inspeccionar en cualquier momento el Proyecto, las instalaciones, el equipo y los materiales correspondientes, así como los sistemas, regi</w:t>
      </w:r>
      <w:r w:rsidRPr="00EF61C8">
        <w:rPr>
          <w:rFonts w:ascii="Times New Roman" w:eastAsia="Calibri" w:hAnsi="Times New Roman" w:cs="Times New Roman"/>
          <w:sz w:val="24"/>
          <w:szCs w:val="24"/>
          <w:lang w:val="es-ES_tradnl"/>
        </w:rPr>
        <w:t xml:space="preserve">stros y documentos que el Banco estime pertinente conocer. </w:t>
      </w:r>
      <w:r w:rsidR="00AA5F0A">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Asimismo, el Prestatario se compromete a que sus representantes o, en su caso, los representantes del Organismo Ejecutor y </w:t>
      </w:r>
      <w:r w:rsidRPr="00EF61C8">
        <w:rPr>
          <w:rFonts w:ascii="Times New Roman" w:eastAsia="Times New Roman" w:hAnsi="Times New Roman" w:cs="Times New Roman"/>
          <w:sz w:val="24"/>
          <w:szCs w:val="20"/>
          <w:lang w:val="es-ES_tradnl"/>
        </w:rPr>
        <w:t xml:space="preserve">la Agencia de Contrataciones, si la hubiere, presten la más amplia colaboración a quienes </w:t>
      </w:r>
      <w:r w:rsidRPr="00EF61C8">
        <w:rPr>
          <w:rFonts w:ascii="Times New Roman" w:eastAsia="Calibri" w:hAnsi="Times New Roman" w:cs="Times New Roman"/>
          <w:sz w:val="24"/>
          <w:szCs w:val="24"/>
          <w:lang w:val="es-ES_tradnl"/>
        </w:rPr>
        <w:t>el Banco envíe o designe para estos fines</w:t>
      </w:r>
      <w:r w:rsidRPr="00EF61C8">
        <w:rPr>
          <w:rFonts w:ascii="Times New Roman" w:eastAsia="Times New Roman" w:hAnsi="Times New Roman" w:cs="Times New Roman"/>
          <w:sz w:val="24"/>
          <w:szCs w:val="20"/>
          <w:lang w:val="es-ES_tradnl"/>
        </w:rPr>
        <w:t xml:space="preserve">. Todos los costos relativos al transporte, remuneración y demás gastos correspondientes a estas inspecciones serán pagados por el Banco. </w:t>
      </w:r>
    </w:p>
    <w:p w:rsidR="00FF0D18" w:rsidRPr="00EF61C8" w:rsidRDefault="00FF0D18" w:rsidP="00FF0D18">
      <w:pPr>
        <w:spacing w:after="0" w:line="240" w:lineRule="auto"/>
        <w:ind w:left="72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(c)</w:t>
      </w:r>
      <w:r w:rsidRPr="00EF61C8">
        <w:rPr>
          <w:rFonts w:ascii="Times New Roman" w:eastAsia="Times New Roman" w:hAnsi="Times New Roman" w:cs="Times New Roman"/>
          <w:sz w:val="24"/>
          <w:szCs w:val="20"/>
          <w:lang w:val="es-ES_tradnl"/>
        </w:rPr>
        <w:tab/>
        <w:t xml:space="preserve">El Prestatario se compromete a proporcionar o, en su caso, a que el Organismo Ejecutor y la Agencia de Contrataciones, si la hubiere, proporcionen al Banco la </w:t>
      </w:r>
      <w:r w:rsidRPr="00EF61C8">
        <w:rPr>
          <w:rFonts w:ascii="Times New Roman" w:eastAsia="Times New Roman" w:hAnsi="Times New Roman" w:cs="Times New Roman"/>
          <w:sz w:val="24"/>
          <w:szCs w:val="20"/>
          <w:lang w:val="es-ES_tradnl"/>
        </w:rPr>
        <w:lastRenderedPageBreak/>
        <w:t xml:space="preserve">documentación relativa al Proyecto que el Banco solicite, en forma y tiempo satisfactorios para el Banco. </w:t>
      </w:r>
      <w:r w:rsidR="00AA5F0A">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Sin perjuicio de las medidas que el Banco pueda tomar en virtud del presente Contrato, en caso de que la documentación no esté disponible, el Prestatario se compromete a presentar o, en su caso, a que el Organismo Ejecutor y la Agencia de Contrataciones, si la hubiere, presente al Banco una declaración en la que consten las razones por las cuales la documentación solicitada no está disponible o está siendo retenida.</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0"/>
          <w:lang w:val="es-ES_tradnl"/>
        </w:rPr>
        <w:t>(d)</w:t>
      </w:r>
      <w:r w:rsidRPr="00EF61C8">
        <w:rPr>
          <w:rFonts w:ascii="Times New Roman" w:eastAsia="Times New Roman" w:hAnsi="Times New Roman" w:cs="Times New Roman"/>
          <w:sz w:val="24"/>
          <w:szCs w:val="20"/>
          <w:lang w:val="es-ES_tradnl"/>
        </w:rPr>
        <w:tab/>
        <w:t>El Prestatario se compromete a incluir o, en su caso, a que el Organismo Ejecutor y la Agencia de Contrataciones, si la hubiere, incluyan, en los documentos de licitación, las solicitudes de propuestas y convenios relacionados con la ejecución del Préstamo que el Prestatario, Organismo Ejecutor o Agencia de Contrataciones cel</w:t>
      </w:r>
      <w:r w:rsidR="00AA5F0A">
        <w:rPr>
          <w:rFonts w:ascii="Times New Roman" w:eastAsia="Times New Roman" w:hAnsi="Times New Roman" w:cs="Times New Roman"/>
          <w:sz w:val="24"/>
          <w:szCs w:val="20"/>
          <w:lang w:val="es-ES_tradnl"/>
        </w:rPr>
        <w:t xml:space="preserve">ebren, una disposición que: (i) </w:t>
      </w:r>
      <w:r w:rsidRPr="00EF61C8">
        <w:rPr>
          <w:rFonts w:ascii="Times New Roman" w:eastAsia="Times New Roman" w:hAnsi="Times New Roman" w:cs="Times New Roman"/>
          <w:sz w:val="24"/>
          <w:szCs w:val="20"/>
          <w:lang w:val="es-ES_tradnl"/>
        </w:rPr>
        <w:t>permita al Banco</w:t>
      </w:r>
      <w:r w:rsidRPr="00EF61C8">
        <w:rPr>
          <w:rFonts w:ascii="Times New Roman" w:eastAsia="Times New Roman" w:hAnsi="Times New Roman" w:cs="Times New Roman"/>
          <w:sz w:val="20"/>
          <w:szCs w:val="20"/>
          <w:lang w:val="es-ES_tradnl"/>
        </w:rPr>
        <w:t xml:space="preserve">, </w:t>
      </w:r>
      <w:r w:rsidRPr="00EF61C8">
        <w:rPr>
          <w:rFonts w:ascii="Times New Roman" w:eastAsia="Times New Roman" w:hAnsi="Times New Roman" w:cs="Times New Roman"/>
          <w:sz w:val="24"/>
          <w:szCs w:val="24"/>
          <w:lang w:val="es-ES_tradnl"/>
        </w:rPr>
        <w:t>a sus</w:t>
      </w:r>
      <w:r w:rsidRPr="00EF61C8">
        <w:rPr>
          <w:rFonts w:ascii="Times New Roman" w:eastAsia="Calibri" w:hAnsi="Times New Roman" w:cs="Times New Roman"/>
          <w:sz w:val="24"/>
          <w:szCs w:val="24"/>
          <w:lang w:val="es-ES_tradnl"/>
        </w:rPr>
        <w:t xml:space="preserve"> inv</w:t>
      </w:r>
      <w:r w:rsidRPr="00EF61C8">
        <w:rPr>
          <w:rFonts w:ascii="Times New Roman" w:eastAsia="Times New Roman" w:hAnsi="Times New Roman" w:cs="Times New Roman"/>
          <w:sz w:val="24"/>
          <w:szCs w:val="24"/>
          <w:lang w:val="es-ES_tradnl"/>
        </w:rPr>
        <w:t>estigadores, representantes, auditores o expertos</w:t>
      </w:r>
      <w:r w:rsidRPr="00EF61C8">
        <w:rPr>
          <w:rFonts w:ascii="Times New Roman" w:eastAsia="Times New Roman" w:hAnsi="Times New Roman" w:cs="Times New Roman"/>
          <w:sz w:val="20"/>
          <w:szCs w:val="20"/>
          <w:lang w:val="es-ES_tradnl"/>
        </w:rPr>
        <w:t xml:space="preserve">, </w:t>
      </w:r>
      <w:r w:rsidRPr="00EF61C8">
        <w:rPr>
          <w:rFonts w:ascii="Times New Roman" w:eastAsia="Times New Roman" w:hAnsi="Times New Roman" w:cs="Times New Roman"/>
          <w:sz w:val="24"/>
          <w:szCs w:val="20"/>
          <w:lang w:val="es-ES_tradnl"/>
        </w:rPr>
        <w:t>revisar cuentas, registros y otros documentos relacionados con la presentación de propuestas y con el cumplimiento del contrato o convenio; y (ii) establezca que dichas cuentas, registros y documentos podrán ser sometidos al dictamen de auditores designados por el Banco.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b/>
          <w:sz w:val="24"/>
          <w:szCs w:val="20"/>
          <w:lang w:val="es-ES_tradnl"/>
        </w:rPr>
        <w:t>ARTÍCULO 7.02.</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Planes e informes</w:t>
      </w:r>
      <w:r w:rsidRPr="00EF61C8">
        <w:rPr>
          <w:rFonts w:ascii="Times New Roman" w:eastAsia="Times New Roman" w:hAnsi="Times New Roman" w:cs="Times New Roman"/>
          <w:sz w:val="24"/>
          <w:szCs w:val="20"/>
          <w:lang w:val="es-ES_tradnl"/>
        </w:rPr>
        <w:t xml:space="preserve">. </w:t>
      </w:r>
      <w:r w:rsidRPr="00EF61C8">
        <w:rPr>
          <w:rFonts w:ascii="Times New Roman" w:eastAsia="Calibri" w:hAnsi="Times New Roman" w:cs="Times New Roman"/>
          <w:sz w:val="24"/>
          <w:szCs w:val="24"/>
          <w:lang w:val="es-ES_tradnl"/>
        </w:rPr>
        <w:t>Para permitir al Banco la supervisión del progreso en la ejecución del Proyecto y el alcance de sus resultados, el Prestatario se compromete a:</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numPr>
          <w:ilvl w:val="0"/>
          <w:numId w:val="23"/>
        </w:numPr>
        <w:spacing w:after="0" w:line="240" w:lineRule="auto"/>
        <w:ind w:left="1440" w:hanging="720"/>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Presentar al Banco o, en su caso, a que el Organismo Ejecutor le presente, la información, los planes, informes y otros documentos, en la forma y con el contenido que el Banco razonablemente solicite basado en el progreso del Proyecto y su nivel de riesgo.</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numPr>
          <w:ilvl w:val="0"/>
          <w:numId w:val="23"/>
        </w:num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Cumplir y, en su caso, a que el Organismo Ejecutor cumpla, con las acciones y compromisos establecidos en dichos planes, informes y otros documentos acordados con el Banco.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0"/>
          <w:numId w:val="23"/>
        </w:num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Informar y, en su caso, a que el Organismo Ejecutor informe, al Banco cuando se identifiquen riesgos o se produzcan cambios significativos que impliquen o pudiesen implicar demoras o dificultade</w:t>
      </w:r>
      <w:r w:rsidR="00AA5F0A">
        <w:rPr>
          <w:rFonts w:ascii="Times New Roman" w:eastAsia="Times New Roman" w:hAnsi="Times New Roman" w:cs="Times New Roman"/>
          <w:sz w:val="24"/>
          <w:szCs w:val="24"/>
          <w:lang w:val="es-ES_tradnl"/>
        </w:rPr>
        <w:t>s en la ejecución del Proyecto.</w:t>
      </w:r>
    </w:p>
    <w:p w:rsidR="00FF0D18" w:rsidRPr="00EF61C8" w:rsidRDefault="00FF0D18" w:rsidP="00FF0D18">
      <w:pPr>
        <w:spacing w:after="0" w:line="240" w:lineRule="auto"/>
        <w:ind w:left="720"/>
        <w:rPr>
          <w:rFonts w:ascii="Times New Roman" w:eastAsia="Times New Roman" w:hAnsi="Times New Roman" w:cs="Times New Roman"/>
          <w:sz w:val="24"/>
          <w:szCs w:val="24"/>
          <w:lang w:val="es-ES_tradnl"/>
        </w:rPr>
      </w:pPr>
    </w:p>
    <w:p w:rsidR="00FF0D18" w:rsidRPr="00EF61C8" w:rsidRDefault="00FF0D18" w:rsidP="00FF0D18">
      <w:pPr>
        <w:numPr>
          <w:ilvl w:val="0"/>
          <w:numId w:val="23"/>
        </w:numPr>
        <w:spacing w:after="0" w:line="240" w:lineRule="auto"/>
        <w:ind w:left="144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Informar y, en su caso, a que el Organismo Ejecutor informe, al Banco dentro de un plazo máximo de treinta (30) días de la iniciación de cualquier proceso, reclamo, demanda o acción judicial, arbitral o administrativo relacionado con el Proyecto, y mantener y, en su caso, a que el Organismo Ejecutor mantenga al Banco informado del estado de los mismos.</w:t>
      </w:r>
    </w:p>
    <w:p w:rsidR="00FF0D18" w:rsidRPr="00EF61C8" w:rsidRDefault="00FF0D18" w:rsidP="00FF0D18">
      <w:pPr>
        <w:spacing w:after="0" w:line="240" w:lineRule="auto"/>
        <w:jc w:val="both"/>
        <w:rPr>
          <w:rFonts w:ascii="Times New Roman" w:eastAsia="Calibri"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7.03.</w:t>
      </w:r>
      <w:r w:rsidRPr="00EF61C8">
        <w:rPr>
          <w:rFonts w:ascii="Times New Roman" w:eastAsia="Times New Roman" w:hAnsi="Times New Roman" w:cs="Times New Roman"/>
          <w:b/>
          <w:sz w:val="24"/>
          <w:szCs w:val="20"/>
          <w:lang w:val="es-ES_tradnl"/>
        </w:rPr>
        <w:tab/>
        <w:t xml:space="preserve"> </w:t>
      </w:r>
      <w:r w:rsidRPr="00EF61C8">
        <w:rPr>
          <w:rFonts w:ascii="Times New Roman" w:eastAsia="Times New Roman" w:hAnsi="Times New Roman" w:cs="Times New Roman"/>
          <w:b/>
          <w:sz w:val="24"/>
          <w:szCs w:val="20"/>
          <w:u w:val="single"/>
          <w:lang w:val="es-ES_tradnl"/>
        </w:rPr>
        <w:t>Informes de Auditoría Financiera Externa y otros informes financieros</w:t>
      </w:r>
      <w:r w:rsidRPr="00EF61C8">
        <w:rPr>
          <w:rFonts w:ascii="Times New Roman" w:eastAsia="Times New Roman" w:hAnsi="Times New Roman" w:cs="Times New Roman"/>
          <w:sz w:val="24"/>
          <w:szCs w:val="20"/>
          <w:lang w:val="es-ES_tradnl"/>
        </w:rPr>
        <w:t>. (a) Salvo que en las Estipulaciones Especiales se establezca lo contrario, el Prestatario se compromete a presentar al Banco o, en su caso, a que el Organismo Ejecutor presente al Banco, los informes de auditoría financiera externa y otros informes identificados en las Estipulaciones Especiales, dentro del plazo de ciento veinte (120) días, siguientes al cierre de cada ejercicio fiscal del Proyecto durante el Plazo Original de Desembolsos o sus extensiones, y dentro del plazo de ciento veinte (120) días siguientes a la fecha del último desembolso.</w:t>
      </w: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lastRenderedPageBreak/>
        <w:t>(b)</w:t>
      </w:r>
      <w:r w:rsidRPr="00EF61C8">
        <w:rPr>
          <w:rFonts w:ascii="Times New Roman" w:eastAsia="Calibri" w:hAnsi="Times New Roman" w:cs="Times New Roman"/>
          <w:sz w:val="24"/>
          <w:szCs w:val="24"/>
          <w:lang w:val="es-ES_tradnl"/>
        </w:rPr>
        <w:tab/>
        <w:t>Adicionalmente, el Prestatario se compromete a presentar al Banco o, en su caso, a que el Organismo Ejecutor presente al Banco, otros informes financieros, en la forma, con el contenido y la frecuencia en que el Banco razonablemente les solicite durante la ejecución del Proyecto cuando, a juicio del Banco, el análisis del nivel de riesgo fiduciario, la complejidad y la naturaleza del Proyecto lo justifiquen.</w:t>
      </w: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r w:rsidRPr="00EF61C8">
        <w:rPr>
          <w:rFonts w:ascii="Times New Roman" w:eastAsia="Calibri" w:hAnsi="Times New Roman" w:cs="Times New Roman"/>
          <w:sz w:val="24"/>
          <w:szCs w:val="24"/>
          <w:lang w:val="es-ES_tradnl"/>
        </w:rPr>
        <w:t>(c)</w:t>
      </w:r>
      <w:r w:rsidRPr="00EF61C8">
        <w:rPr>
          <w:rFonts w:ascii="Times New Roman" w:eastAsia="Calibri" w:hAnsi="Times New Roman" w:cs="Times New Roman"/>
          <w:sz w:val="24"/>
          <w:szCs w:val="24"/>
          <w:lang w:val="es-ES_tradnl"/>
        </w:rPr>
        <w:tab/>
        <w:t xml:space="preserve">Cualquier auditoría externa que se requiera en virtud de lo establecido en este Artículo y las disposiciones correspondientes de las Estipulaciones Especiales, deberá ser realizada por auditores externos previamente aceptados por el Banco o una entidad superior de fiscalización previamente aceptada por el Banco, de conformidad con estándares y principios de auditoría aceptables al Banco. </w:t>
      </w:r>
      <w:r w:rsidR="00AA5F0A">
        <w:rPr>
          <w:rFonts w:ascii="Times New Roman" w:eastAsia="Calibri"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El Prestatario autoriza y, en su caso, se compromete a que el Organismo Ejecutor autorice, a la entidad superior de fiscalización o a los auditores externos a proporcionar al Banco la información adicional que éste razonablemente pueda solicitarles, en relación con los </w:t>
      </w:r>
      <w:r w:rsidRPr="00EF61C8">
        <w:rPr>
          <w:rFonts w:ascii="Times New Roman" w:eastAsia="Times New Roman" w:hAnsi="Times New Roman" w:cs="Times New Roman"/>
          <w:sz w:val="24"/>
          <w:szCs w:val="20"/>
          <w:lang w:val="es-ES_tradnl"/>
        </w:rPr>
        <w:t>informes de auditoría financiera externa</w:t>
      </w:r>
      <w:r w:rsidRPr="00EF61C8">
        <w:rPr>
          <w:rFonts w:ascii="Times New Roman" w:eastAsia="Times New Roman" w:hAnsi="Times New Roman" w:cs="Times New Roman"/>
          <w:sz w:val="24"/>
          <w:szCs w:val="24"/>
          <w:lang w:val="es-ES_tradnl"/>
        </w:rPr>
        <w:t>.</w:t>
      </w:r>
    </w:p>
    <w:p w:rsidR="00FF0D18" w:rsidRPr="00EF61C8" w:rsidRDefault="00FF0D18" w:rsidP="00FF0D18">
      <w:pPr>
        <w:spacing w:after="0" w:line="240" w:lineRule="auto"/>
        <w:ind w:firstLine="720"/>
        <w:jc w:val="both"/>
        <w:rPr>
          <w:rFonts w:ascii="Times New Roman" w:eastAsia="Calibri"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Calibri" w:hAnsi="Times New Roman" w:cs="Times New Roman"/>
          <w:sz w:val="24"/>
          <w:szCs w:val="24"/>
          <w:lang w:val="es-ES_tradnl"/>
        </w:rPr>
        <w:t>(d)</w:t>
      </w:r>
      <w:r w:rsidRPr="00EF61C8">
        <w:rPr>
          <w:rFonts w:ascii="Times New Roman" w:eastAsia="Calibri" w:hAnsi="Times New Roman" w:cs="Times New Roman"/>
          <w:sz w:val="24"/>
          <w:szCs w:val="24"/>
          <w:lang w:val="es-ES_tradnl"/>
        </w:rPr>
        <w:tab/>
      </w:r>
      <w:r w:rsidRPr="00EF61C8">
        <w:rPr>
          <w:rFonts w:ascii="Times New Roman" w:eastAsia="Times New Roman" w:hAnsi="Times New Roman" w:cs="Times New Roman"/>
          <w:sz w:val="24"/>
          <w:szCs w:val="20"/>
          <w:lang w:val="es-ES_tradnl"/>
        </w:rPr>
        <w:t xml:space="preserve">El Prestatario se compromete a seleccionar y contratar o, en su caso, a que el Organismo Ejecutor seleccione y contrate, los auditores externos referidos en el literal (c) anterior, de conformidad con los procedimientos y los términos de referencia previamente acordados con el Banco.  El Prestatario, además, se compromete a proporcionar o, en su caso, a que el Organismo Ejecutor proporcione al Banco la información relacionada con los auditores independientes contratados que éste le solicitare. </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Calibri" w:hAnsi="Times New Roman" w:cs="Times New Roman"/>
          <w:sz w:val="24"/>
          <w:szCs w:val="24"/>
          <w:lang w:val="es-ES_tradnl"/>
        </w:rPr>
        <w:t>(e)</w:t>
      </w:r>
      <w:r w:rsidRPr="00EF61C8">
        <w:rPr>
          <w:rFonts w:ascii="Times New Roman" w:eastAsia="Calibri" w:hAnsi="Times New Roman" w:cs="Times New Roman"/>
          <w:sz w:val="24"/>
          <w:szCs w:val="24"/>
          <w:lang w:val="es-ES_tradnl"/>
        </w:rPr>
        <w:tab/>
        <w:t xml:space="preserve">En el caso en que cualquier auditoría externa que se requiera en virtud de lo establecido en este Artículo y las disposiciones correspondientes de las Estipulaciones Especiales </w:t>
      </w:r>
      <w:r w:rsidRPr="00EF61C8">
        <w:rPr>
          <w:rFonts w:ascii="Times New Roman" w:eastAsia="Times New Roman" w:hAnsi="Times New Roman" w:cs="Times New Roman"/>
          <w:sz w:val="24"/>
          <w:szCs w:val="20"/>
          <w:lang w:val="es-ES_tradnl"/>
        </w:rPr>
        <w:t>esté a cargo de una entidad superior de fiscalización y ésta no pudiere efectuar su labor de acuerdo con requisitos satisfactorios al Banco o dentro de los plazos, durante el período y con la frecuencia estipulados en este Contrato, el Prestatario o el Organismo Ejecutor, según corresponda, seleccionará y contratará los servicios de auditores externos aceptables al Banco, de conformidad con lo indicado en los inci</w:t>
      </w:r>
      <w:r w:rsidR="00AA5F0A">
        <w:rPr>
          <w:rFonts w:ascii="Times New Roman" w:eastAsia="Times New Roman" w:hAnsi="Times New Roman" w:cs="Times New Roman"/>
          <w:sz w:val="24"/>
          <w:szCs w:val="20"/>
          <w:lang w:val="es-ES_tradnl"/>
        </w:rPr>
        <w:t>sos (c) y (d) de este Artículo.</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(f)</w:t>
      </w:r>
      <w:r w:rsidRPr="00EF61C8">
        <w:rPr>
          <w:rFonts w:ascii="Times New Roman" w:eastAsia="Times New Roman" w:hAnsi="Times New Roman" w:cs="Times New Roman"/>
          <w:sz w:val="24"/>
          <w:szCs w:val="20"/>
          <w:lang w:val="es-ES_tradnl"/>
        </w:rPr>
        <w:tab/>
        <w:t>Sin perjuicio de lo establecido en los incisos anteriores, el Banco, en forma excepcional, podrá seleccionar y contratar los servicios de auditores externos para auditar los informes de auditoría financiera previstos en el Contrato cuando: (i) del resultado del análisis de costo-beneficio efectuado por el Banco, se determine que los beneficios de que el Banco realice dicha contratación superen los costos; (ii) exista un acceso limitado a los servicios de auditoría externa en el país; o (iii) existan circunstancias especiales que justifiquen que el Banco seleccione y contrate dichos servicios.</w:t>
      </w: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(g)</w:t>
      </w:r>
      <w:r w:rsidRPr="00EF61C8">
        <w:rPr>
          <w:rFonts w:ascii="Times New Roman" w:eastAsia="Times New Roman" w:hAnsi="Times New Roman" w:cs="Times New Roman"/>
          <w:sz w:val="24"/>
          <w:szCs w:val="20"/>
          <w:lang w:val="es-ES_tradnl"/>
        </w:rPr>
        <w:tab/>
        <w:t>El Banco se reserva el derecho de solicitar al Prestatario o al Organismo Ejecutor, según corresponda, la realización de auditorías externas diferentes de la financiera o trabajos relacionados con la auditoría de proyectos, del Organismo Ejecutor y de entidades relacionadas, del sistema de información financiera y de las cuentas bancarias del Proyecto, entre otras.</w:t>
      </w:r>
      <w:r w:rsidR="00AA5F0A">
        <w:rPr>
          <w:rFonts w:ascii="Times New Roman" w:eastAsia="Times New Roman" w:hAnsi="Times New Roman" w:cs="Times New Roman"/>
          <w:sz w:val="24"/>
          <w:szCs w:val="20"/>
          <w:lang w:val="es-ES_tradnl"/>
        </w:rPr>
        <w:t xml:space="preserve"> </w:t>
      </w:r>
      <w:r w:rsidRPr="00EF61C8">
        <w:rPr>
          <w:rFonts w:ascii="Times New Roman" w:eastAsia="Times New Roman" w:hAnsi="Times New Roman" w:cs="Times New Roman"/>
          <w:sz w:val="24"/>
          <w:szCs w:val="20"/>
          <w:lang w:val="es-ES_tradnl"/>
        </w:rPr>
        <w:t xml:space="preserve"> La naturaleza, frecuencia, alcance, oportunidad, metodología, tipo de normas de auditoría aplicables, informes, procedimientos de selección de los auditores y términos de referencia para las auditorías serán establecidos de común acuerdo entre las Partes.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keepNext/>
        <w:keepLines/>
        <w:spacing w:after="0" w:line="240" w:lineRule="auto"/>
        <w:jc w:val="center"/>
        <w:outlineLvl w:val="1"/>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lastRenderedPageBreak/>
        <w:t>CAPÍTULO VIII</w:t>
      </w:r>
    </w:p>
    <w:p w:rsidR="00FF0D18" w:rsidRPr="00EF61C8" w:rsidRDefault="00FF0D18" w:rsidP="00FF0D18">
      <w:pPr>
        <w:keepNext/>
        <w:keepLines/>
        <w:spacing w:after="0" w:line="240"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Suspensión de desembolsos, vencimiento anticipado y cancelaciones parciales</w:t>
      </w:r>
    </w:p>
    <w:p w:rsidR="00FF0D18" w:rsidRPr="00EF61C8" w:rsidRDefault="00FF0D18" w:rsidP="00FF0D18">
      <w:pPr>
        <w:keepNext/>
        <w:keepLine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keepNext/>
        <w:keepLines/>
        <w:tabs>
          <w:tab w:val="left" w:pos="2160"/>
        </w:tabs>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8.01.</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Suspensión de desembolsos</w:t>
      </w:r>
      <w:r w:rsidRPr="00EF61C8">
        <w:rPr>
          <w:rFonts w:ascii="Times New Roman" w:eastAsia="Times New Roman" w:hAnsi="Times New Roman" w:cs="Times New Roman"/>
          <w:sz w:val="24"/>
          <w:szCs w:val="20"/>
          <w:lang w:val="es-ES_tradnl"/>
        </w:rPr>
        <w:t>. El Banco, mediante notificación al Prestatario, podrá suspender los desembolsos, si surge y mientras subsista cualquiera de las circunstancias siguientes:</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2"/>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retardo en el pago de las sumas que el Prestatario adeude al Banco por capital, comisiones, intereses, en la devolución de recursos del Préstamo utilizados para gastos no elegibles, o por cualquier otro concepto, con motivo de este Contrato o de cualquier otro contrato celebrado entre el Banco y el Prestatario, incluido otro Contrato de Préstamo o un Contrato de Derivados.</w:t>
      </w:r>
    </w:p>
    <w:p w:rsidR="00FF0D18" w:rsidRPr="00EF61C8" w:rsidRDefault="00FF0D18" w:rsidP="00FF0D18">
      <w:pPr>
        <w:spacing w:after="0" w:line="240" w:lineRule="auto"/>
        <w:ind w:left="1350"/>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2"/>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incumplimiento por parte del Garante, si lo hubiere, de cualquier obligación de pago estipulada en el Contrato de Garantía, en cualquier otro contrato suscrito entre el Garante, como Garante y el Banco o en cualquier Contrato de D</w:t>
      </w:r>
      <w:r w:rsidR="00AA5F0A">
        <w:rPr>
          <w:rFonts w:ascii="Times New Roman" w:eastAsia="Times New Roman" w:hAnsi="Times New Roman" w:cs="Times New Roman"/>
          <w:sz w:val="24"/>
          <w:szCs w:val="20"/>
          <w:lang w:val="es-ES_tradnl"/>
        </w:rPr>
        <w:t>erivados suscrito con el Banco.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2"/>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 xml:space="preserve">El incumplimiento por parte del Prestatario, del Garante, si lo hubiere, o del Organismo Ejecutor, en su caso, de cualquier otra obligación estipulada en cualquier contrato suscrito con el Banco para financiar el Proyecto, incluido este Contrato, el Contrato de Garantía, o en cualquier Contrato de Derivados suscrito con el Banco, así como, en su caso, el incumplimiento por parte del Prestatario o del Organismo Ejecutor de cualquier contrato suscrito entre éstos </w:t>
      </w:r>
      <w:r w:rsidR="00AA5F0A">
        <w:rPr>
          <w:rFonts w:ascii="Times New Roman" w:eastAsia="Times New Roman" w:hAnsi="Times New Roman" w:cs="Times New Roman"/>
          <w:sz w:val="24"/>
          <w:szCs w:val="20"/>
          <w:lang w:val="es-ES_tradnl"/>
        </w:rPr>
        <w:t>para la ejecución del Proyecto.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2"/>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retiro o suspensión como miembro del Banco del país en que el Proyecto debe ejecutarse.</w:t>
      </w:r>
    </w:p>
    <w:p w:rsidR="00FF0D18" w:rsidRPr="00EF61C8" w:rsidRDefault="00FF0D18" w:rsidP="00FF0D18">
      <w:pPr>
        <w:spacing w:after="0" w:line="240" w:lineRule="auto"/>
        <w:ind w:left="720"/>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w:t>
      </w:r>
      <w:r w:rsidRPr="00EF61C8">
        <w:rPr>
          <w:rFonts w:ascii="Times New Roman" w:eastAsia="Times New Roman" w:hAnsi="Times New Roman" w:cs="Times New Roman"/>
          <w:sz w:val="24"/>
          <w:szCs w:val="20"/>
          <w:lang w:val="es-ES_tradnl"/>
        </w:rPr>
        <w:tab/>
        <w:t>Cuando, a juicio del Banco, el objetivo del Proyecto o el Préstamo pudieren ser afectados desfavorablemente o la ejecución del Proyecto pudiere resultar improbable como consecuencia de: (i) cualquier restricción, modificación o alteración de las facultades legales, de las funciones o del patrimonio del Prestatario o del Organis</w:t>
      </w:r>
      <w:r w:rsidR="008209FD">
        <w:rPr>
          <w:rFonts w:ascii="Times New Roman" w:eastAsia="Times New Roman" w:hAnsi="Times New Roman" w:cs="Times New Roman"/>
          <w:sz w:val="24"/>
          <w:szCs w:val="20"/>
          <w:lang w:val="es-ES_tradnl"/>
        </w:rPr>
        <w:t xml:space="preserve">mo Ejecutor, en su caso; o (ii) </w:t>
      </w:r>
      <w:r w:rsidRPr="00EF61C8">
        <w:rPr>
          <w:rFonts w:ascii="Times New Roman" w:eastAsia="Times New Roman" w:hAnsi="Times New Roman" w:cs="Times New Roman"/>
          <w:sz w:val="24"/>
          <w:szCs w:val="20"/>
          <w:lang w:val="es-ES_tradnl"/>
        </w:rPr>
        <w:t>cualquier modificación o enmienda de cualquier condición cumplida antes de la aprobación del Préstamo por el Banco, que hubiese sido efectuada sin la</w:t>
      </w:r>
      <w:r w:rsidR="00AA5F0A">
        <w:rPr>
          <w:rFonts w:ascii="Times New Roman" w:eastAsia="Times New Roman" w:hAnsi="Times New Roman" w:cs="Times New Roman"/>
          <w:sz w:val="24"/>
          <w:szCs w:val="20"/>
          <w:lang w:val="es-ES_tradnl"/>
        </w:rPr>
        <w:t xml:space="preserve"> conformidad escrita del Banco.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(f)</w:t>
      </w:r>
      <w:r w:rsidRPr="00EF61C8">
        <w:rPr>
          <w:rFonts w:ascii="Times New Roman" w:eastAsia="Times New Roman" w:hAnsi="Times New Roman" w:cs="Times New Roman"/>
          <w:sz w:val="24"/>
          <w:szCs w:val="20"/>
          <w:lang w:val="es-ES_tradnl"/>
        </w:rPr>
        <w:tab/>
        <w:t>Cualquier circunstancia extraordinaria que, a juicio del Banco: (i) haga improbable que el Prestatario, el Organismo Ejecutor o el Garante, en su caso, cumpla con las obligaciones establecidas en este Contrato o las obligaciones de hacer del Contrato de Garantía, respectivamente; o (ii) impida alcanzar los objetivos de desarrollo del Proyecto.</w:t>
      </w:r>
    </w:p>
    <w:p w:rsidR="00FF0D18" w:rsidRPr="00EF61C8" w:rsidRDefault="00FF0D18" w:rsidP="00FF0D18">
      <w:pPr>
        <w:tabs>
          <w:tab w:val="left" w:pos="1260"/>
        </w:tabs>
        <w:spacing w:after="0" w:line="240" w:lineRule="auto"/>
        <w:ind w:left="1350" w:hanging="63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(g)</w:t>
      </w:r>
      <w:r w:rsidRPr="00EF61C8">
        <w:rPr>
          <w:rFonts w:ascii="Times New Roman" w:eastAsia="Times New Roman" w:hAnsi="Times New Roman" w:cs="Times New Roman"/>
          <w:sz w:val="24"/>
          <w:szCs w:val="20"/>
          <w:lang w:val="es-ES_tradnl"/>
        </w:rPr>
        <w:tab/>
        <w:t xml:space="preserve">Cuando el Banco determine que un empleado, agente o representante del Prestatario o, en su caso, del Organismo Ejecutor o de la Agencia de </w:t>
      </w:r>
      <w:r w:rsidRPr="00EF61C8">
        <w:rPr>
          <w:rFonts w:ascii="Times New Roman" w:eastAsia="Times New Roman" w:hAnsi="Times New Roman" w:cs="Times New Roman"/>
          <w:sz w:val="24"/>
          <w:szCs w:val="20"/>
          <w:lang w:val="es-ES_tradnl"/>
        </w:rPr>
        <w:lastRenderedPageBreak/>
        <w:t>Contrataciones, ha cometido</w:t>
      </w:r>
      <w:r w:rsidRPr="00EF61C8">
        <w:rPr>
          <w:rFonts w:ascii="Times New Roman" w:eastAsia="Times New Roman" w:hAnsi="Times New Roman" w:cs="Times New Roman"/>
          <w:sz w:val="20"/>
          <w:szCs w:val="20"/>
          <w:lang w:val="es-ES_tradnl"/>
        </w:rPr>
        <w:t xml:space="preserve"> </w:t>
      </w:r>
      <w:r w:rsidRPr="00EF61C8">
        <w:rPr>
          <w:rFonts w:ascii="Times New Roman" w:eastAsia="Times New Roman" w:hAnsi="Times New Roman" w:cs="Times New Roman"/>
          <w:sz w:val="24"/>
          <w:szCs w:val="20"/>
          <w:lang w:val="es-ES_tradnl"/>
        </w:rPr>
        <w:t>una Práctica Prohibida en relación con el Proyecto.</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8.02.</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Vencimiento anticipado o cancelaciones de montos no desembolsados</w:t>
      </w:r>
      <w:r w:rsidRPr="00EF61C8">
        <w:rPr>
          <w:rFonts w:ascii="Times New Roman" w:eastAsia="Times New Roman" w:hAnsi="Times New Roman" w:cs="Times New Roman"/>
          <w:sz w:val="24"/>
          <w:szCs w:val="20"/>
          <w:lang w:val="es-ES_tradnl"/>
        </w:rPr>
        <w:t>.  El Banco, mediante notificación al Prestatario, podrá declarar vencida y pagadera de inmediato una parte o la totalidad del Préstamo, con los intereses, comisiones y cualesquiera otros cargos devengados hasta la fecha del pago, y podrá cancelar la parte no desembolsada del Préstamo, si:</w:t>
      </w: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6"/>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 xml:space="preserve">alguna de las circunstancias previstas en los incisos (a), (b), (c) y (d) del Artículo anterior se prolongase más de sesenta (60) días. </w:t>
      </w:r>
    </w:p>
    <w:p w:rsidR="00FF0D18" w:rsidRPr="00EF61C8" w:rsidRDefault="00FF0D18" w:rsidP="00FF0D18">
      <w:pPr>
        <w:tabs>
          <w:tab w:val="left" w:pos="1260"/>
        </w:tabs>
        <w:spacing w:after="0" w:line="240" w:lineRule="auto"/>
        <w:ind w:left="1080"/>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6"/>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 xml:space="preserve">surge y mientras subsista cualquiera de las circunstancias previstas en los incisos (e) y (f) del Artículo anterior y el Prestatario o el Organismo Ejecutor, en su caso, no presenten al Banco aclaraciones o informaciones adicionales que el Banco considere necesarias. </w:t>
      </w:r>
    </w:p>
    <w:p w:rsidR="00FF0D18" w:rsidRPr="00EF61C8" w:rsidRDefault="00FF0D18" w:rsidP="00FF0D18">
      <w:pPr>
        <w:tabs>
          <w:tab w:val="left" w:pos="1260"/>
        </w:tabs>
        <w:spacing w:after="0" w:line="240" w:lineRule="auto"/>
        <w:ind w:left="1260"/>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6"/>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Banco, de conformidad con sus procedimientos de sanciones, determina que cualquier firma, entidad o individuo actuando como oferente o participando en una actividad financiada por el Banco incluidos, entre otros, solicitantes, oferentes, contratistas, empresas de consultoría y consultores individuales, miembros del personal, subcontratistas, subconsultores, proveedores de bienes o servicios, concesionarios, intermediarios financieros u Organismo Contratante (incluidos sus respectivos funcionarios, empleados y representantes, ya sean sus atribuciones expresas o implícitas) ha cometido una Práctica Prohibida en relación con el Proyecto sin que el Prestatario o, en su caso, el Organismo Ejecutor o la Agencia de Contrataciones, hayan tomado las medidas correctivas adecuadas (incluida la notificación adecuada al Banco tras tener conocimiento de la comisión de la Práctica Prohibida) en un plazo qu</w:t>
      </w:r>
      <w:r w:rsidR="008209FD">
        <w:rPr>
          <w:rFonts w:ascii="Times New Roman" w:eastAsia="Times New Roman" w:hAnsi="Times New Roman" w:cs="Times New Roman"/>
          <w:sz w:val="24"/>
          <w:szCs w:val="20"/>
          <w:lang w:val="es-ES_tradnl"/>
        </w:rPr>
        <w:t>e el Banco considere razonable.</w:t>
      </w:r>
    </w:p>
    <w:p w:rsidR="00FF0D18" w:rsidRPr="00EF61C8" w:rsidRDefault="00FF0D18" w:rsidP="00FF0D18">
      <w:pPr>
        <w:tabs>
          <w:tab w:val="left" w:pos="1260"/>
        </w:tabs>
        <w:spacing w:after="0" w:line="240" w:lineRule="auto"/>
        <w:ind w:left="1260"/>
        <w:jc w:val="both"/>
        <w:rPr>
          <w:rFonts w:ascii="Times New Roman" w:eastAsia="Times New Roman" w:hAnsi="Times New Roman" w:cs="Times New Roman"/>
          <w:sz w:val="24"/>
          <w:szCs w:val="20"/>
          <w:lang w:val="es-ES_tradnl"/>
        </w:rPr>
      </w:pPr>
    </w:p>
    <w:p w:rsidR="00FF0D18" w:rsidRPr="00EF61C8" w:rsidRDefault="00FF0D18" w:rsidP="00FF0D18">
      <w:pPr>
        <w:numPr>
          <w:ilvl w:val="0"/>
          <w:numId w:val="16"/>
        </w:numPr>
        <w:tabs>
          <w:tab w:val="left" w:pos="1440"/>
        </w:tabs>
        <w:spacing w:after="0" w:line="240" w:lineRule="auto"/>
        <w:ind w:left="1440" w:hanging="720"/>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sz w:val="24"/>
          <w:szCs w:val="20"/>
          <w:lang w:val="es-ES_tradnl"/>
        </w:rPr>
        <w:t>el Banco, en cualquier momento, determina que una adquisición de bienes o una contratación de obra o de servicios diferentes de consultoría o servicios de consultoría se llevó a cabo sin seguir los procedimientos indicados en este Contrato. En este caso, la declaración de cancelación o de vencimiento anticipado corresponderá a la parte del Préstamo destinada a di</w:t>
      </w:r>
      <w:r w:rsidR="008209FD">
        <w:rPr>
          <w:rFonts w:ascii="Times New Roman" w:eastAsia="Times New Roman" w:hAnsi="Times New Roman" w:cs="Times New Roman"/>
          <w:sz w:val="24"/>
          <w:szCs w:val="20"/>
          <w:lang w:val="es-ES_tradnl"/>
        </w:rPr>
        <w:t>cha adquisición o contratación.</w:t>
      </w:r>
    </w:p>
    <w:p w:rsidR="00FF0D18" w:rsidRPr="00EF61C8" w:rsidRDefault="00FF0D18" w:rsidP="00FF0D18">
      <w:pPr>
        <w:spacing w:after="0" w:line="240" w:lineRule="auto"/>
        <w:ind w:left="1080"/>
        <w:jc w:val="both"/>
        <w:rPr>
          <w:rFonts w:ascii="Times New Roman" w:eastAsia="Times New Roman" w:hAnsi="Times New Roman" w:cs="Times New Roman"/>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8.03.</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Disposiciones no afectadas</w:t>
      </w:r>
      <w:r w:rsidRPr="00EF61C8">
        <w:rPr>
          <w:rFonts w:ascii="Times New Roman" w:eastAsia="Times New Roman" w:hAnsi="Times New Roman" w:cs="Times New Roman"/>
          <w:sz w:val="24"/>
          <w:szCs w:val="20"/>
          <w:lang w:val="es-ES_tradnl"/>
        </w:rPr>
        <w:t>.  La aplicación de las medidas establecidas en este Capítulo no afectará las obligaciones del Prestatario establecidas en este Contrato, las cuales quedarán en pleno vigor, salvo en el caso de vencimiento anticipado de la totalidad del Préstamo, en cuyo caso sólo quedarán vigentes las obligaciones pecuniarias del Prestatario.</w:t>
      </w:r>
    </w:p>
    <w:p w:rsidR="00FF0D18" w:rsidRPr="00EF61C8" w:rsidRDefault="00FF0D18" w:rsidP="00FF0D18">
      <w:pPr>
        <w:spacing w:after="0" w:line="240" w:lineRule="auto"/>
        <w:jc w:val="both"/>
        <w:rPr>
          <w:rFonts w:ascii="Times New Roman" w:eastAsia="Times New Roman" w:hAnsi="Times New Roman" w:cs="Times New Roman"/>
          <w:b/>
          <w:sz w:val="24"/>
          <w:szCs w:val="20"/>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0"/>
          <w:lang w:val="es-ES_tradnl"/>
        </w:rPr>
      </w:pPr>
      <w:r w:rsidRPr="00EF61C8">
        <w:rPr>
          <w:rFonts w:ascii="Times New Roman" w:eastAsia="Times New Roman" w:hAnsi="Times New Roman" w:cs="Times New Roman"/>
          <w:b/>
          <w:sz w:val="24"/>
          <w:szCs w:val="20"/>
          <w:lang w:val="es-ES_tradnl"/>
        </w:rPr>
        <w:t>ARTÍCULO 8.04.</w:t>
      </w:r>
      <w:r w:rsidRPr="00EF61C8">
        <w:rPr>
          <w:rFonts w:ascii="Times New Roman" w:eastAsia="Times New Roman" w:hAnsi="Times New Roman" w:cs="Times New Roman"/>
          <w:b/>
          <w:sz w:val="24"/>
          <w:szCs w:val="20"/>
          <w:lang w:val="es-ES_tradnl"/>
        </w:rPr>
        <w:tab/>
      </w:r>
      <w:r w:rsidRPr="00EF61C8">
        <w:rPr>
          <w:rFonts w:ascii="Times New Roman" w:eastAsia="Times New Roman" w:hAnsi="Times New Roman" w:cs="Times New Roman"/>
          <w:b/>
          <w:sz w:val="24"/>
          <w:szCs w:val="20"/>
          <w:u w:val="single"/>
          <w:lang w:val="es-ES_tradnl"/>
        </w:rPr>
        <w:t>Desembolsos no afectados</w:t>
      </w:r>
      <w:r w:rsidRPr="00EF61C8">
        <w:rPr>
          <w:rFonts w:ascii="Times New Roman" w:eastAsia="Times New Roman" w:hAnsi="Times New Roman" w:cs="Times New Roman"/>
          <w:sz w:val="24"/>
          <w:szCs w:val="20"/>
          <w:lang w:val="es-ES_tradnl"/>
        </w:rPr>
        <w:t xml:space="preserve">. No obstante lo dispuesto en los Artículos 8.01 y 8.02 precedentes, ninguna de las medidas previstas en este Capítulo afectará el desembolso por parte del Banco de los recursos del Préstamo que: (a) se encuentren sujetos </w:t>
      </w:r>
      <w:r w:rsidRPr="00EF61C8">
        <w:rPr>
          <w:rFonts w:ascii="Times New Roman" w:eastAsia="Times New Roman" w:hAnsi="Times New Roman" w:cs="Times New Roman"/>
          <w:sz w:val="24"/>
          <w:szCs w:val="20"/>
          <w:lang w:val="es-ES_tradnl"/>
        </w:rPr>
        <w:lastRenderedPageBreak/>
        <w:t>a la garantía de reembolso de una carta de crédito irrevocable; (b) el Banco se haya comprometido específicamente por escrito con el Prestatario o, en su caso, el Organismo Ejecutor o la Agencia de Contrataciones, para pagar Gastos Elegibles directamente al respectivo proveedor; y (c) sean para pagar al Banco, conforme a las instrucciones del Prestatario.</w:t>
      </w:r>
    </w:p>
    <w:p w:rsidR="00FF0D18" w:rsidRPr="00EF61C8" w:rsidRDefault="00FF0D18" w:rsidP="00FF0D18">
      <w:pPr>
        <w:spacing w:after="0" w:line="240" w:lineRule="auto"/>
        <w:rPr>
          <w:rFonts w:ascii="Times New Roman" w:eastAsia="Times New Roman" w:hAnsi="Times New Roman" w:cs="Times New Roman"/>
          <w:b/>
          <w:sz w:val="24"/>
          <w:szCs w:val="24"/>
          <w:lang w:val="es-ES_tradnl"/>
        </w:rPr>
      </w:pPr>
    </w:p>
    <w:p w:rsidR="00FF0D18" w:rsidRPr="00EF61C8" w:rsidRDefault="00FF0D18" w:rsidP="00FF0D18">
      <w:pPr>
        <w:keepNext/>
        <w:keepLines/>
        <w:spacing w:after="0" w:line="240"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IX</w:t>
      </w:r>
    </w:p>
    <w:p w:rsidR="00FF0D18" w:rsidRPr="00EF61C8" w:rsidRDefault="00FF0D18" w:rsidP="00FF0D18">
      <w:pPr>
        <w:keepNext/>
        <w:keepLines/>
        <w:spacing w:after="0" w:line="240" w:lineRule="auto"/>
        <w:jc w:val="center"/>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Prácticas Prohibidas</w:t>
      </w:r>
    </w:p>
    <w:p w:rsidR="00FF0D18" w:rsidRPr="00EF61C8" w:rsidRDefault="00FF0D18" w:rsidP="00FF0D18">
      <w:pPr>
        <w:keepNext/>
        <w:keepLines/>
        <w:spacing w:after="0" w:line="240" w:lineRule="auto"/>
        <w:jc w:val="center"/>
        <w:rPr>
          <w:rFonts w:ascii="Times New Roman" w:eastAsia="Times New Roman" w:hAnsi="Times New Roman" w:cs="Times New Roman"/>
          <w:b/>
          <w:sz w:val="24"/>
          <w:szCs w:val="24"/>
          <w:u w:val="single"/>
          <w:lang w:val="es-ES_tradnl"/>
        </w:rPr>
      </w:pPr>
    </w:p>
    <w:p w:rsidR="00FF0D18" w:rsidRPr="00EF61C8" w:rsidRDefault="00FF0D18" w:rsidP="00FF0D18">
      <w:pPr>
        <w:tabs>
          <w:tab w:val="left" w:pos="144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9.01.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Prácticas Prohibidas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 xml:space="preserve">(a) En adición a lo establecido en los Artículos 8.01(g) y 8.02(c) de estas Normas Generales, si el Banco, de conformidad con sus procedimientos de sanciones, determina que </w:t>
      </w:r>
      <w:r w:rsidRPr="00EF61C8">
        <w:rPr>
          <w:rFonts w:ascii="Times New Roman" w:eastAsia="Times New Roman" w:hAnsi="Times New Roman" w:cs="Times New Roman"/>
          <w:sz w:val="24"/>
          <w:szCs w:val="20"/>
          <w:lang w:val="es-ES_tradnl"/>
        </w:rPr>
        <w:t xml:space="preserve">cualquier firma, entidad o individuo actuando como oferente o participando en una actividad financiada por el Banco incluidos, entre otros, solicitantes, oferentes, contratistas, empresas de consultoría y consultores individuales, miembros del personal, subcontratistas, subconsultores, proveedores de bienes o servicios, concesionarios, intermediarios financieros u Organismo Contratante (incluidos sus respectivos funcionarios, empleados y representantes, ya sean sus atribuciones expresas o implícitas) </w:t>
      </w:r>
      <w:r w:rsidRPr="00EF61C8">
        <w:rPr>
          <w:rFonts w:ascii="Times New Roman" w:eastAsia="Times New Roman" w:hAnsi="Times New Roman" w:cs="Times New Roman"/>
          <w:sz w:val="24"/>
          <w:szCs w:val="24"/>
          <w:lang w:val="es-ES_tradnl"/>
        </w:rPr>
        <w:t>ha cometido una Práctica Prohibida en relación con la ejecución del Proyecto, podrá tomar las medidas contempladas en los procedimientos de sanciones del Banco vigentes a la fecha del presente Contrato o las modificaciones a los mismos que el Banco apruebe de tiempo en tiempo y ponga en conocimiento del Prestatario, entre otras:</w:t>
      </w:r>
    </w:p>
    <w:p w:rsidR="00FF0D18" w:rsidRPr="00EF61C8" w:rsidRDefault="00FF0D18" w:rsidP="00FF0D18">
      <w:pPr>
        <w:spacing w:after="0" w:line="240" w:lineRule="auto"/>
        <w:ind w:left="1980"/>
        <w:jc w:val="both"/>
        <w:rPr>
          <w:rFonts w:ascii="Times New Roman" w:eastAsia="Times New Roman" w:hAnsi="Times New Roman" w:cs="Times New Roman"/>
          <w:sz w:val="24"/>
          <w:szCs w:val="24"/>
          <w:lang w:val="es-ES_tradnl"/>
        </w:rPr>
      </w:pPr>
    </w:p>
    <w:p w:rsidR="00FF0D18" w:rsidRPr="00EF61C8" w:rsidRDefault="008209FD" w:rsidP="008209FD">
      <w:pPr>
        <w:spacing w:after="0" w:line="240" w:lineRule="auto"/>
        <w:ind w:left="2124" w:hanging="708"/>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(i)</w:t>
      </w:r>
      <w:r>
        <w:rPr>
          <w:rFonts w:ascii="Times New Roman" w:eastAsia="Times New Roman" w:hAnsi="Times New Roman" w:cs="Times New Roman"/>
          <w:sz w:val="24"/>
          <w:szCs w:val="24"/>
          <w:lang w:val="es-ES_tradnl"/>
        </w:rPr>
        <w:tab/>
      </w:r>
      <w:r w:rsidR="00FF0D18" w:rsidRPr="00EF61C8">
        <w:rPr>
          <w:rFonts w:ascii="Times New Roman" w:eastAsia="Times New Roman" w:hAnsi="Times New Roman" w:cs="Times New Roman"/>
          <w:sz w:val="24"/>
          <w:szCs w:val="24"/>
          <w:lang w:val="es-ES_tradnl"/>
        </w:rPr>
        <w:t>Negarse a financiar los contratos para la adquisición de bienes o la contratación de obras, servicios de consultoría o servi</w:t>
      </w:r>
      <w:r>
        <w:rPr>
          <w:rFonts w:ascii="Times New Roman" w:eastAsia="Times New Roman" w:hAnsi="Times New Roman" w:cs="Times New Roman"/>
          <w:sz w:val="24"/>
          <w:szCs w:val="24"/>
          <w:lang w:val="es-ES_tradnl"/>
        </w:rPr>
        <w:t>cios diferentes de consultoría.</w:t>
      </w:r>
    </w:p>
    <w:p w:rsidR="00FF0D18" w:rsidRPr="00EF61C8" w:rsidRDefault="00FF0D18" w:rsidP="00FF0D18">
      <w:pPr>
        <w:spacing w:after="0" w:line="240" w:lineRule="auto"/>
        <w:ind w:left="198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216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(ii)</w:t>
      </w:r>
      <w:r w:rsidRPr="00EF61C8">
        <w:rPr>
          <w:rFonts w:ascii="Times New Roman" w:eastAsia="Times New Roman" w:hAnsi="Times New Roman" w:cs="Times New Roman"/>
          <w:sz w:val="24"/>
          <w:szCs w:val="24"/>
          <w:lang w:val="es-ES_tradnl"/>
        </w:rPr>
        <w:tab/>
        <w:t>Declarar una contratación no elegible para financiamiento del Banco cuando exista evidencia de que el representante del Prestatario o, en su caso, el Organismo Ejecutor u Organismo Contratante no ha tomado las medidas correctivas adecuadas (lo que incluye, entre otras cosas, la notificación adecuada al Banco tras tener conocimiento de la comisión de la Práctica Prohibida) en un plazo que el Banco considere razonable.</w:t>
      </w:r>
    </w:p>
    <w:p w:rsidR="00FF0D18" w:rsidRPr="00EF61C8" w:rsidRDefault="00FF0D18" w:rsidP="00FF0D18">
      <w:pPr>
        <w:spacing w:after="0" w:line="240" w:lineRule="auto"/>
        <w:ind w:left="1980" w:hanging="54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216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(iii)</w:t>
      </w:r>
      <w:r w:rsidRPr="00EF61C8">
        <w:rPr>
          <w:rFonts w:ascii="Times New Roman" w:eastAsia="Times New Roman" w:hAnsi="Times New Roman" w:cs="Times New Roman"/>
          <w:sz w:val="24"/>
          <w:szCs w:val="24"/>
          <w:lang w:val="es-ES_tradnl"/>
        </w:rPr>
        <w:tab/>
        <w:t>Emitir una amonestación a la firma, entidad o individuo que haya encontrado responsable de la Práctica Prohibida, en formato de una carta formal de censura por su conducta.</w:t>
      </w:r>
    </w:p>
    <w:p w:rsidR="00FF0D18" w:rsidRPr="00EF61C8" w:rsidRDefault="00FF0D18" w:rsidP="00FF0D18">
      <w:pPr>
        <w:spacing w:after="0" w:line="240" w:lineRule="auto"/>
        <w:ind w:left="1980" w:hanging="540"/>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left="216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(iv)</w:t>
      </w:r>
      <w:r w:rsidRPr="00EF61C8">
        <w:rPr>
          <w:rFonts w:ascii="Times New Roman" w:eastAsia="Times New Roman" w:hAnsi="Times New Roman" w:cs="Times New Roman"/>
          <w:sz w:val="24"/>
          <w:szCs w:val="24"/>
          <w:lang w:val="es-ES_tradnl"/>
        </w:rPr>
        <w:tab/>
        <w:t>Declarar a la firma, entidad o individuo que haya encontrado responsable de la Práctica Prohibida, inelegible, en forma permanente o temporal, para participar en actividades financiadas por el Banco, ya sea directamente como contratista o proveedor o, indirectamente, en calidad de subconsultor, subcontratista o proveedor de bienes, servicios de consultoría o servicios diferentes de consultoría.</w:t>
      </w:r>
    </w:p>
    <w:p w:rsidR="00FF0D18" w:rsidRPr="00EF61C8" w:rsidRDefault="00FF0D18" w:rsidP="00FF0D18">
      <w:pPr>
        <w:tabs>
          <w:tab w:val="left" w:pos="1980"/>
        </w:tabs>
        <w:spacing w:after="0" w:line="240" w:lineRule="auto"/>
        <w:ind w:left="1980" w:hanging="540"/>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ind w:left="2160" w:hanging="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(v)</w:t>
      </w:r>
      <w:r w:rsidRPr="00EF61C8">
        <w:rPr>
          <w:rFonts w:ascii="Times New Roman" w:eastAsia="Times New Roman" w:hAnsi="Times New Roman" w:cs="Times New Roman"/>
          <w:sz w:val="24"/>
          <w:szCs w:val="24"/>
          <w:lang w:val="es-ES_tradnl"/>
        </w:rPr>
        <w:tab/>
        <w:t xml:space="preserve">Imponer multas que representen para el Banco un reembolso de los costos vinculados con las investigaciones y actuaciones llevadas a cabo en relación con la comisión de la Práctica Prohibida. </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(b)</w:t>
      </w:r>
      <w:r w:rsidRPr="00EF61C8">
        <w:rPr>
          <w:rFonts w:ascii="Times New Roman" w:eastAsia="Times New Roman" w:hAnsi="Times New Roman" w:cs="Times New Roman"/>
          <w:sz w:val="24"/>
          <w:szCs w:val="24"/>
          <w:lang w:val="es-ES_tradnl"/>
        </w:rPr>
        <w:tab/>
        <w:t>Lo dispuesto en el Artículo 8.01(g) y en el Artículo 9.01(a)(i) se aplicará también en casos en los que se haya suspendido temporalmente la elegibilidad de la Agencia de Contrataciones, de c</w:t>
      </w:r>
      <w:r w:rsidRPr="00EF61C8">
        <w:rPr>
          <w:rFonts w:ascii="Times New Roman" w:eastAsia="Calibri" w:hAnsi="Times New Roman" w:cs="Times New Roman"/>
          <w:sz w:val="24"/>
          <w:szCs w:val="24"/>
          <w:lang w:val="es-ES_tradnl"/>
        </w:rPr>
        <w:t xml:space="preserve">ualquier </w:t>
      </w:r>
      <w:r w:rsidRPr="00EF61C8">
        <w:rPr>
          <w:rFonts w:ascii="Times New Roman" w:eastAsia="Times New Roman" w:hAnsi="Times New Roman" w:cs="Times New Roman"/>
          <w:sz w:val="24"/>
          <w:szCs w:val="20"/>
          <w:lang w:val="es-ES_tradnl"/>
        </w:rPr>
        <w:t xml:space="preserve">firma, entidad o individuo actuando como oferente o participando en una actividad financiada por el Banco incluido, entre otros, solicitantes, oferentes, contratistas, empresas de consultoría y consultores individuales, miembros del personal, subcontratistas, subconsultores, proveedores de bienes o servicios, concesionarios (incluidos sus respectivos funcionarios, empleados, representantes, ya sean sus atribuciones expresas o implícitas) </w:t>
      </w:r>
      <w:r w:rsidRPr="00EF61C8">
        <w:rPr>
          <w:rFonts w:ascii="Times New Roman" w:eastAsia="Times New Roman" w:hAnsi="Times New Roman" w:cs="Times New Roman"/>
          <w:sz w:val="24"/>
          <w:szCs w:val="24"/>
          <w:lang w:val="es-ES_tradnl"/>
        </w:rPr>
        <w:t>para participar de una licitación u otro proceso de selección para la adjudicación de nuevos contratos en espera de que se adopte una decisión definitiva en relación con una investiga</w:t>
      </w:r>
      <w:r w:rsidR="008209FD">
        <w:rPr>
          <w:rFonts w:ascii="Times New Roman" w:eastAsia="Times New Roman" w:hAnsi="Times New Roman" w:cs="Times New Roman"/>
          <w:sz w:val="24"/>
          <w:szCs w:val="24"/>
          <w:lang w:val="es-ES_tradnl"/>
        </w:rPr>
        <w:t>ción de una Práctica Prohibida.</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(c)</w:t>
      </w:r>
      <w:r w:rsidRPr="00EF61C8">
        <w:rPr>
          <w:rFonts w:ascii="Times New Roman" w:eastAsia="Times New Roman" w:hAnsi="Times New Roman" w:cs="Times New Roman"/>
          <w:sz w:val="24"/>
          <w:szCs w:val="24"/>
          <w:lang w:val="es-ES_tradnl"/>
        </w:rPr>
        <w:tab/>
        <w:t>La imposición de cualquier medida que sea tomada por el Banco de conformidad con las disposiciones referidas anteriormente será de carácter público, salvo en los casos de amonestación privada.</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ind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(d)</w:t>
      </w:r>
      <w:r w:rsidRPr="00EF61C8">
        <w:rPr>
          <w:rFonts w:ascii="Times New Roman" w:eastAsia="Times New Roman" w:hAnsi="Times New Roman" w:cs="Times New Roman"/>
          <w:sz w:val="24"/>
          <w:szCs w:val="24"/>
          <w:lang w:val="es-ES_tradnl"/>
        </w:rPr>
        <w:tab/>
      </w:r>
      <w:r w:rsidRPr="00EF61C8">
        <w:rPr>
          <w:rFonts w:ascii="Times New Roman" w:eastAsia="Calibri" w:hAnsi="Times New Roman" w:cs="Times New Roman"/>
          <w:sz w:val="24"/>
          <w:szCs w:val="24"/>
          <w:lang w:val="es-ES_tradnl"/>
        </w:rPr>
        <w:t xml:space="preserve">Cualquier </w:t>
      </w:r>
      <w:r w:rsidRPr="00EF61C8">
        <w:rPr>
          <w:rFonts w:ascii="Times New Roman" w:eastAsia="Times New Roman" w:hAnsi="Times New Roman" w:cs="Times New Roman"/>
          <w:sz w:val="24"/>
          <w:szCs w:val="20"/>
          <w:lang w:val="es-ES_tradnl"/>
        </w:rPr>
        <w:t xml:space="preserve">firma, entidad o individuo actuando como oferente o participando en una actividad financiada por el Banco incluido, entre otros, solicitantes, oferentes, contratistas, empresas de consultoría y consultores individuales, miembros del personal, subcontratistas, subconsultores, proveedores de bienes o servicios, concesionarios u Organismo Contratante (incluidos sus respectivos funcionarios, empleados, representantes ya sean sus atribuciones expresas o implícitas) </w:t>
      </w:r>
      <w:r w:rsidRPr="00EF61C8">
        <w:rPr>
          <w:rFonts w:ascii="Times New Roman" w:eastAsia="Times New Roman" w:hAnsi="Times New Roman" w:cs="Times New Roman"/>
          <w:sz w:val="24"/>
          <w:szCs w:val="24"/>
          <w:lang w:val="es-ES_tradnl"/>
        </w:rPr>
        <w:t>podrán ser sancionados por el Banco de conformidad con lo dispuesto en acuerdos suscritos entre el Banco y otras instituciones financieras internacionales concernientes al reconocimiento recíproco de decisiones en materia de inhabilitación. Para efectos de lo dispuesto en este literal (d), “sanción” incluye toda inhabilitación permanente o temporal,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8209FD" w:rsidRDefault="008209FD" w:rsidP="00FF0D18">
      <w:pPr>
        <w:widowControl w:val="0"/>
        <w:tabs>
          <w:tab w:val="left" w:pos="720"/>
          <w:tab w:val="left" w:pos="1440"/>
          <w:tab w:val="left" w:pos="2160"/>
        </w:tabs>
        <w:autoSpaceDE w:val="0"/>
        <w:autoSpaceDN w:val="0"/>
        <w:adjustRightInd w:val="0"/>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widowControl w:val="0"/>
        <w:tabs>
          <w:tab w:val="left" w:pos="720"/>
          <w:tab w:val="left" w:pos="1440"/>
          <w:tab w:val="left" w:pos="2160"/>
        </w:tabs>
        <w:autoSpaceDE w:val="0"/>
        <w:autoSpaceDN w:val="0"/>
        <w:adjustRightInd w:val="0"/>
        <w:spacing w:after="0" w:line="240" w:lineRule="auto"/>
        <w:jc w:val="both"/>
        <w:rPr>
          <w:rFonts w:ascii="Times New Roman" w:eastAsia="Calibri" w:hAnsi="Times New Roman" w:cs="Times New Roman"/>
          <w:sz w:val="24"/>
          <w:szCs w:val="24"/>
          <w:lang w:val="es-ES_tradnl"/>
        </w:rPr>
      </w:pPr>
      <w:r w:rsidRPr="00EF61C8">
        <w:rPr>
          <w:rFonts w:ascii="Times New Roman" w:eastAsia="Times New Roman" w:hAnsi="Times New Roman" w:cs="Times New Roman"/>
          <w:sz w:val="24"/>
          <w:szCs w:val="24"/>
          <w:lang w:val="es-ES_tradnl"/>
        </w:rPr>
        <w:tab/>
        <w:t>(e)</w:t>
      </w:r>
      <w:r w:rsidRPr="00EF61C8">
        <w:rPr>
          <w:rFonts w:ascii="Times New Roman" w:eastAsia="Calibri" w:hAnsi="Times New Roman" w:cs="Times New Roman"/>
          <w:sz w:val="24"/>
          <w:szCs w:val="24"/>
          <w:lang w:val="es-ES_tradnl"/>
        </w:rPr>
        <w:tab/>
        <w:t xml:space="preserve">Cuando el Prestatario adquiera bienes o contrate obras o servicios diferentes de consultoría directamente de una agencia especializada en el marco de un acuerdo entre el Prestatario y dicha agencia especializada, todas las disposiciones contempladas en este Contrato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los servicios de consultoría en conexión con actividades financiadas por el Banco. </w:t>
      </w:r>
      <w:r w:rsidR="008209FD">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El Prestatario se compromete a adoptar o, en su caso, que el Organismo Ejecutor adopte, en caso de que sea requerido por el Banco, recursos tales como la suspensión o la rescisión del contrato correspondiente. </w:t>
      </w:r>
      <w:r w:rsidR="008209FD">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 xml:space="preserve">El Prestatario se compromete a que los contratos que suscriba con agencias especializadas incluirán disposiciones requiriendo que éstas conozcan la lista de firmas e </w:t>
      </w:r>
      <w:r w:rsidRPr="00EF61C8">
        <w:rPr>
          <w:rFonts w:ascii="Times New Roman" w:eastAsia="Calibri" w:hAnsi="Times New Roman" w:cs="Times New Roman"/>
          <w:sz w:val="24"/>
          <w:szCs w:val="24"/>
          <w:lang w:val="es-ES_tradnl"/>
        </w:rPr>
        <w:lastRenderedPageBreak/>
        <w:t xml:space="preserve">individuos declarados inelegibles de forma temporal o permanente por el Banco para participar de una adquisición o contratación financiada total o parcialmente con recursos del Préstamo. </w:t>
      </w:r>
      <w:r w:rsidR="008209FD">
        <w:rPr>
          <w:rFonts w:ascii="Times New Roman" w:eastAsia="Calibri" w:hAnsi="Times New Roman" w:cs="Times New Roman"/>
          <w:sz w:val="24"/>
          <w:szCs w:val="24"/>
          <w:lang w:val="es-ES_tradnl"/>
        </w:rPr>
        <w:t xml:space="preserve"> </w:t>
      </w:r>
      <w:r w:rsidRPr="00EF61C8">
        <w:rPr>
          <w:rFonts w:ascii="Times New Roman" w:eastAsia="Calibri" w:hAnsi="Times New Roman" w:cs="Times New Roman"/>
          <w:sz w:val="24"/>
          <w:szCs w:val="24"/>
          <w:lang w:val="es-ES_tradnl"/>
        </w:rPr>
        <w:t>En caso de que una agencia especializada suscriba un contrato o una orden de compra con una firma o individuo declarado inelegible de forma temporal o permanente por el Banco en la forma indicada en este Artículo, el Banco no financiará tales contratos o gastos y se acogerá a otras medidas que considere convenientes.</w:t>
      </w:r>
    </w:p>
    <w:p w:rsidR="00FF0D18" w:rsidRPr="00EF61C8" w:rsidRDefault="00FF0D18" w:rsidP="00FF0D18">
      <w:pPr>
        <w:spacing w:after="0" w:line="240" w:lineRule="auto"/>
        <w:jc w:val="center"/>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center"/>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X</w:t>
      </w:r>
    </w:p>
    <w:p w:rsidR="00FF0D18" w:rsidRPr="00EF61C8" w:rsidRDefault="00FF0D18" w:rsidP="00FF0D18">
      <w:pPr>
        <w:spacing w:after="0" w:line="240" w:lineRule="auto"/>
        <w:jc w:val="center"/>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Disposición sobre gravámenes y exenciones</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10.01.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Compromiso sobre gravámenes</w:t>
      </w:r>
      <w:r w:rsidRPr="00EF61C8">
        <w:rPr>
          <w:rFonts w:ascii="Times New Roman" w:eastAsia="Times New Roman" w:hAnsi="Times New Roman" w:cs="Times New Roman"/>
          <w:sz w:val="24"/>
          <w:szCs w:val="24"/>
          <w:lang w:val="es-ES_tradnl"/>
        </w:rPr>
        <w:t xml:space="preserve">. El Prestatario se compromete a no constituir ningún gravamen específico sobre todo o parte de sus bienes o rentas como garantía de una deuda externa sin constituir, al mismo tiempo, un gravamen que garantice al Banco, en un pie de igualdad y proporcionalmente, el cumplimiento de las obligaciones pecuniarias derivadas de este Contrato. La anterior </w:t>
      </w:r>
      <w:r w:rsidR="008209FD">
        <w:rPr>
          <w:rFonts w:ascii="Times New Roman" w:eastAsia="Times New Roman" w:hAnsi="Times New Roman" w:cs="Times New Roman"/>
          <w:sz w:val="24"/>
          <w:szCs w:val="24"/>
          <w:lang w:val="es-ES_tradnl"/>
        </w:rPr>
        <w:t xml:space="preserve">disposición no se aplicará: (a) </w:t>
      </w:r>
      <w:r w:rsidRPr="00EF61C8">
        <w:rPr>
          <w:rFonts w:ascii="Times New Roman" w:eastAsia="Times New Roman" w:hAnsi="Times New Roman" w:cs="Times New Roman"/>
          <w:sz w:val="24"/>
          <w:szCs w:val="24"/>
          <w:lang w:val="es-ES_tradnl"/>
        </w:rPr>
        <w:t>a los gravámenes constituidos sobre bienes, para asegurar el pago del saldo insoluto de su precio de adquisición; y (b) a los constituidos con motivo de operaciones bancarias para garantizar el pago de obligaciones cuyos vencimientos no excedan de un año de plazo. En caso de que el Prestatario sea un país miembro, la expresión “bienes o rentas” se refiere a toda clase de bienes o rentas que pertenezcan al Prestatario o a cualquiera de sus dependencias que no sean entidades autónomas con patrimonio propio.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10.02.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Exención de impuestos</w:t>
      </w:r>
      <w:r w:rsidRPr="00EF61C8">
        <w:rPr>
          <w:rFonts w:ascii="Times New Roman" w:eastAsia="Times New Roman" w:hAnsi="Times New Roman" w:cs="Times New Roman"/>
          <w:sz w:val="24"/>
          <w:szCs w:val="24"/>
          <w:lang w:val="es-ES_tradnl"/>
        </w:rPr>
        <w:t>. El Prestatario se compromete a que el capital, los intereses, comisiones, primas y todo otro cargo del Préstamo, así como cualquier otro pago por gastos o costos que se hubieren originado en el marco de este Contrato, se pagarán sin deducción ni restricción alguna, libres de todo impuesto, tasa, derecho o recargo que establezcan o pudieran establecer las leyes de su país y a hacerse cargo de todo impuesto, tasa o derecho aplicable a la celebración, inscripción y ejecución de este Contrato.</w:t>
      </w:r>
    </w:p>
    <w:p w:rsidR="00FF0D18" w:rsidRPr="00EF61C8" w:rsidRDefault="00FF0D18" w:rsidP="00FF0D18">
      <w:pPr>
        <w:tabs>
          <w:tab w:val="left" w:pos="3915"/>
        </w:tabs>
        <w:spacing w:after="0" w:line="240" w:lineRule="auto"/>
        <w:outlineLvl w:val="1"/>
        <w:rPr>
          <w:rFonts w:ascii="Times New Roman" w:eastAsia="Times New Roman" w:hAnsi="Times New Roman" w:cs="Times New Roman"/>
          <w:b/>
          <w:sz w:val="24"/>
          <w:szCs w:val="24"/>
          <w:lang w:val="es-ES_tradnl"/>
        </w:rPr>
      </w:pPr>
    </w:p>
    <w:p w:rsidR="00FF0D18" w:rsidRPr="00EF61C8" w:rsidRDefault="00FF0D18" w:rsidP="00FF0D18">
      <w:pPr>
        <w:tabs>
          <w:tab w:val="left" w:pos="3915"/>
        </w:tabs>
        <w:spacing w:after="0" w:line="240" w:lineRule="auto"/>
        <w:jc w:val="center"/>
        <w:outlineLvl w:val="1"/>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XI</w:t>
      </w:r>
    </w:p>
    <w:p w:rsidR="00FF0D18" w:rsidRPr="00EF61C8" w:rsidRDefault="00FF0D18" w:rsidP="00FF0D18">
      <w:pPr>
        <w:spacing w:after="0" w:line="360" w:lineRule="auto"/>
        <w:ind w:left="2880" w:firstLine="720"/>
        <w:jc w:val="both"/>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Disposiciones varias</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11.01.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Cesión de derechos</w:t>
      </w:r>
      <w:r w:rsidRPr="00EF61C8">
        <w:rPr>
          <w:rFonts w:ascii="Times New Roman" w:eastAsia="Times New Roman" w:hAnsi="Times New Roman" w:cs="Times New Roman"/>
          <w:sz w:val="24"/>
          <w:szCs w:val="24"/>
          <w:lang w:val="es-ES_tradnl"/>
        </w:rPr>
        <w:t xml:space="preserve">. (a) El Banco podrá ceder a otras instituciones públicas o privadas, a título de participaciones, los derechos correspondientes a las obligaciones pecuniarias del Prestatario provenientes de este Contrato.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Banco notificará inmediatamente al Prestatario sobre cada cesión.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20"/>
        </w:numPr>
        <w:tabs>
          <w:tab w:val="clear" w:pos="5580"/>
          <w:tab w:val="left" w:pos="-1440"/>
          <w:tab w:val="left" w:pos="-720"/>
          <w:tab w:val="left" w:pos="720"/>
          <w:tab w:val="num" w:pos="1440"/>
          <w:tab w:val="num" w:pos="2040"/>
        </w:tabs>
        <w:autoSpaceDE w:val="0"/>
        <w:autoSpaceDN w:val="0"/>
        <w:adjustRightInd w:val="0"/>
        <w:spacing w:after="0" w:line="240" w:lineRule="auto"/>
        <w:ind w:left="0"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El Banco podrá ceder participaciones en relación con saldos desembolsados o saldos que estén pendientes de desembolso en el momento de celebrarse el acuerdo de participación.</w:t>
      </w:r>
    </w:p>
    <w:p w:rsidR="00FF0D18" w:rsidRPr="00EF61C8" w:rsidRDefault="00FF0D18" w:rsidP="00FF0D18">
      <w:pPr>
        <w:tabs>
          <w:tab w:val="left" w:pos="-1440"/>
          <w:tab w:val="left" w:pos="-720"/>
          <w:tab w:val="left" w:pos="720"/>
          <w:tab w:val="left" w:pos="1320"/>
          <w:tab w:val="left" w:pos="2160"/>
        </w:tabs>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20"/>
        </w:numPr>
        <w:tabs>
          <w:tab w:val="clear" w:pos="5580"/>
          <w:tab w:val="left" w:pos="-1440"/>
          <w:tab w:val="left" w:pos="-720"/>
          <w:tab w:val="left" w:pos="720"/>
          <w:tab w:val="num" w:pos="1440"/>
          <w:tab w:val="num" w:pos="2040"/>
        </w:tabs>
        <w:autoSpaceDE w:val="0"/>
        <w:autoSpaceDN w:val="0"/>
        <w:adjustRightInd w:val="0"/>
        <w:spacing w:after="0" w:line="240" w:lineRule="auto"/>
        <w:ind w:left="0"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 xml:space="preserve">El Banco podrá, con la previa conformidad del Prestatario y del Garante, si lo hubiere, ceder, en todo o en parte, el saldo no desembolsado del Préstamo a otras instituciones públicas o privadas.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A tales efectos, la parte sujeta a cesión será denominada en términos de un número fijo de unidades de la Moneda de Aprobación o de unidades de Dólares. Igualmente y previa conformidad del Prestatario, y del Garante, si lo hubiere, el Banco podrá </w:t>
      </w:r>
      <w:r w:rsidRPr="00EF61C8">
        <w:rPr>
          <w:rFonts w:ascii="Times New Roman" w:eastAsia="Times New Roman" w:hAnsi="Times New Roman" w:cs="Times New Roman"/>
          <w:sz w:val="24"/>
          <w:szCs w:val="24"/>
          <w:lang w:val="es-ES_tradnl"/>
        </w:rPr>
        <w:lastRenderedPageBreak/>
        <w:t>establecer para dicha parte sujeta a cesión, una tasa de interés diferente a la establecida en el presente Contrato.</w:t>
      </w:r>
    </w:p>
    <w:p w:rsidR="00FF0D18" w:rsidRPr="00EF61C8" w:rsidRDefault="00FF0D18" w:rsidP="00FF0D18">
      <w:pPr>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11.02.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Modificaciones y dispensas contractuales</w:t>
      </w:r>
      <w:r w:rsidRPr="00EF61C8">
        <w:rPr>
          <w:rFonts w:ascii="Times New Roman" w:eastAsia="Times New Roman" w:hAnsi="Times New Roman" w:cs="Times New Roman"/>
          <w:sz w:val="24"/>
          <w:szCs w:val="24"/>
          <w:lang w:val="es-ES_tradnl"/>
        </w:rPr>
        <w:t>.</w:t>
      </w:r>
      <w:r w:rsidRPr="00EF61C8">
        <w:rPr>
          <w:rFonts w:ascii="Times New Roman" w:eastAsia="Times New Roman" w:hAnsi="Times New Roman" w:cs="Times New Roman"/>
          <w:b/>
          <w:sz w:val="24"/>
          <w:szCs w:val="24"/>
          <w:lang w:val="es-ES_tradnl"/>
        </w:rPr>
        <w:t xml:space="preserve"> </w:t>
      </w:r>
      <w:r w:rsidRPr="00EF61C8">
        <w:rPr>
          <w:rFonts w:ascii="Times New Roman" w:eastAsia="Times New Roman" w:hAnsi="Times New Roman" w:cs="Times New Roman"/>
          <w:sz w:val="24"/>
          <w:szCs w:val="24"/>
          <w:lang w:val="es-ES_tradnl"/>
        </w:rPr>
        <w:t>Cualquier modificación o dispensa a las disposiciones de este Contrato deberá ser acordada por escrito entre las Partes, y contar con la anuencia del Garante, si lo hubiere y en lo que fuere aplicable.</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11.03.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No renuncia de derechos</w:t>
      </w:r>
      <w:r w:rsidRPr="00EF61C8">
        <w:rPr>
          <w:rFonts w:ascii="Times New Roman" w:eastAsia="Times New Roman" w:hAnsi="Times New Roman" w:cs="Times New Roman"/>
          <w:sz w:val="24"/>
          <w:szCs w:val="24"/>
          <w:lang w:val="es-ES_tradnl"/>
        </w:rPr>
        <w:t>. El retardo o el no ejercicio por parte del Banco de los derechos acordados en este Contrato no podrá ser interpretado como renuncia a tales derechos, ni como una aceptación tácita de hechos, acciones o circunstancias habilitantes de su ejercicio.</w:t>
      </w:r>
    </w:p>
    <w:p w:rsidR="00FF0D18" w:rsidRPr="00EF61C8" w:rsidRDefault="00FF0D18" w:rsidP="00FF0D18">
      <w:pPr>
        <w:spacing w:after="0" w:line="240" w:lineRule="auto"/>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11.04.</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Extinción</w:t>
      </w:r>
      <w:r w:rsidRPr="00EF61C8">
        <w:rPr>
          <w:rFonts w:ascii="Times New Roman" w:eastAsia="Times New Roman" w:hAnsi="Times New Roman" w:cs="Times New Roman"/>
          <w:sz w:val="24"/>
          <w:szCs w:val="24"/>
          <w:lang w:val="es-ES_tradnl"/>
        </w:rPr>
        <w:t>. (a) El pago total del capital, intereses, comisiones, primas y todo otro cargo del Préstamo, así como de los demás gastos, costos y pagos que se hubieren originado en el marco de este Contrato, dará por concluido el Contrato y todas las obligaciones que de él se deriven, con excepción de aquéllas referidas en el inciso (b) de este Artículo.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Las obligaciones que el Prestatario adquiere en virtud de este Contrato en materia de Prácticas Prohibidas y otras obligaciones relacionadas con las políticas operativas del Banco, permanecerán vigentes hasta que dichas obligaciones hayan sido cumplidas a satisfacción del Banco</w:t>
      </w:r>
      <w:r w:rsidRPr="00EF61C8">
        <w:rPr>
          <w:rFonts w:ascii="Times New Roman" w:eastAsia="Times New Roman" w:hAnsi="Times New Roman" w:cs="Times New Roman"/>
          <w:b/>
          <w:sz w:val="24"/>
          <w:szCs w:val="24"/>
          <w:lang w:val="es-ES_tradnl"/>
        </w:rPr>
        <w:t>.</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11.05.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Validez</w:t>
      </w:r>
      <w:r w:rsidRPr="00EF61C8">
        <w:rPr>
          <w:rFonts w:ascii="Times New Roman" w:eastAsia="Times New Roman" w:hAnsi="Times New Roman" w:cs="Times New Roman"/>
          <w:sz w:val="24"/>
          <w:szCs w:val="24"/>
          <w:lang w:val="es-ES_tradnl"/>
        </w:rPr>
        <w:t>. Los derechos y obligaciones establecidos en el Contrato son válidos y exigibles, de conformidad con los términos en él convenidos, sin relación a legislación de país determinado.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11.06.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Divulgación de información</w:t>
      </w:r>
      <w:r w:rsidRPr="00EF61C8">
        <w:rPr>
          <w:rFonts w:ascii="Times New Roman" w:eastAsia="Times New Roman" w:hAnsi="Times New Roman" w:cs="Times New Roman"/>
          <w:sz w:val="24"/>
          <w:szCs w:val="24"/>
          <w:lang w:val="es-ES_tradnl"/>
        </w:rPr>
        <w:t>. El Banco podrá divulgar este Contrato y cualquier información relacionada con el mismo de acuerdo con su política de acceso a información vigente al momento de dicha divulgación.</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keepNext/>
        <w:spacing w:after="0" w:line="240" w:lineRule="auto"/>
        <w:jc w:val="center"/>
        <w:outlineLvl w:val="2"/>
        <w:rPr>
          <w:rFonts w:ascii="Times New Roman" w:eastAsia="Times New Roman" w:hAnsi="Times New Roman" w:cs="Times New Roman"/>
          <w:b/>
          <w:sz w:val="24"/>
          <w:szCs w:val="24"/>
          <w:lang w:val="es-ES_tradnl"/>
        </w:rPr>
      </w:pPr>
      <w:r w:rsidRPr="00EF61C8">
        <w:rPr>
          <w:rFonts w:ascii="Times New Roman" w:eastAsia="Times New Roman" w:hAnsi="Times New Roman" w:cs="Times New Roman"/>
          <w:b/>
          <w:sz w:val="24"/>
          <w:szCs w:val="24"/>
          <w:lang w:val="es-ES_tradnl"/>
        </w:rPr>
        <w:t>CAPÍTULO XII</w:t>
      </w:r>
    </w:p>
    <w:p w:rsidR="00FF0D18" w:rsidRPr="00EF61C8" w:rsidRDefault="00FF0D18" w:rsidP="00FF0D18">
      <w:pPr>
        <w:keepNext/>
        <w:spacing w:after="0" w:line="240" w:lineRule="auto"/>
        <w:jc w:val="center"/>
        <w:outlineLvl w:val="2"/>
        <w:rPr>
          <w:rFonts w:ascii="Times New Roman" w:eastAsia="Times New Roman" w:hAnsi="Times New Roman" w:cs="Times New Roman"/>
          <w:b/>
          <w:sz w:val="24"/>
          <w:szCs w:val="24"/>
          <w:u w:val="single"/>
          <w:lang w:val="es-ES_tradnl"/>
        </w:rPr>
      </w:pPr>
      <w:r w:rsidRPr="00EF61C8">
        <w:rPr>
          <w:rFonts w:ascii="Times New Roman" w:eastAsia="Times New Roman" w:hAnsi="Times New Roman" w:cs="Times New Roman"/>
          <w:b/>
          <w:sz w:val="24"/>
          <w:szCs w:val="24"/>
          <w:u w:val="single"/>
          <w:lang w:val="es-ES_tradnl"/>
        </w:rPr>
        <w:t>Procedimiento arbitral</w:t>
      </w:r>
    </w:p>
    <w:p w:rsidR="00FF0D18" w:rsidRPr="00EF61C8" w:rsidRDefault="00FF0D18" w:rsidP="00FF0D18">
      <w:pPr>
        <w:keepNext/>
        <w:spacing w:after="0" w:line="240" w:lineRule="auto"/>
        <w:jc w:val="both"/>
        <w:rPr>
          <w:rFonts w:ascii="Times New Roman" w:eastAsia="Times New Roman" w:hAnsi="Times New Roman" w:cs="Times New Roman"/>
          <w:b/>
          <w:sz w:val="24"/>
          <w:szCs w:val="24"/>
          <w:u w:val="single"/>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12.01.</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Composición del tribunal</w:t>
      </w:r>
      <w:r w:rsidRPr="00EF61C8">
        <w:rPr>
          <w:rFonts w:ascii="Times New Roman" w:eastAsia="Times New Roman" w:hAnsi="Times New Roman" w:cs="Times New Roman"/>
          <w:sz w:val="24"/>
          <w:szCs w:val="24"/>
          <w:lang w:val="es-ES_tradnl"/>
        </w:rPr>
        <w:t>. (a) El tribunal de arbitraje se compondrá de tres miembros, que serán designados en la forma siguiente: uno, por el Banco; otro, por el Prestatario; y un tercero, en adelante denominado el “Presidente”, por acuerdo directo entre las Partes, o por intermedio de los respectivos árbitros.</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El Presidente del tribunal tendrá doble voto en caso de </w:t>
      </w:r>
      <w:r w:rsidRPr="00EF61C8">
        <w:rPr>
          <w:rFonts w:ascii="Times New Roman" w:eastAsia="Times New Roman" w:hAnsi="Times New Roman" w:cs="Times New Roman"/>
          <w:i/>
          <w:sz w:val="24"/>
          <w:szCs w:val="24"/>
          <w:lang w:val="es-ES_tradnl"/>
        </w:rPr>
        <w:t>impasse</w:t>
      </w:r>
      <w:r w:rsidRPr="00EF61C8">
        <w:rPr>
          <w:rFonts w:ascii="Times New Roman" w:eastAsia="Times New Roman" w:hAnsi="Times New Roman" w:cs="Times New Roman"/>
          <w:sz w:val="24"/>
          <w:szCs w:val="24"/>
          <w:lang w:val="es-ES_tradnl"/>
        </w:rPr>
        <w:t xml:space="preserve"> en todas las decisiones.</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Si las Partes o los árbitros no se pusieren de acuerdo respecto de la persona del Presidente, o si una de las Partes no pudiera designar árbitro, el Presidente será designado, a petición de cualquiera de las Partes, por el Secretario General de la Organización de los Estados Americanos. Si una de las Partes no designare árbitro, éste será designado por el Presidente.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Si alguno de los árbitros designados o el Presidente no quisiere o no pudiere actuar o seguir actuando, se procederá a su reemplazo en igual forma que para la designación original.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El sucesor tendrá las mismas funciones que el antecesor.</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numPr>
          <w:ilvl w:val="0"/>
          <w:numId w:val="13"/>
        </w:numPr>
        <w:spacing w:after="0" w:line="240" w:lineRule="auto"/>
        <w:ind w:left="0" w:firstLine="720"/>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lastRenderedPageBreak/>
        <w:t>En toda controversia, tanto el Prestatario como el Garante serán considerados como una sola parte y, por consiguiente, tanto para la designación del árbitro como para los demás efectos del arbitraje, deberán actuar conjuntamente.</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12.02.</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Iniciación del procedimiento</w:t>
      </w:r>
      <w:r w:rsidRPr="00EF61C8">
        <w:rPr>
          <w:rFonts w:ascii="Times New Roman" w:eastAsia="Times New Roman" w:hAnsi="Times New Roman" w:cs="Times New Roman"/>
          <w:sz w:val="24"/>
          <w:szCs w:val="24"/>
          <w:lang w:val="es-ES_tradnl"/>
        </w:rPr>
        <w:t xml:space="preserve">. Para someter la controversia al procedimiento de arbitraje, la parte reclamante dirigirá a la otra una notificación escrita, exponiendo la naturaleza del reclamo, la satisfacción o reparación que persigue y el nombre del árbitro que designa.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La parte que hubiere recibido dicha notificación deberá, dentro del plazo de cuarenta y cinco (45) días, notificar a la parte contraria el nombre de la persona que designe como árbitro. Si dentro del plazo de setenta y cinco (75) días, contado desde la notificación de iniciación del procedimiento de arbitraje, las partes no se hubieren puesto de acuerdo en cuanto a la persona del Presidente, cualquiera de ellas podrá recurrir ante el Secretario General de la Organización de los Estados Americanos para que éste proceda a la designación.</w:t>
      </w:r>
    </w:p>
    <w:p w:rsidR="00FF0D18" w:rsidRPr="00EF61C8" w:rsidRDefault="00FF0D18" w:rsidP="00FF0D18">
      <w:pPr>
        <w:tabs>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12.03.</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Constitución del tribunal</w:t>
      </w:r>
      <w:r w:rsidRPr="00EF61C8">
        <w:rPr>
          <w:rFonts w:ascii="Times New Roman" w:eastAsia="Times New Roman" w:hAnsi="Times New Roman" w:cs="Times New Roman"/>
          <w:sz w:val="24"/>
          <w:szCs w:val="24"/>
          <w:lang w:val="es-ES_tradnl"/>
        </w:rPr>
        <w:t>. El tribunal de arbitraje se constituirá en Washington, Distrito de Columbia, Estados Unidos de América, en la fecha que el Presidente designe y, constituido, funcionará en las fechas que fije el propio tribunal.</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12.04.</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Procedimiento</w:t>
      </w:r>
      <w:r w:rsidRPr="00EF61C8">
        <w:rPr>
          <w:rFonts w:ascii="Times New Roman" w:eastAsia="Times New Roman" w:hAnsi="Times New Roman" w:cs="Times New Roman"/>
          <w:sz w:val="24"/>
          <w:szCs w:val="24"/>
          <w:lang w:val="es-ES_tradnl"/>
        </w:rPr>
        <w:t>. (a) El tribunal queda especialmente facultado para resolver todo asunto relacionado con su competencia y adoptará su propio procedimiento.</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 En todo caso, deberá conceder a las Partes la oportunidad de presentar exposiciones en audiencia. Todas las decisiones del tribunal se tomarán por la mayoría de votos.</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(b)</w:t>
      </w:r>
      <w:r w:rsidRPr="00EF61C8">
        <w:rPr>
          <w:rFonts w:ascii="Times New Roman" w:eastAsia="Times New Roman" w:hAnsi="Times New Roman" w:cs="Times New Roman"/>
          <w:sz w:val="24"/>
          <w:szCs w:val="24"/>
          <w:lang w:val="es-ES_tradnl"/>
        </w:rPr>
        <w:tab/>
        <w:t>El tribunal fallará con base a los términos del Contrato y pronunciará su fallo aun en el caso de que alguna de las Partes actúe en rebeldía.</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sz w:val="24"/>
          <w:szCs w:val="24"/>
          <w:lang w:val="es-ES_tradnl"/>
        </w:rPr>
        <w:tab/>
        <w:t>(c)</w:t>
      </w:r>
      <w:r w:rsidRPr="00EF61C8">
        <w:rPr>
          <w:rFonts w:ascii="Times New Roman" w:eastAsia="Times New Roman" w:hAnsi="Times New Roman" w:cs="Times New Roman"/>
          <w:sz w:val="24"/>
          <w:szCs w:val="24"/>
          <w:lang w:val="es-ES_tradnl"/>
        </w:rPr>
        <w:tab/>
        <w:t xml:space="preserve">El fallo se hará constar por escrito y se adoptará con el voto concurrente de, al menos, dos (2) miembros del tribunal.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Dicho fallo deberá dictarse dentro del plazo aproximado de sesenta (60) días, contado a partir de la fecha del nombramiento del Presidente, a menos que el tribunal determine que, por circunstancias especiales e imprevistas, deba ampliarse dicho plazo.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 xml:space="preserve">El fallo será notificado a las partes mediante notificación </w:t>
      </w:r>
      <w:r w:rsidR="008209FD">
        <w:rPr>
          <w:rFonts w:ascii="Times New Roman" w:eastAsia="Times New Roman" w:hAnsi="Times New Roman" w:cs="Times New Roman"/>
          <w:sz w:val="24"/>
          <w:szCs w:val="24"/>
          <w:lang w:val="es-ES_tradnl"/>
        </w:rPr>
        <w:t xml:space="preserve">suscrita, cuanto menos, por dos </w:t>
      </w:r>
      <w:r w:rsidRPr="00EF61C8">
        <w:rPr>
          <w:rFonts w:ascii="Times New Roman" w:eastAsia="Times New Roman" w:hAnsi="Times New Roman" w:cs="Times New Roman"/>
          <w:sz w:val="24"/>
          <w:szCs w:val="24"/>
          <w:lang w:val="es-ES_tradnl"/>
        </w:rPr>
        <w:t xml:space="preserve">(2) miembros del tribunal y deberá cumplirse dentro del plazo de treinta (30) días, contado a partir de la fecha de la notificación.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Dicho fallo tendrá mérito ejecutivo y no admitirá recurso alguno.</w:t>
      </w:r>
    </w:p>
    <w:p w:rsidR="00FF0D18" w:rsidRPr="00EF61C8" w:rsidRDefault="00FF0D18" w:rsidP="00FF0D18">
      <w:pPr>
        <w:spacing w:after="0" w:line="240" w:lineRule="auto"/>
        <w:jc w:val="both"/>
        <w:rPr>
          <w:rFonts w:ascii="Times New Roman" w:eastAsia="Times New Roman" w:hAnsi="Times New Roman" w:cs="Times New Roman"/>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12.05.</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Gastos</w:t>
      </w:r>
      <w:r w:rsidRPr="00EF61C8">
        <w:rPr>
          <w:rFonts w:ascii="Times New Roman" w:eastAsia="Times New Roman" w:hAnsi="Times New Roman" w:cs="Times New Roman"/>
          <w:sz w:val="24"/>
          <w:szCs w:val="24"/>
          <w:lang w:val="es-ES_tradnl"/>
        </w:rPr>
        <w:t xml:space="preserve">. Los honorarios de cada árbitro y los gastos del arbitraje, con la excepción de los costos de abogado y costos de otros expertos, que serán cubiertos por las partes que los hayan designado, serán cubiertos por ambas partes en igual proporción. </w:t>
      </w:r>
      <w:r w:rsidR="008209FD">
        <w:rPr>
          <w:rFonts w:ascii="Times New Roman" w:eastAsia="Times New Roman" w:hAnsi="Times New Roman" w:cs="Times New Roman"/>
          <w:sz w:val="24"/>
          <w:szCs w:val="24"/>
          <w:lang w:val="es-ES_tradnl"/>
        </w:rPr>
        <w:t xml:space="preserve"> </w:t>
      </w:r>
      <w:r w:rsidRPr="00EF61C8">
        <w:rPr>
          <w:rFonts w:ascii="Times New Roman" w:eastAsia="Times New Roman" w:hAnsi="Times New Roman" w:cs="Times New Roman"/>
          <w:sz w:val="24"/>
          <w:szCs w:val="24"/>
          <w:lang w:val="es-ES_tradnl"/>
        </w:rPr>
        <w:t>Toda duda en relación con la división de los gastos o con la forma en que deban pagarse será resuelta por el tribunal, sin ulterior recurso.</w:t>
      </w:r>
    </w:p>
    <w:p w:rsidR="00365613" w:rsidRDefault="00365613" w:rsidP="00FF0D18">
      <w:pPr>
        <w:tabs>
          <w:tab w:val="left" w:pos="2160"/>
        </w:tabs>
        <w:spacing w:after="0" w:line="240" w:lineRule="auto"/>
        <w:jc w:val="both"/>
        <w:rPr>
          <w:rFonts w:ascii="Times New Roman" w:eastAsia="Times New Roman" w:hAnsi="Times New Roman" w:cs="Times New Roman"/>
          <w:b/>
          <w:sz w:val="24"/>
          <w:szCs w:val="24"/>
          <w:lang w:val="es-ES_tradnl"/>
        </w:rPr>
      </w:pPr>
    </w:p>
    <w:p w:rsidR="00FF0D18" w:rsidRPr="00EF61C8" w:rsidRDefault="00FF0D18" w:rsidP="00FF0D18">
      <w:pPr>
        <w:tabs>
          <w:tab w:val="left" w:pos="2160"/>
        </w:tabs>
        <w:spacing w:after="0" w:line="240" w:lineRule="auto"/>
        <w:jc w:val="both"/>
        <w:rPr>
          <w:rFonts w:ascii="Times New Roman" w:eastAsia="Times New Roman" w:hAnsi="Times New Roman" w:cs="Times New Roman"/>
          <w:sz w:val="24"/>
          <w:szCs w:val="24"/>
          <w:lang w:val="es-ES_tradnl"/>
        </w:rPr>
      </w:pPr>
      <w:r w:rsidRPr="00EF61C8">
        <w:rPr>
          <w:rFonts w:ascii="Times New Roman" w:eastAsia="Times New Roman" w:hAnsi="Times New Roman" w:cs="Times New Roman"/>
          <w:b/>
          <w:sz w:val="24"/>
          <w:szCs w:val="24"/>
          <w:lang w:val="es-ES_tradnl"/>
        </w:rPr>
        <w:t>ARTÍCULO 12.06.</w:t>
      </w:r>
      <w:r w:rsidRPr="00EF61C8">
        <w:rPr>
          <w:rFonts w:ascii="Times New Roman" w:eastAsia="Times New Roman" w:hAnsi="Times New Roman" w:cs="Times New Roman"/>
          <w:b/>
          <w:sz w:val="24"/>
          <w:szCs w:val="24"/>
          <w:lang w:val="es-ES_tradnl"/>
        </w:rPr>
        <w:tab/>
      </w:r>
      <w:r w:rsidRPr="00EF61C8">
        <w:rPr>
          <w:rFonts w:ascii="Times New Roman" w:eastAsia="Times New Roman" w:hAnsi="Times New Roman" w:cs="Times New Roman"/>
          <w:b/>
          <w:sz w:val="24"/>
          <w:szCs w:val="24"/>
          <w:u w:val="single"/>
          <w:lang w:val="es-ES_tradnl"/>
        </w:rPr>
        <w:t>Notificaciones</w:t>
      </w:r>
      <w:r w:rsidRPr="00EF61C8">
        <w:rPr>
          <w:rFonts w:ascii="Times New Roman" w:eastAsia="Times New Roman" w:hAnsi="Times New Roman" w:cs="Times New Roman"/>
          <w:sz w:val="24"/>
          <w:szCs w:val="24"/>
          <w:lang w:val="es-ES_tradnl"/>
        </w:rPr>
        <w:t>. Toda notificación relativa al arbitraje o al fallo será hecha en la forma prevista en este Contrato. Las partes renuncian a cualquier otra forma de notificación.</w:t>
      </w:r>
    </w:p>
    <w:p w:rsidR="00FF0D18" w:rsidRDefault="00FF0D18" w:rsidP="00FF0D18">
      <w:pPr>
        <w:spacing w:after="0" w:line="480" w:lineRule="auto"/>
        <w:rPr>
          <w:rFonts w:ascii="Arial" w:hAnsi="Arial" w:cs="Arial"/>
          <w:b/>
          <w:sz w:val="24"/>
          <w:szCs w:val="24"/>
          <w:lang w:val="es-ES_tradnl"/>
        </w:rPr>
      </w:pPr>
    </w:p>
    <w:p w:rsidR="00FF0D18" w:rsidRPr="00113988" w:rsidRDefault="00FF0D18" w:rsidP="00FF0D18">
      <w:pPr>
        <w:spacing w:after="0" w:line="240" w:lineRule="auto"/>
        <w:jc w:val="right"/>
        <w:rPr>
          <w:rFonts w:ascii="Times New Roman" w:eastAsia="Times New Roman" w:hAnsi="Times New Roman" w:cs="Times New Roman"/>
          <w:b/>
          <w:bCs/>
          <w:snapToGrid w:val="0"/>
          <w:sz w:val="24"/>
          <w:szCs w:val="24"/>
          <w:lang w:val="pt-BR"/>
        </w:rPr>
      </w:pPr>
    </w:p>
    <w:p w:rsidR="00FF0D18" w:rsidRPr="00113988" w:rsidRDefault="00FF0D18" w:rsidP="00FF0D18">
      <w:pPr>
        <w:spacing w:after="0" w:line="240" w:lineRule="auto"/>
        <w:jc w:val="right"/>
        <w:rPr>
          <w:rFonts w:ascii="Times New Roman" w:eastAsia="Times New Roman" w:hAnsi="Times New Roman" w:cs="Times New Roman"/>
          <w:snapToGrid w:val="0"/>
          <w:sz w:val="20"/>
          <w:szCs w:val="20"/>
          <w:lang w:val="pt-BR"/>
        </w:rPr>
      </w:pPr>
      <w:r w:rsidRPr="00113988">
        <w:rPr>
          <w:rFonts w:ascii="Times New Roman" w:eastAsia="Times New Roman" w:hAnsi="Times New Roman" w:cs="Times New Roman"/>
          <w:snapToGrid w:val="0"/>
          <w:sz w:val="20"/>
          <w:szCs w:val="20"/>
          <w:lang w:val="pt-BR"/>
        </w:rPr>
        <w:t>LEG/SGO/CID/EZSHARE-1354864508-14762</w:t>
      </w:r>
    </w:p>
    <w:p w:rsidR="00FF0D18" w:rsidRDefault="00FF0D18" w:rsidP="00FF0D18">
      <w:pPr>
        <w:spacing w:after="0" w:line="240" w:lineRule="auto"/>
        <w:jc w:val="center"/>
        <w:rPr>
          <w:rFonts w:ascii="Times New Roman" w:eastAsia="Times New Roman" w:hAnsi="Times New Roman" w:cs="Times New Roman"/>
          <w:snapToGrid w:val="0"/>
          <w:sz w:val="24"/>
          <w:szCs w:val="24"/>
          <w:lang w:val="pt-BR"/>
        </w:rPr>
      </w:pPr>
    </w:p>
    <w:p w:rsidR="008304B9" w:rsidRDefault="008304B9" w:rsidP="00FF0D18">
      <w:pPr>
        <w:spacing w:after="0" w:line="240" w:lineRule="auto"/>
        <w:jc w:val="center"/>
        <w:rPr>
          <w:rFonts w:ascii="Times New Roman" w:eastAsia="Times New Roman" w:hAnsi="Times New Roman" w:cs="Times New Roman"/>
          <w:snapToGrid w:val="0"/>
          <w:sz w:val="24"/>
          <w:szCs w:val="24"/>
          <w:lang w:val="pt-BR"/>
        </w:rPr>
      </w:pPr>
    </w:p>
    <w:p w:rsidR="008304B9" w:rsidRPr="00113988" w:rsidRDefault="008304B9" w:rsidP="00FF0D18">
      <w:pPr>
        <w:spacing w:after="0" w:line="240" w:lineRule="auto"/>
        <w:jc w:val="center"/>
        <w:rPr>
          <w:rFonts w:ascii="Times New Roman" w:eastAsia="Times New Roman" w:hAnsi="Times New Roman" w:cs="Times New Roman"/>
          <w:snapToGrid w:val="0"/>
          <w:sz w:val="24"/>
          <w:szCs w:val="24"/>
          <w:lang w:val="pt-BR"/>
        </w:rPr>
      </w:pPr>
    </w:p>
    <w:p w:rsidR="00FF0D18" w:rsidRPr="00113988" w:rsidRDefault="00FF0D18" w:rsidP="00FF0D18">
      <w:pPr>
        <w:spacing w:after="0" w:line="240" w:lineRule="auto"/>
        <w:jc w:val="center"/>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ANEXO ÚNICO</w:t>
      </w:r>
    </w:p>
    <w:p w:rsidR="00FF0D18" w:rsidRDefault="00FF0D18" w:rsidP="00FF0D18">
      <w:pPr>
        <w:spacing w:after="0" w:line="240" w:lineRule="auto"/>
        <w:jc w:val="center"/>
        <w:rPr>
          <w:rFonts w:ascii="Times New Roman" w:eastAsia="Times New Roman" w:hAnsi="Times New Roman" w:cs="Times New Roman"/>
          <w:snapToGrid w:val="0"/>
          <w:sz w:val="24"/>
          <w:szCs w:val="24"/>
          <w:lang w:val="es-ES_tradnl"/>
        </w:rPr>
      </w:pPr>
    </w:p>
    <w:p w:rsidR="008304B9" w:rsidRPr="00113988" w:rsidRDefault="008304B9" w:rsidP="00FF0D18">
      <w:pPr>
        <w:spacing w:after="0" w:line="240" w:lineRule="auto"/>
        <w:jc w:val="center"/>
        <w:rPr>
          <w:rFonts w:ascii="Times New Roman" w:eastAsia="Times New Roman" w:hAnsi="Times New Roman" w:cs="Times New Roman"/>
          <w:snapToGrid w:val="0"/>
          <w:sz w:val="24"/>
          <w:szCs w:val="24"/>
          <w:lang w:val="es-ES_tradnl"/>
        </w:rPr>
      </w:pPr>
    </w:p>
    <w:p w:rsidR="00FF0D18" w:rsidRPr="00113988" w:rsidRDefault="00FF0D18" w:rsidP="00FF0D18">
      <w:pPr>
        <w:spacing w:after="0" w:line="240" w:lineRule="auto"/>
        <w:jc w:val="center"/>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u w:val="single"/>
          <w:lang w:val="es-ES_tradnl"/>
        </w:rPr>
        <w:t>EL PROGRAMA</w:t>
      </w:r>
    </w:p>
    <w:p w:rsidR="00FF0D18" w:rsidRPr="00113988" w:rsidRDefault="00FF0D18" w:rsidP="00FF0D18">
      <w:pPr>
        <w:spacing w:after="0" w:line="240" w:lineRule="auto"/>
        <w:jc w:val="center"/>
        <w:rPr>
          <w:rFonts w:ascii="Times New Roman" w:eastAsia="Times New Roman" w:hAnsi="Times New Roman" w:cs="Times New Roman"/>
          <w:snapToGrid w:val="0"/>
          <w:sz w:val="24"/>
          <w:szCs w:val="24"/>
          <w:lang w:val="es-ES_tradnl"/>
        </w:rPr>
      </w:pPr>
    </w:p>
    <w:p w:rsidR="001042F6" w:rsidRDefault="00FF0D18" w:rsidP="001042F6">
      <w:pPr>
        <w:spacing w:after="0" w:line="240" w:lineRule="auto"/>
        <w:ind w:left="720"/>
        <w:contextualSpacing/>
        <w:jc w:val="center"/>
        <w:rPr>
          <w:rFonts w:ascii="Times New Roman" w:eastAsia="Times New Roman" w:hAnsi="Times New Roman" w:cs="Times New Roman"/>
          <w:b/>
          <w:bCs/>
          <w:snapToGrid w:val="0"/>
          <w:sz w:val="24"/>
          <w:szCs w:val="24"/>
          <w:lang w:val="es-ES_tradnl"/>
        </w:rPr>
      </w:pPr>
      <w:r w:rsidRPr="00113988">
        <w:rPr>
          <w:rFonts w:ascii="Times New Roman" w:eastAsia="Times New Roman" w:hAnsi="Times New Roman" w:cs="Times New Roman"/>
          <w:b/>
          <w:bCs/>
          <w:snapToGrid w:val="0"/>
          <w:sz w:val="24"/>
          <w:szCs w:val="24"/>
          <w:lang w:val="es-ES_tradnl"/>
        </w:rPr>
        <w:t xml:space="preserve">Programa de </w:t>
      </w:r>
      <w:r w:rsidRPr="00113988">
        <w:rPr>
          <w:rFonts w:ascii="Times New Roman" w:eastAsia="Times New Roman" w:hAnsi="Times New Roman" w:cs="Times New Roman"/>
          <w:b/>
          <w:bCs/>
          <w:sz w:val="24"/>
          <w:szCs w:val="24"/>
          <w:lang w:val="es-ES_tradnl"/>
        </w:rPr>
        <w:t>Infraestructura</w:t>
      </w:r>
      <w:r w:rsidRPr="00113988">
        <w:rPr>
          <w:rFonts w:ascii="Times New Roman" w:eastAsia="Times New Roman" w:hAnsi="Times New Roman" w:cs="Times New Roman"/>
          <w:b/>
          <w:bCs/>
          <w:snapToGrid w:val="0"/>
          <w:sz w:val="24"/>
          <w:szCs w:val="24"/>
          <w:lang w:val="es-ES_tradnl"/>
        </w:rPr>
        <w:t xml:space="preserve"> V</w:t>
      </w:r>
      <w:r w:rsidR="001042F6">
        <w:rPr>
          <w:rFonts w:ascii="Times New Roman" w:eastAsia="Times New Roman" w:hAnsi="Times New Roman" w:cs="Times New Roman"/>
          <w:b/>
          <w:bCs/>
          <w:snapToGrid w:val="0"/>
          <w:sz w:val="24"/>
          <w:szCs w:val="24"/>
          <w:lang w:val="es-ES_tradnl"/>
        </w:rPr>
        <w:t>ial y Promoción de Asociaciones</w:t>
      </w:r>
    </w:p>
    <w:p w:rsidR="00FF0D18" w:rsidRPr="00113988" w:rsidRDefault="00FF0D18" w:rsidP="001042F6">
      <w:pPr>
        <w:spacing w:after="0" w:line="240" w:lineRule="auto"/>
        <w:ind w:left="720"/>
        <w:contextualSpacing/>
        <w:jc w:val="center"/>
        <w:rPr>
          <w:rFonts w:ascii="Times New Roman" w:eastAsia="Times New Roman" w:hAnsi="Times New Roman" w:cs="Times New Roman"/>
          <w:b/>
          <w:bCs/>
          <w:snapToGrid w:val="0"/>
          <w:sz w:val="24"/>
          <w:szCs w:val="24"/>
          <w:lang w:val="es-ES_tradnl"/>
        </w:rPr>
      </w:pPr>
      <w:r w:rsidRPr="00113988">
        <w:rPr>
          <w:rFonts w:ascii="Times New Roman" w:eastAsia="Times New Roman" w:hAnsi="Times New Roman" w:cs="Times New Roman"/>
          <w:b/>
          <w:bCs/>
          <w:snapToGrid w:val="0"/>
          <w:sz w:val="24"/>
          <w:szCs w:val="24"/>
          <w:lang w:val="es-ES_tradnl"/>
        </w:rPr>
        <w:t>Público-Privadas</w:t>
      </w:r>
    </w:p>
    <w:p w:rsidR="00FF0D18" w:rsidRPr="0011398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FF0D1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8304B9" w:rsidRPr="00113988" w:rsidRDefault="008304B9" w:rsidP="00FF0D18">
      <w:pPr>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spacing w:after="0" w:line="240" w:lineRule="auto"/>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I.</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b/>
          <w:snapToGrid w:val="0"/>
          <w:sz w:val="24"/>
          <w:szCs w:val="24"/>
          <w:u w:val="single"/>
          <w:lang w:val="es-ES_tradnl"/>
        </w:rPr>
        <w:t>Objetivo</w:t>
      </w:r>
    </w:p>
    <w:p w:rsidR="00FF0D1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8304B9" w:rsidRPr="00113988" w:rsidRDefault="008304B9" w:rsidP="00FF0D18">
      <w:pPr>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widowControl w:val="0"/>
        <w:numPr>
          <w:ilvl w:val="1"/>
          <w:numId w:val="25"/>
        </w:numPr>
        <w:spacing w:after="0" w:line="240" w:lineRule="auto"/>
        <w:contextualSpacing/>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snapToGrid w:val="0"/>
          <w:sz w:val="24"/>
          <w:szCs w:val="24"/>
          <w:lang w:val="es-ES_tradnl"/>
        </w:rPr>
        <w:t>El objetivo del Programa es contribuir a la competitividad del país a través de la mejora y ampliación ambientalmente sostenible de la Red Vial de Alta Capacidad (RVAC) en la Gran Área Metropolitana (GAM), y apoyar el desarrollo de proyectos de infraestructura vial a través de modelos de Asociaciones Público-Privadas (APP) como mecanismo complementario para su financiamiento y gestión</w:t>
      </w:r>
      <w:r w:rsidRPr="00113988">
        <w:rPr>
          <w:rFonts w:ascii="Times New Roman" w:eastAsia="Times New Roman" w:hAnsi="Times New Roman" w:cs="Times New Roman"/>
          <w:snapToGrid w:val="0"/>
          <w:sz w:val="24"/>
          <w:szCs w:val="20"/>
          <w:lang w:val="es-ES_tradnl"/>
        </w:rPr>
        <w:t xml:space="preserve"> (incluyendo todas las fases del proceso: identificación y evaluación inicial, estudios de factibilidad, estructuración, licitación, adjudicación, construcción, operación y administración)</w:t>
      </w:r>
      <w:r w:rsidRPr="00113988">
        <w:rPr>
          <w:rFonts w:ascii="Times New Roman" w:eastAsia="Times New Roman" w:hAnsi="Times New Roman" w:cs="Times New Roman"/>
          <w:snapToGrid w:val="0"/>
          <w:sz w:val="24"/>
          <w:szCs w:val="24"/>
          <w:lang w:val="es-ES_tradnl"/>
        </w:rPr>
        <w:t>.</w:t>
      </w:r>
    </w:p>
    <w:p w:rsidR="00FF0D18" w:rsidRPr="00113988" w:rsidRDefault="00FF0D18" w:rsidP="00FF0D18">
      <w:pPr>
        <w:spacing w:after="0" w:line="240" w:lineRule="auto"/>
        <w:ind w:left="720"/>
        <w:contextualSpacing/>
        <w:jc w:val="both"/>
        <w:rPr>
          <w:rFonts w:ascii="Times New Roman" w:eastAsia="Times New Roman" w:hAnsi="Times New Roman" w:cs="Times New Roman"/>
          <w:snapToGrid w:val="0"/>
          <w:sz w:val="24"/>
          <w:szCs w:val="24"/>
          <w:lang w:val="es-ES_tradnl"/>
        </w:rPr>
      </w:pPr>
    </w:p>
    <w:p w:rsidR="00FF0D18" w:rsidRPr="00113988" w:rsidRDefault="00FF0D18" w:rsidP="00FF0D18">
      <w:pPr>
        <w:widowControl w:val="0"/>
        <w:numPr>
          <w:ilvl w:val="1"/>
          <w:numId w:val="25"/>
        </w:numPr>
        <w:spacing w:after="0" w:line="240" w:lineRule="auto"/>
        <w:contextualSpacing/>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snapToGrid w:val="0"/>
          <w:sz w:val="24"/>
          <w:szCs w:val="24"/>
          <w:lang w:val="es-ES_tradnl"/>
        </w:rPr>
        <w:t>Los objetivos específicos del Proyecto son: (i) disminuir los costos de operación vehicular del flujo de transporte de carga que circula por la RVAC en el GAM; (ii) disminuir tiempos de viaje de los vehículos que circulan por la RVAC en el GAM; (iii) minimizar las emisiones generadas por el transporte en el GAM; y (iv) mejorar la capacidad técnica e institucional del Gobierno de Costa Rica (GdCR) para desarrollar proyectos viales mediante esquemas de APP.</w:t>
      </w:r>
    </w:p>
    <w:p w:rsidR="00FF0D1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8304B9" w:rsidRPr="00113988" w:rsidRDefault="008304B9" w:rsidP="00FF0D18">
      <w:pPr>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spacing w:after="0" w:line="240" w:lineRule="auto"/>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II.</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b/>
          <w:snapToGrid w:val="0"/>
          <w:sz w:val="24"/>
          <w:szCs w:val="24"/>
          <w:u w:val="single"/>
          <w:lang w:val="es-ES_tradnl"/>
        </w:rPr>
        <w:t>Descripción</w:t>
      </w:r>
    </w:p>
    <w:p w:rsidR="00FF0D18" w:rsidRPr="0011398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spacing w:after="0" w:line="240" w:lineRule="auto"/>
        <w:ind w:left="720" w:hanging="720"/>
        <w:jc w:val="both"/>
        <w:rPr>
          <w:rFonts w:ascii="Times New Roman" w:eastAsia="Times New Roman" w:hAnsi="Times New Roman" w:cs="Times New Roman"/>
          <w:b/>
          <w:snapToGrid w:val="0"/>
          <w:sz w:val="24"/>
          <w:szCs w:val="24"/>
          <w:lang w:val="es-ES_tradnl"/>
        </w:rPr>
      </w:pPr>
      <w:r w:rsidRPr="00113988">
        <w:rPr>
          <w:rFonts w:ascii="Times New Roman" w:eastAsia="Times New Roman" w:hAnsi="Times New Roman" w:cs="Times New Roman"/>
          <w:b/>
          <w:snapToGrid w:val="0"/>
          <w:sz w:val="24"/>
          <w:szCs w:val="24"/>
          <w:lang w:val="es-ES_tradnl"/>
        </w:rPr>
        <w:t>2.01</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snapToGrid w:val="0"/>
          <w:sz w:val="24"/>
          <w:szCs w:val="24"/>
          <w:lang w:val="es-ES_tradnl"/>
        </w:rPr>
        <w:t>Para alcanzar el objetivo indicado en el párrafo 1.01 y 1.02 anteriores, el Proyecto comprende los siguientes componentes:</w:t>
      </w:r>
    </w:p>
    <w:p w:rsidR="006D001B" w:rsidRDefault="006D001B">
      <w:pPr>
        <w:spacing w:after="0" w:line="240" w:lineRule="auto"/>
        <w:jc w:val="both"/>
        <w:rPr>
          <w:rFonts w:ascii="Times New Roman" w:eastAsia="Times New Roman" w:hAnsi="Times New Roman" w:cs="Times New Roman"/>
          <w:b/>
          <w:snapToGrid w:val="0"/>
          <w:sz w:val="24"/>
          <w:szCs w:val="24"/>
          <w:lang w:val="es-ES_tradnl"/>
        </w:rPr>
      </w:pPr>
    </w:p>
    <w:p w:rsidR="006D001B" w:rsidRDefault="006D001B">
      <w:pPr>
        <w:spacing w:after="0" w:line="240" w:lineRule="auto"/>
        <w:jc w:val="both"/>
        <w:rPr>
          <w:rFonts w:ascii="Times New Roman" w:eastAsia="Times New Roman" w:hAnsi="Times New Roman" w:cs="Times New Roman"/>
          <w:b/>
          <w:snapToGrid w:val="0"/>
          <w:sz w:val="24"/>
          <w:szCs w:val="24"/>
          <w:lang w:val="es-ES_tradnl"/>
        </w:rPr>
      </w:pPr>
      <w:r>
        <w:rPr>
          <w:rFonts w:ascii="Times New Roman" w:eastAsia="Times New Roman" w:hAnsi="Times New Roman" w:cs="Times New Roman"/>
          <w:b/>
          <w:snapToGrid w:val="0"/>
          <w:sz w:val="24"/>
          <w:szCs w:val="24"/>
          <w:lang w:val="es-ES_tradnl"/>
        </w:rPr>
        <w:br w:type="page"/>
      </w:r>
    </w:p>
    <w:p w:rsidR="00FF0D18" w:rsidRPr="00113988" w:rsidRDefault="00FF0D18" w:rsidP="00FF0D18">
      <w:pPr>
        <w:spacing w:after="0" w:line="240" w:lineRule="auto"/>
        <w:ind w:left="720" w:hanging="720"/>
        <w:jc w:val="both"/>
        <w:rPr>
          <w:rFonts w:ascii="Times New Roman" w:eastAsia="Times New Roman" w:hAnsi="Times New Roman" w:cs="Times New Roman"/>
          <w:b/>
          <w:snapToGrid w:val="0"/>
          <w:sz w:val="24"/>
          <w:szCs w:val="24"/>
          <w:lang w:val="es-ES_tradnl"/>
        </w:rPr>
      </w:pPr>
      <w:r w:rsidRPr="00113988">
        <w:rPr>
          <w:rFonts w:ascii="Times New Roman" w:eastAsia="Times New Roman" w:hAnsi="Times New Roman" w:cs="Times New Roman"/>
          <w:b/>
          <w:snapToGrid w:val="0"/>
          <w:sz w:val="24"/>
          <w:szCs w:val="24"/>
          <w:lang w:val="es-ES_tradnl"/>
        </w:rPr>
        <w:lastRenderedPageBreak/>
        <w:tab/>
        <w:t xml:space="preserve">Componente 1. Infraestructura </w:t>
      </w:r>
    </w:p>
    <w:p w:rsidR="00FF0D18" w:rsidRPr="00113988" w:rsidRDefault="00FF0D18" w:rsidP="00FF0D18">
      <w:pPr>
        <w:spacing w:after="0" w:line="240" w:lineRule="auto"/>
        <w:ind w:left="720" w:hanging="720"/>
        <w:jc w:val="both"/>
        <w:rPr>
          <w:rFonts w:ascii="Times New Roman" w:eastAsia="Times New Roman" w:hAnsi="Times New Roman" w:cs="Times New Roman"/>
          <w:b/>
          <w:snapToGrid w:val="0"/>
          <w:sz w:val="24"/>
          <w:szCs w:val="24"/>
          <w:lang w:val="es-ES_tradnl"/>
        </w:rPr>
      </w:pPr>
    </w:p>
    <w:p w:rsidR="006D001B" w:rsidRDefault="00FF0D18" w:rsidP="00FF0D18">
      <w:pPr>
        <w:spacing w:after="0" w:line="240" w:lineRule="auto"/>
        <w:ind w:left="720" w:hanging="720"/>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2.02</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snapToGrid w:val="0"/>
          <w:sz w:val="24"/>
          <w:szCs w:val="24"/>
          <w:lang w:val="es-ES_tradnl"/>
        </w:rPr>
        <w:t>Dicho componente financiará la ejecución de las siguientes actividades: (i) el mejoramiento y ampliación del tramo Taras – La Lima (3 km) en el co</w:t>
      </w:r>
      <w:r w:rsidR="008209FD">
        <w:rPr>
          <w:rFonts w:ascii="Times New Roman" w:eastAsia="Times New Roman" w:hAnsi="Times New Roman" w:cs="Times New Roman"/>
          <w:snapToGrid w:val="0"/>
          <w:sz w:val="24"/>
          <w:szCs w:val="24"/>
          <w:lang w:val="es-ES_tradnl"/>
        </w:rPr>
        <w:t xml:space="preserve">rredor San José – Cartago (Ruta </w:t>
      </w:r>
      <w:r w:rsidRPr="00113988">
        <w:rPr>
          <w:rFonts w:ascii="Times New Roman" w:eastAsia="Times New Roman" w:hAnsi="Times New Roman" w:cs="Times New Roman"/>
          <w:snapToGrid w:val="0"/>
          <w:sz w:val="24"/>
          <w:szCs w:val="24"/>
          <w:lang w:val="es-ES_tradnl"/>
        </w:rPr>
        <w:t>2), y 6 de las 17 Obras Impostergables (OBIS)</w:t>
      </w:r>
      <w:r w:rsidR="00B45652" w:rsidRPr="00B45652">
        <w:rPr>
          <w:rFonts w:ascii="Arial" w:eastAsia="Times New Roman" w:hAnsi="Arial" w:cs="Arial"/>
          <w:b/>
          <w:snapToGrid w:val="0"/>
          <w:sz w:val="20"/>
          <w:szCs w:val="20"/>
          <w:vertAlign w:val="superscript"/>
          <w:lang w:val="es-ES_tradnl"/>
        </w:rPr>
        <w:t>1</w:t>
      </w:r>
      <w:r w:rsidRPr="00113988">
        <w:rPr>
          <w:rFonts w:ascii="Times New Roman" w:eastAsia="Times New Roman" w:hAnsi="Times New Roman" w:cs="Times New Roman"/>
          <w:snapToGrid w:val="0"/>
          <w:sz w:val="24"/>
          <w:szCs w:val="24"/>
          <w:lang w:val="es-ES_tradnl"/>
        </w:rPr>
        <w:t xml:space="preserve"> en el corr</w:t>
      </w:r>
      <w:r w:rsidR="008209FD">
        <w:rPr>
          <w:rFonts w:ascii="Times New Roman" w:eastAsia="Times New Roman" w:hAnsi="Times New Roman" w:cs="Times New Roman"/>
          <w:snapToGrid w:val="0"/>
          <w:sz w:val="24"/>
          <w:szCs w:val="24"/>
          <w:lang w:val="es-ES_tradnl"/>
        </w:rPr>
        <w:t xml:space="preserve">edor San </w:t>
      </w:r>
    </w:p>
    <w:p w:rsidR="00FF0D18" w:rsidRPr="00113988" w:rsidRDefault="008209FD" w:rsidP="006D001B">
      <w:pPr>
        <w:spacing w:after="0" w:line="240" w:lineRule="auto"/>
        <w:ind w:left="720" w:hanging="11"/>
        <w:jc w:val="both"/>
        <w:rPr>
          <w:rFonts w:ascii="Times New Roman" w:eastAsia="Times New Roman" w:hAnsi="Times New Roman" w:cs="Times New Roman"/>
          <w:snapToGrid w:val="0"/>
          <w:sz w:val="24"/>
          <w:szCs w:val="24"/>
          <w:lang w:val="es-ES_tradnl"/>
        </w:rPr>
      </w:pPr>
      <w:r>
        <w:rPr>
          <w:rFonts w:ascii="Times New Roman" w:eastAsia="Times New Roman" w:hAnsi="Times New Roman" w:cs="Times New Roman"/>
          <w:snapToGrid w:val="0"/>
          <w:sz w:val="24"/>
          <w:szCs w:val="24"/>
          <w:lang w:val="es-ES_tradnl"/>
        </w:rPr>
        <w:t xml:space="preserve">José – San Ramón (Ruta </w:t>
      </w:r>
      <w:r w:rsidR="00FF0D18" w:rsidRPr="00113988">
        <w:rPr>
          <w:rFonts w:ascii="Times New Roman" w:eastAsia="Times New Roman" w:hAnsi="Times New Roman" w:cs="Times New Roman"/>
          <w:snapToGrid w:val="0"/>
          <w:sz w:val="24"/>
          <w:szCs w:val="24"/>
          <w:lang w:val="es-ES_tradnl"/>
        </w:rPr>
        <w:t>1)</w:t>
      </w:r>
      <w:r w:rsidR="006D001B" w:rsidRPr="006D001B">
        <w:rPr>
          <w:rFonts w:ascii="Times New Roman" w:eastAsia="Times New Roman" w:hAnsi="Times New Roman" w:cs="Times New Roman"/>
          <w:b/>
          <w:snapToGrid w:val="0"/>
          <w:sz w:val="20"/>
          <w:szCs w:val="24"/>
          <w:vertAlign w:val="superscript"/>
          <w:lang w:val="es-ES_tradnl"/>
        </w:rPr>
        <w:t>2</w:t>
      </w:r>
      <w:r w:rsidR="00FF0D18" w:rsidRPr="00113988">
        <w:rPr>
          <w:rFonts w:ascii="Times New Roman" w:eastAsia="Times New Roman" w:hAnsi="Times New Roman" w:cs="Times New Roman"/>
          <w:snapToGrid w:val="0"/>
          <w:sz w:val="24"/>
          <w:szCs w:val="24"/>
          <w:lang w:val="es-ES_tradnl"/>
        </w:rPr>
        <w:t>: puente Juan Pablo Segundo, radial río Virilla – rio Segundo, intercambio río Segundo, intercambio Grecia, intercambio Naranjo e intercambio San Ramón; (ii) la supervisión de las obras; (iii) la gestión predial, para lo cual se podrán hacer pagos anticipados hasta por un 30% del avalúo estimado de cada predio, con el fin facilitar la liberación del Derecho de Vía</w:t>
      </w:r>
      <w:r w:rsidR="006D001B" w:rsidRPr="006D001B">
        <w:rPr>
          <w:rFonts w:ascii="Arial" w:eastAsia="Times New Roman" w:hAnsi="Arial" w:cs="Arial"/>
          <w:b/>
          <w:snapToGrid w:val="0"/>
          <w:sz w:val="20"/>
          <w:szCs w:val="20"/>
          <w:vertAlign w:val="superscript"/>
          <w:lang w:val="es-ES_tradnl"/>
        </w:rPr>
        <w:t>3</w:t>
      </w:r>
      <w:r w:rsidR="00FF0D18" w:rsidRPr="00113988">
        <w:rPr>
          <w:rFonts w:ascii="Times New Roman" w:eastAsia="Times New Roman" w:hAnsi="Times New Roman" w:cs="Times New Roman"/>
          <w:snapToGrid w:val="0"/>
          <w:sz w:val="24"/>
          <w:szCs w:val="24"/>
          <w:lang w:val="es-ES_tradnl"/>
        </w:rPr>
        <w:t xml:space="preserve">; </w:t>
      </w:r>
      <w:r>
        <w:rPr>
          <w:rFonts w:ascii="Times New Roman" w:eastAsia="Times New Roman" w:hAnsi="Times New Roman" w:cs="Times New Roman"/>
          <w:snapToGrid w:val="0"/>
          <w:sz w:val="24"/>
          <w:szCs w:val="24"/>
          <w:lang w:val="es-ES_tradnl"/>
        </w:rPr>
        <w:t xml:space="preserve">y (iv) </w:t>
      </w:r>
      <w:r w:rsidR="00FF0D18" w:rsidRPr="00113988">
        <w:rPr>
          <w:rFonts w:ascii="Times New Roman" w:eastAsia="Times New Roman" w:hAnsi="Times New Roman" w:cs="Times New Roman"/>
          <w:snapToGrid w:val="0"/>
          <w:sz w:val="24"/>
          <w:szCs w:val="24"/>
          <w:lang w:val="es-ES_tradnl"/>
        </w:rPr>
        <w:t>estudios y/o diseños para la terminación de la nueva vía a San Carlos, que incluyan los Análisis de Riesgo de Desastre (ARD) y efectos de Cambio Climático (CC) para integrar en los parámetros d</w:t>
      </w:r>
      <w:r>
        <w:rPr>
          <w:rFonts w:ascii="Times New Roman" w:eastAsia="Times New Roman" w:hAnsi="Times New Roman" w:cs="Times New Roman"/>
          <w:snapToGrid w:val="0"/>
          <w:sz w:val="24"/>
          <w:szCs w:val="24"/>
          <w:lang w:val="es-ES_tradnl"/>
        </w:rPr>
        <w:t>e diseño y proveer resiliencia.</w:t>
      </w:r>
    </w:p>
    <w:p w:rsidR="00FF0D18" w:rsidRPr="00113988" w:rsidRDefault="00FF0D18" w:rsidP="00FF0D18">
      <w:pPr>
        <w:spacing w:after="0" w:line="240" w:lineRule="auto"/>
        <w:ind w:left="720" w:hanging="720"/>
        <w:jc w:val="both"/>
        <w:rPr>
          <w:rFonts w:ascii="Times New Roman" w:eastAsia="Times New Roman" w:hAnsi="Times New Roman" w:cs="Times New Roman"/>
          <w:b/>
          <w:snapToGrid w:val="0"/>
          <w:sz w:val="24"/>
          <w:szCs w:val="24"/>
          <w:lang w:val="es-ES_tradnl"/>
        </w:rPr>
      </w:pPr>
    </w:p>
    <w:p w:rsidR="00FF0D18" w:rsidRPr="00113988" w:rsidRDefault="00FF0D18" w:rsidP="00FF0D18">
      <w:pPr>
        <w:spacing w:after="0" w:line="240" w:lineRule="auto"/>
        <w:ind w:left="720" w:hanging="720"/>
        <w:jc w:val="both"/>
        <w:rPr>
          <w:rFonts w:ascii="Times New Roman" w:eastAsia="Times New Roman" w:hAnsi="Times New Roman" w:cs="Times New Roman"/>
          <w:bCs/>
          <w:snapToGrid w:val="0"/>
          <w:sz w:val="24"/>
          <w:szCs w:val="24"/>
          <w:lang w:val="es-ES_tradnl"/>
        </w:rPr>
      </w:pPr>
      <w:r w:rsidRPr="00113988">
        <w:rPr>
          <w:rFonts w:ascii="Times New Roman" w:eastAsia="Times New Roman" w:hAnsi="Times New Roman" w:cs="Times New Roman"/>
          <w:b/>
          <w:snapToGrid w:val="0"/>
          <w:sz w:val="24"/>
          <w:szCs w:val="24"/>
          <w:lang w:val="es-ES_tradnl"/>
        </w:rPr>
        <w:t>2.03</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bCs/>
          <w:snapToGrid w:val="0"/>
          <w:sz w:val="24"/>
          <w:szCs w:val="24"/>
          <w:lang w:val="es-ES_tradnl"/>
        </w:rPr>
        <w:t>Las ampliaciones de las obras viales privilegiarán el transporte público limpio sobre el transporte privado de combustión interna, a través de la implementación, donde sea factible, de carriles exclusivos sobre los cuales se desplazarán los vehículos de servicio público y vehículos privados eléctricos de forma prioritaria.</w:t>
      </w:r>
      <w:r w:rsidR="008209FD">
        <w:rPr>
          <w:rFonts w:ascii="Times New Roman" w:eastAsia="Times New Roman" w:hAnsi="Times New Roman" w:cs="Times New Roman"/>
          <w:bCs/>
          <w:snapToGrid w:val="0"/>
          <w:sz w:val="24"/>
          <w:szCs w:val="24"/>
          <w:lang w:val="es-ES_tradnl"/>
        </w:rPr>
        <w:t xml:space="preserve"> </w:t>
      </w:r>
      <w:r w:rsidRPr="00113988">
        <w:rPr>
          <w:rFonts w:ascii="Times New Roman" w:eastAsia="Times New Roman" w:hAnsi="Times New Roman" w:cs="Times New Roman"/>
          <w:bCs/>
          <w:snapToGrid w:val="0"/>
          <w:sz w:val="24"/>
          <w:szCs w:val="24"/>
          <w:lang w:val="es-ES_tradnl"/>
        </w:rPr>
        <w:t xml:space="preserve"> Las ampliaciones están, además, diseñadas en cumplimiento de toda la normativa de seguridad vial y serán construidas para ser acompañadas de obras urbanas complementarias que faciliten la intermodalidad con modos no motorizados y la accesibilidad a personas con discapacidad.</w:t>
      </w:r>
    </w:p>
    <w:p w:rsidR="00FF0D18" w:rsidRPr="00113988" w:rsidRDefault="00FF0D18" w:rsidP="00FF0D18">
      <w:pPr>
        <w:spacing w:after="0" w:line="240" w:lineRule="auto"/>
        <w:ind w:left="720" w:hanging="720"/>
        <w:jc w:val="both"/>
        <w:rPr>
          <w:rFonts w:ascii="Times New Roman" w:eastAsia="Times New Roman" w:hAnsi="Times New Roman" w:cs="Times New Roman"/>
          <w:snapToGrid w:val="0"/>
          <w:sz w:val="24"/>
          <w:szCs w:val="24"/>
          <w:lang w:val="es-ES_tradnl"/>
        </w:rPr>
      </w:pPr>
    </w:p>
    <w:p w:rsidR="00FF0D18" w:rsidRPr="00113988" w:rsidRDefault="00FF0D18" w:rsidP="00FF0D18">
      <w:pPr>
        <w:spacing w:after="0" w:line="240" w:lineRule="auto"/>
        <w:ind w:firstLine="720"/>
        <w:jc w:val="both"/>
        <w:rPr>
          <w:rFonts w:ascii="Times New Roman" w:eastAsia="Times New Roman" w:hAnsi="Times New Roman" w:cs="Times New Roman"/>
          <w:b/>
          <w:snapToGrid w:val="0"/>
          <w:sz w:val="24"/>
          <w:szCs w:val="24"/>
          <w:lang w:val="es-ES_tradnl"/>
        </w:rPr>
      </w:pPr>
      <w:r w:rsidRPr="00113988">
        <w:rPr>
          <w:rFonts w:ascii="Times New Roman" w:eastAsia="Times New Roman" w:hAnsi="Times New Roman" w:cs="Times New Roman"/>
          <w:b/>
          <w:snapToGrid w:val="0"/>
          <w:sz w:val="24"/>
          <w:szCs w:val="24"/>
          <w:lang w:val="es-ES_tradnl"/>
        </w:rPr>
        <w:t>Componente 2.  Desarrollo de capacidades institucionales</w:t>
      </w:r>
    </w:p>
    <w:p w:rsidR="00FF0D18" w:rsidRPr="00113988" w:rsidRDefault="00FF0D18" w:rsidP="00FF0D18">
      <w:pPr>
        <w:spacing w:after="0" w:line="240" w:lineRule="auto"/>
        <w:ind w:firstLine="720"/>
        <w:jc w:val="both"/>
        <w:rPr>
          <w:rFonts w:ascii="Times New Roman" w:eastAsia="Times New Roman" w:hAnsi="Times New Roman" w:cs="Times New Roman"/>
          <w:b/>
          <w:snapToGrid w:val="0"/>
          <w:sz w:val="24"/>
          <w:szCs w:val="24"/>
          <w:lang w:val="es-ES_tradnl"/>
        </w:rPr>
      </w:pPr>
    </w:p>
    <w:p w:rsidR="00FF0D18" w:rsidRPr="00113988" w:rsidRDefault="00FF0D18" w:rsidP="00FF0D18">
      <w:pPr>
        <w:spacing w:after="0" w:line="240" w:lineRule="auto"/>
        <w:ind w:left="720" w:hanging="720"/>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2.04</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snapToGrid w:val="0"/>
          <w:sz w:val="24"/>
          <w:szCs w:val="24"/>
          <w:lang w:val="es-ES_tradnl"/>
        </w:rPr>
        <w:t>Este Componente consta, a su vez, de dos subcomponentes:</w:t>
      </w:r>
    </w:p>
    <w:p w:rsidR="00FF0D18" w:rsidRPr="00113988" w:rsidRDefault="00FF0D18" w:rsidP="00FF0D18">
      <w:pPr>
        <w:spacing w:after="0" w:line="240" w:lineRule="auto"/>
        <w:ind w:left="720" w:hanging="720"/>
        <w:jc w:val="both"/>
        <w:rPr>
          <w:rFonts w:ascii="Times New Roman" w:eastAsia="Times New Roman" w:hAnsi="Times New Roman" w:cs="Times New Roman"/>
          <w:snapToGrid w:val="0"/>
          <w:sz w:val="24"/>
          <w:szCs w:val="24"/>
          <w:lang w:val="es-ES_tradnl"/>
        </w:rPr>
      </w:pPr>
    </w:p>
    <w:p w:rsidR="00FF0D18" w:rsidRPr="00113988" w:rsidRDefault="00FF0D18" w:rsidP="00FF0D18">
      <w:pPr>
        <w:widowControl w:val="0"/>
        <w:numPr>
          <w:ilvl w:val="0"/>
          <w:numId w:val="27"/>
        </w:numPr>
        <w:spacing w:after="0" w:line="240" w:lineRule="auto"/>
        <w:contextualSpacing/>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i/>
          <w:snapToGrid w:val="0"/>
          <w:sz w:val="24"/>
          <w:szCs w:val="24"/>
          <w:lang w:val="es-ES_tradnl"/>
        </w:rPr>
        <w:t>Subcomponente de APP:</w:t>
      </w:r>
      <w:r w:rsidRPr="00113988">
        <w:rPr>
          <w:rFonts w:ascii="Times New Roman" w:eastAsia="Times New Roman" w:hAnsi="Times New Roman" w:cs="Times New Roman"/>
          <w:iCs/>
          <w:snapToGrid w:val="0"/>
          <w:sz w:val="24"/>
          <w:szCs w:val="24"/>
          <w:lang w:val="es-ES_tradnl"/>
        </w:rPr>
        <w:t xml:space="preserve"> Este subcomponente financiará actividades de fortalecimiento técnico e institucional del Consejo Nacional de Concesiones (CNC), del Ministerio de Obras Públicas y Transporte (MOPT) y del Ministerio de Hacienda, para gestionar proyectos de APP, incluye: asistencia para el desarrollo de al menos dos APP viales durante su ciclo de vida, complementada con el desarrollo de estudios, modelos, evaluaciones, promoción de proyectos, guías y capacitaciones, realizadas bajo la estrategia de aprender haciendo.</w:t>
      </w:r>
    </w:p>
    <w:p w:rsidR="00FF0D18" w:rsidRDefault="00FF0D18" w:rsidP="00FF0D18">
      <w:pPr>
        <w:spacing w:after="0" w:line="240" w:lineRule="auto"/>
        <w:ind w:left="1440"/>
        <w:contextualSpacing/>
        <w:jc w:val="both"/>
        <w:rPr>
          <w:rFonts w:ascii="Times New Roman" w:eastAsia="Times New Roman" w:hAnsi="Times New Roman" w:cs="Times New Roman"/>
          <w:snapToGrid w:val="0"/>
          <w:sz w:val="24"/>
          <w:szCs w:val="24"/>
          <w:lang w:val="es-ES_tradnl"/>
        </w:rPr>
      </w:pPr>
    </w:p>
    <w:p w:rsidR="006D001B" w:rsidRDefault="006D001B" w:rsidP="006D001B">
      <w:pPr>
        <w:spacing w:after="0" w:line="240" w:lineRule="auto"/>
        <w:contextualSpacing/>
        <w:jc w:val="both"/>
        <w:rPr>
          <w:rFonts w:ascii="Times New Roman" w:eastAsia="Times New Roman" w:hAnsi="Times New Roman" w:cs="Times New Roman"/>
          <w:snapToGrid w:val="0"/>
          <w:sz w:val="24"/>
          <w:szCs w:val="24"/>
          <w:lang w:val="es-ES_tradnl"/>
        </w:rPr>
      </w:pPr>
    </w:p>
    <w:p w:rsidR="008304B9" w:rsidRDefault="008304B9" w:rsidP="006D001B">
      <w:pPr>
        <w:spacing w:after="0" w:line="240" w:lineRule="auto"/>
        <w:contextualSpacing/>
        <w:jc w:val="both"/>
        <w:rPr>
          <w:rFonts w:ascii="Times New Roman" w:eastAsia="Times New Roman" w:hAnsi="Times New Roman" w:cs="Times New Roman"/>
          <w:snapToGrid w:val="0"/>
          <w:sz w:val="24"/>
          <w:szCs w:val="24"/>
          <w:lang w:val="es-ES_tradnl"/>
        </w:rPr>
      </w:pPr>
    </w:p>
    <w:p w:rsidR="008304B9" w:rsidRDefault="008304B9" w:rsidP="006D001B">
      <w:pPr>
        <w:spacing w:after="0" w:line="240" w:lineRule="auto"/>
        <w:contextualSpacing/>
        <w:jc w:val="both"/>
        <w:rPr>
          <w:rFonts w:ascii="Times New Roman" w:eastAsia="Times New Roman" w:hAnsi="Times New Roman" w:cs="Times New Roman"/>
          <w:snapToGrid w:val="0"/>
          <w:sz w:val="24"/>
          <w:szCs w:val="24"/>
          <w:lang w:val="es-ES_tradnl"/>
        </w:rPr>
      </w:pPr>
      <w:r>
        <w:rPr>
          <w:rFonts w:ascii="Times New Roman" w:eastAsia="Times New Roman" w:hAnsi="Times New Roman" w:cs="Times New Roman"/>
          <w:snapToGrid w:val="0"/>
          <w:sz w:val="24"/>
          <w:szCs w:val="24"/>
          <w:lang w:val="es-ES_tradnl"/>
        </w:rPr>
        <w:t>_______________________________</w:t>
      </w:r>
    </w:p>
    <w:p w:rsidR="008304B9" w:rsidRDefault="008304B9" w:rsidP="006D001B">
      <w:pPr>
        <w:spacing w:after="0" w:line="240" w:lineRule="auto"/>
        <w:contextualSpacing/>
        <w:jc w:val="both"/>
        <w:rPr>
          <w:rFonts w:ascii="Times New Roman" w:eastAsia="Times New Roman" w:hAnsi="Times New Roman" w:cs="Times New Roman"/>
          <w:snapToGrid w:val="0"/>
          <w:sz w:val="24"/>
          <w:szCs w:val="24"/>
          <w:lang w:val="es-ES_tradnl"/>
        </w:rPr>
      </w:pPr>
    </w:p>
    <w:p w:rsidR="006D001B" w:rsidRPr="008304B9" w:rsidRDefault="006D001B" w:rsidP="008304B9">
      <w:pPr>
        <w:pStyle w:val="Prrafodelista"/>
        <w:numPr>
          <w:ilvl w:val="0"/>
          <w:numId w:val="45"/>
        </w:numPr>
        <w:ind w:left="0" w:firstLine="0"/>
        <w:jc w:val="both"/>
        <w:rPr>
          <w:rFonts w:ascii="Arial" w:hAnsi="Arial" w:cs="Arial"/>
          <w:snapToGrid w:val="0"/>
          <w:sz w:val="18"/>
          <w:szCs w:val="18"/>
          <w:lang w:val="es-ES_tradnl"/>
        </w:rPr>
      </w:pPr>
      <w:r w:rsidRPr="008304B9">
        <w:rPr>
          <w:rFonts w:ascii="Arial" w:hAnsi="Arial" w:cs="Arial"/>
          <w:snapToGrid w:val="0"/>
          <w:sz w:val="18"/>
          <w:szCs w:val="18"/>
          <w:lang w:val="es-ES_tradnl"/>
        </w:rPr>
        <w:t>Las OBIS son obras identificadas como prioritarias por el MPOT sobre la Ruta 1.</w:t>
      </w:r>
    </w:p>
    <w:p w:rsidR="006D001B" w:rsidRPr="008304B9" w:rsidRDefault="006D001B" w:rsidP="008304B9">
      <w:pPr>
        <w:pStyle w:val="Prrafodelista"/>
        <w:numPr>
          <w:ilvl w:val="0"/>
          <w:numId w:val="45"/>
        </w:numPr>
        <w:ind w:left="0" w:firstLine="0"/>
        <w:jc w:val="both"/>
        <w:rPr>
          <w:rFonts w:ascii="Arial" w:hAnsi="Arial" w:cs="Arial"/>
          <w:snapToGrid w:val="0"/>
          <w:sz w:val="18"/>
          <w:szCs w:val="18"/>
          <w:lang w:val="es-ES_tradnl"/>
        </w:rPr>
      </w:pPr>
      <w:r w:rsidRPr="008304B9">
        <w:rPr>
          <w:rFonts w:ascii="Arial" w:hAnsi="Arial" w:cs="Arial"/>
          <w:snapToGrid w:val="0"/>
          <w:sz w:val="18"/>
          <w:szCs w:val="18"/>
          <w:lang w:val="es-ES_tradnl"/>
        </w:rPr>
        <w:t>El resto de las OBIS cuentan con recursos dentro del fideicomiso, los cuales serán aportados como contrapartida.</w:t>
      </w:r>
    </w:p>
    <w:p w:rsidR="006D001B" w:rsidRPr="008304B9" w:rsidRDefault="006D001B" w:rsidP="008304B9">
      <w:pPr>
        <w:pStyle w:val="Prrafodelista"/>
        <w:numPr>
          <w:ilvl w:val="0"/>
          <w:numId w:val="45"/>
        </w:numPr>
        <w:ind w:left="0" w:firstLine="0"/>
        <w:jc w:val="both"/>
        <w:rPr>
          <w:rFonts w:ascii="Arial" w:hAnsi="Arial" w:cs="Arial"/>
          <w:snapToGrid w:val="0"/>
          <w:sz w:val="18"/>
          <w:szCs w:val="18"/>
          <w:lang w:val="es-ES_tradnl"/>
        </w:rPr>
      </w:pPr>
      <w:r w:rsidRPr="008304B9">
        <w:rPr>
          <w:rFonts w:ascii="Arial" w:hAnsi="Arial" w:cs="Arial"/>
          <w:snapToGrid w:val="0"/>
          <w:sz w:val="18"/>
          <w:szCs w:val="18"/>
          <w:lang w:val="es-ES_tradnl"/>
        </w:rPr>
        <w:t>Se estima necesaria la adquisición de 37 predios para el tramo Taras-La Lima y 22 predios para todas las OBIS</w:t>
      </w:r>
      <w:r w:rsidR="008304B9" w:rsidRPr="008304B9">
        <w:rPr>
          <w:rFonts w:ascii="Arial" w:hAnsi="Arial" w:cs="Arial"/>
          <w:snapToGrid w:val="0"/>
          <w:sz w:val="18"/>
          <w:szCs w:val="18"/>
          <w:lang w:val="es-ES_tradnl"/>
        </w:rPr>
        <w:t>.</w:t>
      </w:r>
    </w:p>
    <w:p w:rsidR="006D001B" w:rsidRPr="008304B9" w:rsidRDefault="006D001B" w:rsidP="00FF0D18">
      <w:pPr>
        <w:spacing w:after="0" w:line="240" w:lineRule="auto"/>
        <w:ind w:left="1440"/>
        <w:contextualSpacing/>
        <w:jc w:val="both"/>
        <w:rPr>
          <w:rFonts w:ascii="Times New Roman" w:eastAsia="Times New Roman" w:hAnsi="Times New Roman" w:cs="Times New Roman"/>
          <w:snapToGrid w:val="0"/>
          <w:sz w:val="18"/>
          <w:szCs w:val="18"/>
          <w:lang w:val="es-ES_tradnl"/>
        </w:rPr>
      </w:pPr>
    </w:p>
    <w:p w:rsidR="006D001B" w:rsidRDefault="006D001B" w:rsidP="00FF0D18">
      <w:pPr>
        <w:spacing w:after="0" w:line="240" w:lineRule="auto"/>
        <w:ind w:left="1440"/>
        <w:contextualSpacing/>
        <w:jc w:val="both"/>
        <w:rPr>
          <w:rFonts w:ascii="Times New Roman" w:eastAsia="Times New Roman" w:hAnsi="Times New Roman" w:cs="Times New Roman"/>
          <w:snapToGrid w:val="0"/>
          <w:sz w:val="24"/>
          <w:szCs w:val="24"/>
          <w:lang w:val="es-ES_tradnl"/>
        </w:rPr>
      </w:pPr>
    </w:p>
    <w:p w:rsidR="006D001B" w:rsidRDefault="006D001B" w:rsidP="00FF0D18">
      <w:pPr>
        <w:spacing w:after="0" w:line="240" w:lineRule="auto"/>
        <w:ind w:left="1440"/>
        <w:contextualSpacing/>
        <w:jc w:val="both"/>
        <w:rPr>
          <w:rFonts w:ascii="Times New Roman" w:eastAsia="Times New Roman" w:hAnsi="Times New Roman" w:cs="Times New Roman"/>
          <w:snapToGrid w:val="0"/>
          <w:sz w:val="24"/>
          <w:szCs w:val="24"/>
          <w:lang w:val="es-ES_tradnl"/>
        </w:rPr>
      </w:pPr>
    </w:p>
    <w:p w:rsidR="00FF0D18" w:rsidRPr="00113988" w:rsidRDefault="00FF0D18" w:rsidP="00FF0D18">
      <w:pPr>
        <w:widowControl w:val="0"/>
        <w:numPr>
          <w:ilvl w:val="0"/>
          <w:numId w:val="27"/>
        </w:numPr>
        <w:spacing w:after="0" w:line="240" w:lineRule="auto"/>
        <w:contextualSpacing/>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i/>
          <w:snapToGrid w:val="0"/>
          <w:sz w:val="24"/>
          <w:szCs w:val="24"/>
          <w:lang w:val="es-ES_tradnl"/>
        </w:rPr>
        <w:lastRenderedPageBreak/>
        <w:t>Subcomponente de innovación, sostenibilidad y género</w:t>
      </w:r>
      <w:r w:rsidRPr="00113988">
        <w:rPr>
          <w:rFonts w:ascii="Times New Roman" w:eastAsia="Times New Roman" w:hAnsi="Times New Roman" w:cs="Times New Roman"/>
          <w:i/>
          <w:iCs/>
          <w:snapToGrid w:val="0"/>
          <w:sz w:val="24"/>
          <w:szCs w:val="24"/>
          <w:lang w:val="es-ES_tradnl"/>
        </w:rPr>
        <w:t>:</w:t>
      </w:r>
      <w:r w:rsidRPr="00113988">
        <w:rPr>
          <w:rFonts w:ascii="Times New Roman" w:eastAsia="Times New Roman" w:hAnsi="Times New Roman" w:cs="Times New Roman"/>
          <w:iCs/>
          <w:snapToGrid w:val="0"/>
          <w:sz w:val="24"/>
          <w:szCs w:val="24"/>
          <w:lang w:val="es-ES_tradnl"/>
        </w:rPr>
        <w:t xml:space="preserve"> Este subcomponente financiará: (a) el diseño final de obras urbanas complementarias a la vialidad, correspondientes al parque metropolitano de Alajuela, parque lineal de Taras-La Lima y el circuito recreativo</w:t>
      </w:r>
      <w:r w:rsidR="00E26CA9">
        <w:rPr>
          <w:rFonts w:ascii="Times New Roman" w:eastAsia="Times New Roman" w:hAnsi="Times New Roman" w:cs="Times New Roman"/>
          <w:iCs/>
          <w:snapToGrid w:val="0"/>
          <w:sz w:val="24"/>
          <w:szCs w:val="24"/>
          <w:lang w:val="es-ES_tradnl"/>
        </w:rPr>
        <w:t xml:space="preserve"> de occidente en San Ramón; (b) </w:t>
      </w:r>
      <w:r w:rsidRPr="00113988">
        <w:rPr>
          <w:rFonts w:ascii="Times New Roman" w:eastAsia="Times New Roman" w:hAnsi="Times New Roman" w:cs="Times New Roman"/>
          <w:iCs/>
          <w:snapToGrid w:val="0"/>
          <w:sz w:val="24"/>
          <w:szCs w:val="24"/>
          <w:lang w:val="es-ES_tradnl"/>
        </w:rPr>
        <w:t xml:space="preserve">apoyo a la </w:t>
      </w:r>
      <w:r w:rsidRPr="00113988">
        <w:rPr>
          <w:rFonts w:ascii="Times New Roman" w:eastAsia="Times New Roman" w:hAnsi="Times New Roman" w:cs="Times New Roman"/>
          <w:snapToGrid w:val="0"/>
          <w:sz w:val="24"/>
          <w:szCs w:val="24"/>
          <w:lang w:val="es-ES_tradnl"/>
        </w:rPr>
        <w:t>implementación del modelo de negocio para buses eléctricos de transporte público; y (c) apoyo al fortalecimiento de la equidad de género y personas con discapacidad:</w:t>
      </w:r>
      <w:bookmarkStart w:id="33" w:name="_Hlk17028212"/>
      <w:r w:rsidRPr="00113988">
        <w:rPr>
          <w:rFonts w:ascii="Times New Roman" w:eastAsia="Times New Roman" w:hAnsi="Times New Roman" w:cs="Times New Roman"/>
          <w:snapToGrid w:val="0"/>
          <w:sz w:val="24"/>
          <w:szCs w:val="24"/>
          <w:lang w:val="es-ES_tradnl"/>
        </w:rPr>
        <w:t xml:space="preserve"> </w:t>
      </w:r>
      <w:bookmarkStart w:id="34" w:name="_Hlk17014995"/>
      <w:r w:rsidRPr="00113988">
        <w:rPr>
          <w:rFonts w:ascii="Times New Roman" w:eastAsia="Times New Roman" w:hAnsi="Times New Roman" w:cs="Times New Roman"/>
          <w:snapToGrid w:val="0"/>
          <w:sz w:val="24"/>
          <w:szCs w:val="24"/>
          <w:lang w:val="es-ES_tradnl"/>
        </w:rPr>
        <w:t xml:space="preserve">mediante la actualización de la política de género y de planes de acción que incluyan formación y desarrollo de capacidades en el MOPT y el CNC, y mediante la </w:t>
      </w:r>
      <w:bookmarkEnd w:id="34"/>
      <w:r w:rsidRPr="00113988">
        <w:rPr>
          <w:rFonts w:ascii="Times New Roman" w:eastAsia="Times New Roman" w:hAnsi="Times New Roman" w:cs="Times New Roman"/>
          <w:snapToGrid w:val="0"/>
          <w:sz w:val="24"/>
          <w:szCs w:val="24"/>
          <w:lang w:val="es-ES_tradnl"/>
        </w:rPr>
        <w:t>incorporación en las obras viales de elementos modernos que faciliten el acceso a las personas con discapacidad y el apoyo a oportunidades laborales en el sector transporte.</w:t>
      </w:r>
      <w:bookmarkEnd w:id="33"/>
    </w:p>
    <w:p w:rsidR="00FF0D18" w:rsidRPr="0011398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spacing w:after="0" w:line="240" w:lineRule="auto"/>
        <w:ind w:left="720" w:hanging="720"/>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bCs/>
          <w:snapToGrid w:val="0"/>
          <w:sz w:val="24"/>
          <w:szCs w:val="24"/>
          <w:lang w:val="es-ES_tradnl"/>
        </w:rPr>
        <w:t>2.05</w:t>
      </w:r>
      <w:r w:rsidRPr="00113988">
        <w:rPr>
          <w:rFonts w:ascii="Times New Roman" w:eastAsia="Times New Roman" w:hAnsi="Times New Roman" w:cs="Times New Roman"/>
          <w:b/>
          <w:bCs/>
          <w:snapToGrid w:val="0"/>
          <w:sz w:val="24"/>
          <w:szCs w:val="24"/>
          <w:lang w:val="es-ES_tradnl"/>
        </w:rPr>
        <w:tab/>
        <w:t>Administración, gestión y auditoría.</w:t>
      </w:r>
      <w:r w:rsidRPr="00113988">
        <w:rPr>
          <w:rFonts w:ascii="Times New Roman" w:eastAsia="Times New Roman" w:hAnsi="Times New Roman" w:cs="Times New Roman"/>
          <w:snapToGrid w:val="0"/>
          <w:sz w:val="24"/>
          <w:szCs w:val="24"/>
          <w:lang w:val="es-ES_tradnl"/>
        </w:rPr>
        <w:t xml:space="preserve"> Dentro de este rubro se financiará la gestión fiduciaria y la gestión técnica, así como las auditorías del Programa.</w:t>
      </w:r>
    </w:p>
    <w:p w:rsidR="00FF0D18" w:rsidRPr="00113988" w:rsidRDefault="00FF0D18" w:rsidP="00FF0D18">
      <w:pPr>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keepNext/>
        <w:keepLines/>
        <w:spacing w:after="0" w:line="240" w:lineRule="auto"/>
        <w:ind w:left="720" w:hanging="720"/>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lastRenderedPageBreak/>
        <w:t>III.</w:t>
      </w:r>
      <w:r w:rsidRPr="00113988">
        <w:rPr>
          <w:rFonts w:ascii="Times New Roman" w:eastAsia="Times New Roman" w:hAnsi="Times New Roman" w:cs="Times New Roman"/>
          <w:b/>
          <w:snapToGrid w:val="0"/>
          <w:sz w:val="24"/>
          <w:szCs w:val="24"/>
          <w:lang w:val="es-ES_tradnl"/>
        </w:rPr>
        <w:tab/>
      </w:r>
      <w:r w:rsidRPr="00113988">
        <w:rPr>
          <w:rFonts w:ascii="Times New Roman" w:eastAsia="Times New Roman" w:hAnsi="Times New Roman" w:cs="Times New Roman"/>
          <w:b/>
          <w:snapToGrid w:val="0"/>
          <w:sz w:val="24"/>
          <w:szCs w:val="24"/>
          <w:u w:val="single"/>
          <w:lang w:val="es-ES_tradnl"/>
        </w:rPr>
        <w:t>Plan de financiamiento</w:t>
      </w:r>
    </w:p>
    <w:p w:rsidR="00FF0D18" w:rsidRPr="00113988" w:rsidRDefault="00FF0D18" w:rsidP="00FF0D18">
      <w:pPr>
        <w:keepNext/>
        <w:keepLines/>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keepNext/>
        <w:keepLines/>
        <w:spacing w:after="0" w:line="240" w:lineRule="auto"/>
        <w:ind w:left="720" w:hanging="720"/>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3.01</w:t>
      </w:r>
      <w:r w:rsidRPr="00113988">
        <w:rPr>
          <w:rFonts w:ascii="Times New Roman" w:eastAsia="Times New Roman" w:hAnsi="Times New Roman" w:cs="Times New Roman"/>
          <w:snapToGrid w:val="0"/>
          <w:sz w:val="24"/>
          <w:szCs w:val="24"/>
          <w:lang w:val="es-ES_tradnl"/>
        </w:rPr>
        <w:tab/>
        <w:t>La distribución de los recursos del Préstamo y de los recursos del Aporte Local se resume en el cuadro siguiente:</w:t>
      </w:r>
    </w:p>
    <w:p w:rsidR="00FF0D18" w:rsidRPr="00113988" w:rsidRDefault="00FF0D18" w:rsidP="00FF0D18">
      <w:pPr>
        <w:keepNext/>
        <w:keepLines/>
        <w:spacing w:after="0" w:line="240" w:lineRule="auto"/>
        <w:rPr>
          <w:rFonts w:ascii="Times New Roman" w:eastAsia="Times New Roman" w:hAnsi="Times New Roman" w:cs="Times New Roman"/>
          <w:snapToGrid w:val="0"/>
          <w:sz w:val="24"/>
          <w:szCs w:val="24"/>
          <w:lang w:val="es-ES_tradnl"/>
        </w:rPr>
      </w:pPr>
    </w:p>
    <w:p w:rsidR="00FF0D18" w:rsidRPr="00113988" w:rsidRDefault="00FF0D18" w:rsidP="00FF0D18">
      <w:pPr>
        <w:keepNext/>
        <w:keepLines/>
        <w:spacing w:after="0" w:line="240" w:lineRule="auto"/>
        <w:jc w:val="center"/>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u w:val="single"/>
          <w:lang w:val="es-ES_tradnl"/>
        </w:rPr>
        <w:t>Costo y financiamiento</w:t>
      </w:r>
    </w:p>
    <w:p w:rsidR="00FF0D18" w:rsidRPr="00113988" w:rsidRDefault="00FF0D18" w:rsidP="00FF0D18">
      <w:pPr>
        <w:keepNext/>
        <w:keepLines/>
        <w:spacing w:after="0" w:line="240" w:lineRule="auto"/>
        <w:jc w:val="center"/>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snapToGrid w:val="0"/>
          <w:sz w:val="24"/>
          <w:szCs w:val="24"/>
          <w:lang w:val="es-ES_tradnl"/>
        </w:rPr>
        <w:t>(en US$ millones)</w:t>
      </w:r>
    </w:p>
    <w:p w:rsidR="00FF0D18" w:rsidRPr="00113988" w:rsidRDefault="00FF0D18" w:rsidP="00FF0D18">
      <w:pPr>
        <w:keepNext/>
        <w:keepLines/>
        <w:spacing w:after="0" w:line="240" w:lineRule="auto"/>
        <w:jc w:val="both"/>
        <w:rPr>
          <w:rFonts w:ascii="Times New Roman" w:eastAsia="Times New Roman" w:hAnsi="Times New Roman" w:cs="Times New Roman"/>
          <w:snapToGrid w:val="0"/>
          <w:sz w:val="24"/>
          <w:szCs w:val="24"/>
          <w:lang w:val="es-ES_tradnl"/>
        </w:rPr>
      </w:pPr>
    </w:p>
    <w:tbl>
      <w:tblPr>
        <w:tblW w:w="8995" w:type="dxa"/>
        <w:jc w:val="right"/>
        <w:tblLook w:val="04A0" w:firstRow="1" w:lastRow="0" w:firstColumn="1" w:lastColumn="0" w:noHBand="0" w:noVBand="1"/>
      </w:tblPr>
      <w:tblGrid>
        <w:gridCol w:w="2880"/>
        <w:gridCol w:w="2340"/>
        <w:gridCol w:w="1620"/>
        <w:gridCol w:w="2155"/>
      </w:tblGrid>
      <w:tr w:rsidR="00FF0D18" w:rsidRPr="00113988" w:rsidTr="00FF0D18">
        <w:trPr>
          <w:trHeight w:val="458"/>
          <w:jc w:val="right"/>
        </w:trPr>
        <w:tc>
          <w:tcPr>
            <w:tcW w:w="28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sz w:val="20"/>
                <w:szCs w:val="20"/>
                <w:lang w:val="es-ES_tradnl"/>
              </w:rPr>
            </w:pPr>
            <w:r w:rsidRPr="00113988">
              <w:rPr>
                <w:rFonts w:ascii="Times New Roman" w:eastAsia="Times New Roman" w:hAnsi="Times New Roman" w:cs="Times New Roman"/>
                <w:b/>
                <w:snapToGrid w:val="0"/>
                <w:sz w:val="20"/>
                <w:szCs w:val="20"/>
                <w:lang w:val="es-ES_tradnl"/>
              </w:rPr>
              <w:t>Componentes</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sz w:val="20"/>
                <w:szCs w:val="20"/>
                <w:lang w:val="es-ES_tradnl"/>
              </w:rPr>
            </w:pPr>
            <w:r w:rsidRPr="00113988">
              <w:rPr>
                <w:rFonts w:ascii="Times New Roman" w:eastAsia="Times New Roman" w:hAnsi="Times New Roman" w:cs="Times New Roman"/>
                <w:b/>
                <w:snapToGrid w:val="0"/>
                <w:sz w:val="20"/>
                <w:szCs w:val="20"/>
                <w:lang w:val="es-ES_tradnl"/>
              </w:rPr>
              <w:t xml:space="preserve">Banco </w:t>
            </w:r>
          </w:p>
        </w:tc>
        <w:tc>
          <w:tcPr>
            <w:tcW w:w="1620" w:type="dxa"/>
            <w:tcBorders>
              <w:top w:val="single" w:sz="4" w:space="0" w:color="auto"/>
              <w:left w:val="nil"/>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sz w:val="20"/>
                <w:szCs w:val="20"/>
                <w:lang w:val="es-ES_tradnl"/>
              </w:rPr>
            </w:pPr>
            <w:r w:rsidRPr="00113988">
              <w:rPr>
                <w:rFonts w:ascii="Times New Roman" w:eastAsia="Times New Roman" w:hAnsi="Times New Roman" w:cs="Times New Roman"/>
                <w:b/>
                <w:snapToGrid w:val="0"/>
                <w:sz w:val="20"/>
                <w:szCs w:val="20"/>
                <w:lang w:val="es-ES_tradnl"/>
              </w:rPr>
              <w:t>Aporte Local</w:t>
            </w:r>
          </w:p>
        </w:tc>
        <w:tc>
          <w:tcPr>
            <w:tcW w:w="2155" w:type="dxa"/>
            <w:tcBorders>
              <w:top w:val="single" w:sz="4" w:space="0" w:color="auto"/>
              <w:left w:val="nil"/>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sz w:val="20"/>
                <w:szCs w:val="20"/>
                <w:lang w:val="es-ES_tradnl"/>
              </w:rPr>
            </w:pPr>
            <w:r w:rsidRPr="00113988">
              <w:rPr>
                <w:rFonts w:ascii="Times New Roman" w:eastAsia="Times New Roman" w:hAnsi="Times New Roman" w:cs="Times New Roman"/>
                <w:b/>
                <w:snapToGrid w:val="0"/>
                <w:sz w:val="20"/>
                <w:szCs w:val="20"/>
                <w:lang w:val="es-ES_tradnl"/>
              </w:rPr>
              <w:t>Total</w:t>
            </w:r>
          </w:p>
        </w:tc>
      </w:tr>
      <w:tr w:rsidR="00FF0D18" w:rsidRPr="00113988" w:rsidTr="00FF0D18">
        <w:trPr>
          <w:trHeight w:val="350"/>
          <w:jc w:val="right"/>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FF0D18" w:rsidRPr="00113988" w:rsidRDefault="00FF0D18" w:rsidP="00FF0D18">
            <w:pPr>
              <w:keepNext/>
              <w:keepLines/>
              <w:spacing w:after="0" w:line="240" w:lineRule="auto"/>
              <w:ind w:left="763" w:hanging="720"/>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Componente 1. Infraestructura</w:t>
            </w:r>
          </w:p>
        </w:tc>
        <w:tc>
          <w:tcPr>
            <w:tcW w:w="2340"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119</w:t>
            </w:r>
          </w:p>
        </w:tc>
        <w:tc>
          <w:tcPr>
            <w:tcW w:w="1620"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53</w:t>
            </w:r>
          </w:p>
        </w:tc>
        <w:tc>
          <w:tcPr>
            <w:tcW w:w="2155"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172</w:t>
            </w:r>
          </w:p>
        </w:tc>
      </w:tr>
      <w:tr w:rsidR="00FF0D18" w:rsidRPr="00113988" w:rsidTr="00FF0D18">
        <w:trPr>
          <w:trHeight w:val="431"/>
          <w:jc w:val="right"/>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FF0D18" w:rsidRPr="00113988" w:rsidRDefault="00FF0D18" w:rsidP="00FF0D18">
            <w:pPr>
              <w:keepNext/>
              <w:keepLines/>
              <w:spacing w:after="0" w:line="240" w:lineRule="auto"/>
              <w:ind w:left="62"/>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Componente 2. Desarrollo de capacidades institucionales</w:t>
            </w:r>
          </w:p>
        </w:tc>
        <w:tc>
          <w:tcPr>
            <w:tcW w:w="2340"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4</w:t>
            </w:r>
          </w:p>
        </w:tc>
        <w:tc>
          <w:tcPr>
            <w:tcW w:w="1620"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w:t>
            </w:r>
          </w:p>
        </w:tc>
        <w:tc>
          <w:tcPr>
            <w:tcW w:w="2155"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4</w:t>
            </w:r>
          </w:p>
        </w:tc>
      </w:tr>
      <w:tr w:rsidR="00FF0D18" w:rsidRPr="00113988" w:rsidTr="00FF0D18">
        <w:trPr>
          <w:trHeight w:val="288"/>
          <w:jc w:val="right"/>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FF0D18" w:rsidRPr="00113988" w:rsidRDefault="00FF0D18" w:rsidP="00FF0D18">
            <w:pPr>
              <w:keepNext/>
              <w:keepLines/>
              <w:spacing w:after="0" w:line="240" w:lineRule="auto"/>
              <w:ind w:left="62" w:hanging="19"/>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Administración, gestión y auditoría</w:t>
            </w:r>
          </w:p>
        </w:tc>
        <w:tc>
          <w:tcPr>
            <w:tcW w:w="2340"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2</w:t>
            </w:r>
          </w:p>
        </w:tc>
        <w:tc>
          <w:tcPr>
            <w:tcW w:w="1620"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w:t>
            </w:r>
          </w:p>
        </w:tc>
        <w:tc>
          <w:tcPr>
            <w:tcW w:w="2155" w:type="dxa"/>
            <w:tcBorders>
              <w:top w:val="nil"/>
              <w:left w:val="nil"/>
              <w:bottom w:val="single" w:sz="4" w:space="0" w:color="auto"/>
              <w:right w:val="single" w:sz="4" w:space="0" w:color="auto"/>
            </w:tcBorders>
            <w:shd w:val="clear" w:color="auto" w:fill="auto"/>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snapToGrid w:val="0"/>
                <w:color w:val="000000"/>
                <w:sz w:val="20"/>
                <w:szCs w:val="20"/>
                <w:lang w:val="es-ES_tradnl"/>
              </w:rPr>
            </w:pPr>
            <w:r w:rsidRPr="00113988">
              <w:rPr>
                <w:rFonts w:ascii="Times New Roman" w:eastAsia="Times New Roman" w:hAnsi="Times New Roman" w:cs="Times New Roman"/>
                <w:snapToGrid w:val="0"/>
                <w:color w:val="000000"/>
                <w:sz w:val="20"/>
                <w:szCs w:val="20"/>
                <w:lang w:val="es-ES_tradnl"/>
              </w:rPr>
              <w:t>2</w:t>
            </w:r>
          </w:p>
        </w:tc>
      </w:tr>
      <w:tr w:rsidR="00FF0D18" w:rsidRPr="00113988" w:rsidTr="00FF0D18">
        <w:trPr>
          <w:trHeight w:val="288"/>
          <w:jc w:val="right"/>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color w:val="000000"/>
                <w:sz w:val="20"/>
                <w:szCs w:val="20"/>
                <w:lang w:val="es-ES_tradnl"/>
              </w:rPr>
            </w:pPr>
            <w:r w:rsidRPr="00113988">
              <w:rPr>
                <w:rFonts w:ascii="Times New Roman" w:eastAsia="Times New Roman" w:hAnsi="Times New Roman" w:cs="Times New Roman"/>
                <w:b/>
                <w:snapToGrid w:val="0"/>
                <w:color w:val="000000"/>
                <w:sz w:val="20"/>
                <w:szCs w:val="20"/>
                <w:lang w:val="es-ES_tradnl"/>
              </w:rPr>
              <w:t>TOTAL</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color w:val="000000"/>
                <w:sz w:val="20"/>
                <w:szCs w:val="20"/>
                <w:lang w:val="es-ES_tradnl"/>
              </w:rPr>
            </w:pPr>
            <w:r w:rsidRPr="00113988">
              <w:rPr>
                <w:rFonts w:ascii="Times New Roman" w:eastAsia="Times New Roman" w:hAnsi="Times New Roman" w:cs="Times New Roman"/>
                <w:b/>
                <w:snapToGrid w:val="0"/>
                <w:color w:val="000000"/>
                <w:sz w:val="20"/>
                <w:szCs w:val="20"/>
                <w:lang w:val="es-ES_tradnl"/>
              </w:rPr>
              <w:t>125</w:t>
            </w:r>
          </w:p>
        </w:tc>
        <w:tc>
          <w:tcPr>
            <w:tcW w:w="1620" w:type="dxa"/>
            <w:tcBorders>
              <w:top w:val="single" w:sz="4" w:space="0" w:color="auto"/>
              <w:left w:val="nil"/>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color w:val="000000"/>
                <w:sz w:val="20"/>
                <w:szCs w:val="20"/>
                <w:lang w:val="es-ES_tradnl"/>
              </w:rPr>
            </w:pPr>
            <w:r w:rsidRPr="00113988">
              <w:rPr>
                <w:rFonts w:ascii="Times New Roman" w:eastAsia="Times New Roman" w:hAnsi="Times New Roman" w:cs="Times New Roman"/>
                <w:b/>
                <w:snapToGrid w:val="0"/>
                <w:color w:val="000000"/>
                <w:sz w:val="20"/>
                <w:szCs w:val="20"/>
                <w:lang w:val="es-ES_tradnl"/>
              </w:rPr>
              <w:t>53</w:t>
            </w:r>
          </w:p>
        </w:tc>
        <w:tc>
          <w:tcPr>
            <w:tcW w:w="2155" w:type="dxa"/>
            <w:tcBorders>
              <w:top w:val="single" w:sz="4" w:space="0" w:color="auto"/>
              <w:left w:val="nil"/>
              <w:bottom w:val="single" w:sz="4" w:space="0" w:color="auto"/>
              <w:right w:val="single" w:sz="4" w:space="0" w:color="auto"/>
            </w:tcBorders>
            <w:shd w:val="clear" w:color="auto" w:fill="D9D9D9"/>
            <w:noWrap/>
            <w:vAlign w:val="center"/>
            <w:hideMark/>
          </w:tcPr>
          <w:p w:rsidR="00FF0D18" w:rsidRPr="00113988" w:rsidRDefault="00FF0D18" w:rsidP="00FF0D18">
            <w:pPr>
              <w:keepNext/>
              <w:keepLines/>
              <w:spacing w:after="0" w:line="240" w:lineRule="auto"/>
              <w:ind w:left="763" w:hanging="720"/>
              <w:jc w:val="center"/>
              <w:rPr>
                <w:rFonts w:ascii="Times New Roman" w:eastAsia="Times New Roman" w:hAnsi="Times New Roman" w:cs="Times New Roman"/>
                <w:b/>
                <w:snapToGrid w:val="0"/>
                <w:color w:val="000000"/>
                <w:sz w:val="20"/>
                <w:szCs w:val="20"/>
                <w:lang w:val="es-ES_tradnl"/>
              </w:rPr>
            </w:pPr>
            <w:r w:rsidRPr="00113988">
              <w:rPr>
                <w:rFonts w:ascii="Times New Roman" w:eastAsia="Times New Roman" w:hAnsi="Times New Roman" w:cs="Times New Roman"/>
                <w:b/>
                <w:snapToGrid w:val="0"/>
                <w:color w:val="000000"/>
                <w:sz w:val="20"/>
                <w:szCs w:val="20"/>
                <w:lang w:val="es-ES_tradnl"/>
              </w:rPr>
              <w:t>178</w:t>
            </w:r>
          </w:p>
        </w:tc>
      </w:tr>
    </w:tbl>
    <w:p w:rsidR="00FF0D18" w:rsidRPr="00113988" w:rsidRDefault="00FF0D18" w:rsidP="00FF0D18">
      <w:pPr>
        <w:keepNext/>
        <w:keepLines/>
        <w:spacing w:after="0" w:line="240" w:lineRule="auto"/>
        <w:jc w:val="both"/>
        <w:rPr>
          <w:rFonts w:ascii="Times New Roman" w:eastAsia="Times New Roman" w:hAnsi="Times New Roman" w:cs="Times New Roman"/>
          <w:b/>
          <w:bCs/>
          <w:snapToGrid w:val="0"/>
          <w:sz w:val="24"/>
          <w:szCs w:val="24"/>
          <w:lang w:val="es-ES_tradnl"/>
        </w:rPr>
      </w:pPr>
    </w:p>
    <w:p w:rsidR="00FF0D18" w:rsidRPr="00113988" w:rsidRDefault="00FF0D18" w:rsidP="00FF0D18">
      <w:pPr>
        <w:keepNext/>
        <w:keepLines/>
        <w:spacing w:after="0" w:line="240" w:lineRule="auto"/>
        <w:jc w:val="both"/>
        <w:rPr>
          <w:rFonts w:ascii="Times New Roman" w:eastAsia="Times New Roman" w:hAnsi="Times New Roman" w:cs="Times New Roman"/>
          <w:b/>
          <w:bCs/>
          <w:snapToGrid w:val="0"/>
          <w:sz w:val="24"/>
          <w:szCs w:val="24"/>
          <w:lang w:val="es-ES_tradnl"/>
        </w:rPr>
      </w:pPr>
    </w:p>
    <w:p w:rsidR="00FF0D18" w:rsidRPr="00113988" w:rsidRDefault="00FF0D18" w:rsidP="00FF0D18">
      <w:pPr>
        <w:keepNext/>
        <w:keepLines/>
        <w:spacing w:after="0" w:line="240" w:lineRule="auto"/>
        <w:jc w:val="both"/>
        <w:rPr>
          <w:rFonts w:ascii="Times New Roman" w:eastAsia="Times New Roman" w:hAnsi="Times New Roman" w:cs="Times New Roman"/>
          <w:b/>
          <w:bCs/>
          <w:snapToGrid w:val="0"/>
          <w:sz w:val="24"/>
          <w:szCs w:val="24"/>
          <w:u w:val="single"/>
          <w:lang w:val="es-ES_tradnl"/>
        </w:rPr>
      </w:pPr>
      <w:r w:rsidRPr="00113988">
        <w:rPr>
          <w:rFonts w:ascii="Times New Roman" w:eastAsia="Times New Roman" w:hAnsi="Times New Roman" w:cs="Times New Roman"/>
          <w:b/>
          <w:bCs/>
          <w:snapToGrid w:val="0"/>
          <w:sz w:val="24"/>
          <w:szCs w:val="24"/>
          <w:lang w:val="es-ES_tradnl"/>
        </w:rPr>
        <w:t>IV.</w:t>
      </w:r>
      <w:r w:rsidRPr="00113988">
        <w:rPr>
          <w:rFonts w:ascii="Times New Roman" w:eastAsia="Times New Roman" w:hAnsi="Times New Roman" w:cs="Times New Roman"/>
          <w:b/>
          <w:bCs/>
          <w:snapToGrid w:val="0"/>
          <w:sz w:val="24"/>
          <w:szCs w:val="24"/>
          <w:lang w:val="es-ES_tradnl"/>
        </w:rPr>
        <w:tab/>
      </w:r>
      <w:r w:rsidRPr="00113988">
        <w:rPr>
          <w:rFonts w:ascii="Times New Roman" w:eastAsia="Times New Roman" w:hAnsi="Times New Roman" w:cs="Times New Roman"/>
          <w:b/>
          <w:bCs/>
          <w:snapToGrid w:val="0"/>
          <w:sz w:val="24"/>
          <w:szCs w:val="24"/>
          <w:u w:val="single"/>
          <w:lang w:val="es-ES_tradnl"/>
        </w:rPr>
        <w:t xml:space="preserve">Ejecución </w:t>
      </w:r>
    </w:p>
    <w:p w:rsidR="00FF0D18" w:rsidRPr="00113988" w:rsidRDefault="00FF0D18" w:rsidP="00FF0D18">
      <w:pPr>
        <w:keepNext/>
        <w:keepLines/>
        <w:spacing w:after="0" w:line="240" w:lineRule="auto"/>
        <w:jc w:val="both"/>
        <w:rPr>
          <w:rFonts w:ascii="Times New Roman" w:eastAsia="Times New Roman" w:hAnsi="Times New Roman" w:cs="Times New Roman"/>
          <w:snapToGrid w:val="0"/>
          <w:sz w:val="24"/>
          <w:szCs w:val="24"/>
          <w:lang w:val="es-ES_tradnl"/>
        </w:rPr>
      </w:pPr>
    </w:p>
    <w:p w:rsidR="00FF0D18" w:rsidRPr="00113988" w:rsidRDefault="00FF0D18" w:rsidP="00FF0D18">
      <w:pPr>
        <w:keepNext/>
        <w:keepLines/>
        <w:widowControl w:val="0"/>
        <w:numPr>
          <w:ilvl w:val="1"/>
          <w:numId w:val="26"/>
        </w:numPr>
        <w:spacing w:after="0" w:line="240" w:lineRule="auto"/>
        <w:ind w:left="720" w:hanging="720"/>
        <w:contextualSpacing/>
        <w:jc w:val="both"/>
        <w:rPr>
          <w:rFonts w:ascii="Times New Roman" w:eastAsia="Times New Roman" w:hAnsi="Times New Roman" w:cs="Times New Roman"/>
          <w:b/>
          <w:bCs/>
          <w:snapToGrid w:val="0"/>
          <w:sz w:val="24"/>
          <w:szCs w:val="24"/>
          <w:lang w:val="es-ES_tradnl"/>
        </w:rPr>
      </w:pPr>
      <w:r w:rsidRPr="00113988">
        <w:rPr>
          <w:rFonts w:ascii="Times New Roman" w:eastAsia="Times New Roman" w:hAnsi="Times New Roman" w:cs="Times New Roman"/>
          <w:snapToGrid w:val="0"/>
          <w:sz w:val="24"/>
          <w:szCs w:val="24"/>
          <w:lang w:val="es-ES_tradnl"/>
        </w:rPr>
        <w:t>El MOPT será el Organismo Ejecutor (OE) del Programa, el cual se apoyará en dos unidades a las que se adicionará el personal y recursos necesarios para</w:t>
      </w:r>
      <w:r w:rsidR="00E26CA9">
        <w:rPr>
          <w:rFonts w:ascii="Times New Roman" w:eastAsia="Times New Roman" w:hAnsi="Times New Roman" w:cs="Times New Roman"/>
          <w:snapToGrid w:val="0"/>
          <w:sz w:val="24"/>
          <w:szCs w:val="24"/>
          <w:lang w:val="es-ES_tradnl"/>
        </w:rPr>
        <w:t xml:space="preserve"> la ejecución del Programa: (i) </w:t>
      </w:r>
      <w:r w:rsidRPr="00113988">
        <w:rPr>
          <w:rFonts w:ascii="Times New Roman" w:eastAsia="Times New Roman" w:hAnsi="Times New Roman" w:cs="Times New Roman"/>
          <w:snapToGrid w:val="0"/>
          <w:sz w:val="24"/>
          <w:szCs w:val="24"/>
          <w:lang w:val="es-ES_tradnl"/>
        </w:rPr>
        <w:t>la Unidad Administradora del Programa (UAP) del Fideicomiso Corredor San José-San Ramón, que actuará como subejecutor del Programa, para la gestión técnica y financiera de las OBIS; y (ii) el Comité Asesor de la Supervisión (CAS) y su Unidad Asesora (UA), pertenecientes al MOPT, que estará a cargo de la gestión administrativa, técnica, legal y financiera, para el resto del Programa, así como del seguimiento control y monitoreo de los contratos del Programa que le correspondan. El MOPT conservará la responsabilidad sobre todo el programa de gestionar el presupuesto, suscribir los contratos, rendir cuenta sobre el uso de los recursos al Banco, la aprobación de los estados financieros y todas las decisiones de disposición de fondos públicos.</w:t>
      </w:r>
    </w:p>
    <w:p w:rsidR="00FF0D18" w:rsidRPr="00113988" w:rsidRDefault="00FF0D18" w:rsidP="00FF0D18">
      <w:pPr>
        <w:keepNext/>
        <w:keepLines/>
        <w:spacing w:after="0" w:line="240" w:lineRule="auto"/>
        <w:jc w:val="both"/>
        <w:rPr>
          <w:rFonts w:ascii="Times New Roman" w:eastAsia="Times New Roman" w:hAnsi="Times New Roman" w:cs="Times New Roman"/>
          <w:b/>
          <w:bCs/>
          <w:snapToGrid w:val="0"/>
          <w:sz w:val="24"/>
          <w:szCs w:val="24"/>
          <w:lang w:val="es-ES_tradnl"/>
        </w:rPr>
      </w:pPr>
    </w:p>
    <w:p w:rsidR="00FF0D18" w:rsidRPr="00113988" w:rsidRDefault="00FF0D18" w:rsidP="00FF0D18">
      <w:pPr>
        <w:keepNext/>
        <w:keepLines/>
        <w:widowControl w:val="0"/>
        <w:numPr>
          <w:ilvl w:val="1"/>
          <w:numId w:val="26"/>
        </w:numPr>
        <w:spacing w:after="0" w:line="240" w:lineRule="auto"/>
        <w:ind w:left="720" w:hanging="720"/>
        <w:contextualSpacing/>
        <w:jc w:val="both"/>
        <w:rPr>
          <w:rFonts w:ascii="Times New Roman" w:eastAsia="Times New Roman" w:hAnsi="Times New Roman" w:cs="Times New Roman"/>
          <w:b/>
          <w:bCs/>
          <w:snapToGrid w:val="0"/>
          <w:sz w:val="24"/>
          <w:szCs w:val="24"/>
          <w:lang w:val="es-ES_tradnl"/>
        </w:rPr>
      </w:pPr>
      <w:r w:rsidRPr="00113988">
        <w:rPr>
          <w:rFonts w:ascii="Times New Roman" w:eastAsia="Times New Roman" w:hAnsi="Times New Roman" w:cs="Times New Roman"/>
          <w:snapToGrid w:val="0"/>
          <w:sz w:val="24"/>
          <w:szCs w:val="24"/>
          <w:lang w:val="es-ES_tradnl"/>
        </w:rPr>
        <w:t xml:space="preserve">Adicionalmente, el OE, tendrá para el Programa el apoyo externo de una Unidad Ejecutora para realizar la gestión administrativa, técnica y legal, y de un Fideicomiso para realizar la gestión financiera. </w:t>
      </w:r>
      <w:r w:rsidR="00E26CA9">
        <w:rPr>
          <w:rFonts w:ascii="Times New Roman" w:eastAsia="Times New Roman" w:hAnsi="Times New Roman" w:cs="Times New Roman"/>
          <w:snapToGrid w:val="0"/>
          <w:sz w:val="24"/>
          <w:szCs w:val="24"/>
          <w:lang w:val="es-ES_tradnl"/>
        </w:rPr>
        <w:t xml:space="preserve"> </w:t>
      </w:r>
      <w:r w:rsidRPr="00113988">
        <w:rPr>
          <w:rFonts w:ascii="Times New Roman" w:eastAsia="Times New Roman" w:hAnsi="Times New Roman" w:cs="Times New Roman"/>
          <w:snapToGrid w:val="0"/>
          <w:sz w:val="24"/>
          <w:szCs w:val="24"/>
          <w:lang w:val="es-ES_tradnl"/>
        </w:rPr>
        <w:t>Por eficiencia, el OE podrá valorar o analizar que estos apoyos sean prestados por las mismas empresas que realizan estas labores para el PIT; en caso de no lograr un acuerdo razonable con alguna de ellas para su participación en el Programa, el OE podrá presentar una alternativa, a satisfacción del Banco.</w:t>
      </w:r>
    </w:p>
    <w:p w:rsidR="00FF0D18" w:rsidRPr="00113988" w:rsidRDefault="00FF0D18" w:rsidP="00FF0D18">
      <w:pPr>
        <w:spacing w:after="0" w:line="240" w:lineRule="auto"/>
        <w:jc w:val="both"/>
        <w:rPr>
          <w:rFonts w:ascii="Times New Roman" w:eastAsia="Times New Roman" w:hAnsi="Times New Roman" w:cs="Times New Roman"/>
          <w:b/>
          <w:snapToGrid w:val="0"/>
          <w:sz w:val="24"/>
          <w:szCs w:val="24"/>
          <w:lang w:val="es-ES_tradnl"/>
        </w:rPr>
      </w:pPr>
    </w:p>
    <w:p w:rsidR="00E26CA9" w:rsidRDefault="00FF0D18" w:rsidP="00E26CA9">
      <w:pPr>
        <w:spacing w:after="0" w:line="240" w:lineRule="auto"/>
        <w:jc w:val="both"/>
        <w:rPr>
          <w:rFonts w:ascii="Times New Roman" w:eastAsia="Times New Roman" w:hAnsi="Times New Roman" w:cs="Times New Roman"/>
          <w:snapToGrid w:val="0"/>
          <w:sz w:val="24"/>
          <w:szCs w:val="24"/>
          <w:lang w:val="es-ES_tradnl"/>
        </w:rPr>
      </w:pPr>
      <w:r w:rsidRPr="00113988">
        <w:rPr>
          <w:rFonts w:ascii="Times New Roman" w:eastAsia="Times New Roman" w:hAnsi="Times New Roman" w:cs="Times New Roman"/>
          <w:b/>
          <w:snapToGrid w:val="0"/>
          <w:sz w:val="24"/>
          <w:szCs w:val="24"/>
          <w:lang w:val="es-ES_tradnl"/>
        </w:rPr>
        <w:t>4.03</w:t>
      </w:r>
      <w:r w:rsidRPr="00113988">
        <w:rPr>
          <w:rFonts w:ascii="Times New Roman" w:eastAsia="Times New Roman" w:hAnsi="Times New Roman" w:cs="Times New Roman"/>
          <w:b/>
          <w:snapToGrid w:val="0"/>
          <w:sz w:val="24"/>
          <w:szCs w:val="24"/>
          <w:lang w:val="es-ES_tradnl"/>
        </w:rPr>
        <w:tab/>
        <w:t>Manual Operativo del Programa (MANOP).</w:t>
      </w:r>
      <w:r w:rsidRPr="00113988">
        <w:rPr>
          <w:rFonts w:ascii="Times New Roman" w:eastAsia="Times New Roman" w:hAnsi="Times New Roman" w:cs="Times New Roman"/>
          <w:snapToGrid w:val="0"/>
          <w:sz w:val="24"/>
          <w:szCs w:val="24"/>
          <w:lang w:val="es-ES_tradnl"/>
        </w:rPr>
        <w:t xml:space="preserve"> El MANOP describirá en detalle, al menos: (i) las responsabilidades de las instancias participantes en el mecanismo de ejecución del Programa; (ii) el detalle del flujo de procesos para realizar las adquisiciones y contrataciones; (iii) los procesos administrativos financieros especiales para el Programa; y (iv) los criterios de eleg</w:t>
      </w:r>
      <w:r w:rsidR="00E26CA9">
        <w:rPr>
          <w:rFonts w:ascii="Times New Roman" w:eastAsia="Times New Roman" w:hAnsi="Times New Roman" w:cs="Times New Roman"/>
          <w:snapToGrid w:val="0"/>
          <w:sz w:val="24"/>
          <w:szCs w:val="24"/>
          <w:lang w:val="es-ES_tradnl"/>
        </w:rPr>
        <w:t>ibilidad y selección de obras.</w:t>
      </w:r>
    </w:p>
    <w:p w:rsidR="00FF0D18" w:rsidRPr="00AF52E3" w:rsidRDefault="008304B9" w:rsidP="00653C97">
      <w:pPr>
        <w:spacing w:after="0" w:line="240" w:lineRule="auto"/>
        <w:ind w:left="2127" w:hanging="2127"/>
        <w:jc w:val="both"/>
        <w:rPr>
          <w:rFonts w:ascii="Arial" w:hAnsi="Arial" w:cs="Arial"/>
          <w:sz w:val="24"/>
          <w:szCs w:val="24"/>
          <w:lang w:val="es-ES_tradnl"/>
        </w:rPr>
      </w:pPr>
      <w:r>
        <w:rPr>
          <w:rFonts w:ascii="Arial" w:hAnsi="Arial" w:cs="Arial"/>
          <w:sz w:val="24"/>
          <w:szCs w:val="24"/>
          <w:lang w:val="es-ES_tradnl"/>
        </w:rPr>
        <w:lastRenderedPageBreak/>
        <w:t>ARTÍ</w:t>
      </w:r>
      <w:r w:rsidR="00653C97" w:rsidRPr="00AF52E3">
        <w:rPr>
          <w:rFonts w:ascii="Arial" w:hAnsi="Arial" w:cs="Arial"/>
          <w:sz w:val="24"/>
          <w:szCs w:val="24"/>
          <w:lang w:val="es-ES_tradnl"/>
        </w:rPr>
        <w:t>CULO 3-</w:t>
      </w:r>
      <w:r w:rsidR="00653C97" w:rsidRPr="00AF52E3">
        <w:rPr>
          <w:rFonts w:ascii="Arial" w:hAnsi="Arial" w:cs="Arial"/>
          <w:sz w:val="24"/>
          <w:szCs w:val="24"/>
          <w:lang w:val="es-ES_tradnl"/>
        </w:rPr>
        <w:tab/>
      </w:r>
      <w:r w:rsidR="00FF0D18" w:rsidRPr="00AF52E3">
        <w:rPr>
          <w:rFonts w:ascii="Arial" w:hAnsi="Arial" w:cs="Arial"/>
          <w:sz w:val="24"/>
          <w:szCs w:val="24"/>
          <w:lang w:val="es-ES_tradnl"/>
        </w:rPr>
        <w:t>Contrato de Préstamo que financiará la Segunda Operación Individual</w:t>
      </w:r>
    </w:p>
    <w:p w:rsidR="00E26CA9" w:rsidRDefault="00E26CA9" w:rsidP="00E26CA9">
      <w:pPr>
        <w:spacing w:after="0" w:line="240" w:lineRule="auto"/>
        <w:jc w:val="both"/>
        <w:rPr>
          <w:rFonts w:ascii="Arial" w:hAnsi="Arial" w:cs="Arial"/>
          <w:b/>
          <w:sz w:val="24"/>
          <w:szCs w:val="24"/>
          <w:lang w:val="es-ES_tradnl"/>
        </w:rPr>
      </w:pPr>
    </w:p>
    <w:p w:rsidR="00FF0D18" w:rsidRDefault="00FF0D18" w:rsidP="00E26CA9">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El Contrato de Préstamo que financiará la Segunda Operación Individual derivada del Convenio </w:t>
      </w:r>
      <w:r w:rsidRPr="0078384E">
        <w:rPr>
          <w:rFonts w:ascii="Arial" w:hAnsi="Arial" w:cs="Arial"/>
          <w:sz w:val="24"/>
          <w:szCs w:val="24"/>
          <w:lang w:val="es-ES_tradnl"/>
        </w:rPr>
        <w:t>de Cooperación para el Financiamiento de Proyectos de Inversión (CCLIP) CR-O0005</w:t>
      </w:r>
      <w:r>
        <w:rPr>
          <w:rFonts w:ascii="Arial" w:hAnsi="Arial" w:cs="Arial"/>
          <w:sz w:val="24"/>
          <w:szCs w:val="24"/>
          <w:lang w:val="es-ES_tradnl"/>
        </w:rPr>
        <w:t xml:space="preserve">, entre </w:t>
      </w:r>
      <w:r w:rsidRPr="0078384E">
        <w:rPr>
          <w:rFonts w:ascii="Arial" w:hAnsi="Arial" w:cs="Arial"/>
          <w:sz w:val="24"/>
          <w:szCs w:val="24"/>
          <w:lang w:val="es-ES_tradnl"/>
        </w:rPr>
        <w:t>la República de Costa Rica y el Banco Interamericano de Desarrollo, para financiar el Programa de Infraestructura Vial y Movilidad Urbana</w:t>
      </w:r>
      <w:r>
        <w:rPr>
          <w:rFonts w:ascii="Arial" w:hAnsi="Arial" w:cs="Arial"/>
          <w:sz w:val="24"/>
          <w:szCs w:val="24"/>
          <w:lang w:val="es-ES_tradnl"/>
        </w:rPr>
        <w:t xml:space="preserve"> </w:t>
      </w:r>
      <w:r w:rsidRPr="0078384E">
        <w:rPr>
          <w:rFonts w:ascii="Arial" w:hAnsi="Arial" w:cs="Arial"/>
          <w:sz w:val="24"/>
          <w:szCs w:val="24"/>
          <w:lang w:val="es-ES_tradnl"/>
        </w:rPr>
        <w:t>no deberán someterse al trámite y la eventual aprobación de la Asamblea Legislativa de la República de Costa Rica</w:t>
      </w:r>
      <w:r>
        <w:rPr>
          <w:rFonts w:ascii="Arial" w:hAnsi="Arial" w:cs="Arial"/>
          <w:sz w:val="24"/>
          <w:szCs w:val="24"/>
          <w:lang w:val="es-ES_tradnl"/>
        </w:rPr>
        <w:t>.</w:t>
      </w:r>
    </w:p>
    <w:p w:rsidR="00FF0D18" w:rsidRDefault="00FF0D18" w:rsidP="00E26CA9">
      <w:pPr>
        <w:spacing w:after="0" w:line="240" w:lineRule="auto"/>
        <w:jc w:val="both"/>
        <w:rPr>
          <w:rFonts w:ascii="Arial" w:hAnsi="Arial" w:cs="Arial"/>
          <w:sz w:val="24"/>
          <w:szCs w:val="24"/>
          <w:lang w:val="es-ES_tradnl"/>
        </w:rPr>
      </w:pPr>
    </w:p>
    <w:p w:rsidR="00FF0D18" w:rsidRDefault="00FF0D18" w:rsidP="00E26CA9">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Las condiciones financieras aplicables al Contrato de Préstamo para financiar esta Operación Individual deberán ser las ofrecidas al </w:t>
      </w:r>
      <w:r w:rsidRPr="0078384E">
        <w:rPr>
          <w:rFonts w:ascii="Arial" w:hAnsi="Arial" w:cs="Arial"/>
          <w:sz w:val="24"/>
          <w:szCs w:val="24"/>
          <w:lang w:val="es-ES_tradnl"/>
        </w:rPr>
        <w:t>Sector Público con garantía estatal por el BID</w:t>
      </w:r>
      <w:r>
        <w:rPr>
          <w:rFonts w:ascii="Arial" w:hAnsi="Arial" w:cs="Arial"/>
          <w:sz w:val="24"/>
          <w:szCs w:val="24"/>
          <w:lang w:val="es-ES_tradnl"/>
        </w:rPr>
        <w:t>, y en ningún caso, al momento de suscripción podrá celebrarse el contrato de préstamo si se da alguna de las siguientes situaciones:</w:t>
      </w:r>
    </w:p>
    <w:p w:rsidR="00FF0D18" w:rsidRPr="0078384E" w:rsidRDefault="00FF0D18" w:rsidP="00E26CA9">
      <w:pPr>
        <w:spacing w:after="0" w:line="240" w:lineRule="auto"/>
        <w:jc w:val="both"/>
        <w:rPr>
          <w:rFonts w:ascii="Arial" w:hAnsi="Arial" w:cs="Arial"/>
          <w:sz w:val="24"/>
          <w:szCs w:val="24"/>
          <w:lang w:val="es-ES_tradnl"/>
        </w:rPr>
      </w:pPr>
    </w:p>
    <w:p w:rsidR="00FF0D18" w:rsidRPr="00611D35" w:rsidRDefault="00FF0D18" w:rsidP="00E26CA9">
      <w:pPr>
        <w:autoSpaceDE w:val="0"/>
        <w:autoSpaceDN w:val="0"/>
        <w:adjustRightInd w:val="0"/>
        <w:spacing w:after="0" w:line="240" w:lineRule="auto"/>
        <w:jc w:val="both"/>
        <w:rPr>
          <w:rFonts w:ascii="Arial" w:hAnsi="Arial" w:cs="Arial"/>
          <w:color w:val="000000"/>
          <w:sz w:val="24"/>
          <w:szCs w:val="24"/>
          <w:lang w:eastAsia="es-CR"/>
        </w:rPr>
      </w:pPr>
      <w:r w:rsidRPr="00653C97">
        <w:rPr>
          <w:rFonts w:ascii="Arial" w:hAnsi="Arial" w:cs="Arial"/>
          <w:bCs/>
          <w:color w:val="000000"/>
          <w:sz w:val="24"/>
          <w:szCs w:val="24"/>
          <w:lang w:eastAsia="es-CR"/>
        </w:rPr>
        <w:t>a)</w:t>
      </w:r>
      <w:r w:rsidR="008304B9">
        <w:rPr>
          <w:rFonts w:ascii="Arial" w:hAnsi="Arial" w:cs="Arial"/>
          <w:b/>
          <w:bCs/>
          <w:color w:val="000000"/>
          <w:sz w:val="24"/>
          <w:szCs w:val="24"/>
          <w:lang w:eastAsia="es-CR"/>
        </w:rPr>
        <w:tab/>
      </w:r>
      <w:r w:rsidRPr="00611D35">
        <w:rPr>
          <w:rFonts w:ascii="Arial" w:hAnsi="Arial" w:cs="Arial"/>
          <w:color w:val="000000"/>
          <w:sz w:val="24"/>
          <w:szCs w:val="24"/>
          <w:lang w:eastAsia="es-CR"/>
        </w:rPr>
        <w:t>La comisión de crédito anual sobre saldos no desembolsado</w:t>
      </w:r>
      <w:r>
        <w:rPr>
          <w:rFonts w:ascii="Arial" w:hAnsi="Arial" w:cs="Arial"/>
          <w:color w:val="000000"/>
          <w:sz w:val="24"/>
          <w:szCs w:val="24"/>
          <w:lang w:eastAsia="es-CR"/>
        </w:rPr>
        <w:t>s</w:t>
      </w:r>
      <w:r w:rsidRPr="00611D35">
        <w:rPr>
          <w:rFonts w:ascii="Arial" w:hAnsi="Arial" w:cs="Arial"/>
          <w:color w:val="000000"/>
          <w:sz w:val="24"/>
          <w:szCs w:val="24"/>
          <w:lang w:eastAsia="es-CR"/>
        </w:rPr>
        <w:t xml:space="preserve"> del financiamiento excede el un</w:t>
      </w:r>
      <w:r w:rsidR="00E26CA9">
        <w:rPr>
          <w:rFonts w:ascii="Arial" w:hAnsi="Arial" w:cs="Arial"/>
          <w:color w:val="000000"/>
          <w:sz w:val="24"/>
          <w:szCs w:val="24"/>
          <w:lang w:eastAsia="es-CR"/>
        </w:rPr>
        <w:t>o coma cinco por ciento (1,5%).</w:t>
      </w:r>
    </w:p>
    <w:p w:rsidR="00FF0D18" w:rsidRPr="00611D35" w:rsidRDefault="00FF0D18" w:rsidP="00E26CA9">
      <w:pPr>
        <w:autoSpaceDE w:val="0"/>
        <w:autoSpaceDN w:val="0"/>
        <w:adjustRightInd w:val="0"/>
        <w:spacing w:after="0" w:line="240" w:lineRule="auto"/>
        <w:jc w:val="both"/>
        <w:rPr>
          <w:rFonts w:ascii="Arial" w:hAnsi="Arial" w:cs="Arial"/>
          <w:color w:val="000000"/>
          <w:sz w:val="24"/>
          <w:szCs w:val="24"/>
          <w:lang w:eastAsia="es-CR"/>
        </w:rPr>
      </w:pPr>
    </w:p>
    <w:p w:rsidR="00FF0D18" w:rsidRPr="00611D35" w:rsidRDefault="00FF0D18" w:rsidP="00E26CA9">
      <w:pPr>
        <w:autoSpaceDE w:val="0"/>
        <w:autoSpaceDN w:val="0"/>
        <w:adjustRightInd w:val="0"/>
        <w:spacing w:after="0" w:line="240" w:lineRule="auto"/>
        <w:jc w:val="both"/>
        <w:rPr>
          <w:rFonts w:ascii="Arial" w:hAnsi="Arial" w:cs="Arial"/>
          <w:color w:val="000000"/>
          <w:sz w:val="24"/>
          <w:szCs w:val="24"/>
          <w:lang w:eastAsia="es-CR"/>
        </w:rPr>
      </w:pPr>
      <w:r w:rsidRPr="00653C97">
        <w:rPr>
          <w:rFonts w:ascii="Arial" w:hAnsi="Arial" w:cs="Arial"/>
          <w:bCs/>
          <w:color w:val="000000"/>
          <w:sz w:val="24"/>
          <w:szCs w:val="24"/>
          <w:lang w:eastAsia="es-CR"/>
        </w:rPr>
        <w:t>b)</w:t>
      </w:r>
      <w:r w:rsidR="008304B9">
        <w:rPr>
          <w:rFonts w:ascii="Arial" w:hAnsi="Arial" w:cs="Arial"/>
          <w:b/>
          <w:bCs/>
          <w:color w:val="000000"/>
          <w:sz w:val="24"/>
          <w:szCs w:val="24"/>
          <w:lang w:eastAsia="es-CR"/>
        </w:rPr>
        <w:tab/>
      </w:r>
      <w:r w:rsidRPr="00611D35">
        <w:rPr>
          <w:rFonts w:ascii="Arial" w:hAnsi="Arial" w:cs="Arial"/>
          <w:color w:val="000000"/>
          <w:sz w:val="24"/>
          <w:szCs w:val="24"/>
          <w:lang w:eastAsia="es-CR"/>
        </w:rPr>
        <w:t>La comisión por inspección y vigilancia excede el dos por ciento (2%</w:t>
      </w:r>
      <w:r w:rsidR="00E26CA9">
        <w:rPr>
          <w:rFonts w:ascii="Arial" w:hAnsi="Arial" w:cs="Arial"/>
          <w:color w:val="000000"/>
          <w:sz w:val="24"/>
          <w:szCs w:val="24"/>
          <w:lang w:eastAsia="es-CR"/>
        </w:rPr>
        <w:t>) del monto del financiamiento.</w:t>
      </w:r>
    </w:p>
    <w:p w:rsidR="00FF0D18" w:rsidRPr="00611D35" w:rsidRDefault="00FF0D18" w:rsidP="00E26CA9">
      <w:pPr>
        <w:autoSpaceDE w:val="0"/>
        <w:autoSpaceDN w:val="0"/>
        <w:adjustRightInd w:val="0"/>
        <w:spacing w:after="0" w:line="240" w:lineRule="auto"/>
        <w:jc w:val="both"/>
        <w:rPr>
          <w:rFonts w:ascii="Arial" w:hAnsi="Arial" w:cs="Arial"/>
          <w:color w:val="000000"/>
          <w:sz w:val="24"/>
          <w:szCs w:val="24"/>
          <w:lang w:eastAsia="es-CR"/>
        </w:rPr>
      </w:pPr>
    </w:p>
    <w:p w:rsidR="00FF0D18" w:rsidRPr="00611D35" w:rsidRDefault="00FF0D18" w:rsidP="00E26CA9">
      <w:pPr>
        <w:autoSpaceDE w:val="0"/>
        <w:autoSpaceDN w:val="0"/>
        <w:adjustRightInd w:val="0"/>
        <w:spacing w:after="0" w:line="240" w:lineRule="auto"/>
        <w:jc w:val="both"/>
        <w:rPr>
          <w:rFonts w:ascii="Arial" w:hAnsi="Arial" w:cs="Arial"/>
          <w:color w:val="000000"/>
          <w:sz w:val="24"/>
          <w:szCs w:val="24"/>
          <w:lang w:eastAsia="es-CR"/>
        </w:rPr>
      </w:pPr>
      <w:r w:rsidRPr="00653C97">
        <w:rPr>
          <w:rFonts w:ascii="Arial" w:hAnsi="Arial" w:cs="Arial"/>
          <w:bCs/>
          <w:color w:val="000000"/>
          <w:sz w:val="24"/>
          <w:szCs w:val="24"/>
          <w:lang w:eastAsia="es-CR"/>
        </w:rPr>
        <w:t>c)</w:t>
      </w:r>
      <w:r w:rsidR="008304B9">
        <w:rPr>
          <w:rFonts w:ascii="Arial" w:hAnsi="Arial" w:cs="Arial"/>
          <w:b/>
          <w:bCs/>
          <w:color w:val="000000"/>
          <w:sz w:val="24"/>
          <w:szCs w:val="24"/>
          <w:lang w:eastAsia="es-CR"/>
        </w:rPr>
        <w:tab/>
      </w:r>
      <w:r w:rsidRPr="00611D35">
        <w:rPr>
          <w:rFonts w:ascii="Arial" w:hAnsi="Arial" w:cs="Arial"/>
          <w:color w:val="000000"/>
          <w:sz w:val="24"/>
          <w:szCs w:val="24"/>
          <w:lang w:eastAsia="es-CR"/>
        </w:rPr>
        <w:t xml:space="preserve">La tasa de intereses sobre los saldos deudores diarios, son a una tasa de interés en dólares superior a la Tasa Libor a tres (3) meses o </w:t>
      </w:r>
      <w:r>
        <w:rPr>
          <w:rFonts w:ascii="Arial" w:hAnsi="Arial" w:cs="Arial"/>
          <w:color w:val="000000"/>
          <w:sz w:val="24"/>
          <w:szCs w:val="24"/>
          <w:lang w:eastAsia="es-CR"/>
        </w:rPr>
        <w:t>la referencia que se pacte en su sustitución,</w:t>
      </w:r>
      <w:r w:rsidR="00653C97">
        <w:rPr>
          <w:rFonts w:ascii="Arial" w:hAnsi="Arial" w:cs="Arial"/>
          <w:color w:val="000000"/>
          <w:sz w:val="24"/>
          <w:szCs w:val="24"/>
          <w:lang w:eastAsia="es-CR"/>
        </w:rPr>
        <w:t xml:space="preserve"> más un margen del tres </w:t>
      </w:r>
      <w:r w:rsidRPr="00611D35">
        <w:rPr>
          <w:rFonts w:ascii="Arial" w:hAnsi="Arial" w:cs="Arial"/>
          <w:color w:val="000000"/>
          <w:sz w:val="24"/>
          <w:szCs w:val="24"/>
          <w:lang w:eastAsia="es-CR"/>
        </w:rPr>
        <w:t xml:space="preserve">coma cero por ciento </w:t>
      </w:r>
      <w:r w:rsidRPr="00611D35">
        <w:rPr>
          <w:rFonts w:ascii="Arial" w:hAnsi="Arial" w:cs="Arial"/>
          <w:sz w:val="24"/>
          <w:szCs w:val="24"/>
          <w:lang w:eastAsia="es-CR"/>
        </w:rPr>
        <w:t xml:space="preserve">(3,0%), o </w:t>
      </w:r>
      <w:r>
        <w:rPr>
          <w:rFonts w:ascii="Arial" w:hAnsi="Arial" w:cs="Arial"/>
          <w:sz w:val="24"/>
          <w:szCs w:val="24"/>
          <w:lang w:eastAsia="es-CR"/>
        </w:rPr>
        <w:t xml:space="preserve">bien </w:t>
      </w:r>
      <w:r w:rsidRPr="00611D35">
        <w:rPr>
          <w:rFonts w:ascii="Arial" w:hAnsi="Arial" w:cs="Arial"/>
          <w:sz w:val="24"/>
          <w:szCs w:val="24"/>
          <w:lang w:eastAsia="es-CR"/>
        </w:rPr>
        <w:t>su equivalente en otras monedas diferentes del US dólar</w:t>
      </w:r>
      <w:r w:rsidR="00E26CA9">
        <w:rPr>
          <w:rFonts w:ascii="Arial" w:hAnsi="Arial" w:cs="Arial"/>
          <w:sz w:val="24"/>
          <w:szCs w:val="24"/>
          <w:lang w:eastAsia="es-CR"/>
        </w:rPr>
        <w:t xml:space="preserve"> o su equivalente en tasa fija.</w:t>
      </w:r>
    </w:p>
    <w:p w:rsidR="00FF0D18" w:rsidRPr="00611D35" w:rsidRDefault="00FF0D18" w:rsidP="00E26CA9">
      <w:pPr>
        <w:autoSpaceDE w:val="0"/>
        <w:autoSpaceDN w:val="0"/>
        <w:adjustRightInd w:val="0"/>
        <w:spacing w:after="0" w:line="240" w:lineRule="auto"/>
        <w:jc w:val="both"/>
        <w:rPr>
          <w:rFonts w:ascii="Arial" w:hAnsi="Arial" w:cs="Arial"/>
          <w:sz w:val="24"/>
          <w:szCs w:val="24"/>
          <w:lang w:eastAsia="es-CR"/>
        </w:rPr>
      </w:pPr>
    </w:p>
    <w:p w:rsidR="00FF0D18" w:rsidRPr="00611D35" w:rsidRDefault="00FF0D18" w:rsidP="00E26CA9">
      <w:pPr>
        <w:autoSpaceDE w:val="0"/>
        <w:autoSpaceDN w:val="0"/>
        <w:adjustRightInd w:val="0"/>
        <w:spacing w:after="0" w:line="240" w:lineRule="auto"/>
        <w:jc w:val="both"/>
        <w:rPr>
          <w:rFonts w:ascii="Arial" w:hAnsi="Arial" w:cs="Arial"/>
          <w:sz w:val="24"/>
          <w:szCs w:val="24"/>
          <w:lang w:eastAsia="es-CR"/>
        </w:rPr>
      </w:pPr>
      <w:r w:rsidRPr="00653C97">
        <w:rPr>
          <w:rFonts w:ascii="Arial" w:hAnsi="Arial" w:cs="Arial"/>
          <w:bCs/>
          <w:sz w:val="24"/>
          <w:szCs w:val="24"/>
          <w:lang w:eastAsia="es-CR"/>
        </w:rPr>
        <w:t>d)</w:t>
      </w:r>
      <w:r w:rsidR="008304B9">
        <w:rPr>
          <w:rFonts w:ascii="Arial" w:hAnsi="Arial" w:cs="Arial"/>
          <w:b/>
          <w:bCs/>
          <w:sz w:val="24"/>
          <w:szCs w:val="24"/>
          <w:lang w:eastAsia="es-CR"/>
        </w:rPr>
        <w:tab/>
      </w:r>
      <w:r w:rsidRPr="00611D35">
        <w:rPr>
          <w:rFonts w:ascii="Arial" w:hAnsi="Arial" w:cs="Arial"/>
          <w:sz w:val="24"/>
          <w:szCs w:val="24"/>
          <w:lang w:eastAsia="es-CR"/>
        </w:rPr>
        <w:t>Los plazos para realizar los desembolsos son inferiores a tres (3) años, y los plazos para amortización son inferiores a quince (15) años, contados a partir de la suscri</w:t>
      </w:r>
      <w:r w:rsidR="00E26CA9">
        <w:rPr>
          <w:rFonts w:ascii="Arial" w:hAnsi="Arial" w:cs="Arial"/>
          <w:sz w:val="24"/>
          <w:szCs w:val="24"/>
          <w:lang w:eastAsia="es-CR"/>
        </w:rPr>
        <w:t>pción del contrato de préstamo.</w:t>
      </w:r>
    </w:p>
    <w:p w:rsidR="00FF0D18" w:rsidRDefault="00FF0D18" w:rsidP="00E26CA9">
      <w:pPr>
        <w:spacing w:after="0" w:line="240" w:lineRule="auto"/>
        <w:rPr>
          <w:rFonts w:ascii="Arial" w:hAnsi="Arial" w:cs="Arial"/>
          <w:b/>
          <w:sz w:val="24"/>
          <w:szCs w:val="24"/>
          <w:lang w:val="es-ES_tradnl"/>
        </w:rPr>
      </w:pPr>
    </w:p>
    <w:p w:rsidR="00FF0D18" w:rsidRPr="00AF52E3" w:rsidRDefault="00653C97" w:rsidP="00E26CA9">
      <w:pPr>
        <w:autoSpaceDE w:val="0"/>
        <w:autoSpaceDN w:val="0"/>
        <w:adjustRightInd w:val="0"/>
        <w:spacing w:after="0" w:line="240" w:lineRule="auto"/>
        <w:rPr>
          <w:rFonts w:ascii="Arial" w:hAnsi="Arial" w:cs="Arial"/>
          <w:color w:val="000000"/>
          <w:sz w:val="24"/>
          <w:szCs w:val="24"/>
          <w:lang w:eastAsia="es-CR"/>
        </w:rPr>
      </w:pPr>
      <w:r w:rsidRPr="00AF52E3">
        <w:rPr>
          <w:rFonts w:ascii="Arial" w:hAnsi="Arial" w:cs="Arial"/>
          <w:color w:val="000000"/>
          <w:sz w:val="24"/>
          <w:szCs w:val="24"/>
          <w:lang w:eastAsia="es-CR"/>
        </w:rPr>
        <w:t>ARTÍCULO 4-</w:t>
      </w:r>
      <w:r w:rsidRPr="00AF52E3">
        <w:rPr>
          <w:rFonts w:ascii="Arial" w:hAnsi="Arial" w:cs="Arial"/>
          <w:color w:val="000000"/>
          <w:sz w:val="24"/>
          <w:szCs w:val="24"/>
          <w:lang w:eastAsia="es-CR"/>
        </w:rPr>
        <w:tab/>
      </w:r>
      <w:r w:rsidR="00FF0D18" w:rsidRPr="00AF52E3">
        <w:rPr>
          <w:rFonts w:ascii="Arial" w:hAnsi="Arial" w:cs="Arial"/>
          <w:color w:val="000000"/>
          <w:sz w:val="24"/>
          <w:szCs w:val="24"/>
          <w:lang w:eastAsia="es-CR"/>
        </w:rPr>
        <w:t>Verificación de factibilidad</w:t>
      </w:r>
    </w:p>
    <w:p w:rsidR="00E26CA9" w:rsidRPr="00B8254B" w:rsidRDefault="00E26CA9" w:rsidP="00E26CA9">
      <w:pPr>
        <w:autoSpaceDE w:val="0"/>
        <w:autoSpaceDN w:val="0"/>
        <w:adjustRightInd w:val="0"/>
        <w:spacing w:after="0" w:line="240" w:lineRule="auto"/>
        <w:rPr>
          <w:rFonts w:ascii="Arial" w:hAnsi="Arial" w:cs="Arial"/>
          <w:b/>
          <w:color w:val="000000"/>
          <w:sz w:val="24"/>
          <w:szCs w:val="24"/>
          <w:lang w:eastAsia="es-CR"/>
        </w:rPr>
      </w:pPr>
    </w:p>
    <w:p w:rsidR="00FF0D18" w:rsidRPr="00E26CA9" w:rsidRDefault="00FF0D18" w:rsidP="00E26CA9">
      <w:pPr>
        <w:spacing w:after="0" w:line="240" w:lineRule="auto"/>
        <w:jc w:val="both"/>
        <w:rPr>
          <w:rFonts w:ascii="Arial" w:hAnsi="Arial" w:cs="Arial"/>
          <w:sz w:val="24"/>
          <w:szCs w:val="24"/>
          <w:lang w:eastAsia="es-CR"/>
        </w:rPr>
      </w:pPr>
      <w:r w:rsidRPr="00B8254B">
        <w:rPr>
          <w:rFonts w:ascii="Arial" w:hAnsi="Arial" w:cs="Arial"/>
          <w:sz w:val="24"/>
          <w:szCs w:val="24"/>
          <w:lang w:eastAsia="es-CR"/>
        </w:rPr>
        <w:t xml:space="preserve">La ejecución del proyecto de la carretera a San Carlos previsto para la segunda operación de financiamiento, está sujeta a la verificación de la factibilidad del proyecto con los estudios a efectuarse con la primera operación individual. </w:t>
      </w:r>
      <w:r w:rsidR="00E26CA9">
        <w:rPr>
          <w:rFonts w:ascii="Arial" w:hAnsi="Arial" w:cs="Arial"/>
          <w:sz w:val="24"/>
          <w:szCs w:val="24"/>
          <w:lang w:eastAsia="es-CR"/>
        </w:rPr>
        <w:t xml:space="preserve"> </w:t>
      </w:r>
      <w:r w:rsidRPr="00B8254B">
        <w:rPr>
          <w:rFonts w:ascii="Arial" w:hAnsi="Arial" w:cs="Arial"/>
          <w:sz w:val="24"/>
          <w:szCs w:val="24"/>
          <w:lang w:eastAsia="es-CR"/>
        </w:rPr>
        <w:t>En caso de</w:t>
      </w:r>
      <w:r w:rsidRPr="00E26CA9">
        <w:rPr>
          <w:rFonts w:ascii="Arial" w:hAnsi="Arial" w:cs="Arial"/>
          <w:sz w:val="24"/>
          <w:szCs w:val="24"/>
          <w:lang w:eastAsia="es-CR"/>
        </w:rPr>
        <w:t xml:space="preserve"> </w:t>
      </w:r>
      <w:r w:rsidRPr="00E171A2">
        <w:rPr>
          <w:rFonts w:ascii="Arial" w:hAnsi="Arial" w:cs="Arial"/>
          <w:sz w:val="24"/>
          <w:szCs w:val="24"/>
          <w:lang w:eastAsia="es-CR"/>
        </w:rPr>
        <w:t xml:space="preserve">que, como resultado de los estudios previstos, </w:t>
      </w:r>
      <w:r w:rsidRPr="00B8254B">
        <w:rPr>
          <w:rFonts w:ascii="Arial" w:hAnsi="Arial" w:cs="Arial"/>
          <w:sz w:val="24"/>
          <w:szCs w:val="24"/>
          <w:lang w:eastAsia="es-CR"/>
        </w:rPr>
        <w:t xml:space="preserve">no fuera factible financiarla en el marco del Convenio de Cooperación para el financiamiento de Proyectos de Inversión (CCLIP) CR-O0005, el Ministerio de Obras Públicas y Transportes (MOPT) </w:t>
      </w:r>
      <w:r w:rsidRPr="00E171A2">
        <w:rPr>
          <w:rFonts w:ascii="Arial" w:hAnsi="Arial" w:cs="Arial"/>
          <w:sz w:val="24"/>
          <w:szCs w:val="24"/>
          <w:lang w:eastAsia="es-CR"/>
        </w:rPr>
        <w:t>podrá, en acuerdo con el Banco Interamericano de Desarrollo, seleccionar para financiamiento, otros proyectos que resulten factibles y que se encuentren en el Plan Nacional de Transportes (PNT) vigente en ese momento.</w:t>
      </w:r>
    </w:p>
    <w:p w:rsidR="00FF0D18" w:rsidRPr="00AF52E3" w:rsidRDefault="00FF0D18" w:rsidP="00E26CA9">
      <w:pPr>
        <w:spacing w:after="0" w:line="240" w:lineRule="auto"/>
        <w:jc w:val="both"/>
        <w:rPr>
          <w:rFonts w:ascii="Arial" w:hAnsi="Arial" w:cs="Arial"/>
          <w:bCs/>
          <w:sz w:val="24"/>
          <w:szCs w:val="24"/>
          <w:lang w:val="es-ES_tradnl"/>
        </w:rPr>
      </w:pPr>
    </w:p>
    <w:p w:rsidR="008304B9" w:rsidRDefault="008304B9">
      <w:pPr>
        <w:spacing w:after="0" w:line="240" w:lineRule="auto"/>
        <w:jc w:val="both"/>
        <w:rPr>
          <w:rFonts w:ascii="Arial" w:hAnsi="Arial" w:cs="Arial"/>
          <w:bCs/>
          <w:sz w:val="24"/>
          <w:szCs w:val="24"/>
          <w:lang w:val="es-ES_tradnl"/>
        </w:rPr>
      </w:pPr>
      <w:r>
        <w:rPr>
          <w:rFonts w:ascii="Arial" w:hAnsi="Arial" w:cs="Arial"/>
          <w:bCs/>
          <w:sz w:val="24"/>
          <w:szCs w:val="24"/>
          <w:lang w:val="es-ES_tradnl"/>
        </w:rPr>
        <w:br w:type="page"/>
      </w:r>
    </w:p>
    <w:p w:rsidR="00FF0D18" w:rsidRPr="00AF52E3" w:rsidRDefault="00653C97" w:rsidP="00E26CA9">
      <w:pPr>
        <w:spacing w:after="0" w:line="240" w:lineRule="auto"/>
        <w:jc w:val="both"/>
        <w:rPr>
          <w:rFonts w:ascii="Arial" w:hAnsi="Arial" w:cs="Arial"/>
          <w:bCs/>
          <w:sz w:val="24"/>
          <w:szCs w:val="24"/>
          <w:lang w:val="es-ES_tradnl"/>
        </w:rPr>
      </w:pPr>
      <w:r w:rsidRPr="00AF52E3">
        <w:rPr>
          <w:rFonts w:ascii="Arial" w:hAnsi="Arial" w:cs="Arial"/>
          <w:bCs/>
          <w:sz w:val="24"/>
          <w:szCs w:val="24"/>
          <w:lang w:val="es-ES_tradnl"/>
        </w:rPr>
        <w:lastRenderedPageBreak/>
        <w:t>ARTÍCULO 5-</w:t>
      </w:r>
      <w:r w:rsidRPr="00AF52E3">
        <w:rPr>
          <w:rFonts w:ascii="Arial" w:hAnsi="Arial" w:cs="Arial"/>
          <w:bCs/>
          <w:sz w:val="24"/>
          <w:szCs w:val="24"/>
          <w:lang w:val="es-ES_tradnl"/>
        </w:rPr>
        <w:tab/>
      </w:r>
      <w:r w:rsidR="00FF0D18" w:rsidRPr="00AF52E3">
        <w:rPr>
          <w:rFonts w:ascii="Arial" w:hAnsi="Arial" w:cs="Arial"/>
          <w:bCs/>
          <w:sz w:val="24"/>
          <w:szCs w:val="24"/>
          <w:lang w:val="es-ES_tradnl"/>
        </w:rPr>
        <w:t>Mecanismo de ejecución</w:t>
      </w:r>
    </w:p>
    <w:p w:rsidR="00E26CA9" w:rsidRPr="009E1031" w:rsidRDefault="00E26CA9" w:rsidP="00E26CA9">
      <w:pPr>
        <w:spacing w:after="0" w:line="240" w:lineRule="auto"/>
        <w:jc w:val="both"/>
        <w:rPr>
          <w:rFonts w:ascii="Arial" w:hAnsi="Arial" w:cs="Arial"/>
          <w:b/>
          <w:bCs/>
          <w:sz w:val="24"/>
          <w:szCs w:val="24"/>
          <w:lang w:val="es-ES_tradnl"/>
        </w:rPr>
      </w:pPr>
    </w:p>
    <w:p w:rsidR="00FF0D18" w:rsidRDefault="00FF0D18" w:rsidP="00E26CA9">
      <w:pPr>
        <w:pStyle w:val="NormalWeb"/>
        <w:spacing w:before="0" w:beforeAutospacing="0" w:after="0" w:afterAutospacing="0"/>
        <w:jc w:val="both"/>
        <w:rPr>
          <w:rFonts w:ascii="Arial" w:hAnsi="Arial" w:cs="Arial"/>
          <w:color w:val="000000"/>
          <w:bdr w:val="none" w:sz="0" w:space="0" w:color="auto" w:frame="1"/>
        </w:rPr>
      </w:pPr>
      <w:r w:rsidRPr="009E1031">
        <w:rPr>
          <w:rFonts w:ascii="Arial" w:hAnsi="Arial" w:cs="Arial"/>
          <w:color w:val="000000"/>
          <w:bdr w:val="none" w:sz="0" w:space="0" w:color="auto" w:frame="1"/>
        </w:rPr>
        <w:t>El Ministerio de Obras Públicas y Transportes será el Organismo Ejecutor del Programa. Para desempeñar esta función, el Organismo Ejecutor contará con la siguiente estructura de apoyo:</w:t>
      </w:r>
    </w:p>
    <w:p w:rsidR="008304B9" w:rsidRPr="009E1031" w:rsidRDefault="008304B9" w:rsidP="00E26CA9">
      <w:pPr>
        <w:pStyle w:val="NormalWeb"/>
        <w:spacing w:before="0" w:beforeAutospacing="0" w:after="0" w:afterAutospacing="0"/>
        <w:jc w:val="both"/>
        <w:rPr>
          <w:rFonts w:ascii="Arial" w:hAnsi="Arial" w:cs="Arial"/>
          <w:color w:val="201F1E"/>
        </w:rPr>
      </w:pPr>
    </w:p>
    <w:p w:rsidR="00FF0D18" w:rsidRDefault="00E26CA9" w:rsidP="00E26CA9">
      <w:pPr>
        <w:pStyle w:val="NormalWeb"/>
        <w:spacing w:before="0" w:beforeAutospacing="0" w:after="0" w:afterAutospacing="0"/>
        <w:ind w:left="1405" w:hanging="555"/>
        <w:jc w:val="both"/>
        <w:rPr>
          <w:rFonts w:ascii="Arial" w:hAnsi="Arial" w:cs="Arial"/>
          <w:color w:val="000000"/>
          <w:bdr w:val="none" w:sz="0" w:space="0" w:color="auto" w:frame="1"/>
        </w:rPr>
      </w:pPr>
      <w:r>
        <w:rPr>
          <w:rFonts w:ascii="Arial" w:hAnsi="Arial" w:cs="Arial"/>
          <w:color w:val="000000"/>
          <w:bdr w:val="none" w:sz="0" w:space="0" w:color="auto" w:frame="1"/>
        </w:rPr>
        <w:t>i)</w:t>
      </w:r>
      <w:r>
        <w:rPr>
          <w:rFonts w:ascii="Arial" w:hAnsi="Arial" w:cs="Arial"/>
          <w:color w:val="000000"/>
          <w:bdr w:val="none" w:sz="0" w:space="0" w:color="auto" w:frame="1"/>
        </w:rPr>
        <w:tab/>
      </w:r>
      <w:r w:rsidR="00FF0D18" w:rsidRPr="00653C97">
        <w:rPr>
          <w:rFonts w:ascii="Arial" w:hAnsi="Arial" w:cs="Arial"/>
          <w:b/>
          <w:bCs/>
          <w:color w:val="000000"/>
          <w:bdr w:val="none" w:sz="0" w:space="0" w:color="auto" w:frame="1"/>
        </w:rPr>
        <w:t>Comité Asesor de la Supervisión.</w:t>
      </w:r>
      <w:r>
        <w:rPr>
          <w:rFonts w:ascii="Arial" w:hAnsi="Arial" w:cs="Arial"/>
          <w:color w:val="000000"/>
          <w:bdr w:val="none" w:sz="0" w:space="0" w:color="auto" w:frame="1"/>
        </w:rPr>
        <w:t xml:space="preserve"> </w:t>
      </w:r>
      <w:r w:rsidR="00FF0D18" w:rsidRPr="009E1031">
        <w:rPr>
          <w:rFonts w:ascii="Arial" w:hAnsi="Arial" w:cs="Arial"/>
          <w:color w:val="000000"/>
          <w:bdr w:val="none" w:sz="0" w:space="0" w:color="auto" w:frame="1"/>
        </w:rPr>
        <w:t>Se empleará la figura de un Comité Asesor de la Supervisión (CAS), con una Unidad Asesora (UA), en el Ministerio de Obras Públicas y Transportes, que estará a cargo de la supervisión general del programa.</w:t>
      </w:r>
    </w:p>
    <w:p w:rsidR="00E26CA9" w:rsidRPr="009E1031" w:rsidRDefault="00E26CA9" w:rsidP="00E26CA9">
      <w:pPr>
        <w:pStyle w:val="NormalWeb"/>
        <w:spacing w:before="0" w:beforeAutospacing="0" w:after="0" w:afterAutospacing="0"/>
        <w:ind w:left="850"/>
        <w:jc w:val="both"/>
        <w:rPr>
          <w:rFonts w:ascii="Arial" w:hAnsi="Arial" w:cs="Arial"/>
          <w:color w:val="201F1E"/>
        </w:rPr>
      </w:pPr>
    </w:p>
    <w:p w:rsidR="00FF0D18" w:rsidRDefault="00E26CA9" w:rsidP="00E26CA9">
      <w:pPr>
        <w:pStyle w:val="NormalWeb"/>
        <w:spacing w:before="0" w:beforeAutospacing="0" w:after="0" w:afterAutospacing="0"/>
        <w:ind w:left="1405" w:hanging="555"/>
        <w:jc w:val="both"/>
        <w:rPr>
          <w:rFonts w:ascii="Arial" w:hAnsi="Arial" w:cs="Arial"/>
          <w:color w:val="000000"/>
          <w:bdr w:val="none" w:sz="0" w:space="0" w:color="auto" w:frame="1"/>
        </w:rPr>
      </w:pPr>
      <w:r>
        <w:rPr>
          <w:rFonts w:ascii="Arial" w:hAnsi="Arial" w:cs="Arial"/>
          <w:color w:val="000000"/>
          <w:bdr w:val="none" w:sz="0" w:space="0" w:color="auto" w:frame="1"/>
        </w:rPr>
        <w:t>ii)</w:t>
      </w:r>
      <w:r>
        <w:rPr>
          <w:rFonts w:ascii="Arial" w:hAnsi="Arial" w:cs="Arial"/>
          <w:color w:val="000000"/>
          <w:bdr w:val="none" w:sz="0" w:space="0" w:color="auto" w:frame="1"/>
        </w:rPr>
        <w:tab/>
      </w:r>
      <w:r w:rsidR="00FF0D18" w:rsidRPr="009E1031">
        <w:rPr>
          <w:rFonts w:ascii="Arial" w:hAnsi="Arial" w:cs="Arial"/>
          <w:b/>
          <w:bCs/>
          <w:color w:val="000000"/>
          <w:bdr w:val="none" w:sz="0" w:space="0" w:color="auto" w:frame="1"/>
        </w:rPr>
        <w:t>Unidad Administradora ruta 1.</w:t>
      </w:r>
      <w:r>
        <w:rPr>
          <w:rFonts w:ascii="Arial" w:hAnsi="Arial" w:cs="Arial"/>
          <w:color w:val="000000"/>
          <w:bdr w:val="none" w:sz="0" w:space="0" w:color="auto" w:frame="1"/>
        </w:rPr>
        <w:t xml:space="preserve"> </w:t>
      </w:r>
      <w:r w:rsidR="00FF0D18" w:rsidRPr="009E1031">
        <w:rPr>
          <w:rFonts w:ascii="Arial" w:hAnsi="Arial" w:cs="Arial"/>
          <w:color w:val="000000"/>
          <w:bdr w:val="none" w:sz="0" w:space="0" w:color="auto" w:frame="1"/>
        </w:rPr>
        <w:t>Se podrá emplear el apoyo de la Unidad Administradora del Proyecto del “</w:t>
      </w:r>
      <w:r w:rsidR="00FF0D18" w:rsidRPr="009E1031">
        <w:rPr>
          <w:rFonts w:ascii="Arial" w:hAnsi="Arial" w:cs="Arial"/>
          <w:i/>
          <w:iCs/>
          <w:color w:val="000000"/>
          <w:bdr w:val="none" w:sz="0" w:space="0" w:color="auto" w:frame="1"/>
        </w:rPr>
        <w:t>Fideicomiso Corredor San José - San Ramón y sus Radiales, 2016</w:t>
      </w:r>
      <w:r w:rsidR="00FF0D18" w:rsidRPr="009E1031">
        <w:rPr>
          <w:rFonts w:ascii="Arial" w:hAnsi="Arial" w:cs="Arial"/>
          <w:color w:val="000000"/>
          <w:bdr w:val="none" w:sz="0" w:space="0" w:color="auto" w:frame="1"/>
        </w:rPr>
        <w:t>”, que actuará como subejecutor del programa específicamente para la gestión técnica y financiera de las Obras Impostergables en el corredor San José - San Ramón (Ruta 1).</w:t>
      </w:r>
    </w:p>
    <w:p w:rsidR="00E26CA9" w:rsidRPr="009E1031" w:rsidRDefault="00E26CA9" w:rsidP="00E26CA9">
      <w:pPr>
        <w:pStyle w:val="NormalWeb"/>
        <w:spacing w:before="0" w:beforeAutospacing="0" w:after="0" w:afterAutospacing="0"/>
        <w:ind w:left="850"/>
        <w:jc w:val="both"/>
        <w:rPr>
          <w:rFonts w:ascii="Arial" w:hAnsi="Arial" w:cs="Arial"/>
          <w:color w:val="201F1E"/>
        </w:rPr>
      </w:pPr>
    </w:p>
    <w:p w:rsidR="00FF0D18" w:rsidRDefault="00FF0D18" w:rsidP="00E26CA9">
      <w:pPr>
        <w:pStyle w:val="NormalWeb"/>
        <w:spacing w:before="0" w:beforeAutospacing="0" w:after="0" w:afterAutospacing="0"/>
        <w:ind w:left="1405" w:hanging="555"/>
        <w:jc w:val="both"/>
        <w:rPr>
          <w:rFonts w:ascii="Arial" w:hAnsi="Arial" w:cs="Arial"/>
          <w:color w:val="000000"/>
          <w:bdr w:val="none" w:sz="0" w:space="0" w:color="auto" w:frame="1"/>
        </w:rPr>
      </w:pPr>
      <w:r>
        <w:rPr>
          <w:rFonts w:ascii="Verdana" w:hAnsi="Verdana"/>
          <w:color w:val="000000"/>
          <w:sz w:val="20"/>
          <w:szCs w:val="20"/>
          <w:bdr w:val="none" w:sz="0" w:space="0" w:color="auto" w:frame="1"/>
        </w:rPr>
        <w:t>iii</w:t>
      </w:r>
      <w:r w:rsidR="00E26CA9">
        <w:rPr>
          <w:rFonts w:ascii="Arial" w:hAnsi="Arial" w:cs="Arial"/>
          <w:color w:val="000000"/>
          <w:bdr w:val="none" w:sz="0" w:space="0" w:color="auto" w:frame="1"/>
        </w:rPr>
        <w:t>)</w:t>
      </w:r>
      <w:r w:rsidR="00E26CA9">
        <w:rPr>
          <w:rFonts w:ascii="Arial" w:hAnsi="Arial" w:cs="Arial"/>
          <w:color w:val="000000"/>
          <w:bdr w:val="none" w:sz="0" w:space="0" w:color="auto" w:frame="1"/>
        </w:rPr>
        <w:tab/>
      </w:r>
      <w:r w:rsidRPr="009E1031">
        <w:rPr>
          <w:rFonts w:ascii="Arial" w:hAnsi="Arial" w:cs="Arial"/>
          <w:b/>
          <w:bCs/>
          <w:color w:val="000000"/>
          <w:bdr w:val="none" w:sz="0" w:space="0" w:color="auto" w:frame="1"/>
        </w:rPr>
        <w:t>Unidad Ejecutora y Fideicomiso.</w:t>
      </w:r>
      <w:r w:rsidR="00E26CA9">
        <w:rPr>
          <w:rFonts w:ascii="Arial" w:hAnsi="Arial" w:cs="Arial"/>
          <w:color w:val="000000"/>
          <w:bdr w:val="none" w:sz="0" w:space="0" w:color="auto" w:frame="1"/>
        </w:rPr>
        <w:t xml:space="preserve"> </w:t>
      </w:r>
      <w:r w:rsidRPr="009E1031">
        <w:rPr>
          <w:rFonts w:ascii="Arial" w:hAnsi="Arial" w:cs="Arial"/>
          <w:color w:val="000000"/>
          <w:bdr w:val="none" w:sz="0" w:space="0" w:color="auto" w:frame="1"/>
        </w:rPr>
        <w:t xml:space="preserve">El Organismo Ejecutor contará con el apoyo de una Unidad Ejecutora, para realizar la gestión administrativa, técnica y legal del Programa, y de un Fideicomiso, para realizar la gestión financiera del Programa, a excepción de las Obras Impostergables en el corredor </w:t>
      </w:r>
      <w:r w:rsidR="00E26CA9">
        <w:rPr>
          <w:rFonts w:ascii="Arial" w:hAnsi="Arial" w:cs="Arial"/>
          <w:color w:val="000000"/>
          <w:bdr w:val="none" w:sz="0" w:space="0" w:color="auto" w:frame="1"/>
        </w:rPr>
        <w:t xml:space="preserve">San José - San Ramón (Ruta 1).  </w:t>
      </w:r>
      <w:r w:rsidRPr="009E1031">
        <w:rPr>
          <w:rFonts w:ascii="Arial" w:hAnsi="Arial" w:cs="Arial"/>
          <w:color w:val="000000"/>
          <w:bdr w:val="none" w:sz="0" w:space="0" w:color="auto" w:frame="1"/>
        </w:rPr>
        <w:t>En caso de no lograrse un acuerdo razonable para el desarrollo de esta función por parte de estas entidades (el Fideicomiso y la Unidad Ejecutora), el Organismo Ejecutor podrá proponer y acordar con el Banco Interamericano de Desarrollo, el empleo de un Fideicomiso y/o Unidad Ejecutora diferentes para desarrollar cabalmente esta función, siguiendo las políticas y procedimientos previstos en este contrato de Préstamo.</w:t>
      </w:r>
    </w:p>
    <w:p w:rsidR="00E26CA9" w:rsidRDefault="00E26CA9" w:rsidP="00E26CA9">
      <w:pPr>
        <w:pStyle w:val="NormalWeb"/>
        <w:spacing w:before="0" w:beforeAutospacing="0" w:after="0" w:afterAutospacing="0"/>
        <w:ind w:left="705" w:hanging="705"/>
        <w:jc w:val="both"/>
        <w:rPr>
          <w:rFonts w:ascii="Verdana" w:hAnsi="Verdana"/>
          <w:color w:val="201F1E"/>
          <w:sz w:val="20"/>
          <w:szCs w:val="20"/>
        </w:rPr>
      </w:pPr>
    </w:p>
    <w:p w:rsidR="00FF0D18" w:rsidRDefault="00FF0D18" w:rsidP="00E26CA9">
      <w:pPr>
        <w:pStyle w:val="NormalWeb"/>
        <w:spacing w:before="0" w:beforeAutospacing="0" w:after="0" w:afterAutospacing="0"/>
        <w:jc w:val="both"/>
        <w:rPr>
          <w:rFonts w:ascii="Arial" w:eastAsia="Calibri" w:hAnsi="Arial" w:cs="Arial"/>
          <w:bCs/>
          <w:lang w:val="es-ES_tradnl" w:eastAsia="en-US"/>
        </w:rPr>
      </w:pPr>
      <w:r w:rsidRPr="009E1031">
        <w:rPr>
          <w:rFonts w:ascii="Arial" w:eastAsia="Calibri" w:hAnsi="Arial" w:cs="Arial"/>
          <w:bCs/>
          <w:lang w:val="es-ES_tradnl" w:eastAsia="en-US"/>
        </w:rPr>
        <w:t xml:space="preserve">Si para lograr los objetivos del Programa, fuera necesario realizar un ajuste en el mecanismo de ejecución descrito, </w:t>
      </w:r>
      <w:r w:rsidRPr="00F42A9A">
        <w:rPr>
          <w:rFonts w:ascii="Arial" w:eastAsia="Calibri" w:hAnsi="Arial" w:cs="Arial"/>
          <w:bCs/>
          <w:lang w:val="es-ES_tradnl" w:eastAsia="en-US"/>
        </w:rPr>
        <w:t xml:space="preserve">el Organismo Ejecutor podrá proponer y acordar </w:t>
      </w:r>
      <w:r w:rsidRPr="009E1031">
        <w:rPr>
          <w:rFonts w:ascii="Arial" w:eastAsia="Calibri" w:hAnsi="Arial" w:cs="Arial"/>
          <w:bCs/>
          <w:lang w:val="es-ES_tradnl" w:eastAsia="en-US"/>
        </w:rPr>
        <w:t>con el Banco Interamericano de Desar</w:t>
      </w:r>
      <w:r w:rsidR="00E26CA9">
        <w:rPr>
          <w:rFonts w:ascii="Arial" w:eastAsia="Calibri" w:hAnsi="Arial" w:cs="Arial"/>
          <w:bCs/>
          <w:lang w:val="es-ES_tradnl" w:eastAsia="en-US"/>
        </w:rPr>
        <w:t xml:space="preserve">rollo los ajustes pertinentes.  </w:t>
      </w:r>
      <w:r w:rsidRPr="009E1031">
        <w:rPr>
          <w:rFonts w:ascii="Arial" w:eastAsia="Calibri" w:hAnsi="Arial" w:cs="Arial"/>
          <w:bCs/>
          <w:lang w:val="es-ES_tradnl" w:eastAsia="en-US"/>
        </w:rPr>
        <w:t>Todos los cambios convenidos deberán reflejarse en el</w:t>
      </w:r>
      <w:r>
        <w:rPr>
          <w:rFonts w:ascii="Arial" w:eastAsia="Calibri" w:hAnsi="Arial" w:cs="Arial"/>
          <w:bCs/>
          <w:lang w:val="es-ES_tradnl" w:eastAsia="en-US"/>
        </w:rPr>
        <w:t xml:space="preserve"> Manual Operativo del Programa.</w:t>
      </w:r>
    </w:p>
    <w:p w:rsidR="00E26CA9" w:rsidRPr="003032C7" w:rsidRDefault="00E26CA9" w:rsidP="00E26CA9">
      <w:pPr>
        <w:pStyle w:val="NormalWeb"/>
        <w:spacing w:before="0" w:beforeAutospacing="0" w:after="0" w:afterAutospacing="0"/>
        <w:jc w:val="both"/>
        <w:rPr>
          <w:rFonts w:ascii="Arial" w:eastAsia="Calibri" w:hAnsi="Arial" w:cs="Arial"/>
          <w:bCs/>
          <w:lang w:val="es-ES_tradnl" w:eastAsia="en-US"/>
        </w:rPr>
      </w:pPr>
    </w:p>
    <w:p w:rsidR="00FF0D18" w:rsidRPr="00AF52E3" w:rsidRDefault="00FF0D18" w:rsidP="00E26CA9">
      <w:pPr>
        <w:spacing w:after="0" w:line="240" w:lineRule="auto"/>
        <w:rPr>
          <w:rFonts w:ascii="Arial" w:hAnsi="Arial" w:cs="Arial"/>
          <w:sz w:val="24"/>
          <w:szCs w:val="24"/>
          <w:lang w:val="es-ES_tradnl"/>
        </w:rPr>
      </w:pPr>
      <w:r w:rsidRPr="00AF52E3">
        <w:rPr>
          <w:rFonts w:ascii="Arial" w:hAnsi="Arial" w:cs="Arial"/>
          <w:sz w:val="24"/>
          <w:szCs w:val="24"/>
          <w:lang w:val="es-ES_tradnl"/>
        </w:rPr>
        <w:t>ARTÍCULO 6</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Expropiaciones y reasentamientos</w:t>
      </w:r>
    </w:p>
    <w:p w:rsidR="00E26CA9" w:rsidRPr="00611D35" w:rsidRDefault="00E26CA9" w:rsidP="00E26CA9">
      <w:pPr>
        <w:spacing w:after="0" w:line="240" w:lineRule="auto"/>
        <w:rPr>
          <w:rFonts w:ascii="Arial" w:hAnsi="Arial" w:cs="Arial"/>
          <w:b/>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Para los efectos del trámite de los procesos de expropiación de los terrenos </w:t>
      </w:r>
      <w:r w:rsidRPr="00E171A2">
        <w:rPr>
          <w:rFonts w:ascii="Arial" w:hAnsi="Arial" w:cs="Arial"/>
          <w:bCs/>
          <w:sz w:val="24"/>
          <w:szCs w:val="24"/>
          <w:lang w:val="es-ES_tradnl"/>
        </w:rPr>
        <w:t xml:space="preserve">requeridos para la ejecución del Programa, la Unidad Ejecutora designada por el MOPT, por </w:t>
      </w:r>
      <w:r w:rsidRPr="00611D35">
        <w:rPr>
          <w:rFonts w:ascii="Arial" w:hAnsi="Arial" w:cs="Arial"/>
          <w:bCs/>
          <w:sz w:val="24"/>
          <w:szCs w:val="24"/>
          <w:lang w:val="es-ES_tradnl"/>
        </w:rPr>
        <w:t xml:space="preserve">medio de los profesionales que la integran o mediante consultores especialistas contratados para el apoyo en las gestiones que se requieran, podrá encargarse directamente de todas las actuaciones preparatorias requeridas para el dictado de los actos administrativos que le competen al organismo ejecutor. </w:t>
      </w:r>
      <w:r w:rsidR="00653C97">
        <w:rPr>
          <w:rFonts w:ascii="Arial" w:hAnsi="Arial" w:cs="Arial"/>
          <w:bCs/>
          <w:sz w:val="24"/>
          <w:szCs w:val="24"/>
          <w:lang w:val="es-ES_tradnl"/>
        </w:rPr>
        <w:t xml:space="preserve"> </w:t>
      </w:r>
      <w:r w:rsidRPr="00611D35">
        <w:rPr>
          <w:rFonts w:ascii="Arial" w:hAnsi="Arial" w:cs="Arial"/>
          <w:bCs/>
          <w:sz w:val="24"/>
          <w:szCs w:val="24"/>
          <w:lang w:val="es-ES_tradnl"/>
        </w:rPr>
        <w:t xml:space="preserve">Esas actuaciones preparatorias incluyen, la elaboración de estudios técnicos, planos catastrados para expropiación, incluidos los derivados de relocalización de servicios </w:t>
      </w:r>
      <w:r w:rsidRPr="00611D35">
        <w:rPr>
          <w:rFonts w:ascii="Arial" w:hAnsi="Arial" w:cs="Arial"/>
          <w:bCs/>
          <w:sz w:val="24"/>
          <w:szCs w:val="24"/>
          <w:lang w:val="es-ES_tradnl"/>
        </w:rPr>
        <w:lastRenderedPageBreak/>
        <w:t>públicos, dictámenes jurídicos, valoraciones sociales, gestoría vial, avalúos de bienes inmuebles y derechos comerciales, estudio</w:t>
      </w:r>
      <w:r w:rsidR="00E26CA9">
        <w:rPr>
          <w:rFonts w:ascii="Arial" w:hAnsi="Arial" w:cs="Arial"/>
          <w:bCs/>
          <w:sz w:val="24"/>
          <w:szCs w:val="24"/>
          <w:lang w:val="es-ES_tradnl"/>
        </w:rPr>
        <w:t>s socioeconómicos, entre otros.</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De existir limitación procedimental o presupuestaria por parte de las instituciones estatales encargadas de la implementación de las medidas sociales</w:t>
      </w:r>
      <w:r>
        <w:rPr>
          <w:rFonts w:ascii="Arial" w:hAnsi="Arial" w:cs="Arial"/>
          <w:bCs/>
          <w:sz w:val="24"/>
          <w:szCs w:val="24"/>
          <w:lang w:val="es-ES_tradnl"/>
        </w:rPr>
        <w:t>, incluidos los planes de reasentamiento necesarios para cumplir con lo dispuesto en los respectivos contratos de préstamos</w:t>
      </w:r>
      <w:r w:rsidRPr="00611D35">
        <w:rPr>
          <w:rFonts w:ascii="Arial" w:hAnsi="Arial" w:cs="Arial"/>
          <w:bCs/>
          <w:sz w:val="24"/>
          <w:szCs w:val="24"/>
          <w:lang w:val="es-ES_tradnl"/>
        </w:rPr>
        <w:t xml:space="preserve">, se faculta al </w:t>
      </w:r>
      <w:r>
        <w:rPr>
          <w:rFonts w:ascii="Arial" w:hAnsi="Arial" w:cs="Arial"/>
          <w:bCs/>
          <w:sz w:val="24"/>
          <w:szCs w:val="24"/>
          <w:lang w:val="es-ES_tradnl"/>
        </w:rPr>
        <w:t>O</w:t>
      </w:r>
      <w:r w:rsidRPr="00611D35">
        <w:rPr>
          <w:rFonts w:ascii="Arial" w:hAnsi="Arial" w:cs="Arial"/>
          <w:bCs/>
          <w:sz w:val="24"/>
          <w:szCs w:val="24"/>
          <w:lang w:val="es-ES_tradnl"/>
        </w:rPr>
        <w:t xml:space="preserve">rganismo </w:t>
      </w:r>
      <w:r>
        <w:rPr>
          <w:rFonts w:ascii="Arial" w:hAnsi="Arial" w:cs="Arial"/>
          <w:bCs/>
          <w:sz w:val="24"/>
          <w:szCs w:val="24"/>
          <w:lang w:val="es-ES_tradnl"/>
        </w:rPr>
        <w:t>E</w:t>
      </w:r>
      <w:r w:rsidRPr="00611D35">
        <w:rPr>
          <w:rFonts w:ascii="Arial" w:hAnsi="Arial" w:cs="Arial"/>
          <w:bCs/>
          <w:sz w:val="24"/>
          <w:szCs w:val="24"/>
          <w:lang w:val="es-ES_tradnl"/>
        </w:rPr>
        <w:t>jecutor el uso de los recursos del financiamiento del Programa para cubrir los procesos y costos relacionados.</w:t>
      </w:r>
    </w:p>
    <w:p w:rsidR="00FF0D18" w:rsidRPr="00611D35" w:rsidRDefault="00FF0D18" w:rsidP="00E26CA9">
      <w:pPr>
        <w:spacing w:after="0" w:line="240" w:lineRule="auto"/>
        <w:jc w:val="both"/>
        <w:rPr>
          <w:rFonts w:ascii="Arial" w:hAnsi="Arial" w:cs="Arial"/>
          <w:bCs/>
          <w:sz w:val="24"/>
          <w:szCs w:val="24"/>
          <w:lang w:val="es-ES_tradnl"/>
        </w:rPr>
      </w:pPr>
    </w:p>
    <w:p w:rsidR="00FF0D18" w:rsidRPr="00E171A2"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Los procedimientos de adquisiciones directas de bienes y derechos inmuebles y las expropiaciones correspondientes a estos deberán realizarse en la forma más expedita posible y se considerarán de interés público primordial. Para los efectos anteriores, se observarán las disposiciones respectivas de la Ley N° 9286 del 11 de noviembre de 2014, y publicada en La Gaceta N° 24 del 4 de febrero de 2015, y se procurará la mayor celeridad</w:t>
      </w:r>
      <w:r>
        <w:rPr>
          <w:rFonts w:ascii="Arial" w:hAnsi="Arial" w:cs="Arial"/>
          <w:bCs/>
          <w:sz w:val="24"/>
          <w:szCs w:val="24"/>
          <w:lang w:val="es-ES_tradnl"/>
        </w:rPr>
        <w:t xml:space="preserve">, </w:t>
      </w:r>
      <w:r w:rsidRPr="00E171A2">
        <w:rPr>
          <w:rFonts w:ascii="Arial" w:hAnsi="Arial" w:cs="Arial"/>
          <w:bCs/>
          <w:sz w:val="24"/>
          <w:szCs w:val="24"/>
          <w:lang w:val="es-ES_tradnl"/>
        </w:rPr>
        <w:t>así como lo dispuesto en el Decreto Ejecutivo N° 42022 del 20 de setiembre del 2019 Oficialización de la Estrategia para la Atención de los Procesos de Adquisición de Derechos de Vías y Relocalización de Servicios en los Proyectos Vinculados a los Planes Nacionales de Desarrollo y Plan Nacional de Transportes.</w:t>
      </w:r>
    </w:p>
    <w:p w:rsidR="00FF0D18" w:rsidRPr="00611D35" w:rsidRDefault="00FF0D18" w:rsidP="00E26CA9">
      <w:pPr>
        <w:spacing w:after="0" w:line="240" w:lineRule="auto"/>
        <w:jc w:val="both"/>
        <w:rPr>
          <w:rFonts w:ascii="Arial" w:hAnsi="Arial" w:cs="Arial"/>
          <w:bCs/>
          <w:sz w:val="24"/>
          <w:szCs w:val="24"/>
          <w:lang w:val="es-ES_tradnl"/>
        </w:rPr>
      </w:pPr>
    </w:p>
    <w:p w:rsidR="00FF0D18" w:rsidRPr="0092024C" w:rsidRDefault="00FF0D18" w:rsidP="00E26CA9">
      <w:pPr>
        <w:spacing w:after="0" w:line="240" w:lineRule="auto"/>
        <w:jc w:val="both"/>
        <w:rPr>
          <w:rFonts w:ascii="Arial" w:hAnsi="Arial" w:cs="Arial"/>
          <w:bCs/>
          <w:sz w:val="24"/>
          <w:szCs w:val="24"/>
        </w:rPr>
      </w:pPr>
      <w:r w:rsidRPr="00611D35">
        <w:rPr>
          <w:rFonts w:ascii="Arial" w:hAnsi="Arial" w:cs="Arial"/>
          <w:bCs/>
          <w:sz w:val="24"/>
          <w:szCs w:val="24"/>
          <w:lang w:val="es-ES_tradnl"/>
        </w:rPr>
        <w:t xml:space="preserve">En el caso de que sea necesario llevar el trámite de adquisición de bienes inmuebles al proceso jurisdiccional de expropiación, una vez depositado el monto del avalúo administrativo ante el órgano jurisdiccional respectivo, este deberá otorgar, en un plazo máximo de tres días hábiles, a los propietarios o poseedores un plazo no mayor de quince días hábiles para que desalojen o desocupen el inmueble o derecho. </w:t>
      </w:r>
      <w:r w:rsidR="00E26CA9">
        <w:rPr>
          <w:rFonts w:ascii="Arial" w:hAnsi="Arial" w:cs="Arial"/>
          <w:bCs/>
          <w:sz w:val="24"/>
          <w:szCs w:val="24"/>
          <w:lang w:val="es-ES_tradnl"/>
        </w:rPr>
        <w:t xml:space="preserve"> </w:t>
      </w:r>
      <w:r w:rsidRPr="00611D35">
        <w:rPr>
          <w:rFonts w:ascii="Arial" w:hAnsi="Arial" w:cs="Arial"/>
          <w:bCs/>
          <w:sz w:val="24"/>
          <w:szCs w:val="24"/>
          <w:lang w:val="es-ES_tradnl"/>
        </w:rPr>
        <w:t>La resolución que se emita no tendrá recurso alguno en sede judicial, ni sus efectos podrán ser suspendidos por la aplicación de medidas cautelares.</w:t>
      </w:r>
    </w:p>
    <w:p w:rsidR="00FF0D18" w:rsidRPr="00611D35" w:rsidRDefault="00FF0D18" w:rsidP="00E26CA9">
      <w:pPr>
        <w:spacing w:after="0" w:line="240" w:lineRule="auto"/>
        <w:jc w:val="both"/>
        <w:rPr>
          <w:rFonts w:ascii="Arial" w:hAnsi="Arial" w:cs="Arial"/>
          <w:bCs/>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7</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Procedimientos</w:t>
      </w:r>
      <w:r w:rsidR="00E26CA9" w:rsidRPr="00AF52E3">
        <w:rPr>
          <w:rFonts w:ascii="Arial" w:hAnsi="Arial" w:cs="Arial"/>
          <w:sz w:val="24"/>
          <w:szCs w:val="24"/>
          <w:lang w:val="es-ES_tradnl"/>
        </w:rPr>
        <w:t xml:space="preserve"> de Contratación Administrativa</w:t>
      </w:r>
    </w:p>
    <w:p w:rsidR="00E26CA9" w:rsidRPr="00611D35" w:rsidRDefault="00E26CA9"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Las Operaciones Individuales a ser financiadas con recursos del Convenio de Cooperación para el Financiamiento de Proyectos de Inversión (CCLIP) CR-O0005 se regirán por las Políticas del Banco en materia de Contratación de Obras y Adquisición de Bienes y Selección y Contratación de Consultores vigentes al momento de la suscripción de los correspondientes Contratos de Préstamo Individual, independientemente del mecanismo de ejecución qu</w:t>
      </w:r>
      <w:r w:rsidR="00E26CA9">
        <w:rPr>
          <w:rFonts w:ascii="Arial" w:hAnsi="Arial" w:cs="Arial"/>
          <w:bCs/>
          <w:sz w:val="24"/>
          <w:szCs w:val="24"/>
          <w:lang w:val="es-ES_tradnl"/>
        </w:rPr>
        <w:t>e utilice el Organismo Ejecutor</w:t>
      </w:r>
      <w:r w:rsidRPr="00611D35">
        <w:rPr>
          <w:rFonts w:ascii="Arial" w:hAnsi="Arial" w:cs="Arial"/>
          <w:bCs/>
          <w:sz w:val="24"/>
          <w:szCs w:val="24"/>
          <w:lang w:val="es-ES_tradnl"/>
        </w:rPr>
        <w:t xml:space="preserve"> las cuales prevalecerán sobre los procedimientos y las normas del ordenamiento jurídico nacional, cuya aplicación será solo supletoria.</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5930A6">
        <w:rPr>
          <w:rFonts w:ascii="Arial" w:hAnsi="Arial" w:cs="Arial"/>
          <w:bCs/>
          <w:sz w:val="24"/>
          <w:szCs w:val="24"/>
          <w:lang w:val="es-ES_tradnl"/>
        </w:rPr>
        <w:t xml:space="preserve">En los casos en que según el monto contractual estimado proceda que la Contraloría General de la República tramite y resuelva los recursos de objeción y de apelación en contra de los pliegos o carteles de licitación y los actos de adjudicación que se dicten en los procedimientos de adquisiciones, se aplicarán todos los plazos previstos para el caso de las licitaciones abreviadas, según lo establece la Ley N° 7494, Ley de Contratación Administrativa, de 2 de mayo de 1995, y sus reformas. </w:t>
      </w:r>
      <w:r w:rsidR="00E26CA9">
        <w:rPr>
          <w:rFonts w:ascii="Arial" w:hAnsi="Arial" w:cs="Arial"/>
          <w:bCs/>
          <w:sz w:val="24"/>
          <w:szCs w:val="24"/>
          <w:lang w:val="es-ES_tradnl"/>
        </w:rPr>
        <w:t xml:space="preserve"> </w:t>
      </w:r>
      <w:r w:rsidRPr="005930A6">
        <w:rPr>
          <w:rFonts w:ascii="Arial" w:hAnsi="Arial" w:cs="Arial"/>
          <w:bCs/>
          <w:sz w:val="24"/>
          <w:szCs w:val="24"/>
          <w:lang w:val="es-ES_tradnl"/>
        </w:rPr>
        <w:t xml:space="preserve">En dichos trámites recursivos la Contraloría General de la </w:t>
      </w:r>
      <w:r w:rsidRPr="005930A6">
        <w:rPr>
          <w:rFonts w:ascii="Arial" w:hAnsi="Arial" w:cs="Arial"/>
          <w:bCs/>
          <w:sz w:val="24"/>
          <w:szCs w:val="24"/>
          <w:lang w:val="es-ES_tradnl"/>
        </w:rPr>
        <w:lastRenderedPageBreak/>
        <w:t>República resolverá únicamente sobre las alegaciones de nulidad hechas por las partes.</w:t>
      </w:r>
    </w:p>
    <w:p w:rsidR="00FF0D18" w:rsidRPr="00AF52E3" w:rsidRDefault="00FF0D18" w:rsidP="00E26CA9">
      <w:pPr>
        <w:spacing w:after="0" w:line="240" w:lineRule="auto"/>
        <w:jc w:val="both"/>
        <w:rPr>
          <w:rFonts w:ascii="Arial" w:hAnsi="Arial" w:cs="Arial"/>
          <w:bCs/>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8</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Autorización para cobro de peajes</w:t>
      </w:r>
    </w:p>
    <w:p w:rsidR="00E26CA9" w:rsidRPr="00611D35" w:rsidRDefault="00E26CA9" w:rsidP="00E26CA9">
      <w:pPr>
        <w:spacing w:after="0" w:line="240" w:lineRule="auto"/>
        <w:jc w:val="both"/>
        <w:rPr>
          <w:rFonts w:ascii="Arial" w:hAnsi="Arial" w:cs="Arial"/>
          <w:b/>
          <w:sz w:val="24"/>
          <w:szCs w:val="24"/>
          <w:lang w:val="es-ES_tradnl"/>
        </w:rPr>
      </w:pPr>
    </w:p>
    <w:p w:rsidR="00FF0D18"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Se autoriza de manera facultativa al Ministerio de Obras Públicas y Transportes (MOPT) y al Consejo Nacional de Vialidad (Conavi), según corresponda, para que establezca en las rutas nacionales el cobro de un peaje en los proyectos a realizar con esta ley, que permita garantizar un adecuado mantenimiento de la vía en todos sus componentes dentro de los principios de racionalidad, proporcionalidad, oportunidad y conveniencia local y nacional.</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Para lo anterior, deberá existir un estudio previo de viabilidad técnica que analice todos los aspectos relacionados con la medida de colocar un peaje. </w:t>
      </w:r>
      <w:r w:rsidR="007C4E95">
        <w:rPr>
          <w:rFonts w:ascii="Arial" w:hAnsi="Arial" w:cs="Arial"/>
          <w:bCs/>
          <w:sz w:val="24"/>
          <w:szCs w:val="24"/>
          <w:lang w:val="es-ES_tradnl"/>
        </w:rPr>
        <w:t xml:space="preserve"> </w:t>
      </w:r>
      <w:r w:rsidRPr="00611D35">
        <w:rPr>
          <w:rFonts w:ascii="Arial" w:hAnsi="Arial" w:cs="Arial"/>
          <w:bCs/>
          <w:sz w:val="24"/>
          <w:szCs w:val="24"/>
          <w:lang w:val="es-ES_tradnl"/>
        </w:rPr>
        <w:t>La Autoridad Reguladora de los Servicios Públicos (A</w:t>
      </w:r>
      <w:r>
        <w:rPr>
          <w:rFonts w:ascii="Arial" w:hAnsi="Arial" w:cs="Arial"/>
          <w:bCs/>
          <w:sz w:val="24"/>
          <w:szCs w:val="24"/>
          <w:lang w:val="es-ES_tradnl"/>
        </w:rPr>
        <w:t>RESEP</w:t>
      </w:r>
      <w:r w:rsidRPr="00611D35">
        <w:rPr>
          <w:rFonts w:ascii="Arial" w:hAnsi="Arial" w:cs="Arial"/>
          <w:bCs/>
          <w:sz w:val="24"/>
          <w:szCs w:val="24"/>
          <w:lang w:val="es-ES_tradnl"/>
        </w:rPr>
        <w:t>) se encargará de la aprobación de las tarifas correspondientes.</w:t>
      </w:r>
    </w:p>
    <w:p w:rsidR="00FF0D18" w:rsidRPr="00AF52E3" w:rsidRDefault="00FF0D18" w:rsidP="00E26CA9">
      <w:pPr>
        <w:spacing w:after="0" w:line="240" w:lineRule="auto"/>
        <w:jc w:val="both"/>
        <w:rPr>
          <w:rFonts w:ascii="Arial" w:hAnsi="Arial" w:cs="Arial"/>
          <w:bCs/>
          <w:sz w:val="24"/>
          <w:szCs w:val="24"/>
          <w:lang w:val="es-ES_tradnl"/>
        </w:rPr>
      </w:pPr>
    </w:p>
    <w:p w:rsidR="00FF0D18" w:rsidRPr="00AF52E3" w:rsidRDefault="00FF0D18" w:rsidP="00653C97">
      <w:pPr>
        <w:spacing w:after="0" w:line="240" w:lineRule="auto"/>
        <w:ind w:left="2127" w:hanging="2127"/>
        <w:jc w:val="both"/>
        <w:rPr>
          <w:rFonts w:ascii="Arial" w:hAnsi="Arial" w:cs="Arial"/>
          <w:sz w:val="24"/>
          <w:szCs w:val="24"/>
          <w:lang w:val="es-ES_tradnl"/>
        </w:rPr>
      </w:pPr>
      <w:r w:rsidRPr="00AF52E3">
        <w:rPr>
          <w:rFonts w:ascii="Arial" w:hAnsi="Arial" w:cs="Arial"/>
          <w:sz w:val="24"/>
          <w:szCs w:val="24"/>
          <w:lang w:val="es-ES_tradnl"/>
        </w:rPr>
        <w:t>ARTÍCULO 9</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Exención de pago de impuestos para la formalización del financiamiento</w:t>
      </w:r>
    </w:p>
    <w:p w:rsidR="007C4E95" w:rsidRPr="00611D35" w:rsidRDefault="007C4E95" w:rsidP="00E26CA9">
      <w:pPr>
        <w:spacing w:after="0" w:line="240" w:lineRule="auto"/>
        <w:jc w:val="both"/>
        <w:rPr>
          <w:rFonts w:ascii="Arial" w:hAnsi="Arial" w:cs="Arial"/>
          <w:b/>
          <w:sz w:val="24"/>
          <w:szCs w:val="24"/>
          <w:lang w:val="es-ES_tradnl"/>
        </w:rPr>
      </w:pPr>
    </w:p>
    <w:p w:rsidR="00FF0D18"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No estarán sujetos al pago de ninguna clase de impuestos, tasas, contribuciones o derechos, los documentos que se requieran para formalizar los contratos de préstamo suscritos en el marco del Convenio de Cooperación para el Financiamiento de Proyectos de Inversión (CCLIP) CR-O0005 entre la República de Costa Rica y el Banco Interamericano de Desarrollo (BID); asimismo, la inscripción de estos documentos en los registros correspondientes queda exonerada de todo tipo de pago.</w:t>
      </w:r>
    </w:p>
    <w:p w:rsidR="00FF0D18" w:rsidRDefault="00FF0D18" w:rsidP="00E26CA9">
      <w:pPr>
        <w:spacing w:after="0" w:line="240" w:lineRule="auto"/>
        <w:jc w:val="both"/>
        <w:rPr>
          <w:rFonts w:ascii="Arial" w:hAnsi="Arial" w:cs="Arial"/>
          <w:b/>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10</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Exención de tributos.</w:t>
      </w:r>
    </w:p>
    <w:p w:rsidR="007C4E95" w:rsidRPr="003114EF" w:rsidRDefault="007C4E95" w:rsidP="00E26CA9">
      <w:pPr>
        <w:spacing w:after="0" w:line="240" w:lineRule="auto"/>
        <w:jc w:val="both"/>
        <w:rPr>
          <w:rFonts w:ascii="Arial" w:hAnsi="Arial" w:cs="Arial"/>
          <w:b/>
          <w:sz w:val="24"/>
          <w:szCs w:val="24"/>
          <w:lang w:val="es-ES_tradnl"/>
        </w:rPr>
      </w:pPr>
    </w:p>
    <w:p w:rsidR="00FF0D18" w:rsidRPr="003114EF" w:rsidRDefault="00FF0D18" w:rsidP="00E26CA9">
      <w:pPr>
        <w:spacing w:after="0" w:line="240" w:lineRule="auto"/>
        <w:jc w:val="both"/>
        <w:textAlignment w:val="baseline"/>
        <w:rPr>
          <w:rFonts w:ascii="Arial" w:hAnsi="Arial" w:cs="Arial"/>
          <w:bCs/>
          <w:sz w:val="24"/>
          <w:szCs w:val="24"/>
          <w:lang w:val="es-ES_tradnl"/>
        </w:rPr>
      </w:pPr>
      <w:r w:rsidRPr="003114EF">
        <w:rPr>
          <w:rFonts w:ascii="Arial" w:hAnsi="Arial" w:cs="Arial"/>
          <w:bCs/>
          <w:sz w:val="24"/>
          <w:szCs w:val="24"/>
          <w:lang w:val="es-ES_tradnl"/>
        </w:rPr>
        <w:t>Se exonera al ente gestor o fideicomiso a cargo de la ejecución del presente proyecto de toda clase de impuestos, tasas, sobretasas, timbres, contribuciones o derechos de carácter nacional o de importación, en el tanto estos se relacionen con la administración y ejecución del proyecto.</w:t>
      </w:r>
    </w:p>
    <w:p w:rsidR="00FF0D18" w:rsidRPr="003114EF" w:rsidRDefault="00FF0D18" w:rsidP="00E26CA9">
      <w:pPr>
        <w:spacing w:after="0" w:line="240" w:lineRule="auto"/>
        <w:jc w:val="both"/>
        <w:textAlignment w:val="baseline"/>
        <w:rPr>
          <w:rFonts w:ascii="Arial" w:hAnsi="Arial" w:cs="Arial"/>
          <w:bCs/>
          <w:sz w:val="24"/>
          <w:szCs w:val="24"/>
          <w:lang w:val="es-ES_tradnl"/>
        </w:rPr>
      </w:pPr>
    </w:p>
    <w:p w:rsidR="00FF0D18" w:rsidRPr="003114EF" w:rsidRDefault="00FF0D18" w:rsidP="00E26CA9">
      <w:pPr>
        <w:spacing w:after="0" w:line="240" w:lineRule="auto"/>
        <w:jc w:val="both"/>
        <w:textAlignment w:val="baseline"/>
        <w:rPr>
          <w:rFonts w:ascii="Arial" w:hAnsi="Arial" w:cs="Arial"/>
          <w:bCs/>
          <w:sz w:val="24"/>
          <w:szCs w:val="24"/>
          <w:lang w:val="es-ES_tradnl"/>
        </w:rPr>
      </w:pPr>
      <w:r w:rsidRPr="003114EF">
        <w:rPr>
          <w:rFonts w:ascii="Arial" w:hAnsi="Arial" w:cs="Arial"/>
          <w:bCs/>
          <w:sz w:val="24"/>
          <w:szCs w:val="24"/>
          <w:lang w:val="es-ES_tradnl"/>
        </w:rPr>
        <w:t>Por las características propias del presente contrato de préstamo, se exonera de toda clase de impuestos, tasas, sobretasas, contribuciones o derechos de carácter nacional, las adquisiciones de obras, bienes y servicios que se efectúen con recursos del financiamiento en cuestión, siempre y cuando tales contrataciones se realicen con estricto apego a las disposiciones de los contratos de préstamo y se incorporen en el proyecto.</w:t>
      </w:r>
    </w:p>
    <w:p w:rsidR="00FF0D18" w:rsidRDefault="00FF0D18" w:rsidP="00E26CA9">
      <w:pPr>
        <w:spacing w:after="0" w:line="240" w:lineRule="auto"/>
        <w:jc w:val="both"/>
        <w:textAlignment w:val="baseline"/>
        <w:rPr>
          <w:rFonts w:ascii="Arial" w:hAnsi="Arial" w:cs="Arial"/>
          <w:bCs/>
          <w:sz w:val="24"/>
          <w:szCs w:val="24"/>
          <w:lang w:val="es-ES_tradnl"/>
        </w:rPr>
      </w:pPr>
    </w:p>
    <w:p w:rsidR="00FF0D18" w:rsidRPr="003114EF" w:rsidRDefault="00FF0D18" w:rsidP="00E26CA9">
      <w:pPr>
        <w:spacing w:after="0" w:line="240" w:lineRule="auto"/>
        <w:jc w:val="both"/>
        <w:textAlignment w:val="baseline"/>
        <w:rPr>
          <w:rFonts w:ascii="Arial" w:hAnsi="Arial" w:cs="Arial"/>
          <w:bCs/>
          <w:sz w:val="24"/>
          <w:szCs w:val="24"/>
          <w:lang w:val="es-ES_tradnl"/>
        </w:rPr>
      </w:pPr>
      <w:r w:rsidRPr="003114EF">
        <w:rPr>
          <w:rFonts w:ascii="Arial" w:hAnsi="Arial" w:cs="Arial"/>
          <w:bCs/>
          <w:sz w:val="24"/>
          <w:szCs w:val="24"/>
          <w:lang w:val="es-ES_tradnl"/>
        </w:rPr>
        <w:t>La exención descrita en el párrafo anterior cubre también el impuesto único por el tipo de combustible, contenido en la Ley de Simplificación y Eficiencia Tributarias (según la Ley 8114 del 4 de julio de 2001 y sus reformas), debiendo la Refinadora Costarricense de Petróleo (RECOPE) vender los combustibles que se requieran para este proyecto libres de dicho impuesto.</w:t>
      </w:r>
    </w:p>
    <w:p w:rsidR="00FF0D18" w:rsidRPr="003114EF" w:rsidRDefault="00FF0D18" w:rsidP="00E26CA9">
      <w:pPr>
        <w:spacing w:after="0" w:line="240" w:lineRule="auto"/>
        <w:jc w:val="both"/>
        <w:textAlignment w:val="baseline"/>
        <w:rPr>
          <w:rFonts w:ascii="Arial" w:hAnsi="Arial" w:cs="Arial"/>
          <w:bCs/>
          <w:sz w:val="24"/>
          <w:szCs w:val="24"/>
          <w:lang w:val="es-ES_tradnl"/>
        </w:rPr>
      </w:pPr>
      <w:r w:rsidRPr="003114EF">
        <w:rPr>
          <w:rFonts w:ascii="Arial" w:hAnsi="Arial" w:cs="Arial"/>
          <w:bCs/>
          <w:sz w:val="24"/>
          <w:szCs w:val="24"/>
          <w:lang w:val="es-ES_tradnl"/>
        </w:rPr>
        <w:lastRenderedPageBreak/>
        <w:t>Estarán exentos del pago de impuestos, tasas, contribuciones, derechos y timbres, dentro de los que se contemplan los del Colegio Federado de Ingenieros y Arquitectos, los actos de formalización de las operaciones necesarias para la ejecución de este proyecto, así como los de inscripción de los documentos en los registros que correspondan, incluyendo los permisos de construcción y de viabilidad ambiental.</w:t>
      </w:r>
    </w:p>
    <w:p w:rsidR="006C65EF" w:rsidRDefault="006C65EF" w:rsidP="00E26CA9">
      <w:pPr>
        <w:spacing w:after="0" w:line="240" w:lineRule="auto"/>
        <w:jc w:val="both"/>
        <w:textAlignment w:val="baseline"/>
        <w:rPr>
          <w:rFonts w:ascii="Arial" w:hAnsi="Arial" w:cs="Arial"/>
          <w:bCs/>
          <w:sz w:val="24"/>
          <w:szCs w:val="24"/>
          <w:lang w:val="es-ES_tradnl"/>
        </w:rPr>
      </w:pPr>
    </w:p>
    <w:p w:rsidR="00FF0D18" w:rsidRPr="003114EF" w:rsidRDefault="00FF0D18" w:rsidP="00E26CA9">
      <w:pPr>
        <w:spacing w:after="0" w:line="240" w:lineRule="auto"/>
        <w:jc w:val="both"/>
        <w:textAlignment w:val="baseline"/>
        <w:rPr>
          <w:rFonts w:ascii="Arial" w:hAnsi="Arial" w:cs="Arial"/>
          <w:bCs/>
          <w:sz w:val="24"/>
          <w:szCs w:val="24"/>
          <w:lang w:val="es-ES_tradnl"/>
        </w:rPr>
      </w:pPr>
      <w:r w:rsidRPr="003114EF">
        <w:rPr>
          <w:rFonts w:ascii="Arial" w:hAnsi="Arial" w:cs="Arial"/>
          <w:bCs/>
          <w:sz w:val="24"/>
          <w:szCs w:val="24"/>
          <w:lang w:val="es-ES_tradnl"/>
        </w:rPr>
        <w:t>Los contratistas y subcontratistas deberán pagar los impuestos respectivos por los equipos y vehículos nacionalizados una vez finalizada la ejecución del proyecto o en caso de que estos sean vendidos, excepto si estos son donados al Estado costarricense.</w:t>
      </w:r>
      <w:r w:rsidR="007C4E95">
        <w:rPr>
          <w:rFonts w:ascii="Arial" w:hAnsi="Arial" w:cs="Arial"/>
          <w:bCs/>
          <w:sz w:val="24"/>
          <w:szCs w:val="24"/>
          <w:lang w:val="es-ES_tradnl"/>
        </w:rPr>
        <w:t xml:space="preserve"> </w:t>
      </w:r>
      <w:r w:rsidRPr="003114EF">
        <w:rPr>
          <w:rFonts w:ascii="Arial" w:hAnsi="Arial" w:cs="Arial"/>
          <w:bCs/>
          <w:sz w:val="24"/>
          <w:szCs w:val="24"/>
          <w:lang w:val="es-ES_tradnl"/>
        </w:rPr>
        <w:t xml:space="preserve"> La eventual donación deberá ser expresamente aceptada por el Ministerio de Obras Públicas y Transportes (MOPT), de previo a lo cual, el interesado deberá haber comunicado el detalle de los bienes por donar a la Dirección General de Hacienda y a la Dirección General de Aduanas y llevar a cabo los trámites respectivos ante cada entidad.</w:t>
      </w:r>
    </w:p>
    <w:p w:rsidR="00FF0D18" w:rsidRPr="00611D35" w:rsidRDefault="00FF0D18" w:rsidP="00E26CA9">
      <w:pPr>
        <w:spacing w:after="0" w:line="240" w:lineRule="auto"/>
        <w:jc w:val="both"/>
        <w:rPr>
          <w:rFonts w:ascii="Arial" w:hAnsi="Arial" w:cs="Arial"/>
          <w:bCs/>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11</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Procedimiento de evaluación de impacto ambiental</w:t>
      </w:r>
    </w:p>
    <w:p w:rsidR="007C4E95" w:rsidRPr="00611D35" w:rsidRDefault="007C4E95" w:rsidP="00E26CA9">
      <w:pPr>
        <w:spacing w:after="0" w:line="240" w:lineRule="auto"/>
        <w:jc w:val="both"/>
        <w:rPr>
          <w:rFonts w:ascii="Arial" w:hAnsi="Arial" w:cs="Arial"/>
          <w:b/>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Las actividades, las obras o los proyectos que se desarrollen con cargo a los fondos aquí aprobados, incluidos los referentes a relocalización de los servicios públicos, deberán cumplir la evaluación de impacto ambiental por medio de trámites expeditos, con el fin de satisfacer el fin público y cumplir los objetivos para los cuales se aprueban los contratos de préstamo. </w:t>
      </w:r>
      <w:r w:rsidR="007C4E95">
        <w:rPr>
          <w:rFonts w:ascii="Arial" w:hAnsi="Arial" w:cs="Arial"/>
          <w:bCs/>
          <w:sz w:val="24"/>
          <w:szCs w:val="24"/>
          <w:lang w:val="es-ES_tradnl"/>
        </w:rPr>
        <w:t xml:space="preserve"> </w:t>
      </w:r>
      <w:r w:rsidRPr="00611D35">
        <w:rPr>
          <w:rFonts w:ascii="Arial" w:hAnsi="Arial" w:cs="Arial"/>
          <w:bCs/>
          <w:sz w:val="24"/>
          <w:szCs w:val="24"/>
          <w:lang w:val="es-ES_tradnl"/>
        </w:rPr>
        <w:t>Se deberá realizar una evaluación ambiental de conformidad c</w:t>
      </w:r>
      <w:r w:rsidR="00653C97">
        <w:rPr>
          <w:rFonts w:ascii="Arial" w:hAnsi="Arial" w:cs="Arial"/>
          <w:bCs/>
          <w:sz w:val="24"/>
          <w:szCs w:val="24"/>
          <w:lang w:val="es-ES_tradnl"/>
        </w:rPr>
        <w:t>on el artículo 17 de la Ley N.°</w:t>
      </w:r>
      <w:r w:rsidRPr="00611D35">
        <w:rPr>
          <w:rFonts w:ascii="Arial" w:hAnsi="Arial" w:cs="Arial"/>
          <w:bCs/>
          <w:sz w:val="24"/>
          <w:szCs w:val="24"/>
          <w:lang w:val="es-ES_tradnl"/>
        </w:rPr>
        <w:t>7554, Ley Orgánica del Ambiente, de 4 de octubre de 1995. La Secretaría Técnica Nacional Ambiental (Setena), por ser el órgano competente, establecerá por medio de resolución administrativa, en un plazo máximo de diez días hábiles, los términos de referencia ambiental, estos últimos tendrán carácter de estudios específicos; asimismo, indicará el instrumento de evaluación correspondiente.</w:t>
      </w:r>
      <w:r w:rsidR="007C4E95">
        <w:rPr>
          <w:rFonts w:ascii="Arial" w:hAnsi="Arial" w:cs="Arial"/>
          <w:bCs/>
          <w:sz w:val="24"/>
          <w:szCs w:val="24"/>
          <w:lang w:val="es-ES_tradnl"/>
        </w:rPr>
        <w:t xml:space="preserve"> </w:t>
      </w:r>
      <w:r w:rsidRPr="00611D35">
        <w:rPr>
          <w:rFonts w:ascii="Arial" w:hAnsi="Arial" w:cs="Arial"/>
          <w:bCs/>
          <w:sz w:val="24"/>
          <w:szCs w:val="24"/>
          <w:lang w:val="es-ES_tradnl"/>
        </w:rPr>
        <w:t xml:space="preserve"> La Setena deberá colaborar con la redacción de los instrumentos de evaluación ambiental, si así se requiere por parte de la Administración Pública, al amparo de la normativa tutelar ambiental.</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Las actividades y los proyectos que se financian con los contratos de préstamo aprobados en esta ley se exceptúan del pago de las tarifas establecidas por el Decreto Ejecutivo </w:t>
      </w:r>
      <w:r>
        <w:rPr>
          <w:rFonts w:ascii="Arial" w:hAnsi="Arial" w:cs="Arial"/>
          <w:bCs/>
          <w:sz w:val="24"/>
          <w:szCs w:val="24"/>
          <w:lang w:val="es-ES_tradnl"/>
        </w:rPr>
        <w:t>N</w:t>
      </w:r>
      <w:r w:rsidRPr="00611D35">
        <w:rPr>
          <w:rFonts w:ascii="Arial" w:hAnsi="Arial" w:cs="Arial"/>
          <w:bCs/>
          <w:sz w:val="24"/>
          <w:szCs w:val="24"/>
          <w:lang w:val="es-ES_tradnl"/>
        </w:rPr>
        <w:t>º 34536-M</w:t>
      </w:r>
      <w:r>
        <w:rPr>
          <w:rFonts w:ascii="Arial" w:hAnsi="Arial" w:cs="Arial"/>
          <w:bCs/>
          <w:sz w:val="24"/>
          <w:szCs w:val="24"/>
          <w:lang w:val="es-ES_tradnl"/>
        </w:rPr>
        <w:t>INAE</w:t>
      </w:r>
      <w:r w:rsidRPr="00611D35">
        <w:rPr>
          <w:rFonts w:ascii="Arial" w:hAnsi="Arial" w:cs="Arial"/>
          <w:bCs/>
          <w:sz w:val="24"/>
          <w:szCs w:val="24"/>
          <w:lang w:val="es-ES_tradnl"/>
        </w:rPr>
        <w:t>, denominado Reglamento de fijación de tarifas de servicios brindados por la Secretaría Técnica Nacional Ambiental (Setena).</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Asimismo, se exceptúan las actividades, las obras o los proyectos que se ejecuten con los fondos aquí aprobados, de la publicación establecid</w:t>
      </w:r>
      <w:r>
        <w:rPr>
          <w:rFonts w:ascii="Arial" w:hAnsi="Arial" w:cs="Arial"/>
          <w:bCs/>
          <w:sz w:val="24"/>
          <w:szCs w:val="24"/>
          <w:lang w:val="es-ES_tradnl"/>
        </w:rPr>
        <w:t>a en el artículo 22 de la Ley N</w:t>
      </w:r>
      <w:r w:rsidRPr="00611D35">
        <w:rPr>
          <w:rFonts w:ascii="Arial" w:hAnsi="Arial" w:cs="Arial"/>
          <w:bCs/>
          <w:sz w:val="24"/>
          <w:szCs w:val="24"/>
          <w:lang w:val="es-ES_tradnl"/>
        </w:rPr>
        <w:t>° 7554, Ley Orgánica del Ambiente, de 4 de octubre de 1995.</w:t>
      </w:r>
    </w:p>
    <w:p w:rsidR="00FF0D18" w:rsidRPr="00AF52E3" w:rsidRDefault="00FF0D18" w:rsidP="00E26CA9">
      <w:pPr>
        <w:spacing w:after="0" w:line="240" w:lineRule="auto"/>
        <w:jc w:val="both"/>
        <w:rPr>
          <w:rFonts w:ascii="Arial" w:hAnsi="Arial" w:cs="Arial"/>
          <w:bCs/>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12</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Viabilidad ambiental</w:t>
      </w:r>
    </w:p>
    <w:p w:rsidR="007C4E95" w:rsidRPr="00611D35" w:rsidRDefault="007C4E95" w:rsidP="00E26CA9">
      <w:pPr>
        <w:spacing w:after="0" w:line="240" w:lineRule="auto"/>
        <w:jc w:val="both"/>
        <w:rPr>
          <w:rFonts w:ascii="Arial" w:hAnsi="Arial" w:cs="Arial"/>
          <w:b/>
          <w:sz w:val="24"/>
          <w:szCs w:val="24"/>
          <w:lang w:val="es-ES_tradnl"/>
        </w:rPr>
      </w:pPr>
    </w:p>
    <w:p w:rsidR="00FF0D18"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Recibida la totalidad de la información y los estudios requeridos, la Setena contará con un plazo hasta de un mes para emitir la resolución administrativa en la que se otorga o rechaza la viabilidad ambiental. </w:t>
      </w:r>
      <w:r w:rsidR="007C4E95">
        <w:rPr>
          <w:rFonts w:ascii="Arial" w:hAnsi="Arial" w:cs="Arial"/>
          <w:bCs/>
          <w:sz w:val="24"/>
          <w:szCs w:val="24"/>
          <w:lang w:val="es-ES_tradnl"/>
        </w:rPr>
        <w:t xml:space="preserve"> </w:t>
      </w:r>
      <w:r w:rsidRPr="00611D35">
        <w:rPr>
          <w:rFonts w:ascii="Arial" w:hAnsi="Arial" w:cs="Arial"/>
          <w:bCs/>
          <w:sz w:val="24"/>
          <w:szCs w:val="24"/>
          <w:lang w:val="es-ES_tradnl"/>
        </w:rPr>
        <w:t xml:space="preserve">Esta resolución administrativa deberá ser </w:t>
      </w:r>
      <w:r w:rsidRPr="00611D35">
        <w:rPr>
          <w:rFonts w:ascii="Arial" w:hAnsi="Arial" w:cs="Arial"/>
          <w:bCs/>
          <w:sz w:val="24"/>
          <w:szCs w:val="24"/>
          <w:lang w:val="es-ES_tradnl"/>
        </w:rPr>
        <w:lastRenderedPageBreak/>
        <w:t>notificada a la Dirección de Geología y Minas y a las partes legitimadas en el expediente administrativo.</w:t>
      </w:r>
    </w:p>
    <w:p w:rsidR="00FF0D18" w:rsidRPr="008948E9" w:rsidRDefault="00FF0D18" w:rsidP="00E26CA9">
      <w:pPr>
        <w:tabs>
          <w:tab w:val="left" w:pos="6600"/>
        </w:tabs>
        <w:spacing w:after="0" w:line="240" w:lineRule="auto"/>
        <w:rPr>
          <w:rFonts w:ascii="Arial" w:hAnsi="Arial" w:cs="Arial"/>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La Setena deberá sujetar el procedimiento a reglas de calificación única de la información, con el propósito de dar cumplimiento a los principios constitucionales de eficacia, eficiencia, simplicidad y celeridad de la organización y función administrativas.</w:t>
      </w:r>
    </w:p>
    <w:p w:rsidR="00FF0D18" w:rsidRPr="00611D35" w:rsidRDefault="00FF0D18" w:rsidP="00E26CA9">
      <w:pPr>
        <w:spacing w:after="0" w:line="240" w:lineRule="auto"/>
        <w:jc w:val="both"/>
        <w:rPr>
          <w:rFonts w:ascii="Arial" w:hAnsi="Arial" w:cs="Arial"/>
          <w:bCs/>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13</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Concesión minera</w:t>
      </w:r>
    </w:p>
    <w:p w:rsidR="007C4E95" w:rsidRPr="00611D35" w:rsidRDefault="007C4E95" w:rsidP="00E26CA9">
      <w:pPr>
        <w:spacing w:after="0" w:line="240" w:lineRule="auto"/>
        <w:jc w:val="both"/>
        <w:rPr>
          <w:rFonts w:ascii="Arial" w:hAnsi="Arial" w:cs="Arial"/>
          <w:b/>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Será competencia de la Dirección de Geología y Minas otorgar la concesión de explotación de cauces de dominio público y/o canteras para la extracción de los materiales que servirán de insumo para la actividad, la obra o el proyecto por desarrollarse, según el objetivo </w:t>
      </w:r>
      <w:r>
        <w:rPr>
          <w:rFonts w:ascii="Arial" w:hAnsi="Arial" w:cs="Arial"/>
          <w:bCs/>
          <w:sz w:val="24"/>
          <w:szCs w:val="24"/>
          <w:lang w:val="es-ES_tradnl"/>
        </w:rPr>
        <w:t xml:space="preserve">del </w:t>
      </w:r>
      <w:r w:rsidRPr="00611D35">
        <w:rPr>
          <w:rFonts w:ascii="Arial" w:hAnsi="Arial" w:cs="Arial"/>
          <w:bCs/>
          <w:sz w:val="24"/>
          <w:szCs w:val="24"/>
          <w:lang w:val="es-ES_tradnl"/>
        </w:rPr>
        <w:t xml:space="preserve">Convenio de Cooperación para el financiamiento de </w:t>
      </w:r>
      <w:r>
        <w:rPr>
          <w:rFonts w:ascii="Arial" w:hAnsi="Arial" w:cs="Arial"/>
          <w:bCs/>
          <w:sz w:val="24"/>
          <w:szCs w:val="24"/>
          <w:lang w:val="es-ES_tradnl"/>
        </w:rPr>
        <w:t>P</w:t>
      </w:r>
      <w:r w:rsidRPr="00611D35">
        <w:rPr>
          <w:rFonts w:ascii="Arial" w:hAnsi="Arial" w:cs="Arial"/>
          <w:bCs/>
          <w:sz w:val="24"/>
          <w:szCs w:val="24"/>
          <w:lang w:val="es-ES_tradnl"/>
        </w:rPr>
        <w:t>royectos de inversión (CCLIP) CR-O0005.</w:t>
      </w:r>
      <w:r w:rsidR="007C4E95">
        <w:rPr>
          <w:rFonts w:ascii="Arial" w:hAnsi="Arial" w:cs="Arial"/>
          <w:bCs/>
          <w:sz w:val="24"/>
          <w:szCs w:val="24"/>
          <w:lang w:val="es-ES_tradnl"/>
        </w:rPr>
        <w:t xml:space="preserve"> </w:t>
      </w:r>
      <w:r w:rsidRPr="00611D35">
        <w:rPr>
          <w:rFonts w:ascii="Arial" w:hAnsi="Arial" w:cs="Arial"/>
          <w:bCs/>
          <w:sz w:val="24"/>
          <w:szCs w:val="24"/>
          <w:lang w:val="es-ES_tradnl"/>
        </w:rPr>
        <w:t xml:space="preserve"> La Dirección de Geología y Minas indicará cuáles estudios técnicos específicos deberá presentar el Estado o adjudicatario de la contratación administrativa, sin dejar de lado la observancia del proceso abreviado que se debe respetar para los trámites de las actividades, las obras o los proyectos que se desarrollen con cargo a los </w:t>
      </w:r>
      <w:r>
        <w:rPr>
          <w:rFonts w:ascii="Arial" w:hAnsi="Arial" w:cs="Arial"/>
          <w:bCs/>
          <w:sz w:val="24"/>
          <w:szCs w:val="24"/>
          <w:lang w:val="es-ES_tradnl"/>
        </w:rPr>
        <w:t>cursos</w:t>
      </w:r>
      <w:r w:rsidRPr="00611D35">
        <w:rPr>
          <w:rFonts w:ascii="Arial" w:hAnsi="Arial" w:cs="Arial"/>
          <w:bCs/>
          <w:sz w:val="24"/>
          <w:szCs w:val="24"/>
          <w:lang w:val="es-ES_tradnl"/>
        </w:rPr>
        <w:t xml:space="preserve"> aquí aprobados.</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Los estudios técnicos presentados en la Setena o elaborados por esta servirán de insumo para la evaluación en la Dirección de Geología y Minas, si esta última considera que la información se puede homologar, lo anterior de conformidad con estricto apego a la Ley Nº 8220, Protección al Ciudadano del Exceso de Requisitos y Trámites Administrativos, de 4 de marzo de 2002, la Dirección lo hará efectivo por medio de resolución administrativa.</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El primer paso en el trámite de concesión minera será la reserva del área por explotar en el Registro Minero de la Dirección de Geología y Minas por parte del interesado, y se considerarán legitimados, para todos los efectos legales y administrativos, la Administración Pública o el adjudicatario de la actividad, la obra o el proyecto.</w:t>
      </w:r>
    </w:p>
    <w:p w:rsidR="00FF0D18" w:rsidRPr="00AF52E3" w:rsidRDefault="00FF0D18" w:rsidP="00E26CA9">
      <w:pPr>
        <w:spacing w:after="0" w:line="240" w:lineRule="auto"/>
        <w:jc w:val="both"/>
        <w:rPr>
          <w:rFonts w:ascii="Arial" w:hAnsi="Arial" w:cs="Arial"/>
          <w:bCs/>
          <w:sz w:val="24"/>
          <w:szCs w:val="24"/>
          <w:lang w:val="es-ES_tradnl"/>
        </w:rPr>
      </w:pPr>
    </w:p>
    <w:p w:rsidR="00FF0D18" w:rsidRPr="00AF52E3" w:rsidRDefault="00FF0D18" w:rsidP="00E26CA9">
      <w:pPr>
        <w:spacing w:after="0" w:line="240" w:lineRule="auto"/>
        <w:jc w:val="both"/>
        <w:rPr>
          <w:rFonts w:ascii="Arial" w:hAnsi="Arial" w:cs="Arial"/>
          <w:sz w:val="24"/>
          <w:szCs w:val="24"/>
          <w:lang w:val="es-ES_tradnl"/>
        </w:rPr>
      </w:pPr>
      <w:r w:rsidRPr="00AF52E3">
        <w:rPr>
          <w:rFonts w:ascii="Arial" w:hAnsi="Arial" w:cs="Arial"/>
          <w:sz w:val="24"/>
          <w:szCs w:val="24"/>
          <w:lang w:val="es-ES_tradnl"/>
        </w:rPr>
        <w:t>ARTÍCULO 14</w:t>
      </w:r>
      <w:r w:rsidR="00653C97" w:rsidRPr="00AF52E3">
        <w:rPr>
          <w:rFonts w:ascii="Arial" w:hAnsi="Arial" w:cs="Arial"/>
          <w:sz w:val="24"/>
          <w:szCs w:val="24"/>
          <w:lang w:val="es-ES_tradnl"/>
        </w:rPr>
        <w:t>-</w:t>
      </w:r>
      <w:r w:rsidR="00653C97" w:rsidRPr="00AF52E3">
        <w:rPr>
          <w:rFonts w:ascii="Arial" w:hAnsi="Arial" w:cs="Arial"/>
          <w:sz w:val="24"/>
          <w:szCs w:val="24"/>
          <w:lang w:val="es-ES_tradnl"/>
        </w:rPr>
        <w:tab/>
      </w:r>
      <w:r w:rsidRPr="00AF52E3">
        <w:rPr>
          <w:rFonts w:ascii="Arial" w:hAnsi="Arial" w:cs="Arial"/>
          <w:sz w:val="24"/>
          <w:szCs w:val="24"/>
          <w:lang w:val="es-ES_tradnl"/>
        </w:rPr>
        <w:t>Relocalización de servicios públicos</w:t>
      </w:r>
    </w:p>
    <w:p w:rsidR="007C4E95" w:rsidRPr="00AF52E3" w:rsidRDefault="007C4E95" w:rsidP="00E26CA9">
      <w:pPr>
        <w:spacing w:after="0" w:line="240" w:lineRule="auto"/>
        <w:jc w:val="both"/>
        <w:rPr>
          <w:rFonts w:ascii="Arial" w:hAnsi="Arial" w:cs="Arial"/>
          <w:sz w:val="24"/>
          <w:szCs w:val="24"/>
          <w:lang w:val="es-ES_tradnl"/>
        </w:rPr>
      </w:pPr>
    </w:p>
    <w:p w:rsidR="00FF0D18" w:rsidRPr="00611D35" w:rsidRDefault="00FF0D18" w:rsidP="00E26CA9">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En todos los proyectos financiados con los recursos aprobados en el marco del Convenio de Cooperación para el </w:t>
      </w:r>
      <w:r>
        <w:rPr>
          <w:rFonts w:ascii="Arial" w:hAnsi="Arial" w:cs="Arial"/>
          <w:bCs/>
          <w:sz w:val="24"/>
          <w:szCs w:val="24"/>
          <w:lang w:val="es-ES_tradnl"/>
        </w:rPr>
        <w:t>F</w:t>
      </w:r>
      <w:r w:rsidRPr="00611D35">
        <w:rPr>
          <w:rFonts w:ascii="Arial" w:hAnsi="Arial" w:cs="Arial"/>
          <w:bCs/>
          <w:sz w:val="24"/>
          <w:szCs w:val="24"/>
          <w:lang w:val="es-ES_tradnl"/>
        </w:rPr>
        <w:t xml:space="preserve">inanciamiento de </w:t>
      </w:r>
      <w:r>
        <w:rPr>
          <w:rFonts w:ascii="Arial" w:hAnsi="Arial" w:cs="Arial"/>
          <w:bCs/>
          <w:sz w:val="24"/>
          <w:szCs w:val="24"/>
          <w:lang w:val="es-ES_tradnl"/>
        </w:rPr>
        <w:t>P</w:t>
      </w:r>
      <w:r w:rsidRPr="00611D35">
        <w:rPr>
          <w:rFonts w:ascii="Arial" w:hAnsi="Arial" w:cs="Arial"/>
          <w:bCs/>
          <w:sz w:val="24"/>
          <w:szCs w:val="24"/>
          <w:lang w:val="es-ES_tradnl"/>
        </w:rPr>
        <w:t xml:space="preserve">royectos de </w:t>
      </w:r>
      <w:r>
        <w:rPr>
          <w:rFonts w:ascii="Arial" w:hAnsi="Arial" w:cs="Arial"/>
          <w:bCs/>
          <w:sz w:val="24"/>
          <w:szCs w:val="24"/>
          <w:lang w:val="es-ES_tradnl"/>
        </w:rPr>
        <w:t>I</w:t>
      </w:r>
      <w:r w:rsidRPr="00611D35">
        <w:rPr>
          <w:rFonts w:ascii="Arial" w:hAnsi="Arial" w:cs="Arial"/>
          <w:bCs/>
          <w:sz w:val="24"/>
          <w:szCs w:val="24"/>
          <w:lang w:val="es-ES_tradnl"/>
        </w:rPr>
        <w:t>nversión (CCLIP) CR-O0005, será responsabilidad de las instituciones prestatarias de servicios públicos competentes realizar la relocalización de los servicios públicos, conforme a sus competencias y zonas de acción.</w:t>
      </w:r>
      <w:r w:rsidR="007C4E95">
        <w:rPr>
          <w:rFonts w:ascii="Arial" w:hAnsi="Arial" w:cs="Arial"/>
          <w:bCs/>
          <w:sz w:val="24"/>
          <w:szCs w:val="24"/>
          <w:lang w:val="es-ES_tradnl"/>
        </w:rPr>
        <w:t xml:space="preserve"> </w:t>
      </w:r>
      <w:r w:rsidRPr="00611D35">
        <w:rPr>
          <w:rFonts w:ascii="Arial" w:hAnsi="Arial" w:cs="Arial"/>
          <w:bCs/>
          <w:sz w:val="24"/>
          <w:szCs w:val="24"/>
          <w:lang w:val="es-ES_tradnl"/>
        </w:rPr>
        <w:t xml:space="preserve"> Para cumplir esta disposición el </w:t>
      </w:r>
      <w:r>
        <w:rPr>
          <w:rFonts w:ascii="Arial" w:hAnsi="Arial" w:cs="Arial"/>
          <w:bCs/>
          <w:sz w:val="24"/>
          <w:szCs w:val="24"/>
          <w:lang w:val="es-ES_tradnl"/>
        </w:rPr>
        <w:t>O</w:t>
      </w:r>
      <w:r w:rsidRPr="00611D35">
        <w:rPr>
          <w:rFonts w:ascii="Arial" w:hAnsi="Arial" w:cs="Arial"/>
          <w:bCs/>
          <w:sz w:val="24"/>
          <w:szCs w:val="24"/>
          <w:lang w:val="es-ES_tradnl"/>
        </w:rPr>
        <w:t xml:space="preserve">rganismo </w:t>
      </w:r>
      <w:r>
        <w:rPr>
          <w:rFonts w:ascii="Arial" w:hAnsi="Arial" w:cs="Arial"/>
          <w:bCs/>
          <w:sz w:val="24"/>
          <w:szCs w:val="24"/>
          <w:lang w:val="es-ES_tradnl"/>
        </w:rPr>
        <w:t>E</w:t>
      </w:r>
      <w:r w:rsidRPr="00611D35">
        <w:rPr>
          <w:rFonts w:ascii="Arial" w:hAnsi="Arial" w:cs="Arial"/>
          <w:bCs/>
          <w:sz w:val="24"/>
          <w:szCs w:val="24"/>
          <w:lang w:val="es-ES_tradnl"/>
        </w:rPr>
        <w:t xml:space="preserve">jecutor, con el apoyo de la </w:t>
      </w:r>
      <w:r>
        <w:rPr>
          <w:rFonts w:ascii="Arial" w:hAnsi="Arial" w:cs="Arial"/>
          <w:bCs/>
          <w:sz w:val="24"/>
          <w:szCs w:val="24"/>
          <w:lang w:val="es-ES_tradnl"/>
        </w:rPr>
        <w:t>U</w:t>
      </w:r>
      <w:r w:rsidRPr="00611D35">
        <w:rPr>
          <w:rFonts w:ascii="Arial" w:hAnsi="Arial" w:cs="Arial"/>
          <w:bCs/>
          <w:sz w:val="24"/>
          <w:szCs w:val="24"/>
          <w:lang w:val="es-ES_tradnl"/>
        </w:rPr>
        <w:t xml:space="preserve">nidad </w:t>
      </w:r>
      <w:r>
        <w:rPr>
          <w:rFonts w:ascii="Arial" w:hAnsi="Arial" w:cs="Arial"/>
          <w:bCs/>
          <w:sz w:val="24"/>
          <w:szCs w:val="24"/>
          <w:lang w:val="es-ES_tradnl"/>
        </w:rPr>
        <w:t>E</w:t>
      </w:r>
      <w:r w:rsidRPr="00611D35">
        <w:rPr>
          <w:rFonts w:ascii="Arial" w:hAnsi="Arial" w:cs="Arial"/>
          <w:bCs/>
          <w:sz w:val="24"/>
          <w:szCs w:val="24"/>
          <w:lang w:val="es-ES_tradnl"/>
        </w:rPr>
        <w:t xml:space="preserve">jecutora del Programa prevista en el </w:t>
      </w:r>
      <w:r w:rsidRPr="00D74116">
        <w:rPr>
          <w:rFonts w:ascii="Arial" w:hAnsi="Arial" w:cs="Arial"/>
          <w:bCs/>
          <w:sz w:val="24"/>
          <w:szCs w:val="24"/>
          <w:lang w:val="es-ES_tradnl"/>
        </w:rPr>
        <w:t>artículo 5 de esta ley,</w:t>
      </w:r>
      <w:r w:rsidRPr="00611D35">
        <w:rPr>
          <w:rFonts w:ascii="Arial" w:hAnsi="Arial" w:cs="Arial"/>
          <w:bCs/>
          <w:sz w:val="24"/>
          <w:szCs w:val="24"/>
          <w:lang w:val="es-ES_tradnl"/>
        </w:rPr>
        <w:t xml:space="preserve"> comunicará a la institución prestataria del servicio público competente los diseños de la obra de infraestructura vial, o bien, el comunicado oficial de solicitud de trabajos de relocalización por realizar, así como el plazo en que dichas acciones y obras deberán ser realizadas. </w:t>
      </w:r>
      <w:r w:rsidR="007C4E95">
        <w:rPr>
          <w:rFonts w:ascii="Arial" w:hAnsi="Arial" w:cs="Arial"/>
          <w:bCs/>
          <w:sz w:val="24"/>
          <w:szCs w:val="24"/>
          <w:lang w:val="es-ES_tradnl"/>
        </w:rPr>
        <w:t xml:space="preserve"> </w:t>
      </w:r>
      <w:r w:rsidRPr="00611D35">
        <w:rPr>
          <w:rFonts w:ascii="Arial" w:hAnsi="Arial" w:cs="Arial"/>
          <w:bCs/>
          <w:sz w:val="24"/>
          <w:szCs w:val="24"/>
          <w:lang w:val="es-ES_tradnl"/>
        </w:rPr>
        <w:t xml:space="preserve">Lo anterior para que las instituciones prestatarias de servicios públicos procedan a diseñar y ejecutar las relocalizaciones respectivas, dentro del plazo que el </w:t>
      </w:r>
      <w:r>
        <w:rPr>
          <w:rFonts w:ascii="Arial" w:hAnsi="Arial" w:cs="Arial"/>
          <w:bCs/>
          <w:sz w:val="24"/>
          <w:szCs w:val="24"/>
          <w:lang w:val="es-ES_tradnl"/>
        </w:rPr>
        <w:t>O</w:t>
      </w:r>
      <w:r w:rsidRPr="00611D35">
        <w:rPr>
          <w:rFonts w:ascii="Arial" w:hAnsi="Arial" w:cs="Arial"/>
          <w:bCs/>
          <w:sz w:val="24"/>
          <w:szCs w:val="24"/>
          <w:lang w:val="es-ES_tradnl"/>
        </w:rPr>
        <w:t xml:space="preserve">rganismo </w:t>
      </w:r>
      <w:r>
        <w:rPr>
          <w:rFonts w:ascii="Arial" w:hAnsi="Arial" w:cs="Arial"/>
          <w:bCs/>
          <w:sz w:val="24"/>
          <w:szCs w:val="24"/>
          <w:lang w:val="es-ES_tradnl"/>
        </w:rPr>
        <w:t>E</w:t>
      </w:r>
      <w:r w:rsidRPr="00611D35">
        <w:rPr>
          <w:rFonts w:ascii="Arial" w:hAnsi="Arial" w:cs="Arial"/>
          <w:bCs/>
          <w:sz w:val="24"/>
          <w:szCs w:val="24"/>
          <w:lang w:val="es-ES_tradnl"/>
        </w:rPr>
        <w:t xml:space="preserve">jecutor establezca </w:t>
      </w:r>
      <w:r w:rsidRPr="00611D35">
        <w:rPr>
          <w:rFonts w:ascii="Arial" w:hAnsi="Arial" w:cs="Arial"/>
          <w:bCs/>
          <w:sz w:val="24"/>
          <w:szCs w:val="24"/>
          <w:lang w:val="es-ES_tradnl"/>
        </w:rPr>
        <w:lastRenderedPageBreak/>
        <w:t xml:space="preserve">en apego a los objetivos y plazos del Programa, el cual será contado a partir del día hábil siguiente de realizada la comunicación de diseños, o bien, del comunicado oficial. </w:t>
      </w:r>
      <w:r w:rsidR="007C4E95">
        <w:rPr>
          <w:rFonts w:ascii="Arial" w:hAnsi="Arial" w:cs="Arial"/>
          <w:bCs/>
          <w:sz w:val="24"/>
          <w:szCs w:val="24"/>
          <w:lang w:val="es-ES_tradnl"/>
        </w:rPr>
        <w:t xml:space="preserve"> </w:t>
      </w:r>
      <w:r w:rsidRPr="00611D35">
        <w:rPr>
          <w:rFonts w:ascii="Arial" w:hAnsi="Arial" w:cs="Arial"/>
          <w:bCs/>
          <w:sz w:val="24"/>
          <w:szCs w:val="24"/>
          <w:lang w:val="es-ES_tradnl"/>
        </w:rPr>
        <w:t xml:space="preserve">Los funcionarios de las instituciones prestatarias de los servicios públicos que deben ser relocalizados, que incumplan de manera injustificada el plazo antes señalado, estarán sujetos al régimen de responsabilidad </w:t>
      </w:r>
      <w:r>
        <w:rPr>
          <w:rFonts w:ascii="Arial" w:hAnsi="Arial" w:cs="Arial"/>
          <w:bCs/>
          <w:sz w:val="24"/>
          <w:szCs w:val="24"/>
          <w:lang w:val="es-ES_tradnl"/>
        </w:rPr>
        <w:t>correspondiente</w:t>
      </w:r>
      <w:r w:rsidRPr="00611D35">
        <w:rPr>
          <w:rFonts w:ascii="Arial" w:hAnsi="Arial" w:cs="Arial"/>
          <w:bCs/>
          <w:sz w:val="24"/>
          <w:szCs w:val="24"/>
          <w:lang w:val="es-ES_tradnl"/>
        </w:rPr>
        <w:t>.</w:t>
      </w:r>
    </w:p>
    <w:p w:rsidR="00FF0D18" w:rsidRPr="00611D35" w:rsidRDefault="00FF0D18" w:rsidP="00E26CA9">
      <w:pPr>
        <w:spacing w:after="0" w:line="240" w:lineRule="auto"/>
        <w:jc w:val="both"/>
        <w:rPr>
          <w:rFonts w:ascii="Arial" w:hAnsi="Arial" w:cs="Arial"/>
          <w:bCs/>
          <w:sz w:val="24"/>
          <w:szCs w:val="24"/>
          <w:lang w:val="es-ES_tradnl"/>
        </w:rPr>
      </w:pPr>
    </w:p>
    <w:p w:rsidR="00FF0D18" w:rsidRPr="00611D35" w:rsidRDefault="00FF0D18" w:rsidP="007C4E95">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El costo de los diseños y las obras de relocalización que se deban realizar de acuerdo con los diseños de la obra de infraestructura del transporte, remitidos por la </w:t>
      </w:r>
      <w:r>
        <w:rPr>
          <w:rFonts w:ascii="Arial" w:hAnsi="Arial" w:cs="Arial"/>
          <w:bCs/>
          <w:sz w:val="24"/>
          <w:szCs w:val="24"/>
          <w:lang w:val="es-ES_tradnl"/>
        </w:rPr>
        <w:t>U</w:t>
      </w:r>
      <w:r w:rsidRPr="00611D35">
        <w:rPr>
          <w:rFonts w:ascii="Arial" w:hAnsi="Arial" w:cs="Arial"/>
          <w:bCs/>
          <w:sz w:val="24"/>
          <w:szCs w:val="24"/>
          <w:lang w:val="es-ES_tradnl"/>
        </w:rPr>
        <w:t xml:space="preserve">nidad </w:t>
      </w:r>
      <w:r>
        <w:rPr>
          <w:rFonts w:ascii="Arial" w:hAnsi="Arial" w:cs="Arial"/>
          <w:bCs/>
          <w:sz w:val="24"/>
          <w:szCs w:val="24"/>
          <w:lang w:val="es-ES_tradnl"/>
        </w:rPr>
        <w:t>E</w:t>
      </w:r>
      <w:r w:rsidRPr="00611D35">
        <w:rPr>
          <w:rFonts w:ascii="Arial" w:hAnsi="Arial" w:cs="Arial"/>
          <w:bCs/>
          <w:sz w:val="24"/>
          <w:szCs w:val="24"/>
          <w:lang w:val="es-ES_tradnl"/>
        </w:rPr>
        <w:t xml:space="preserve">jecutora del Programa, será asumido por el </w:t>
      </w:r>
      <w:r>
        <w:rPr>
          <w:rFonts w:ascii="Arial" w:hAnsi="Arial" w:cs="Arial"/>
          <w:bCs/>
          <w:sz w:val="24"/>
          <w:szCs w:val="24"/>
          <w:lang w:val="es-ES_tradnl"/>
        </w:rPr>
        <w:t>O</w:t>
      </w:r>
      <w:r w:rsidRPr="00611D35">
        <w:rPr>
          <w:rFonts w:ascii="Arial" w:hAnsi="Arial" w:cs="Arial"/>
          <w:bCs/>
          <w:sz w:val="24"/>
          <w:szCs w:val="24"/>
          <w:lang w:val="es-ES_tradnl"/>
        </w:rPr>
        <w:t xml:space="preserve">rganismo </w:t>
      </w:r>
      <w:r>
        <w:rPr>
          <w:rFonts w:ascii="Arial" w:hAnsi="Arial" w:cs="Arial"/>
          <w:bCs/>
          <w:sz w:val="24"/>
          <w:szCs w:val="24"/>
          <w:lang w:val="es-ES_tradnl"/>
        </w:rPr>
        <w:t>E</w:t>
      </w:r>
      <w:r w:rsidRPr="00611D35">
        <w:rPr>
          <w:rFonts w:ascii="Arial" w:hAnsi="Arial" w:cs="Arial"/>
          <w:bCs/>
          <w:sz w:val="24"/>
          <w:szCs w:val="24"/>
          <w:lang w:val="es-ES_tradnl"/>
        </w:rPr>
        <w:t>jecutor, en la medida de lo posible o, en su defecto, cubiertos con fondos del presupuesto nacional, para lo cual se deberán adoptar las previsiones correspondientes.</w:t>
      </w:r>
    </w:p>
    <w:p w:rsidR="00FF0D18" w:rsidRPr="00611D35" w:rsidRDefault="00FF0D18" w:rsidP="007C4E95">
      <w:pPr>
        <w:spacing w:after="0" w:line="240" w:lineRule="auto"/>
        <w:jc w:val="both"/>
        <w:rPr>
          <w:rFonts w:ascii="Arial" w:hAnsi="Arial" w:cs="Arial"/>
          <w:bCs/>
          <w:sz w:val="24"/>
          <w:szCs w:val="24"/>
          <w:lang w:val="es-ES_tradnl"/>
        </w:rPr>
      </w:pPr>
    </w:p>
    <w:p w:rsidR="00FF0D18" w:rsidRPr="00611D35" w:rsidRDefault="00FF0D18" w:rsidP="007C4E95">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Para los efectos de lo dispuesto en el párrafo anterior, por medio de esta ley se autoriza a todas las instituciones responsables de la reubicación de servicios públicos, para que realicen todas las gestiones necesarias para la modificación en los programas de trabajo y reajuste, y la modificación de las partidas presupuestarias de cada institución.</w:t>
      </w:r>
    </w:p>
    <w:p w:rsidR="00FF0D18" w:rsidRPr="00611D35" w:rsidRDefault="00FF0D18" w:rsidP="007C4E95">
      <w:pPr>
        <w:spacing w:after="0" w:line="240" w:lineRule="auto"/>
        <w:jc w:val="both"/>
        <w:rPr>
          <w:rFonts w:ascii="Arial" w:hAnsi="Arial" w:cs="Arial"/>
          <w:bCs/>
          <w:sz w:val="24"/>
          <w:szCs w:val="24"/>
          <w:lang w:val="es-ES_tradnl"/>
        </w:rPr>
      </w:pPr>
    </w:p>
    <w:p w:rsidR="00FF0D18" w:rsidRPr="00611D35" w:rsidRDefault="00FF0D18" w:rsidP="007C4E95">
      <w:pPr>
        <w:spacing w:after="0" w:line="240" w:lineRule="auto"/>
        <w:jc w:val="both"/>
        <w:rPr>
          <w:rFonts w:ascii="Arial" w:hAnsi="Arial" w:cs="Arial"/>
          <w:bCs/>
          <w:sz w:val="24"/>
          <w:szCs w:val="24"/>
          <w:lang w:val="es-ES_tradnl"/>
        </w:rPr>
      </w:pPr>
      <w:r w:rsidRPr="00611D35">
        <w:rPr>
          <w:rFonts w:ascii="Arial" w:hAnsi="Arial" w:cs="Arial"/>
          <w:bCs/>
          <w:sz w:val="24"/>
          <w:szCs w:val="24"/>
          <w:lang w:val="es-ES_tradnl"/>
        </w:rPr>
        <w:t xml:space="preserve">El incumplimiento de las disposiciones establecidas en el presente artículo acarreará responsabilidad disciplinaria al funcionario responsable de la institución prestataria del servicio público, por el incumplimiento de deberes acaecido, según el régimen sancionatorio </w:t>
      </w:r>
      <w:r>
        <w:rPr>
          <w:rFonts w:ascii="Arial" w:hAnsi="Arial" w:cs="Arial"/>
          <w:bCs/>
          <w:sz w:val="24"/>
          <w:szCs w:val="24"/>
          <w:lang w:val="es-ES_tradnl"/>
        </w:rPr>
        <w:t>correspondiente</w:t>
      </w:r>
      <w:r w:rsidRPr="00611D35">
        <w:rPr>
          <w:rFonts w:ascii="Arial" w:hAnsi="Arial" w:cs="Arial"/>
          <w:bCs/>
          <w:sz w:val="24"/>
          <w:szCs w:val="24"/>
          <w:lang w:val="es-ES_tradnl"/>
        </w:rPr>
        <w:t>.</w:t>
      </w:r>
    </w:p>
    <w:p w:rsidR="00FF0D18" w:rsidRPr="00611D35" w:rsidRDefault="00FF0D18" w:rsidP="007C4E95">
      <w:pPr>
        <w:spacing w:after="0" w:line="240" w:lineRule="auto"/>
        <w:jc w:val="both"/>
        <w:rPr>
          <w:rFonts w:ascii="Arial" w:hAnsi="Arial" w:cs="Arial"/>
          <w:bCs/>
          <w:sz w:val="24"/>
          <w:szCs w:val="24"/>
          <w:lang w:val="es-ES_tradnl"/>
        </w:rPr>
      </w:pPr>
    </w:p>
    <w:p w:rsidR="00FF0D18" w:rsidRPr="00AF52E3" w:rsidRDefault="00FF0D18" w:rsidP="00653C97">
      <w:pPr>
        <w:spacing w:after="0" w:line="240" w:lineRule="auto"/>
        <w:ind w:left="2127" w:hanging="2127"/>
        <w:jc w:val="both"/>
        <w:rPr>
          <w:rFonts w:ascii="Arial" w:eastAsia="Times New Roman" w:hAnsi="Arial" w:cs="Arial"/>
          <w:sz w:val="24"/>
          <w:szCs w:val="24"/>
          <w:lang w:val="es-ES_tradnl"/>
        </w:rPr>
      </w:pPr>
      <w:r w:rsidRPr="00AF52E3">
        <w:rPr>
          <w:rFonts w:ascii="Arial" w:eastAsia="Times New Roman" w:hAnsi="Arial" w:cs="Arial"/>
          <w:sz w:val="24"/>
          <w:szCs w:val="24"/>
          <w:lang w:val="es-ES_tradnl"/>
        </w:rPr>
        <w:t>ARTÍCULO 15</w:t>
      </w:r>
      <w:r w:rsidR="00653C97" w:rsidRPr="00AF52E3">
        <w:rPr>
          <w:rFonts w:ascii="Arial" w:eastAsia="Times New Roman" w:hAnsi="Arial" w:cs="Arial"/>
          <w:sz w:val="24"/>
          <w:szCs w:val="24"/>
          <w:lang w:val="es-ES_tradnl"/>
        </w:rPr>
        <w:t>-</w:t>
      </w:r>
      <w:r w:rsidR="00653C97" w:rsidRPr="00AF52E3">
        <w:rPr>
          <w:rFonts w:ascii="Arial" w:eastAsia="Times New Roman" w:hAnsi="Arial" w:cs="Arial"/>
          <w:sz w:val="24"/>
          <w:szCs w:val="24"/>
          <w:lang w:val="es-ES_tradnl"/>
        </w:rPr>
        <w:tab/>
      </w:r>
      <w:r w:rsidRPr="00AF52E3">
        <w:rPr>
          <w:rFonts w:ascii="Arial" w:eastAsia="Times New Roman" w:hAnsi="Arial" w:cs="Arial"/>
          <w:sz w:val="24"/>
          <w:szCs w:val="24"/>
          <w:lang w:val="es-ES_tradnl"/>
        </w:rPr>
        <w:t>Inclusión de Recursos en el Presupuesto Ordinario y E</w:t>
      </w:r>
      <w:r w:rsidR="007C4E95" w:rsidRPr="00AF52E3">
        <w:rPr>
          <w:rFonts w:ascii="Arial" w:eastAsia="Times New Roman" w:hAnsi="Arial" w:cs="Arial"/>
          <w:sz w:val="24"/>
          <w:szCs w:val="24"/>
          <w:lang w:val="es-ES_tradnl"/>
        </w:rPr>
        <w:t>xtraordinario de la República.</w:t>
      </w:r>
    </w:p>
    <w:p w:rsidR="007C4E95" w:rsidRPr="00611D35" w:rsidRDefault="007C4E95" w:rsidP="007C4E95">
      <w:pPr>
        <w:spacing w:after="0" w:line="240" w:lineRule="auto"/>
        <w:jc w:val="both"/>
        <w:rPr>
          <w:rFonts w:ascii="Arial" w:eastAsia="Times New Roman" w:hAnsi="Arial" w:cs="Arial"/>
          <w:b/>
          <w:sz w:val="24"/>
          <w:szCs w:val="24"/>
          <w:lang w:val="es-ES_tradnl"/>
        </w:rPr>
      </w:pPr>
    </w:p>
    <w:p w:rsidR="00FF0D18" w:rsidRDefault="00FF0D18" w:rsidP="007C4E95">
      <w:pPr>
        <w:tabs>
          <w:tab w:val="left" w:pos="1440"/>
          <w:tab w:val="left" w:pos="3060"/>
        </w:tabs>
        <w:spacing w:after="0" w:line="240" w:lineRule="auto"/>
        <w:jc w:val="both"/>
        <w:rPr>
          <w:rFonts w:ascii="Arial" w:eastAsia="Times New Roman" w:hAnsi="Arial" w:cs="Arial"/>
          <w:sz w:val="24"/>
          <w:szCs w:val="24"/>
          <w:lang w:val="es-ES_tradnl"/>
        </w:rPr>
      </w:pPr>
      <w:r w:rsidRPr="0010664F">
        <w:rPr>
          <w:rFonts w:ascii="Arial" w:eastAsia="Times New Roman" w:hAnsi="Arial" w:cs="Arial"/>
          <w:sz w:val="24"/>
          <w:szCs w:val="24"/>
          <w:lang w:val="es-ES_tradnl"/>
        </w:rPr>
        <w:t xml:space="preserve">Siendo que los recursos de las operaciones individuales que se suscriban en el marco del Convenio de Cooperación para el financiamiento de Proyectos de inversión (CCLIP) CR-O0005 son única y exclusivamente para </w:t>
      </w:r>
      <w:r w:rsidRPr="00611D35">
        <w:rPr>
          <w:rFonts w:ascii="Arial" w:eastAsia="Times New Roman" w:hAnsi="Arial" w:cs="Arial"/>
          <w:sz w:val="24"/>
          <w:szCs w:val="24"/>
          <w:lang w:val="es-ES_tradnl"/>
        </w:rPr>
        <w:t>ser utilizados en la ejecución del Programa de Infraestructura Vial y Movilidad Urbana, se autoriza al Poder Ejecutivo para incluir dichos recursos en el Presupuesto Ordinario y Extraordinario de la República vigente mediante decreto ejecutivo.</w:t>
      </w:r>
    </w:p>
    <w:p w:rsidR="006C65EF" w:rsidRDefault="006C65EF">
      <w:pPr>
        <w:spacing w:after="0" w:line="24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br w:type="page"/>
      </w: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r w:rsidRPr="006C65EF">
        <w:rPr>
          <w:rFonts w:ascii="Arial" w:eastAsia="Times New Roman" w:hAnsi="Arial" w:cs="Arial"/>
          <w:sz w:val="24"/>
          <w:szCs w:val="24"/>
          <w:lang w:val="es-ES_tradnl"/>
        </w:rPr>
        <w:lastRenderedPageBreak/>
        <w:t>Rige a partir de su publicación en el Diario Oficial La Gaceta.</w:t>
      </w: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Default="006C65EF">
      <w:pPr>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r w:rsidRPr="006C65EF">
        <w:rPr>
          <w:rFonts w:ascii="Arial" w:eastAsia="Times New Roman" w:hAnsi="Arial" w:cs="Arial"/>
          <w:sz w:val="24"/>
          <w:szCs w:val="24"/>
          <w:lang w:val="es-ES_tradnl"/>
        </w:rPr>
        <w:t>Dado en la Presidencia de la República.-</w:t>
      </w:r>
      <w:r>
        <w:rPr>
          <w:rFonts w:ascii="Arial" w:eastAsia="Times New Roman" w:hAnsi="Arial" w:cs="Arial"/>
          <w:sz w:val="24"/>
          <w:szCs w:val="24"/>
          <w:lang w:val="es-ES_tradnl"/>
        </w:rPr>
        <w:t xml:space="preserve"> </w:t>
      </w:r>
      <w:r w:rsidRPr="006C65EF">
        <w:rPr>
          <w:rFonts w:ascii="Arial" w:eastAsia="Times New Roman" w:hAnsi="Arial" w:cs="Arial"/>
          <w:sz w:val="24"/>
          <w:szCs w:val="24"/>
          <w:lang w:val="es-ES_tradnl"/>
        </w:rPr>
        <w:t xml:space="preserve"> San José a los veintitrés días del mes de marzo del año dos mil veinte.</w:t>
      </w: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b/>
          <w:sz w:val="24"/>
          <w:szCs w:val="24"/>
          <w:lang w:val="es-ES_tradnl"/>
        </w:rPr>
      </w:pPr>
      <w:r w:rsidRPr="006C65EF">
        <w:rPr>
          <w:rFonts w:ascii="Arial" w:eastAsia="Times New Roman" w:hAnsi="Arial" w:cs="Arial"/>
          <w:b/>
          <w:sz w:val="24"/>
          <w:szCs w:val="24"/>
          <w:lang w:val="es-ES_tradnl"/>
        </w:rPr>
        <w:t>CARLOS ALVARADO QUESADA</w:t>
      </w:r>
    </w:p>
    <w:p w:rsidR="006C65EF" w:rsidRPr="006C65EF" w:rsidRDefault="006C65EF" w:rsidP="006C65EF">
      <w:pPr>
        <w:tabs>
          <w:tab w:val="left" w:pos="1440"/>
          <w:tab w:val="left" w:pos="3060"/>
        </w:tabs>
        <w:spacing w:after="0" w:line="240" w:lineRule="auto"/>
        <w:jc w:val="center"/>
        <w:rPr>
          <w:rFonts w:ascii="Arial" w:eastAsia="Times New Roman" w:hAnsi="Arial" w:cs="Arial"/>
          <w:b/>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center"/>
        <w:rPr>
          <w:rFonts w:ascii="Arial" w:eastAsia="Times New Roman" w:hAnsi="Arial" w:cs="Arial"/>
          <w:sz w:val="24"/>
          <w:szCs w:val="24"/>
          <w:lang w:val="es-ES_tradnl"/>
        </w:rPr>
      </w:pPr>
      <w:r w:rsidRPr="006C65EF">
        <w:rPr>
          <w:rFonts w:ascii="Arial" w:eastAsia="Times New Roman" w:hAnsi="Arial" w:cs="Arial"/>
          <w:sz w:val="24"/>
          <w:szCs w:val="24"/>
          <w:lang w:val="es-ES_tradnl"/>
        </w:rPr>
        <w:t>Rodrigo Chaves Robles</w:t>
      </w:r>
    </w:p>
    <w:p w:rsidR="006C65EF" w:rsidRPr="006C65EF" w:rsidRDefault="006C65EF" w:rsidP="006C65EF">
      <w:pPr>
        <w:tabs>
          <w:tab w:val="left" w:pos="1440"/>
          <w:tab w:val="left" w:pos="3060"/>
        </w:tabs>
        <w:spacing w:after="0" w:line="240" w:lineRule="auto"/>
        <w:jc w:val="center"/>
        <w:rPr>
          <w:rFonts w:ascii="Arial" w:eastAsia="Times New Roman" w:hAnsi="Arial" w:cs="Arial"/>
          <w:b/>
          <w:sz w:val="24"/>
          <w:szCs w:val="24"/>
          <w:lang w:val="es-ES_tradnl"/>
        </w:rPr>
      </w:pPr>
      <w:r w:rsidRPr="006C65EF">
        <w:rPr>
          <w:rFonts w:ascii="Arial" w:eastAsia="Times New Roman" w:hAnsi="Arial" w:cs="Arial"/>
          <w:b/>
          <w:sz w:val="24"/>
          <w:szCs w:val="24"/>
          <w:lang w:val="es-ES_tradnl"/>
        </w:rPr>
        <w:t>Ministro de Hacienda</w:t>
      </w:r>
    </w:p>
    <w:p w:rsidR="006C65EF" w:rsidRPr="006C65EF" w:rsidRDefault="006C65EF" w:rsidP="006C65EF">
      <w:pPr>
        <w:tabs>
          <w:tab w:val="left" w:pos="1440"/>
          <w:tab w:val="left" w:pos="3060"/>
        </w:tabs>
        <w:spacing w:after="0" w:line="240" w:lineRule="auto"/>
        <w:jc w:val="center"/>
        <w:rPr>
          <w:rFonts w:ascii="Arial" w:eastAsia="Times New Roman" w:hAnsi="Arial" w:cs="Arial"/>
          <w:b/>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r w:rsidRPr="006C65EF">
        <w:rPr>
          <w:rFonts w:ascii="Arial" w:eastAsia="Times New Roman" w:hAnsi="Arial" w:cs="Arial"/>
          <w:sz w:val="24"/>
          <w:szCs w:val="24"/>
          <w:lang w:val="es-ES_tradnl"/>
        </w:rPr>
        <w:t>21 de abril de 2020</w:t>
      </w: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r w:rsidRPr="006C65EF">
        <w:rPr>
          <w:rFonts w:ascii="Arial" w:eastAsia="Times New Roman" w:hAnsi="Arial" w:cs="Arial"/>
          <w:sz w:val="24"/>
          <w:szCs w:val="24"/>
          <w:lang w:val="es-ES_tradnl"/>
        </w:rPr>
        <w:t>NOTAS:</w:t>
      </w:r>
      <w:r w:rsidRPr="006C65EF">
        <w:rPr>
          <w:rFonts w:ascii="Arial" w:eastAsia="Times New Roman" w:hAnsi="Arial" w:cs="Arial"/>
          <w:sz w:val="24"/>
          <w:szCs w:val="24"/>
          <w:lang w:val="es-ES_tradnl"/>
        </w:rPr>
        <w:tab/>
        <w:t>Este proyecto no tiene aún comisión asignada.</w:t>
      </w:r>
    </w:p>
    <w:p w:rsidR="006C65EF" w:rsidRPr="006C65EF" w:rsidRDefault="006C65EF" w:rsidP="006C65EF">
      <w:pPr>
        <w:tabs>
          <w:tab w:val="left" w:pos="1440"/>
          <w:tab w:val="left" w:pos="3060"/>
        </w:tabs>
        <w:spacing w:after="0" w:line="240" w:lineRule="auto"/>
        <w:jc w:val="both"/>
        <w:rPr>
          <w:rFonts w:ascii="Arial" w:eastAsia="Times New Roman" w:hAnsi="Arial" w:cs="Arial"/>
          <w:sz w:val="24"/>
          <w:szCs w:val="24"/>
          <w:lang w:val="es-ES_tradnl"/>
        </w:rPr>
      </w:pPr>
    </w:p>
    <w:p w:rsidR="006C65EF" w:rsidRPr="006C65EF" w:rsidRDefault="006C65EF" w:rsidP="006C65EF">
      <w:pPr>
        <w:tabs>
          <w:tab w:val="left" w:pos="1440"/>
          <w:tab w:val="left" w:pos="3060"/>
        </w:tabs>
        <w:spacing w:after="0" w:line="240" w:lineRule="auto"/>
        <w:ind w:left="1418"/>
        <w:jc w:val="both"/>
        <w:rPr>
          <w:rFonts w:ascii="Arial" w:eastAsia="Times New Roman" w:hAnsi="Arial" w:cs="Arial"/>
          <w:sz w:val="24"/>
          <w:szCs w:val="24"/>
          <w:lang w:val="es-ES_tradnl"/>
        </w:rPr>
      </w:pPr>
      <w:r>
        <w:rPr>
          <w:rFonts w:ascii="Arial" w:eastAsia="Times New Roman" w:hAnsi="Arial" w:cs="Arial"/>
          <w:sz w:val="24"/>
          <w:szCs w:val="24"/>
          <w:lang w:val="es-ES_tradnl"/>
        </w:rPr>
        <w:tab/>
      </w:r>
      <w:r w:rsidRPr="006C65EF">
        <w:rPr>
          <w:rFonts w:ascii="Arial" w:eastAsia="Times New Roman" w:hAnsi="Arial" w:cs="Arial"/>
          <w:sz w:val="24"/>
          <w:szCs w:val="24"/>
          <w:lang w:val="es-ES_tradnl"/>
        </w:rPr>
        <w:t>El Departamento de Servicios Parlamentarios ajustó el texto de este proyecto a los requerimientos de estructura.</w:t>
      </w:r>
    </w:p>
    <w:p w:rsidR="006C65EF" w:rsidRDefault="006C65EF" w:rsidP="007C4E95">
      <w:pPr>
        <w:tabs>
          <w:tab w:val="left" w:pos="1440"/>
          <w:tab w:val="left" w:pos="3060"/>
        </w:tabs>
        <w:spacing w:after="0" w:line="240" w:lineRule="auto"/>
        <w:jc w:val="both"/>
        <w:rPr>
          <w:rFonts w:ascii="Arial" w:eastAsia="Times New Roman" w:hAnsi="Arial" w:cs="Arial"/>
          <w:sz w:val="24"/>
          <w:szCs w:val="24"/>
          <w:lang w:val="es-ES_tradnl"/>
        </w:rPr>
      </w:pPr>
    </w:p>
    <w:p w:rsidR="007C4E95" w:rsidRDefault="006452AF" w:rsidP="007C4E95">
      <w:pPr>
        <w:tabs>
          <w:tab w:val="left" w:pos="1440"/>
          <w:tab w:val="left" w:pos="3060"/>
        </w:tabs>
        <w:spacing w:after="0" w:line="240" w:lineRule="auto"/>
        <w:jc w:val="both"/>
        <w:rPr>
          <w:rFonts w:ascii="Arial" w:eastAsia="Times New Roman" w:hAnsi="Arial" w:cs="Arial"/>
          <w:sz w:val="24"/>
          <w:szCs w:val="24"/>
          <w:lang w:val="es-ES_tradnl"/>
        </w:rPr>
      </w:pPr>
      <w:r w:rsidRPr="006452AF">
        <w:rPr>
          <w:rFonts w:ascii="Arial" w:eastAsia="Times New Roman" w:hAnsi="Arial" w:cs="Arial"/>
          <w:noProof/>
          <w:sz w:val="24"/>
          <w:szCs w:val="24"/>
          <w:lang w:eastAsia="es-CR"/>
        </w:rPr>
        <w:lastRenderedPageBreak/>
        <w:drawing>
          <wp:inline distT="0" distB="0" distL="0" distR="0">
            <wp:extent cx="5612130" cy="7250634"/>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7250634"/>
                    </a:xfrm>
                    <a:prstGeom prst="rect">
                      <a:avLst/>
                    </a:prstGeom>
                    <a:noFill/>
                    <a:ln>
                      <a:noFill/>
                    </a:ln>
                  </pic:spPr>
                </pic:pic>
              </a:graphicData>
            </a:graphic>
          </wp:inline>
        </w:drawing>
      </w:r>
    </w:p>
    <w:p w:rsidR="006452AF" w:rsidRDefault="006452AF" w:rsidP="007C4E95">
      <w:pPr>
        <w:tabs>
          <w:tab w:val="left" w:pos="1440"/>
          <w:tab w:val="left" w:pos="3060"/>
        </w:tabs>
        <w:spacing w:after="0" w:line="240" w:lineRule="auto"/>
        <w:jc w:val="both"/>
        <w:rPr>
          <w:rFonts w:ascii="Arial" w:eastAsia="Times New Roman" w:hAnsi="Arial" w:cs="Arial"/>
          <w:sz w:val="24"/>
          <w:szCs w:val="24"/>
          <w:lang w:val="es-ES_tradnl"/>
        </w:rPr>
      </w:pPr>
      <w:r w:rsidRPr="006452AF">
        <w:rPr>
          <w:rFonts w:ascii="Arial" w:eastAsia="Times New Roman" w:hAnsi="Arial" w:cs="Arial"/>
          <w:noProof/>
          <w:sz w:val="24"/>
          <w:szCs w:val="24"/>
          <w:lang w:eastAsia="es-CR"/>
        </w:rPr>
        <w:lastRenderedPageBreak/>
        <w:drawing>
          <wp:inline distT="0" distB="0" distL="0" distR="0">
            <wp:extent cx="5612130" cy="7292803"/>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7292803"/>
                    </a:xfrm>
                    <a:prstGeom prst="rect">
                      <a:avLst/>
                    </a:prstGeom>
                    <a:noFill/>
                    <a:ln>
                      <a:noFill/>
                    </a:ln>
                  </pic:spPr>
                </pic:pic>
              </a:graphicData>
            </a:graphic>
          </wp:inline>
        </w:drawing>
      </w:r>
    </w:p>
    <w:p w:rsidR="00EB0D36" w:rsidRDefault="00EB0D36" w:rsidP="007C4E95">
      <w:pPr>
        <w:spacing w:after="0" w:line="240" w:lineRule="auto"/>
        <w:rPr>
          <w:rFonts w:ascii="Arial" w:eastAsia="Times New Roman" w:hAnsi="Arial" w:cs="Arial"/>
          <w:sz w:val="24"/>
          <w:szCs w:val="24"/>
          <w:lang w:val="es-ES_tradnl"/>
        </w:rPr>
      </w:pPr>
    </w:p>
    <w:p w:rsidR="00EB0D36" w:rsidRDefault="00EB0D36" w:rsidP="007C4E95">
      <w:pPr>
        <w:spacing w:after="0" w:line="240" w:lineRule="auto"/>
        <w:rPr>
          <w:rFonts w:ascii="Arial" w:eastAsia="Times New Roman" w:hAnsi="Arial" w:cs="Arial"/>
          <w:sz w:val="24"/>
          <w:szCs w:val="24"/>
          <w:lang w:val="es-ES_tradnl"/>
        </w:rPr>
      </w:pPr>
    </w:p>
    <w:p w:rsidR="00EB0D36" w:rsidRDefault="00EB0D36" w:rsidP="007C4E95">
      <w:pPr>
        <w:spacing w:after="0" w:line="240" w:lineRule="auto"/>
        <w:rPr>
          <w:rFonts w:ascii="Arial" w:eastAsia="Times New Roman" w:hAnsi="Arial" w:cs="Arial"/>
          <w:sz w:val="24"/>
          <w:szCs w:val="24"/>
          <w:lang w:val="es-ES_tradnl"/>
        </w:rPr>
      </w:pPr>
      <w:r w:rsidRPr="00EB0D36">
        <w:rPr>
          <w:rFonts w:ascii="Arial" w:eastAsia="Times New Roman" w:hAnsi="Arial" w:cs="Arial"/>
          <w:noProof/>
          <w:sz w:val="24"/>
          <w:szCs w:val="24"/>
          <w:lang w:eastAsia="es-CR"/>
        </w:rPr>
        <w:lastRenderedPageBreak/>
        <w:drawing>
          <wp:inline distT="0" distB="0" distL="0" distR="0">
            <wp:extent cx="5612130" cy="7250634"/>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7250634"/>
                    </a:xfrm>
                    <a:prstGeom prst="rect">
                      <a:avLst/>
                    </a:prstGeom>
                    <a:noFill/>
                    <a:ln>
                      <a:noFill/>
                    </a:ln>
                  </pic:spPr>
                </pic:pic>
              </a:graphicData>
            </a:graphic>
          </wp:inline>
        </w:drawing>
      </w:r>
    </w:p>
    <w:p w:rsidR="00EB0D36" w:rsidRDefault="00EB0D36" w:rsidP="007C4E95">
      <w:pPr>
        <w:spacing w:after="0" w:line="240" w:lineRule="auto"/>
        <w:rPr>
          <w:rFonts w:ascii="Arial" w:eastAsia="Times New Roman" w:hAnsi="Arial" w:cs="Arial"/>
          <w:sz w:val="24"/>
          <w:szCs w:val="24"/>
          <w:lang w:val="es-ES_tradnl"/>
        </w:rPr>
      </w:pPr>
    </w:p>
    <w:p w:rsidR="00EB0D36" w:rsidRDefault="00EB0D36" w:rsidP="007C4E95">
      <w:pPr>
        <w:spacing w:after="0" w:line="240" w:lineRule="auto"/>
        <w:rPr>
          <w:rFonts w:ascii="Arial" w:eastAsia="Times New Roman" w:hAnsi="Arial" w:cs="Arial"/>
          <w:sz w:val="24"/>
          <w:szCs w:val="24"/>
          <w:lang w:val="es-ES_tradnl"/>
        </w:rPr>
      </w:pPr>
      <w:r w:rsidRPr="00EB0D36">
        <w:rPr>
          <w:rFonts w:ascii="Arial" w:eastAsia="Times New Roman" w:hAnsi="Arial" w:cs="Arial"/>
          <w:noProof/>
          <w:sz w:val="24"/>
          <w:szCs w:val="24"/>
          <w:lang w:eastAsia="es-CR"/>
        </w:rPr>
        <w:lastRenderedPageBreak/>
        <w:drawing>
          <wp:inline distT="0" distB="0" distL="0" distR="0">
            <wp:extent cx="5612130" cy="7320711"/>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7320711"/>
                    </a:xfrm>
                    <a:prstGeom prst="rect">
                      <a:avLst/>
                    </a:prstGeom>
                    <a:noFill/>
                    <a:ln>
                      <a:noFill/>
                    </a:ln>
                  </pic:spPr>
                </pic:pic>
              </a:graphicData>
            </a:graphic>
          </wp:inline>
        </w:drawing>
      </w:r>
    </w:p>
    <w:p w:rsidR="00EB0D36" w:rsidRDefault="00EB0D36" w:rsidP="007C4E95">
      <w:pPr>
        <w:spacing w:after="0" w:line="240" w:lineRule="auto"/>
        <w:rPr>
          <w:rFonts w:ascii="Arial" w:eastAsia="Times New Roman" w:hAnsi="Arial" w:cs="Arial"/>
          <w:sz w:val="24"/>
          <w:szCs w:val="24"/>
          <w:lang w:val="es-ES_tradnl"/>
        </w:rPr>
      </w:pPr>
    </w:p>
    <w:p w:rsidR="00EB0D36" w:rsidRDefault="00EB0D36" w:rsidP="007C4E95">
      <w:pPr>
        <w:spacing w:after="0" w:line="240" w:lineRule="auto"/>
        <w:rPr>
          <w:rFonts w:ascii="Arial" w:eastAsia="Times New Roman" w:hAnsi="Arial" w:cs="Arial"/>
          <w:sz w:val="24"/>
          <w:szCs w:val="24"/>
          <w:lang w:val="es-ES_tradnl"/>
        </w:rPr>
      </w:pPr>
      <w:r w:rsidRPr="00EB0D36">
        <w:rPr>
          <w:rFonts w:ascii="Arial" w:eastAsia="Times New Roman" w:hAnsi="Arial" w:cs="Arial"/>
          <w:noProof/>
          <w:sz w:val="24"/>
          <w:szCs w:val="24"/>
          <w:lang w:eastAsia="es-CR"/>
        </w:rPr>
        <w:lastRenderedPageBreak/>
        <w:drawing>
          <wp:inline distT="0" distB="0" distL="0" distR="0">
            <wp:extent cx="5612130" cy="724308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7243088"/>
                    </a:xfrm>
                    <a:prstGeom prst="rect">
                      <a:avLst/>
                    </a:prstGeom>
                    <a:noFill/>
                    <a:ln>
                      <a:noFill/>
                    </a:ln>
                  </pic:spPr>
                </pic:pic>
              </a:graphicData>
            </a:graphic>
          </wp:inline>
        </w:drawing>
      </w:r>
    </w:p>
    <w:p w:rsidR="00EB0D36" w:rsidRDefault="00EB0D36" w:rsidP="007C4E95">
      <w:pPr>
        <w:spacing w:after="0" w:line="240" w:lineRule="auto"/>
        <w:rPr>
          <w:rFonts w:ascii="Arial" w:eastAsia="Times New Roman" w:hAnsi="Arial" w:cs="Arial"/>
          <w:sz w:val="24"/>
          <w:szCs w:val="24"/>
          <w:lang w:val="es-ES_tradnl"/>
        </w:rPr>
      </w:pPr>
    </w:p>
    <w:p w:rsidR="00EB0D36" w:rsidRDefault="00EB0D36" w:rsidP="007C4E95">
      <w:pPr>
        <w:spacing w:after="0" w:line="240" w:lineRule="auto"/>
        <w:rPr>
          <w:rFonts w:ascii="Arial" w:eastAsia="Times New Roman" w:hAnsi="Arial" w:cs="Arial"/>
          <w:sz w:val="24"/>
          <w:szCs w:val="24"/>
          <w:lang w:val="es-ES_tradnl"/>
        </w:rPr>
      </w:pPr>
      <w:r w:rsidRPr="00EB0D36">
        <w:rPr>
          <w:rFonts w:ascii="Arial" w:eastAsia="Times New Roman" w:hAnsi="Arial" w:cs="Arial"/>
          <w:noProof/>
          <w:sz w:val="24"/>
          <w:szCs w:val="24"/>
          <w:lang w:eastAsia="es-CR"/>
        </w:rPr>
        <w:lastRenderedPageBreak/>
        <w:drawing>
          <wp:inline distT="0" distB="0" distL="0" distR="0">
            <wp:extent cx="5612130" cy="73213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7321365"/>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316709"/>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7316709"/>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177254"/>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7177254"/>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59379"/>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7259379"/>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35575"/>
            <wp:effectExtent l="0" t="0" r="762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7235575"/>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72000"/>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7272000"/>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312708"/>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7312708"/>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42708"/>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7242708"/>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304261"/>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7304261"/>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84393"/>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7284393"/>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305197"/>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7305197"/>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76161"/>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7276161"/>
                    </a:xfrm>
                    <a:prstGeom prst="rect">
                      <a:avLst/>
                    </a:prstGeom>
                    <a:noFill/>
                    <a:ln>
                      <a:noFill/>
                    </a:ln>
                  </pic:spPr>
                </pic:pic>
              </a:graphicData>
            </a:graphic>
          </wp:inline>
        </w:drawing>
      </w:r>
    </w:p>
    <w:p w:rsidR="00EB0D36" w:rsidRDefault="00EB0D36" w:rsidP="007C4E95">
      <w:pPr>
        <w:spacing w:after="0" w:line="240" w:lineRule="auto"/>
        <w:rPr>
          <w:rFonts w:ascii="Arial" w:hAnsi="Arial" w:cs="Arial"/>
          <w:sz w:val="24"/>
          <w:szCs w:val="24"/>
          <w:lang w:val="es-MX"/>
        </w:rPr>
      </w:pPr>
      <w:r w:rsidRPr="00EB0D36">
        <w:rPr>
          <w:rFonts w:ascii="Arial" w:hAnsi="Arial" w:cs="Arial"/>
          <w:noProof/>
          <w:sz w:val="24"/>
          <w:szCs w:val="24"/>
          <w:lang w:eastAsia="es-CR"/>
        </w:rPr>
        <w:lastRenderedPageBreak/>
        <w:drawing>
          <wp:inline distT="0" distB="0" distL="0" distR="0">
            <wp:extent cx="5612130" cy="7271745"/>
            <wp:effectExtent l="0" t="0" r="762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7271745"/>
                    </a:xfrm>
                    <a:prstGeom prst="rect">
                      <a:avLst/>
                    </a:prstGeom>
                    <a:noFill/>
                    <a:ln>
                      <a:noFill/>
                    </a:ln>
                  </pic:spPr>
                </pic:pic>
              </a:graphicData>
            </a:graphic>
          </wp:inline>
        </w:drawing>
      </w:r>
    </w:p>
    <w:sectPr w:rsidR="00EB0D36" w:rsidSect="008F53E8">
      <w:headerReference w:type="default" r:id="rId48"/>
      <w:footerReference w:type="default" r:id="rId49"/>
      <w:pgSz w:w="12240" w:h="15840"/>
      <w:pgMar w:top="1417" w:right="1701" w:bottom="1417" w:left="1701" w:header="708" w:footer="708"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FE7" w:rsidRDefault="000A1FE7" w:rsidP="00FF0D18">
      <w:pPr>
        <w:spacing w:after="0" w:line="240" w:lineRule="auto"/>
      </w:pPr>
      <w:r>
        <w:separator/>
      </w:r>
    </w:p>
  </w:endnote>
  <w:endnote w:type="continuationSeparator" w:id="0">
    <w:p w:rsidR="000A1FE7" w:rsidRDefault="000A1FE7" w:rsidP="00FF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Default="00532E98">
    <w:pPr>
      <w:pStyle w:val="Piedepgina"/>
      <w:jc w:val="right"/>
    </w:pPr>
  </w:p>
  <w:p w:rsidR="00532E98" w:rsidRDefault="00532E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Default="00532E9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Pr="004659C8" w:rsidRDefault="00532E98" w:rsidP="00FF0D18">
    <w:pPr>
      <w:pStyle w:val="Piedepgina"/>
      <w:jc w:val="center"/>
      <w:rPr>
        <w:sz w:val="24"/>
        <w:szCs w:val="24"/>
      </w:rPr>
    </w:pPr>
    <w:r>
      <w:rPr>
        <w:sz w:val="24"/>
        <w:szCs w:val="24"/>
        <w:lang w:val="es-ES_tradnl"/>
      </w:rPr>
      <w:t>4864</w:t>
    </w:r>
    <w:r w:rsidRPr="004659C8">
      <w:rPr>
        <w:sz w:val="24"/>
        <w:szCs w:val="24"/>
        <w:lang w:val="es-ES_tradnl"/>
      </w:rPr>
      <w:t>/OC-</w:t>
    </w:r>
    <w:r>
      <w:rPr>
        <w:sz w:val="24"/>
        <w:szCs w:val="24"/>
        <w:lang w:val="es-ES_tradnl"/>
      </w:rPr>
      <w:t>CR</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Pr="00D22C51" w:rsidRDefault="00532E98" w:rsidP="00FF0D18">
    <w:pPr>
      <w:pStyle w:val="Piedepgina"/>
      <w:jc w:val="center"/>
      <w:rPr>
        <w:lang w:val="es-ES_tradn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Default="00532E98">
    <w:pPr>
      <w:pStyle w:val="Piedepgina"/>
      <w:jc w:val="right"/>
    </w:pPr>
  </w:p>
  <w:p w:rsidR="00532E98" w:rsidRDefault="00532E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FE7" w:rsidRDefault="000A1FE7" w:rsidP="00FF0D18">
      <w:pPr>
        <w:spacing w:after="0" w:line="240" w:lineRule="auto"/>
      </w:pPr>
      <w:r>
        <w:separator/>
      </w:r>
    </w:p>
  </w:footnote>
  <w:footnote w:type="continuationSeparator" w:id="0">
    <w:p w:rsidR="000A1FE7" w:rsidRDefault="000A1FE7" w:rsidP="00FF0D18">
      <w:pPr>
        <w:spacing w:after="0" w:line="240" w:lineRule="auto"/>
      </w:pPr>
      <w:r>
        <w:continuationSeparator/>
      </w:r>
    </w:p>
  </w:footnote>
  <w:footnote w:id="1">
    <w:p w:rsidR="00532E98" w:rsidRPr="00C1446B" w:rsidRDefault="00532E98" w:rsidP="00FF0D18">
      <w:pPr>
        <w:spacing w:after="0" w:line="240" w:lineRule="auto"/>
        <w:rPr>
          <w:rFonts w:ascii="Arial" w:hAnsi="Arial" w:cs="Arial"/>
          <w:sz w:val="18"/>
          <w:szCs w:val="18"/>
        </w:rPr>
      </w:pPr>
      <w:r w:rsidRPr="00C1446B">
        <w:rPr>
          <w:rStyle w:val="Refdenotaalpie"/>
          <w:rFonts w:ascii="Arial" w:hAnsi="Arial" w:cs="Arial"/>
          <w:sz w:val="18"/>
          <w:szCs w:val="18"/>
        </w:rPr>
        <w:footnoteRef/>
      </w:r>
      <w:r w:rsidRPr="00C1446B">
        <w:rPr>
          <w:rFonts w:ascii="Arial" w:hAnsi="Arial" w:cs="Arial"/>
          <w:sz w:val="18"/>
          <w:szCs w:val="18"/>
        </w:rPr>
        <w:t xml:space="preserve"> Los vehículos en circulación corresponden a los que cumplieron con las obligaciones de pago con el INS.</w:t>
      </w:r>
    </w:p>
  </w:footnote>
  <w:footnote w:id="2">
    <w:p w:rsidR="00532E98" w:rsidRPr="00C1446B" w:rsidRDefault="00532E98" w:rsidP="00FF0D18">
      <w:pPr>
        <w:pStyle w:val="Textonotapie"/>
        <w:rPr>
          <w:lang w:val="es-ES"/>
        </w:rPr>
      </w:pPr>
      <w:r w:rsidRPr="00C1446B">
        <w:rPr>
          <w:rStyle w:val="Refdenotaalpie"/>
          <w:rFonts w:cs="Arial"/>
          <w:sz w:val="18"/>
          <w:szCs w:val="18"/>
        </w:rPr>
        <w:footnoteRef/>
      </w:r>
      <w:r w:rsidRPr="00C1446B">
        <w:rPr>
          <w:rFonts w:cs="Arial"/>
          <w:sz w:val="18"/>
          <w:szCs w:val="18"/>
        </w:rPr>
        <w:t xml:space="preserve"> Incluye automóviles y vehículos doble tracción de pasajeros particulares.</w:t>
      </w:r>
    </w:p>
  </w:footnote>
  <w:footnote w:id="3">
    <w:p w:rsidR="00532E98" w:rsidRPr="00994E33" w:rsidRDefault="00532E98" w:rsidP="00FF0D18">
      <w:pPr>
        <w:pStyle w:val="Textonotapie"/>
        <w:rPr>
          <w:rFonts w:ascii="Arial Narrow" w:hAnsi="Arial Narrow"/>
          <w:b/>
          <w:sz w:val="18"/>
        </w:rPr>
      </w:pPr>
      <w:r w:rsidRPr="00994E33">
        <w:rPr>
          <w:rStyle w:val="Refdenotaalpie"/>
          <w:b/>
        </w:rPr>
        <w:t>2</w:t>
      </w:r>
      <w:r w:rsidRPr="00994E33">
        <w:rPr>
          <w:b/>
        </w:rPr>
        <w:t xml:space="preserve"> </w:t>
      </w:r>
      <w:r w:rsidRPr="00994E33">
        <w:rPr>
          <w:rFonts w:ascii="Arial Narrow" w:hAnsi="Arial Narrow"/>
          <w:b/>
          <w:sz w:val="18"/>
        </w:rPr>
        <w:t>Diagnóstico sectorial “Propuesta para un Plan Vial de Costa Rica 2005 - 2020, junio 2005.</w:t>
      </w:r>
    </w:p>
  </w:footnote>
  <w:footnote w:id="4">
    <w:p w:rsidR="00532E98" w:rsidRDefault="00532E98" w:rsidP="00FF0D18">
      <w:pPr>
        <w:pStyle w:val="Textonotapie"/>
        <w:tabs>
          <w:tab w:val="left" w:pos="360"/>
        </w:tabs>
        <w:ind w:left="360" w:hanging="360"/>
        <w:jc w:val="both"/>
        <w:rPr>
          <w:rFonts w:ascii="Arial Narrow" w:hAnsi="Arial Narrow"/>
          <w:b/>
          <w:sz w:val="18"/>
        </w:rPr>
      </w:pPr>
      <w:r w:rsidRPr="00994E33">
        <w:rPr>
          <w:rStyle w:val="Refdenotaalpie"/>
          <w:b/>
        </w:rPr>
        <w:t>3</w:t>
      </w:r>
      <w:r w:rsidRPr="00994E33">
        <w:rPr>
          <w:rFonts w:cs="Arial"/>
          <w:b/>
          <w:sz w:val="18"/>
          <w:szCs w:val="18"/>
        </w:rPr>
        <w:t xml:space="preserve"> </w:t>
      </w:r>
      <w:r w:rsidR="00C1446B">
        <w:rPr>
          <w:rFonts w:cs="Arial"/>
          <w:b/>
          <w:sz w:val="18"/>
          <w:szCs w:val="18"/>
        </w:rPr>
        <w:tab/>
      </w:r>
      <w:r w:rsidRPr="00994E33">
        <w:rPr>
          <w:rFonts w:ascii="Arial Narrow" w:hAnsi="Arial Narrow"/>
          <w:b/>
          <w:sz w:val="18"/>
        </w:rPr>
        <w:t>Los modos no motorizados (peatones y bicicleta) atienden el 38% y el transporte privado el 35%. Plan Integral de Movilidad Urbana Sostenible, BID 2018.</w:t>
      </w:r>
    </w:p>
    <w:p w:rsidR="00532E98" w:rsidRPr="00994E33" w:rsidRDefault="00532E98" w:rsidP="00FF0D18">
      <w:pPr>
        <w:pStyle w:val="Textonotapie"/>
        <w:tabs>
          <w:tab w:val="left" w:pos="360"/>
        </w:tabs>
        <w:ind w:left="360" w:hanging="360"/>
        <w:jc w:val="both"/>
        <w:rPr>
          <w:rFonts w:ascii="Arial Narrow" w:hAnsi="Arial Narrow"/>
          <w:b/>
          <w:sz w:val="18"/>
        </w:rPr>
      </w:pPr>
    </w:p>
  </w:footnote>
  <w:footnote w:id="5">
    <w:p w:rsidR="00532E98" w:rsidRPr="00994E33" w:rsidRDefault="00532E98" w:rsidP="00FF0D18">
      <w:pPr>
        <w:pStyle w:val="Textonotapie"/>
        <w:tabs>
          <w:tab w:val="left" w:pos="360"/>
        </w:tabs>
        <w:ind w:left="360" w:hanging="360"/>
        <w:jc w:val="both"/>
        <w:rPr>
          <w:rFonts w:cs="Arial"/>
          <w:b/>
          <w:sz w:val="18"/>
          <w:szCs w:val="18"/>
          <w:lang w:val="es-ES_tradnl"/>
        </w:rPr>
      </w:pPr>
      <w:r w:rsidRPr="00994E33">
        <w:rPr>
          <w:rFonts w:ascii="Arial Narrow" w:hAnsi="Arial Narrow"/>
          <w:b/>
          <w:sz w:val="16"/>
          <w:szCs w:val="16"/>
        </w:rPr>
        <w:t>4</w:t>
      </w:r>
      <w:r w:rsidRPr="00994E33">
        <w:rPr>
          <w:rFonts w:ascii="Arial Narrow" w:hAnsi="Arial Narrow"/>
          <w:b/>
          <w:sz w:val="18"/>
        </w:rPr>
        <w:t xml:space="preserve"> </w:t>
      </w:r>
      <w:r w:rsidRPr="00994E33">
        <w:rPr>
          <w:rFonts w:ascii="Arial Narrow" w:hAnsi="Arial Narrow"/>
          <w:b/>
          <w:sz w:val="18"/>
        </w:rPr>
        <w:tab/>
        <w:t>BID (2016), Plan de Acción San José Capital: de la Acción Local a la Sostenibilidad Metropolitana</w:t>
      </w:r>
    </w:p>
  </w:footnote>
  <w:footnote w:id="6">
    <w:p w:rsidR="00532E98" w:rsidRPr="00C42E09" w:rsidRDefault="00532E98" w:rsidP="00FF0D18">
      <w:pPr>
        <w:pStyle w:val="Textonotapie"/>
        <w:ind w:left="360" w:hanging="360"/>
        <w:jc w:val="both"/>
        <w:rPr>
          <w:rFonts w:cs="Arial"/>
          <w:b/>
          <w:sz w:val="18"/>
          <w:szCs w:val="18"/>
        </w:rPr>
      </w:pPr>
      <w:r w:rsidRPr="00C42E09">
        <w:rPr>
          <w:rStyle w:val="Refdenotaalpie"/>
          <w:rFonts w:cs="Arial"/>
          <w:b/>
          <w:sz w:val="18"/>
          <w:szCs w:val="18"/>
        </w:rPr>
        <w:footnoteRef/>
      </w:r>
      <w:r w:rsidRPr="00C42E09">
        <w:rPr>
          <w:rFonts w:cs="Arial"/>
          <w:b/>
          <w:sz w:val="18"/>
          <w:szCs w:val="18"/>
        </w:rPr>
        <w:t xml:space="preserve"> </w:t>
      </w:r>
      <w:r w:rsidRPr="00C42E09">
        <w:rPr>
          <w:rFonts w:cs="Arial"/>
          <w:b/>
          <w:sz w:val="18"/>
          <w:szCs w:val="18"/>
        </w:rPr>
        <w:tab/>
        <w:t>Constituidos mediante Decreto Ejecutivo No. 39240 de 2015, que define sus funciones.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Pr="009B3F79" w:rsidRDefault="00532E98">
    <w:pPr>
      <w:pStyle w:val="Encabezado"/>
      <w:rPr>
        <w:rFonts w:ascii="Arial" w:hAnsi="Arial" w:cs="Arial"/>
      </w:rPr>
    </w:pPr>
    <w:r w:rsidRPr="009B3F79">
      <w:rPr>
        <w:rFonts w:ascii="Arial" w:hAnsi="Arial" w:cs="Arial"/>
      </w:rPr>
      <w:t>Expediente N.°</w:t>
    </w:r>
    <w:r w:rsidR="00852D76" w:rsidRPr="009B3F79">
      <w:rPr>
        <w:rFonts w:ascii="Arial" w:hAnsi="Arial" w:cs="Arial"/>
      </w:rPr>
      <w:t xml:space="preserve"> 21.929</w:t>
    </w:r>
    <w:r w:rsidR="00852D76" w:rsidRPr="009B3F79">
      <w:rPr>
        <w:rFonts w:ascii="Arial" w:hAnsi="Arial" w:cs="Arial"/>
      </w:rPr>
      <w:tab/>
    </w:r>
    <w:r w:rsidR="00852D76" w:rsidRPr="009B3F79">
      <w:rPr>
        <w:rFonts w:ascii="Arial" w:hAnsi="Arial" w:cs="Arial"/>
      </w:rPr>
      <w:tab/>
    </w:r>
    <w:r w:rsidRPr="009B3F79">
      <w:rPr>
        <w:rFonts w:ascii="Arial" w:hAnsi="Arial" w:cs="Arial"/>
      </w:rPr>
      <w:fldChar w:fldCharType="begin"/>
    </w:r>
    <w:r w:rsidRPr="009B3F79">
      <w:rPr>
        <w:rFonts w:ascii="Arial" w:hAnsi="Arial" w:cs="Arial"/>
      </w:rPr>
      <w:instrText>PAGE   \* MERGEFORMAT</w:instrText>
    </w:r>
    <w:r w:rsidRPr="009B3F79">
      <w:rPr>
        <w:rFonts w:ascii="Arial" w:hAnsi="Arial" w:cs="Arial"/>
      </w:rPr>
      <w:fldChar w:fldCharType="separate"/>
    </w:r>
    <w:r w:rsidR="00553E17" w:rsidRPr="00553E17">
      <w:rPr>
        <w:rFonts w:ascii="Arial" w:hAnsi="Arial" w:cs="Arial"/>
        <w:noProof/>
        <w:lang w:val="es-ES"/>
      </w:rPr>
      <w:t>20</w:t>
    </w:r>
    <w:r w:rsidRPr="009B3F79">
      <w:rPr>
        <w:rFonts w:ascii="Arial" w:hAnsi="Arial" w:cs="Arial"/>
      </w:rPr>
      <w:fldChar w:fldCharType="end"/>
    </w:r>
  </w:p>
  <w:p w:rsidR="00852D76" w:rsidRDefault="00852D76">
    <w:pPr>
      <w:pStyle w:val="Encabezado"/>
    </w:pPr>
    <w:r>
      <w:t>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Pr="00A10041" w:rsidRDefault="00A10041">
    <w:pPr>
      <w:pStyle w:val="Encabezado"/>
      <w:rPr>
        <w:rFonts w:ascii="Arial" w:hAnsi="Arial" w:cs="Arial"/>
      </w:rPr>
    </w:pPr>
    <w:r w:rsidRPr="00A10041">
      <w:rPr>
        <w:rFonts w:ascii="Arial" w:hAnsi="Arial" w:cs="Arial"/>
      </w:rPr>
      <w:t>Expediente N.° 21.929</w:t>
    </w:r>
    <w:r w:rsidRPr="00A10041">
      <w:rPr>
        <w:rFonts w:ascii="Arial" w:hAnsi="Arial" w:cs="Arial"/>
      </w:rPr>
      <w:tab/>
    </w:r>
    <w:r w:rsidRPr="00A10041">
      <w:rPr>
        <w:rFonts w:ascii="Arial" w:hAnsi="Arial" w:cs="Arial"/>
      </w:rPr>
      <w:tab/>
    </w:r>
    <w:r w:rsidRPr="00A10041">
      <w:rPr>
        <w:rFonts w:ascii="Arial" w:hAnsi="Arial" w:cs="Arial"/>
      </w:rPr>
      <w:fldChar w:fldCharType="begin"/>
    </w:r>
    <w:r w:rsidRPr="00A10041">
      <w:rPr>
        <w:rFonts w:ascii="Arial" w:hAnsi="Arial" w:cs="Arial"/>
      </w:rPr>
      <w:instrText>PAGE   \* MERGEFORMAT</w:instrText>
    </w:r>
    <w:r w:rsidRPr="00A10041">
      <w:rPr>
        <w:rFonts w:ascii="Arial" w:hAnsi="Arial" w:cs="Arial"/>
      </w:rPr>
      <w:fldChar w:fldCharType="separate"/>
    </w:r>
    <w:r w:rsidR="00553E17" w:rsidRPr="00553E17">
      <w:rPr>
        <w:rFonts w:ascii="Arial" w:hAnsi="Arial" w:cs="Arial"/>
        <w:noProof/>
        <w:lang w:val="es-ES"/>
      </w:rPr>
      <w:t>36</w:t>
    </w:r>
    <w:r w:rsidRPr="00A10041">
      <w:rPr>
        <w:rFonts w:ascii="Arial" w:hAnsi="Arial" w:cs="Arial"/>
      </w:rPr>
      <w:fldChar w:fldCharType="end"/>
    </w:r>
  </w:p>
  <w:p w:rsidR="00A10041" w:rsidRDefault="00A10041">
    <w:pPr>
      <w:pStyle w:val="Encabezado"/>
    </w:pPr>
    <w:r>
      <w:t>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Default="00532E98" w:rsidP="00FF0D18">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Default="008C14D7" w:rsidP="0088344A">
    <w:pPr>
      <w:pStyle w:val="Encabezado"/>
      <w:rPr>
        <w:rFonts w:ascii="Arial" w:hAnsi="Arial" w:cs="Arial"/>
      </w:rPr>
    </w:pPr>
    <w:r w:rsidRPr="008C14D7">
      <w:rPr>
        <w:rFonts w:ascii="Arial" w:hAnsi="Arial" w:cs="Arial"/>
      </w:rPr>
      <w:t>Expediente N.° 21.929</w:t>
    </w:r>
    <w:r>
      <w:rPr>
        <w:rFonts w:ascii="Arial" w:hAnsi="Arial" w:cs="Arial"/>
      </w:rPr>
      <w:tab/>
    </w:r>
    <w:r>
      <w:rPr>
        <w:rFonts w:ascii="Arial" w:hAnsi="Arial" w:cs="Arial"/>
      </w:rPr>
      <w:tab/>
    </w:r>
    <w:r w:rsidRPr="008C14D7">
      <w:rPr>
        <w:rFonts w:ascii="Arial" w:hAnsi="Arial" w:cs="Arial"/>
      </w:rPr>
      <w:fldChar w:fldCharType="begin"/>
    </w:r>
    <w:r w:rsidRPr="008C14D7">
      <w:rPr>
        <w:rFonts w:ascii="Arial" w:hAnsi="Arial" w:cs="Arial"/>
      </w:rPr>
      <w:instrText>PAGE   \* MERGEFORMAT</w:instrText>
    </w:r>
    <w:r w:rsidRPr="008C14D7">
      <w:rPr>
        <w:rFonts w:ascii="Arial" w:hAnsi="Arial" w:cs="Arial"/>
      </w:rPr>
      <w:fldChar w:fldCharType="separate"/>
    </w:r>
    <w:r w:rsidR="00553E17" w:rsidRPr="00553E17">
      <w:rPr>
        <w:rFonts w:ascii="Arial" w:hAnsi="Arial" w:cs="Arial"/>
        <w:noProof/>
        <w:lang w:val="es-ES"/>
      </w:rPr>
      <w:t>37</w:t>
    </w:r>
    <w:r w:rsidRPr="008C14D7">
      <w:rPr>
        <w:rFonts w:ascii="Arial" w:hAnsi="Arial" w:cs="Arial"/>
      </w:rPr>
      <w:fldChar w:fldCharType="end"/>
    </w:r>
  </w:p>
  <w:p w:rsidR="008C14D7" w:rsidRPr="008C14D7" w:rsidRDefault="008C14D7" w:rsidP="0088344A">
    <w:pPr>
      <w:pStyle w:val="Encabezado"/>
      <w:rPr>
        <w:rFonts w:ascii="Arial" w:hAnsi="Arial" w:cs="Arial"/>
      </w:rPr>
    </w:pPr>
    <w:r>
      <w:rPr>
        <w:rFonts w:ascii="Arial" w:hAnsi="Arial" w:cs="Arial"/>
      </w:rPr>
      <w:t>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98" w:rsidRDefault="008F53E8" w:rsidP="00382BDC">
    <w:pPr>
      <w:pStyle w:val="Encabezado"/>
      <w:rPr>
        <w:rFonts w:ascii="Arial" w:hAnsi="Arial" w:cs="Arial"/>
        <w:sz w:val="20"/>
        <w:szCs w:val="20"/>
      </w:rPr>
    </w:pPr>
    <w:r w:rsidRPr="008F53E8">
      <w:rPr>
        <w:rFonts w:ascii="Arial" w:hAnsi="Arial" w:cs="Arial"/>
        <w:sz w:val="20"/>
        <w:szCs w:val="20"/>
      </w:rPr>
      <w:t>Expediente N.° 21.929</w:t>
    </w:r>
    <w:r>
      <w:rPr>
        <w:rFonts w:ascii="Arial" w:hAnsi="Arial" w:cs="Arial"/>
        <w:sz w:val="20"/>
        <w:szCs w:val="20"/>
      </w:rPr>
      <w:tab/>
    </w:r>
    <w:r>
      <w:rPr>
        <w:rFonts w:ascii="Arial" w:hAnsi="Arial" w:cs="Arial"/>
        <w:sz w:val="20"/>
        <w:szCs w:val="20"/>
      </w:rPr>
      <w:tab/>
    </w:r>
    <w:r w:rsidRPr="008F53E8">
      <w:rPr>
        <w:rFonts w:ascii="Arial" w:hAnsi="Arial" w:cs="Arial"/>
        <w:sz w:val="20"/>
        <w:szCs w:val="20"/>
      </w:rPr>
      <w:fldChar w:fldCharType="begin"/>
    </w:r>
    <w:r w:rsidRPr="008F53E8">
      <w:rPr>
        <w:rFonts w:ascii="Arial" w:hAnsi="Arial" w:cs="Arial"/>
        <w:sz w:val="20"/>
        <w:szCs w:val="20"/>
      </w:rPr>
      <w:instrText>PAGE   \* MERGEFORMAT</w:instrText>
    </w:r>
    <w:r w:rsidRPr="008F53E8">
      <w:rPr>
        <w:rFonts w:ascii="Arial" w:hAnsi="Arial" w:cs="Arial"/>
        <w:sz w:val="20"/>
        <w:szCs w:val="20"/>
      </w:rPr>
      <w:fldChar w:fldCharType="separate"/>
    </w:r>
    <w:r w:rsidR="00553E17" w:rsidRPr="00553E17">
      <w:rPr>
        <w:rFonts w:ascii="Arial" w:hAnsi="Arial" w:cs="Arial"/>
        <w:noProof/>
        <w:sz w:val="20"/>
        <w:szCs w:val="20"/>
        <w:lang w:val="es-ES"/>
      </w:rPr>
      <w:t>123</w:t>
    </w:r>
    <w:r w:rsidRPr="008F53E8">
      <w:rPr>
        <w:rFonts w:ascii="Arial" w:hAnsi="Arial" w:cs="Arial"/>
        <w:sz w:val="20"/>
        <w:szCs w:val="20"/>
      </w:rPr>
      <w:fldChar w:fldCharType="end"/>
    </w:r>
  </w:p>
  <w:p w:rsidR="008F53E8" w:rsidRPr="008F53E8" w:rsidRDefault="008F53E8" w:rsidP="00382BDC">
    <w:pPr>
      <w:pStyle w:val="Encabezado"/>
      <w:rPr>
        <w:rFonts w:ascii="Arial" w:hAnsi="Arial" w:cs="Arial"/>
        <w:sz w:val="20"/>
        <w:szCs w:val="20"/>
      </w:rPr>
    </w:pPr>
    <w:r>
      <w:rPr>
        <w:rFonts w:ascii="Arial" w:hAnsi="Arial" w:cs="Arial"/>
        <w:sz w:val="20"/>
        <w:szCs w:val="20"/>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upperRoman"/>
      <w:pStyle w:val="subpar"/>
      <w:lvlText w:val="%1."/>
      <w:lvlJc w:val="center"/>
      <w:pPr>
        <w:tabs>
          <w:tab w:val="num" w:pos="900"/>
        </w:tabs>
        <w:ind w:left="252" w:firstLine="288"/>
      </w:pPr>
      <w:rPr>
        <w:b/>
      </w:rPr>
    </w:lvl>
    <w:lvl w:ilvl="1">
      <w:start w:val="1"/>
      <w:numFmt w:val="decimal"/>
      <w:pStyle w:val="Paragraph"/>
      <w:lvlText w:val="%1.%2"/>
      <w:lvlJc w:val="left"/>
      <w:pPr>
        <w:tabs>
          <w:tab w:val="num" w:pos="4500"/>
        </w:tabs>
        <w:ind w:left="4500" w:hanging="720"/>
      </w:pPr>
      <w:rPr>
        <w:rFonts w:ascii="Times New Roman" w:hAnsi="Times New Roman"/>
        <w:b w:val="0"/>
        <w:i w:val="0"/>
        <w:caps w:val="0"/>
        <w:smallCaps w:val="0"/>
        <w:strike w:val="0"/>
        <w:dstrike w:val="0"/>
        <w:vanish w:val="0"/>
        <w:color w:val="auto"/>
        <w:position w:val="0"/>
        <w:sz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152"/>
        </w:tabs>
        <w:ind w:left="1152" w:hanging="432"/>
      </w:pPr>
    </w:lvl>
    <w:lvl w:ilvl="3">
      <w:start w:val="1"/>
      <w:numFmt w:val="lowerRoman"/>
      <w:lvlText w:val="%4."/>
      <w:lvlJc w:val="left"/>
      <w:pPr>
        <w:tabs>
          <w:tab w:val="num" w:pos="1584"/>
        </w:tabs>
        <w:ind w:left="1584" w:hanging="288"/>
      </w:pPr>
    </w:lvl>
    <w:lvl w:ilvl="4">
      <w:start w:val="1"/>
      <w:numFmt w:val="none"/>
      <w:suff w:val="nothing"/>
      <w:lvlText w:val=""/>
      <w:lvlJc w:val="left"/>
      <w:pPr>
        <w:tabs>
          <w:tab w:val="num" w:pos="0"/>
        </w:tabs>
        <w:ind w:left="2880" w:firstLine="0"/>
      </w:pPr>
    </w:lvl>
    <w:lvl w:ilvl="5">
      <w:start w:val="1"/>
      <w:numFmt w:val="none"/>
      <w:suff w:val="nothing"/>
      <w:lvlText w:val=""/>
      <w:lvlJc w:val="left"/>
      <w:pPr>
        <w:tabs>
          <w:tab w:val="num" w:pos="0"/>
        </w:tabs>
        <w:ind w:left="3600" w:firstLine="0"/>
      </w:pPr>
    </w:lvl>
    <w:lvl w:ilvl="6">
      <w:start w:val="1"/>
      <w:numFmt w:val="none"/>
      <w:suff w:val="nothing"/>
      <w:lvlText w:val=""/>
      <w:lvlJc w:val="left"/>
      <w:pPr>
        <w:tabs>
          <w:tab w:val="num" w:pos="0"/>
        </w:tabs>
        <w:ind w:left="4320" w:firstLine="0"/>
      </w:pPr>
    </w:lvl>
    <w:lvl w:ilvl="7">
      <w:start w:val="1"/>
      <w:numFmt w:val="none"/>
      <w:suff w:val="nothing"/>
      <w:lvlText w:val=""/>
      <w:lvlJc w:val="left"/>
      <w:pPr>
        <w:tabs>
          <w:tab w:val="num" w:pos="0"/>
        </w:tabs>
        <w:ind w:left="5040" w:firstLine="0"/>
      </w:pPr>
    </w:lvl>
    <w:lvl w:ilvl="8">
      <w:start w:val="1"/>
      <w:numFmt w:val="none"/>
      <w:suff w:val="nothing"/>
      <w:lvlText w:val=""/>
      <w:lvlJc w:val="left"/>
      <w:pPr>
        <w:tabs>
          <w:tab w:val="num" w:pos="0"/>
        </w:tabs>
        <w:ind w:left="5760" w:firstLine="0"/>
      </w:pPr>
    </w:lvl>
  </w:abstractNum>
  <w:abstractNum w:abstractNumId="1" w15:restartNumberingAfterBreak="0">
    <w:nsid w:val="00000003"/>
    <w:multiLevelType w:val="multilevel"/>
    <w:tmpl w:val="00000003"/>
    <w:name w:val="WW8Num3"/>
    <w:lvl w:ilvl="0">
      <w:start w:val="1"/>
      <w:numFmt w:val="upperRoman"/>
      <w:pStyle w:val="Chapter"/>
      <w:lvlText w:val="%1."/>
      <w:lvlJc w:val="center"/>
      <w:pPr>
        <w:tabs>
          <w:tab w:val="num" w:pos="900"/>
        </w:tabs>
        <w:ind w:left="252" w:firstLine="288"/>
      </w:pPr>
      <w:rPr>
        <w:b/>
      </w:rPr>
    </w:lvl>
    <w:lvl w:ilvl="1">
      <w:start w:val="1"/>
      <w:numFmt w:val="decimal"/>
      <w:lvlText w:val="%1.%2"/>
      <w:lvlJc w:val="left"/>
      <w:pPr>
        <w:tabs>
          <w:tab w:val="num" w:pos="4500"/>
        </w:tabs>
        <w:ind w:left="4500" w:hanging="720"/>
      </w:pPr>
      <w:rPr>
        <w:rFonts w:ascii="Times New Roman" w:hAnsi="Times New Roman"/>
        <w:b w:val="0"/>
        <w:i w:val="0"/>
        <w:caps w:val="0"/>
        <w:smallCaps w:val="0"/>
        <w:strike w:val="0"/>
        <w:dstrike w:val="0"/>
        <w:vanish w:val="0"/>
        <w:color w:val="auto"/>
        <w:position w:val="0"/>
        <w:sz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152"/>
        </w:tabs>
        <w:ind w:left="1152" w:hanging="432"/>
      </w:pPr>
    </w:lvl>
    <w:lvl w:ilvl="3">
      <w:start w:val="1"/>
      <w:numFmt w:val="lowerRoman"/>
      <w:lvlText w:val="%4."/>
      <w:lvlJc w:val="left"/>
      <w:pPr>
        <w:tabs>
          <w:tab w:val="num" w:pos="1584"/>
        </w:tabs>
        <w:ind w:left="1584" w:hanging="288"/>
      </w:pPr>
    </w:lvl>
    <w:lvl w:ilvl="4">
      <w:start w:val="1"/>
      <w:numFmt w:val="none"/>
      <w:suff w:val="nothing"/>
      <w:lvlText w:val=""/>
      <w:lvlJc w:val="left"/>
      <w:pPr>
        <w:tabs>
          <w:tab w:val="num" w:pos="0"/>
        </w:tabs>
        <w:ind w:left="2880" w:firstLine="0"/>
      </w:pPr>
    </w:lvl>
    <w:lvl w:ilvl="5">
      <w:start w:val="1"/>
      <w:numFmt w:val="none"/>
      <w:suff w:val="nothing"/>
      <w:lvlText w:val=""/>
      <w:lvlJc w:val="left"/>
      <w:pPr>
        <w:tabs>
          <w:tab w:val="num" w:pos="0"/>
        </w:tabs>
        <w:ind w:left="3600" w:firstLine="0"/>
      </w:pPr>
    </w:lvl>
    <w:lvl w:ilvl="6">
      <w:start w:val="1"/>
      <w:numFmt w:val="none"/>
      <w:suff w:val="nothing"/>
      <w:lvlText w:val=""/>
      <w:lvlJc w:val="left"/>
      <w:pPr>
        <w:tabs>
          <w:tab w:val="num" w:pos="0"/>
        </w:tabs>
        <w:ind w:left="4320" w:firstLine="0"/>
      </w:pPr>
    </w:lvl>
    <w:lvl w:ilvl="7">
      <w:start w:val="1"/>
      <w:numFmt w:val="none"/>
      <w:suff w:val="nothing"/>
      <w:lvlText w:val=""/>
      <w:lvlJc w:val="left"/>
      <w:pPr>
        <w:tabs>
          <w:tab w:val="num" w:pos="0"/>
        </w:tabs>
        <w:ind w:left="5040" w:firstLine="0"/>
      </w:pPr>
    </w:lvl>
    <w:lvl w:ilvl="8">
      <w:start w:val="1"/>
      <w:numFmt w:val="none"/>
      <w:suff w:val="nothing"/>
      <w:lvlText w:val=""/>
      <w:lvlJc w:val="left"/>
      <w:pPr>
        <w:tabs>
          <w:tab w:val="num" w:pos="0"/>
        </w:tabs>
        <w:ind w:left="5760" w:firstLine="0"/>
      </w:pPr>
    </w:lvl>
  </w:abstractNum>
  <w:abstractNum w:abstractNumId="2" w15:restartNumberingAfterBreak="0">
    <w:nsid w:val="0000000E"/>
    <w:multiLevelType w:val="hybridMultilevel"/>
    <w:tmpl w:val="57DE4E2E"/>
    <w:lvl w:ilvl="0" w:tplc="14BA7050">
      <w:start w:val="1"/>
      <w:numFmt w:val="lowerLetter"/>
      <w:lvlText w:val="(%1)"/>
      <w:lvlJc w:val="left"/>
      <w:pPr>
        <w:tabs>
          <w:tab w:val="num" w:pos="1500"/>
        </w:tabs>
        <w:ind w:left="1500" w:hanging="600"/>
      </w:pPr>
      <w:rPr>
        <w:rFonts w:cs="Times New Roman"/>
      </w:rPr>
    </w:lvl>
    <w:lvl w:ilvl="1" w:tplc="E8B4C310">
      <w:start w:val="26"/>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250"/>
        </w:tabs>
        <w:ind w:left="2250" w:hanging="180"/>
      </w:pPr>
      <w:rPr>
        <w:rFonts w:cs="Times New Roman"/>
      </w:rPr>
    </w:lvl>
    <w:lvl w:ilvl="3" w:tplc="0409000F">
      <w:start w:val="1"/>
      <w:numFmt w:val="decimal"/>
      <w:lvlText w:val="%4."/>
      <w:lvlJc w:val="left"/>
      <w:pPr>
        <w:tabs>
          <w:tab w:val="num" w:pos="2970"/>
        </w:tabs>
        <w:ind w:left="2970" w:hanging="360"/>
      </w:pPr>
      <w:rPr>
        <w:rFonts w:cs="Times New Roman"/>
      </w:rPr>
    </w:lvl>
    <w:lvl w:ilvl="4" w:tplc="04090019">
      <w:start w:val="1"/>
      <w:numFmt w:val="lowerLetter"/>
      <w:lvlText w:val="%5."/>
      <w:lvlJc w:val="left"/>
      <w:pPr>
        <w:tabs>
          <w:tab w:val="num" w:pos="3690"/>
        </w:tabs>
        <w:ind w:left="3690" w:hanging="360"/>
      </w:pPr>
      <w:rPr>
        <w:rFonts w:cs="Times New Roman"/>
      </w:rPr>
    </w:lvl>
    <w:lvl w:ilvl="5" w:tplc="0409001B">
      <w:start w:val="1"/>
      <w:numFmt w:val="lowerRoman"/>
      <w:lvlText w:val="%6."/>
      <w:lvlJc w:val="right"/>
      <w:pPr>
        <w:tabs>
          <w:tab w:val="num" w:pos="4410"/>
        </w:tabs>
        <w:ind w:left="4410" w:hanging="180"/>
      </w:pPr>
      <w:rPr>
        <w:rFonts w:cs="Times New Roman"/>
      </w:rPr>
    </w:lvl>
    <w:lvl w:ilvl="6" w:tplc="0409000F">
      <w:start w:val="1"/>
      <w:numFmt w:val="decimal"/>
      <w:lvlText w:val="%7."/>
      <w:lvlJc w:val="left"/>
      <w:pPr>
        <w:tabs>
          <w:tab w:val="num" w:pos="5130"/>
        </w:tabs>
        <w:ind w:left="5130" w:hanging="360"/>
      </w:pPr>
      <w:rPr>
        <w:rFonts w:cs="Times New Roman"/>
      </w:rPr>
    </w:lvl>
    <w:lvl w:ilvl="7" w:tplc="04090019">
      <w:start w:val="1"/>
      <w:numFmt w:val="lowerLetter"/>
      <w:lvlText w:val="%8."/>
      <w:lvlJc w:val="left"/>
      <w:pPr>
        <w:tabs>
          <w:tab w:val="num" w:pos="5850"/>
        </w:tabs>
        <w:ind w:left="5850" w:hanging="360"/>
      </w:pPr>
      <w:rPr>
        <w:rFonts w:cs="Times New Roman"/>
      </w:rPr>
    </w:lvl>
    <w:lvl w:ilvl="8" w:tplc="0409001B">
      <w:start w:val="1"/>
      <w:numFmt w:val="lowerRoman"/>
      <w:lvlText w:val="%9."/>
      <w:lvlJc w:val="right"/>
      <w:pPr>
        <w:tabs>
          <w:tab w:val="num" w:pos="6570"/>
        </w:tabs>
        <w:ind w:left="6570" w:hanging="180"/>
      </w:pPr>
      <w:rPr>
        <w:rFonts w:cs="Times New Roman"/>
      </w:rPr>
    </w:lvl>
  </w:abstractNum>
  <w:abstractNum w:abstractNumId="3" w15:restartNumberingAfterBreak="0">
    <w:nsid w:val="00000019"/>
    <w:multiLevelType w:val="hybridMultilevel"/>
    <w:tmpl w:val="6DACD11A"/>
    <w:lvl w:ilvl="0" w:tplc="A770079E">
      <w:start w:val="1"/>
      <w:numFmt w:val="upperLetter"/>
      <w:lvlText w:val="(%1)"/>
      <w:lvlJc w:val="left"/>
      <w:pPr>
        <w:tabs>
          <w:tab w:val="num" w:pos="2880"/>
        </w:tabs>
        <w:ind w:left="2880" w:hanging="720"/>
      </w:pPr>
      <w:rPr>
        <w:rFonts w:cs="Times New Roman" w:hint="eastAsia"/>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000001A"/>
    <w:multiLevelType w:val="hybridMultilevel"/>
    <w:tmpl w:val="483203BE"/>
    <w:lvl w:ilvl="0" w:tplc="FD843C72">
      <w:start w:val="1"/>
      <w:numFmt w:val="lowerRoman"/>
      <w:lvlText w:val="(%1)"/>
      <w:lvlJc w:val="left"/>
      <w:pPr>
        <w:ind w:left="2040" w:hanging="720"/>
      </w:pPr>
      <w:rPr>
        <w:rFonts w:cs="Times New Roman" w:hint="eastAsia"/>
      </w:rPr>
    </w:lvl>
    <w:lvl w:ilvl="1" w:tplc="04090019">
      <w:start w:val="1"/>
      <w:numFmt w:val="lowerLetter"/>
      <w:lvlText w:val="%2."/>
      <w:lvlJc w:val="left"/>
      <w:pPr>
        <w:ind w:left="2400" w:hanging="360"/>
      </w:pPr>
      <w:rPr>
        <w:rFonts w:cs="Times New Roman"/>
      </w:rPr>
    </w:lvl>
    <w:lvl w:ilvl="2" w:tplc="0409001B">
      <w:start w:val="1"/>
      <w:numFmt w:val="lowerRoman"/>
      <w:lvlText w:val="%3."/>
      <w:lvlJc w:val="right"/>
      <w:pPr>
        <w:ind w:left="3120" w:hanging="180"/>
      </w:pPr>
      <w:rPr>
        <w:rFonts w:cs="Times New Roman"/>
      </w:rPr>
    </w:lvl>
    <w:lvl w:ilvl="3" w:tplc="0409000F">
      <w:start w:val="1"/>
      <w:numFmt w:val="decimal"/>
      <w:lvlText w:val="%4."/>
      <w:lvlJc w:val="left"/>
      <w:pPr>
        <w:ind w:left="3840" w:hanging="360"/>
      </w:pPr>
      <w:rPr>
        <w:rFonts w:cs="Times New Roman"/>
      </w:rPr>
    </w:lvl>
    <w:lvl w:ilvl="4" w:tplc="04090019">
      <w:start w:val="1"/>
      <w:numFmt w:val="lowerLetter"/>
      <w:lvlText w:val="%5."/>
      <w:lvlJc w:val="left"/>
      <w:pPr>
        <w:ind w:left="4560" w:hanging="360"/>
      </w:pPr>
      <w:rPr>
        <w:rFonts w:cs="Times New Roman"/>
      </w:rPr>
    </w:lvl>
    <w:lvl w:ilvl="5" w:tplc="0409001B">
      <w:start w:val="1"/>
      <w:numFmt w:val="lowerRoman"/>
      <w:lvlText w:val="%6."/>
      <w:lvlJc w:val="right"/>
      <w:pPr>
        <w:ind w:left="5280" w:hanging="180"/>
      </w:pPr>
      <w:rPr>
        <w:rFonts w:cs="Times New Roman"/>
      </w:rPr>
    </w:lvl>
    <w:lvl w:ilvl="6" w:tplc="0409000F">
      <w:start w:val="1"/>
      <w:numFmt w:val="decimal"/>
      <w:lvlText w:val="%7."/>
      <w:lvlJc w:val="left"/>
      <w:pPr>
        <w:ind w:left="6000" w:hanging="360"/>
      </w:pPr>
      <w:rPr>
        <w:rFonts w:cs="Times New Roman"/>
      </w:rPr>
    </w:lvl>
    <w:lvl w:ilvl="7" w:tplc="04090019">
      <w:start w:val="1"/>
      <w:numFmt w:val="lowerLetter"/>
      <w:lvlText w:val="%8."/>
      <w:lvlJc w:val="left"/>
      <w:pPr>
        <w:ind w:left="6720" w:hanging="360"/>
      </w:pPr>
      <w:rPr>
        <w:rFonts w:cs="Times New Roman"/>
      </w:rPr>
    </w:lvl>
    <w:lvl w:ilvl="8" w:tplc="0409001B">
      <w:start w:val="1"/>
      <w:numFmt w:val="lowerRoman"/>
      <w:lvlText w:val="%9."/>
      <w:lvlJc w:val="right"/>
      <w:pPr>
        <w:ind w:left="7440" w:hanging="180"/>
      </w:pPr>
      <w:rPr>
        <w:rFonts w:cs="Times New Roman"/>
      </w:rPr>
    </w:lvl>
  </w:abstractNum>
  <w:abstractNum w:abstractNumId="5" w15:restartNumberingAfterBreak="0">
    <w:nsid w:val="0000001C"/>
    <w:multiLevelType w:val="hybridMultilevel"/>
    <w:tmpl w:val="B67079E8"/>
    <w:lvl w:ilvl="0" w:tplc="98B4D57C">
      <w:start w:val="1"/>
      <w:numFmt w:val="lowerRoman"/>
      <w:lvlText w:val="(%1)"/>
      <w:lvlJc w:val="left"/>
      <w:pPr>
        <w:ind w:left="4824" w:hanging="720"/>
      </w:pPr>
      <w:rPr>
        <w:rFonts w:cs="Times New Roman" w:hint="eastAsia"/>
      </w:rPr>
    </w:lvl>
    <w:lvl w:ilvl="1" w:tplc="04090019">
      <w:start w:val="1"/>
      <w:numFmt w:val="lowerLetter"/>
      <w:lvlText w:val="%2."/>
      <w:lvlJc w:val="left"/>
      <w:pPr>
        <w:ind w:left="5184" w:hanging="360"/>
      </w:pPr>
      <w:rPr>
        <w:rFonts w:cs="Times New Roman"/>
      </w:rPr>
    </w:lvl>
    <w:lvl w:ilvl="2" w:tplc="0409001B">
      <w:start w:val="1"/>
      <w:numFmt w:val="lowerRoman"/>
      <w:lvlText w:val="%3."/>
      <w:lvlJc w:val="right"/>
      <w:pPr>
        <w:ind w:left="5904" w:hanging="180"/>
      </w:pPr>
      <w:rPr>
        <w:rFonts w:cs="Times New Roman"/>
      </w:rPr>
    </w:lvl>
    <w:lvl w:ilvl="3" w:tplc="0409000F">
      <w:start w:val="1"/>
      <w:numFmt w:val="decimal"/>
      <w:lvlText w:val="%4."/>
      <w:lvlJc w:val="left"/>
      <w:pPr>
        <w:ind w:left="6624" w:hanging="360"/>
      </w:pPr>
      <w:rPr>
        <w:rFonts w:cs="Times New Roman"/>
      </w:rPr>
    </w:lvl>
    <w:lvl w:ilvl="4" w:tplc="04090019">
      <w:start w:val="1"/>
      <w:numFmt w:val="lowerLetter"/>
      <w:lvlText w:val="%5."/>
      <w:lvlJc w:val="left"/>
      <w:pPr>
        <w:ind w:left="7344" w:hanging="360"/>
      </w:pPr>
      <w:rPr>
        <w:rFonts w:cs="Times New Roman"/>
      </w:rPr>
    </w:lvl>
    <w:lvl w:ilvl="5" w:tplc="0409001B">
      <w:start w:val="1"/>
      <w:numFmt w:val="lowerRoman"/>
      <w:lvlText w:val="%6."/>
      <w:lvlJc w:val="right"/>
      <w:pPr>
        <w:ind w:left="8064" w:hanging="180"/>
      </w:pPr>
      <w:rPr>
        <w:rFonts w:cs="Times New Roman"/>
      </w:rPr>
    </w:lvl>
    <w:lvl w:ilvl="6" w:tplc="0409000F">
      <w:start w:val="1"/>
      <w:numFmt w:val="decimal"/>
      <w:lvlText w:val="%7."/>
      <w:lvlJc w:val="left"/>
      <w:pPr>
        <w:ind w:left="8784" w:hanging="360"/>
      </w:pPr>
      <w:rPr>
        <w:rFonts w:cs="Times New Roman"/>
      </w:rPr>
    </w:lvl>
    <w:lvl w:ilvl="7" w:tplc="04090019">
      <w:start w:val="1"/>
      <w:numFmt w:val="lowerLetter"/>
      <w:lvlText w:val="%8."/>
      <w:lvlJc w:val="left"/>
      <w:pPr>
        <w:ind w:left="9504" w:hanging="360"/>
      </w:pPr>
      <w:rPr>
        <w:rFonts w:cs="Times New Roman"/>
      </w:rPr>
    </w:lvl>
    <w:lvl w:ilvl="8" w:tplc="0409001B">
      <w:start w:val="1"/>
      <w:numFmt w:val="lowerRoman"/>
      <w:lvlText w:val="%9."/>
      <w:lvlJc w:val="right"/>
      <w:pPr>
        <w:ind w:left="10224" w:hanging="180"/>
      </w:pPr>
      <w:rPr>
        <w:rFonts w:cs="Times New Roman"/>
      </w:rPr>
    </w:lvl>
  </w:abstractNum>
  <w:abstractNum w:abstractNumId="6" w15:restartNumberingAfterBreak="0">
    <w:nsid w:val="05E43825"/>
    <w:multiLevelType w:val="hybridMultilevel"/>
    <w:tmpl w:val="610C5CCE"/>
    <w:lvl w:ilvl="0" w:tplc="140A0019">
      <w:start w:val="1"/>
      <w:numFmt w:val="lowerLetter"/>
      <w:lvlText w:val="%1."/>
      <w:lvlJc w:val="left"/>
      <w:pPr>
        <w:ind w:left="900" w:hanging="360"/>
      </w:pPr>
    </w:lvl>
    <w:lvl w:ilvl="1" w:tplc="040A0019">
      <w:start w:val="1"/>
      <w:numFmt w:val="lowerLetter"/>
      <w:lvlText w:val="%2."/>
      <w:lvlJc w:val="left"/>
      <w:pPr>
        <w:ind w:left="1620" w:hanging="360"/>
      </w:pPr>
    </w:lvl>
    <w:lvl w:ilvl="2" w:tplc="040A001B">
      <w:start w:val="1"/>
      <w:numFmt w:val="lowerRoman"/>
      <w:lvlText w:val="%3."/>
      <w:lvlJc w:val="right"/>
      <w:pPr>
        <w:ind w:left="2340" w:hanging="180"/>
      </w:pPr>
    </w:lvl>
    <w:lvl w:ilvl="3" w:tplc="040A000F" w:tentative="1">
      <w:start w:val="1"/>
      <w:numFmt w:val="decimal"/>
      <w:lvlText w:val="%4."/>
      <w:lvlJc w:val="left"/>
      <w:pPr>
        <w:ind w:left="3060" w:hanging="360"/>
      </w:pPr>
    </w:lvl>
    <w:lvl w:ilvl="4" w:tplc="040A0019" w:tentative="1">
      <w:start w:val="1"/>
      <w:numFmt w:val="lowerLetter"/>
      <w:lvlText w:val="%5."/>
      <w:lvlJc w:val="left"/>
      <w:pPr>
        <w:ind w:left="3780" w:hanging="360"/>
      </w:pPr>
    </w:lvl>
    <w:lvl w:ilvl="5" w:tplc="040A001B" w:tentative="1">
      <w:start w:val="1"/>
      <w:numFmt w:val="lowerRoman"/>
      <w:lvlText w:val="%6."/>
      <w:lvlJc w:val="right"/>
      <w:pPr>
        <w:ind w:left="4500" w:hanging="180"/>
      </w:pPr>
    </w:lvl>
    <w:lvl w:ilvl="6" w:tplc="040A000F" w:tentative="1">
      <w:start w:val="1"/>
      <w:numFmt w:val="decimal"/>
      <w:lvlText w:val="%7."/>
      <w:lvlJc w:val="left"/>
      <w:pPr>
        <w:ind w:left="5220" w:hanging="360"/>
      </w:pPr>
    </w:lvl>
    <w:lvl w:ilvl="7" w:tplc="040A0019" w:tentative="1">
      <w:start w:val="1"/>
      <w:numFmt w:val="lowerLetter"/>
      <w:lvlText w:val="%8."/>
      <w:lvlJc w:val="left"/>
      <w:pPr>
        <w:ind w:left="5940" w:hanging="360"/>
      </w:pPr>
    </w:lvl>
    <w:lvl w:ilvl="8" w:tplc="040A001B" w:tentative="1">
      <w:start w:val="1"/>
      <w:numFmt w:val="lowerRoman"/>
      <w:lvlText w:val="%9."/>
      <w:lvlJc w:val="right"/>
      <w:pPr>
        <w:ind w:left="6660" w:hanging="180"/>
      </w:pPr>
    </w:lvl>
  </w:abstractNum>
  <w:abstractNum w:abstractNumId="7" w15:restartNumberingAfterBreak="0">
    <w:nsid w:val="0BC95BB9"/>
    <w:multiLevelType w:val="hybridMultilevel"/>
    <w:tmpl w:val="6EB8F60C"/>
    <w:lvl w:ilvl="0" w:tplc="DDEC6C12">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277FCA"/>
    <w:multiLevelType w:val="hybridMultilevel"/>
    <w:tmpl w:val="DB3C42EC"/>
    <w:lvl w:ilvl="0" w:tplc="C4987E50">
      <w:start w:val="2"/>
      <w:numFmt w:val="lowerLetter"/>
      <w:lvlText w:val="(%1)"/>
      <w:lvlJc w:val="left"/>
      <w:pPr>
        <w:tabs>
          <w:tab w:val="num" w:pos="5580"/>
        </w:tabs>
        <w:ind w:left="5580" w:hanging="600"/>
      </w:pPr>
      <w:rPr>
        <w:rFonts w:cs="Times New Roman" w:hint="cs"/>
      </w:rPr>
    </w:lvl>
    <w:lvl w:ilvl="1" w:tplc="04090019">
      <w:start w:val="1"/>
      <w:numFmt w:val="lowerLetter"/>
      <w:lvlText w:val="%2."/>
      <w:lvlJc w:val="left"/>
      <w:pPr>
        <w:tabs>
          <w:tab w:val="num" w:pos="6060"/>
        </w:tabs>
        <w:ind w:left="6060" w:hanging="360"/>
      </w:pPr>
      <w:rPr>
        <w:rFonts w:cs="Times New Roman"/>
      </w:rPr>
    </w:lvl>
    <w:lvl w:ilvl="2" w:tplc="0409001B">
      <w:start w:val="1"/>
      <w:numFmt w:val="lowerRoman"/>
      <w:lvlText w:val="%3."/>
      <w:lvlJc w:val="right"/>
      <w:pPr>
        <w:tabs>
          <w:tab w:val="num" w:pos="6780"/>
        </w:tabs>
        <w:ind w:left="6780" w:hanging="180"/>
      </w:pPr>
      <w:rPr>
        <w:rFonts w:cs="Times New Roman"/>
      </w:rPr>
    </w:lvl>
    <w:lvl w:ilvl="3" w:tplc="0409000F">
      <w:start w:val="1"/>
      <w:numFmt w:val="decimal"/>
      <w:lvlText w:val="%4."/>
      <w:lvlJc w:val="left"/>
      <w:pPr>
        <w:tabs>
          <w:tab w:val="num" w:pos="7500"/>
        </w:tabs>
        <w:ind w:left="7500" w:hanging="360"/>
      </w:pPr>
      <w:rPr>
        <w:rFonts w:cs="Times New Roman"/>
      </w:rPr>
    </w:lvl>
    <w:lvl w:ilvl="4" w:tplc="04090019">
      <w:start w:val="1"/>
      <w:numFmt w:val="lowerLetter"/>
      <w:lvlText w:val="%5."/>
      <w:lvlJc w:val="left"/>
      <w:pPr>
        <w:tabs>
          <w:tab w:val="num" w:pos="8220"/>
        </w:tabs>
        <w:ind w:left="8220" w:hanging="360"/>
      </w:pPr>
      <w:rPr>
        <w:rFonts w:cs="Times New Roman"/>
      </w:rPr>
    </w:lvl>
    <w:lvl w:ilvl="5" w:tplc="0409001B">
      <w:start w:val="1"/>
      <w:numFmt w:val="lowerRoman"/>
      <w:lvlText w:val="%6."/>
      <w:lvlJc w:val="right"/>
      <w:pPr>
        <w:tabs>
          <w:tab w:val="num" w:pos="8940"/>
        </w:tabs>
        <w:ind w:left="8940" w:hanging="180"/>
      </w:pPr>
      <w:rPr>
        <w:rFonts w:cs="Times New Roman"/>
      </w:rPr>
    </w:lvl>
    <w:lvl w:ilvl="6" w:tplc="0409000F">
      <w:start w:val="1"/>
      <w:numFmt w:val="decimal"/>
      <w:lvlText w:val="%7."/>
      <w:lvlJc w:val="left"/>
      <w:pPr>
        <w:tabs>
          <w:tab w:val="num" w:pos="9660"/>
        </w:tabs>
        <w:ind w:left="9660" w:hanging="360"/>
      </w:pPr>
      <w:rPr>
        <w:rFonts w:cs="Times New Roman"/>
      </w:rPr>
    </w:lvl>
    <w:lvl w:ilvl="7" w:tplc="04090019">
      <w:start w:val="1"/>
      <w:numFmt w:val="lowerLetter"/>
      <w:lvlText w:val="%8."/>
      <w:lvlJc w:val="left"/>
      <w:pPr>
        <w:tabs>
          <w:tab w:val="num" w:pos="10380"/>
        </w:tabs>
        <w:ind w:left="10380" w:hanging="360"/>
      </w:pPr>
      <w:rPr>
        <w:rFonts w:cs="Times New Roman"/>
      </w:rPr>
    </w:lvl>
    <w:lvl w:ilvl="8" w:tplc="0409001B">
      <w:start w:val="1"/>
      <w:numFmt w:val="lowerRoman"/>
      <w:lvlText w:val="%9."/>
      <w:lvlJc w:val="right"/>
      <w:pPr>
        <w:tabs>
          <w:tab w:val="num" w:pos="11100"/>
        </w:tabs>
        <w:ind w:left="11100" w:hanging="180"/>
      </w:pPr>
      <w:rPr>
        <w:rFonts w:cs="Times New Roman"/>
      </w:rPr>
    </w:lvl>
  </w:abstractNum>
  <w:abstractNum w:abstractNumId="9" w15:restartNumberingAfterBreak="0">
    <w:nsid w:val="171357EC"/>
    <w:multiLevelType w:val="hybridMultilevel"/>
    <w:tmpl w:val="EE4CA1E6"/>
    <w:lvl w:ilvl="0" w:tplc="7D220DF6">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7211427"/>
    <w:multiLevelType w:val="hybridMultilevel"/>
    <w:tmpl w:val="BA969B2E"/>
    <w:lvl w:ilvl="0" w:tplc="A9188960">
      <w:start w:val="1"/>
      <w:numFmt w:val="lowerLetter"/>
      <w:lvlText w:val="(%1)"/>
      <w:lvlJc w:val="left"/>
      <w:pPr>
        <w:ind w:left="1440" w:hanging="72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11" w15:restartNumberingAfterBreak="0">
    <w:nsid w:val="1D79533A"/>
    <w:multiLevelType w:val="multilevel"/>
    <w:tmpl w:val="5E066262"/>
    <w:lvl w:ilvl="0">
      <w:start w:val="1"/>
      <w:numFmt w:val="upperLetter"/>
      <w:pStyle w:val="FirstHeading"/>
      <w:lvlText w:val="%1."/>
      <w:lvlJc w:val="left"/>
      <w:pPr>
        <w:ind w:left="720" w:hanging="720"/>
      </w:pPr>
    </w:lvl>
    <w:lvl w:ilvl="1">
      <w:start w:val="1"/>
      <w:numFmt w:val="decimal"/>
      <w:pStyle w:val="SecHeading"/>
      <w:lvlText w:val="%2."/>
      <w:lvlJc w:val="left"/>
      <w:pPr>
        <w:tabs>
          <w:tab w:val="num" w:pos="1296"/>
        </w:tabs>
        <w:ind w:left="1296" w:hanging="576"/>
      </w:pPr>
    </w:lvl>
    <w:lvl w:ilvl="2">
      <w:start w:val="1"/>
      <w:numFmt w:val="lowerLetter"/>
      <w:pStyle w:val="SubHeading1"/>
      <w:lvlText w:val="%3)"/>
      <w:lvlJc w:val="left"/>
      <w:pPr>
        <w:tabs>
          <w:tab w:val="num" w:pos="1872"/>
        </w:tabs>
        <w:ind w:left="1872" w:hanging="576"/>
      </w:pPr>
    </w:lvl>
    <w:lvl w:ilvl="3">
      <w:start w:val="1"/>
      <w:numFmt w:val="lowerRoman"/>
      <w:pStyle w:val="Subheading2"/>
      <w:lvlText w:val="(%4)"/>
      <w:lvlJc w:val="right"/>
      <w:pPr>
        <w:tabs>
          <w:tab w:val="num" w:pos="2376"/>
        </w:tabs>
        <w:ind w:left="2376" w:hanging="288"/>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15:restartNumberingAfterBreak="0">
    <w:nsid w:val="1F44290F"/>
    <w:multiLevelType w:val="multilevel"/>
    <w:tmpl w:val="DA6E66C0"/>
    <w:lvl w:ilvl="0">
      <w:start w:val="1"/>
      <w:numFmt w:val="decimal"/>
      <w:lvlText w:val="%1"/>
      <w:lvlJc w:val="left"/>
      <w:pPr>
        <w:ind w:left="720" w:hanging="720"/>
      </w:pPr>
      <w:rPr>
        <w:rFonts w:hint="default"/>
        <w:b/>
      </w:rPr>
    </w:lvl>
    <w:lvl w:ilvl="1">
      <w:start w:val="1"/>
      <w:numFmt w:val="decimalZero"/>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07F50AD"/>
    <w:multiLevelType w:val="hybridMultilevel"/>
    <w:tmpl w:val="78C0E02A"/>
    <w:lvl w:ilvl="0" w:tplc="63B20FCC">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8214074"/>
    <w:multiLevelType w:val="hybridMultilevel"/>
    <w:tmpl w:val="039E16B4"/>
    <w:lvl w:ilvl="0" w:tplc="8A2059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1C78D9"/>
    <w:multiLevelType w:val="hybridMultilevel"/>
    <w:tmpl w:val="F5AA4418"/>
    <w:lvl w:ilvl="0" w:tplc="53901E26">
      <w:start w:val="2"/>
      <w:numFmt w:val="lowerLetter"/>
      <w:lvlText w:val="(%1)"/>
      <w:lvlJc w:val="left"/>
      <w:pPr>
        <w:ind w:left="6024" w:hanging="360"/>
      </w:pPr>
      <w:rPr>
        <w:rFonts w:hint="default"/>
      </w:rPr>
    </w:lvl>
    <w:lvl w:ilvl="1" w:tplc="04090019">
      <w:start w:val="1"/>
      <w:numFmt w:val="lowerLetter"/>
      <w:lvlText w:val="%2."/>
      <w:lvlJc w:val="left"/>
      <w:pPr>
        <w:ind w:left="7464" w:hanging="360"/>
      </w:pPr>
    </w:lvl>
    <w:lvl w:ilvl="2" w:tplc="0409001B" w:tentative="1">
      <w:start w:val="1"/>
      <w:numFmt w:val="lowerRoman"/>
      <w:lvlText w:val="%3."/>
      <w:lvlJc w:val="right"/>
      <w:pPr>
        <w:ind w:left="8184" w:hanging="180"/>
      </w:pPr>
    </w:lvl>
    <w:lvl w:ilvl="3" w:tplc="0409000F" w:tentative="1">
      <w:start w:val="1"/>
      <w:numFmt w:val="decimal"/>
      <w:lvlText w:val="%4."/>
      <w:lvlJc w:val="left"/>
      <w:pPr>
        <w:ind w:left="8904" w:hanging="360"/>
      </w:pPr>
    </w:lvl>
    <w:lvl w:ilvl="4" w:tplc="04090019" w:tentative="1">
      <w:start w:val="1"/>
      <w:numFmt w:val="lowerLetter"/>
      <w:lvlText w:val="%5."/>
      <w:lvlJc w:val="left"/>
      <w:pPr>
        <w:ind w:left="9624" w:hanging="360"/>
      </w:pPr>
    </w:lvl>
    <w:lvl w:ilvl="5" w:tplc="0409001B" w:tentative="1">
      <w:start w:val="1"/>
      <w:numFmt w:val="lowerRoman"/>
      <w:lvlText w:val="%6."/>
      <w:lvlJc w:val="right"/>
      <w:pPr>
        <w:ind w:left="10344" w:hanging="180"/>
      </w:pPr>
    </w:lvl>
    <w:lvl w:ilvl="6" w:tplc="0409000F" w:tentative="1">
      <w:start w:val="1"/>
      <w:numFmt w:val="decimal"/>
      <w:lvlText w:val="%7."/>
      <w:lvlJc w:val="left"/>
      <w:pPr>
        <w:ind w:left="11064" w:hanging="360"/>
      </w:pPr>
    </w:lvl>
    <w:lvl w:ilvl="7" w:tplc="04090019" w:tentative="1">
      <w:start w:val="1"/>
      <w:numFmt w:val="lowerLetter"/>
      <w:lvlText w:val="%8."/>
      <w:lvlJc w:val="left"/>
      <w:pPr>
        <w:ind w:left="11784" w:hanging="360"/>
      </w:pPr>
    </w:lvl>
    <w:lvl w:ilvl="8" w:tplc="0409001B" w:tentative="1">
      <w:start w:val="1"/>
      <w:numFmt w:val="lowerRoman"/>
      <w:lvlText w:val="%9."/>
      <w:lvlJc w:val="right"/>
      <w:pPr>
        <w:ind w:left="12504" w:hanging="180"/>
      </w:pPr>
    </w:lvl>
  </w:abstractNum>
  <w:abstractNum w:abstractNumId="16" w15:restartNumberingAfterBreak="0">
    <w:nsid w:val="2C295540"/>
    <w:multiLevelType w:val="hybridMultilevel"/>
    <w:tmpl w:val="D95AD77E"/>
    <w:lvl w:ilvl="0" w:tplc="0A8CDDC8">
      <w:start w:val="1"/>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8AA128E"/>
    <w:multiLevelType w:val="hybridMultilevel"/>
    <w:tmpl w:val="6186B7AC"/>
    <w:lvl w:ilvl="0" w:tplc="8C365EC0">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2D1EC4"/>
    <w:multiLevelType w:val="hybridMultilevel"/>
    <w:tmpl w:val="0C4E74AE"/>
    <w:lvl w:ilvl="0" w:tplc="81449240">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B3B034B"/>
    <w:multiLevelType w:val="hybridMultilevel"/>
    <w:tmpl w:val="0616C2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FC16E6"/>
    <w:multiLevelType w:val="multilevel"/>
    <w:tmpl w:val="76229102"/>
    <w:lvl w:ilvl="0">
      <w:start w:val="4"/>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AF3C16"/>
    <w:multiLevelType w:val="hybridMultilevel"/>
    <w:tmpl w:val="B8AC348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41A646B"/>
    <w:multiLevelType w:val="hybridMultilevel"/>
    <w:tmpl w:val="48BA979E"/>
    <w:lvl w:ilvl="0" w:tplc="037E3E02">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3" w15:restartNumberingAfterBreak="0">
    <w:nsid w:val="444D089E"/>
    <w:multiLevelType w:val="hybridMultilevel"/>
    <w:tmpl w:val="4FF6F048"/>
    <w:lvl w:ilvl="0" w:tplc="714253E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7303BB1"/>
    <w:multiLevelType w:val="hybridMultilevel"/>
    <w:tmpl w:val="C7DCEA2E"/>
    <w:lvl w:ilvl="0" w:tplc="350A0BB0">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126578A"/>
    <w:multiLevelType w:val="hybridMultilevel"/>
    <w:tmpl w:val="C7382456"/>
    <w:lvl w:ilvl="0" w:tplc="1F649EAC">
      <w:start w:val="1"/>
      <w:numFmt w:val="lowerLetter"/>
      <w:lvlText w:val="%1."/>
      <w:lvlJc w:val="left"/>
      <w:pPr>
        <w:ind w:left="900" w:hanging="360"/>
      </w:pPr>
      <w:rPr>
        <w:rFonts w:hint="default"/>
      </w:rPr>
    </w:lvl>
    <w:lvl w:ilvl="1" w:tplc="040A0019" w:tentative="1">
      <w:start w:val="1"/>
      <w:numFmt w:val="lowerLetter"/>
      <w:lvlText w:val="%2."/>
      <w:lvlJc w:val="left"/>
      <w:pPr>
        <w:ind w:left="1620" w:hanging="360"/>
      </w:pPr>
    </w:lvl>
    <w:lvl w:ilvl="2" w:tplc="040A001B" w:tentative="1">
      <w:start w:val="1"/>
      <w:numFmt w:val="lowerRoman"/>
      <w:lvlText w:val="%3."/>
      <w:lvlJc w:val="right"/>
      <w:pPr>
        <w:ind w:left="2340" w:hanging="180"/>
      </w:pPr>
    </w:lvl>
    <w:lvl w:ilvl="3" w:tplc="040A000F" w:tentative="1">
      <w:start w:val="1"/>
      <w:numFmt w:val="decimal"/>
      <w:lvlText w:val="%4."/>
      <w:lvlJc w:val="left"/>
      <w:pPr>
        <w:ind w:left="3060" w:hanging="360"/>
      </w:pPr>
    </w:lvl>
    <w:lvl w:ilvl="4" w:tplc="040A0019" w:tentative="1">
      <w:start w:val="1"/>
      <w:numFmt w:val="lowerLetter"/>
      <w:lvlText w:val="%5."/>
      <w:lvlJc w:val="left"/>
      <w:pPr>
        <w:ind w:left="3780" w:hanging="360"/>
      </w:pPr>
    </w:lvl>
    <w:lvl w:ilvl="5" w:tplc="040A001B" w:tentative="1">
      <w:start w:val="1"/>
      <w:numFmt w:val="lowerRoman"/>
      <w:lvlText w:val="%6."/>
      <w:lvlJc w:val="right"/>
      <w:pPr>
        <w:ind w:left="4500" w:hanging="180"/>
      </w:pPr>
    </w:lvl>
    <w:lvl w:ilvl="6" w:tplc="040A000F" w:tentative="1">
      <w:start w:val="1"/>
      <w:numFmt w:val="decimal"/>
      <w:lvlText w:val="%7."/>
      <w:lvlJc w:val="left"/>
      <w:pPr>
        <w:ind w:left="5220" w:hanging="360"/>
      </w:pPr>
    </w:lvl>
    <w:lvl w:ilvl="7" w:tplc="040A0019" w:tentative="1">
      <w:start w:val="1"/>
      <w:numFmt w:val="lowerLetter"/>
      <w:lvlText w:val="%8."/>
      <w:lvlJc w:val="left"/>
      <w:pPr>
        <w:ind w:left="5940" w:hanging="360"/>
      </w:pPr>
    </w:lvl>
    <w:lvl w:ilvl="8" w:tplc="040A001B" w:tentative="1">
      <w:start w:val="1"/>
      <w:numFmt w:val="lowerRoman"/>
      <w:lvlText w:val="%9."/>
      <w:lvlJc w:val="right"/>
      <w:pPr>
        <w:ind w:left="6660" w:hanging="180"/>
      </w:pPr>
    </w:lvl>
  </w:abstractNum>
  <w:abstractNum w:abstractNumId="26" w15:restartNumberingAfterBreak="0">
    <w:nsid w:val="55D46BDE"/>
    <w:multiLevelType w:val="hybridMultilevel"/>
    <w:tmpl w:val="126647E4"/>
    <w:lvl w:ilvl="0" w:tplc="02B426C8">
      <w:start w:val="1"/>
      <w:numFmt w:val="lowerLetter"/>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7" w15:restartNumberingAfterBreak="0">
    <w:nsid w:val="5A6D4E1E"/>
    <w:multiLevelType w:val="hybridMultilevel"/>
    <w:tmpl w:val="64686338"/>
    <w:lvl w:ilvl="0" w:tplc="81E49D06">
      <w:start w:val="2"/>
      <w:numFmt w:val="lowerRoman"/>
      <w:lvlText w:val="(%1)"/>
      <w:lvlJc w:val="left"/>
      <w:pPr>
        <w:ind w:left="2046" w:hanging="720"/>
      </w:pPr>
      <w:rPr>
        <w:rFonts w:hint="default"/>
      </w:rPr>
    </w:lvl>
    <w:lvl w:ilvl="1" w:tplc="04090019" w:tentative="1">
      <w:start w:val="1"/>
      <w:numFmt w:val="lowerLetter"/>
      <w:lvlText w:val="%2."/>
      <w:lvlJc w:val="left"/>
      <w:pPr>
        <w:ind w:left="2406" w:hanging="360"/>
      </w:pPr>
    </w:lvl>
    <w:lvl w:ilvl="2" w:tplc="0409001B" w:tentative="1">
      <w:start w:val="1"/>
      <w:numFmt w:val="lowerRoman"/>
      <w:lvlText w:val="%3."/>
      <w:lvlJc w:val="right"/>
      <w:pPr>
        <w:ind w:left="3126" w:hanging="180"/>
      </w:pPr>
    </w:lvl>
    <w:lvl w:ilvl="3" w:tplc="0409000F" w:tentative="1">
      <w:start w:val="1"/>
      <w:numFmt w:val="decimal"/>
      <w:lvlText w:val="%4."/>
      <w:lvlJc w:val="left"/>
      <w:pPr>
        <w:ind w:left="3846" w:hanging="360"/>
      </w:pPr>
    </w:lvl>
    <w:lvl w:ilvl="4" w:tplc="04090019" w:tentative="1">
      <w:start w:val="1"/>
      <w:numFmt w:val="lowerLetter"/>
      <w:lvlText w:val="%5."/>
      <w:lvlJc w:val="left"/>
      <w:pPr>
        <w:ind w:left="4566" w:hanging="360"/>
      </w:pPr>
    </w:lvl>
    <w:lvl w:ilvl="5" w:tplc="0409001B" w:tentative="1">
      <w:start w:val="1"/>
      <w:numFmt w:val="lowerRoman"/>
      <w:lvlText w:val="%6."/>
      <w:lvlJc w:val="right"/>
      <w:pPr>
        <w:ind w:left="5286" w:hanging="180"/>
      </w:pPr>
    </w:lvl>
    <w:lvl w:ilvl="6" w:tplc="0409000F" w:tentative="1">
      <w:start w:val="1"/>
      <w:numFmt w:val="decimal"/>
      <w:lvlText w:val="%7."/>
      <w:lvlJc w:val="left"/>
      <w:pPr>
        <w:ind w:left="6006" w:hanging="360"/>
      </w:pPr>
    </w:lvl>
    <w:lvl w:ilvl="7" w:tplc="04090019" w:tentative="1">
      <w:start w:val="1"/>
      <w:numFmt w:val="lowerLetter"/>
      <w:lvlText w:val="%8."/>
      <w:lvlJc w:val="left"/>
      <w:pPr>
        <w:ind w:left="6726" w:hanging="360"/>
      </w:pPr>
    </w:lvl>
    <w:lvl w:ilvl="8" w:tplc="0409001B" w:tentative="1">
      <w:start w:val="1"/>
      <w:numFmt w:val="lowerRoman"/>
      <w:lvlText w:val="%9."/>
      <w:lvlJc w:val="right"/>
      <w:pPr>
        <w:ind w:left="7446" w:hanging="180"/>
      </w:pPr>
    </w:lvl>
  </w:abstractNum>
  <w:abstractNum w:abstractNumId="28" w15:restartNumberingAfterBreak="0">
    <w:nsid w:val="5CA6111F"/>
    <w:multiLevelType w:val="hybridMultilevel"/>
    <w:tmpl w:val="A088109C"/>
    <w:lvl w:ilvl="0" w:tplc="484AC3A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E634ADF"/>
    <w:multiLevelType w:val="hybridMultilevel"/>
    <w:tmpl w:val="7AB27608"/>
    <w:lvl w:ilvl="0" w:tplc="6D3C259E">
      <w:start w:val="9"/>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5F1D26B8"/>
    <w:multiLevelType w:val="hybridMultilevel"/>
    <w:tmpl w:val="A9B06A94"/>
    <w:lvl w:ilvl="0" w:tplc="A20628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55011D"/>
    <w:multiLevelType w:val="hybridMultilevel"/>
    <w:tmpl w:val="A91E8004"/>
    <w:lvl w:ilvl="0" w:tplc="07DCFF46">
      <w:start w:val="2"/>
      <w:numFmt w:val="lowerLetter"/>
      <w:lvlText w:val="(%1)"/>
      <w:lvlJc w:val="left"/>
      <w:pPr>
        <w:tabs>
          <w:tab w:val="num" w:pos="1320"/>
        </w:tabs>
        <w:ind w:left="132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73770"/>
    <w:multiLevelType w:val="hybridMultilevel"/>
    <w:tmpl w:val="3CA60AA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15:restartNumberingAfterBreak="0">
    <w:nsid w:val="667262CC"/>
    <w:multiLevelType w:val="hybridMultilevel"/>
    <w:tmpl w:val="E1EA63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6E12423"/>
    <w:multiLevelType w:val="hybridMultilevel"/>
    <w:tmpl w:val="3AD20B5E"/>
    <w:lvl w:ilvl="0" w:tplc="BD969E02">
      <w:start w:val="1"/>
      <w:numFmt w:val="lowerRoman"/>
      <w:lvlText w:val="(%1)"/>
      <w:lvlJc w:val="left"/>
      <w:pPr>
        <w:ind w:left="900" w:hanging="720"/>
      </w:pPr>
      <w:rPr>
        <w:rFonts w:hint="default"/>
      </w:rPr>
    </w:lvl>
    <w:lvl w:ilvl="1" w:tplc="140A0019" w:tentative="1">
      <w:start w:val="1"/>
      <w:numFmt w:val="lowerLetter"/>
      <w:lvlText w:val="%2."/>
      <w:lvlJc w:val="left"/>
      <w:pPr>
        <w:ind w:left="1260" w:hanging="360"/>
      </w:pPr>
    </w:lvl>
    <w:lvl w:ilvl="2" w:tplc="140A001B" w:tentative="1">
      <w:start w:val="1"/>
      <w:numFmt w:val="lowerRoman"/>
      <w:lvlText w:val="%3."/>
      <w:lvlJc w:val="right"/>
      <w:pPr>
        <w:ind w:left="1980" w:hanging="180"/>
      </w:pPr>
    </w:lvl>
    <w:lvl w:ilvl="3" w:tplc="140A000F" w:tentative="1">
      <w:start w:val="1"/>
      <w:numFmt w:val="decimal"/>
      <w:lvlText w:val="%4."/>
      <w:lvlJc w:val="left"/>
      <w:pPr>
        <w:ind w:left="2700" w:hanging="360"/>
      </w:pPr>
    </w:lvl>
    <w:lvl w:ilvl="4" w:tplc="140A0019" w:tentative="1">
      <w:start w:val="1"/>
      <w:numFmt w:val="lowerLetter"/>
      <w:lvlText w:val="%5."/>
      <w:lvlJc w:val="left"/>
      <w:pPr>
        <w:ind w:left="3420" w:hanging="360"/>
      </w:pPr>
    </w:lvl>
    <w:lvl w:ilvl="5" w:tplc="140A001B" w:tentative="1">
      <w:start w:val="1"/>
      <w:numFmt w:val="lowerRoman"/>
      <w:lvlText w:val="%6."/>
      <w:lvlJc w:val="right"/>
      <w:pPr>
        <w:ind w:left="4140" w:hanging="180"/>
      </w:pPr>
    </w:lvl>
    <w:lvl w:ilvl="6" w:tplc="140A000F" w:tentative="1">
      <w:start w:val="1"/>
      <w:numFmt w:val="decimal"/>
      <w:lvlText w:val="%7."/>
      <w:lvlJc w:val="left"/>
      <w:pPr>
        <w:ind w:left="4860" w:hanging="360"/>
      </w:pPr>
    </w:lvl>
    <w:lvl w:ilvl="7" w:tplc="140A0019" w:tentative="1">
      <w:start w:val="1"/>
      <w:numFmt w:val="lowerLetter"/>
      <w:lvlText w:val="%8."/>
      <w:lvlJc w:val="left"/>
      <w:pPr>
        <w:ind w:left="5580" w:hanging="360"/>
      </w:pPr>
    </w:lvl>
    <w:lvl w:ilvl="8" w:tplc="140A001B" w:tentative="1">
      <w:start w:val="1"/>
      <w:numFmt w:val="lowerRoman"/>
      <w:lvlText w:val="%9."/>
      <w:lvlJc w:val="right"/>
      <w:pPr>
        <w:ind w:left="6300" w:hanging="180"/>
      </w:pPr>
    </w:lvl>
  </w:abstractNum>
  <w:abstractNum w:abstractNumId="35" w15:restartNumberingAfterBreak="0">
    <w:nsid w:val="67347E82"/>
    <w:multiLevelType w:val="hybridMultilevel"/>
    <w:tmpl w:val="5D7CBD32"/>
    <w:lvl w:ilvl="0" w:tplc="303E1300">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6B945C1C"/>
    <w:multiLevelType w:val="hybridMultilevel"/>
    <w:tmpl w:val="CB1C8634"/>
    <w:lvl w:ilvl="0" w:tplc="E31AF22A">
      <w:start w:val="1"/>
      <w:numFmt w:val="decimal"/>
      <w:lvlText w:val="%1."/>
      <w:lvlJc w:val="left"/>
      <w:pPr>
        <w:ind w:left="720" w:hanging="360"/>
      </w:pPr>
      <w:rPr>
        <w:rFonts w:hint="default"/>
        <w:u w:val="none"/>
        <w:lang w:val="es-C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09E1CC1"/>
    <w:multiLevelType w:val="hybridMultilevel"/>
    <w:tmpl w:val="89C858B4"/>
    <w:lvl w:ilvl="0" w:tplc="2ABA8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EF5C08"/>
    <w:multiLevelType w:val="hybridMultilevel"/>
    <w:tmpl w:val="593A7F98"/>
    <w:lvl w:ilvl="0" w:tplc="C1BA6FE0">
      <w:start w:val="1"/>
      <w:numFmt w:val="lowerRoman"/>
      <w:lvlText w:val="(%1)"/>
      <w:lvlJc w:val="left"/>
      <w:pPr>
        <w:ind w:left="1570" w:hanging="720"/>
      </w:pPr>
      <w:rPr>
        <w:rFonts w:hint="default"/>
      </w:r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39" w15:restartNumberingAfterBreak="0">
    <w:nsid w:val="72184EA9"/>
    <w:multiLevelType w:val="hybridMultilevel"/>
    <w:tmpl w:val="7BC24E02"/>
    <w:lvl w:ilvl="0" w:tplc="CCEC0B64">
      <w:start w:val="1"/>
      <w:numFmt w:val="lowerLetter"/>
      <w:lvlText w:val="(%1)"/>
      <w:lvlJc w:val="left"/>
      <w:pPr>
        <w:tabs>
          <w:tab w:val="num" w:pos="1710"/>
        </w:tabs>
        <w:ind w:left="1710" w:hanging="36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40" w15:restartNumberingAfterBreak="0">
    <w:nsid w:val="78C4459E"/>
    <w:multiLevelType w:val="hybridMultilevel"/>
    <w:tmpl w:val="35ECF0AA"/>
    <w:lvl w:ilvl="0" w:tplc="140A000F">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41" w15:restartNumberingAfterBreak="0">
    <w:nsid w:val="798A74A7"/>
    <w:multiLevelType w:val="hybridMultilevel"/>
    <w:tmpl w:val="385A514A"/>
    <w:lvl w:ilvl="0" w:tplc="2FF05480">
      <w:start w:val="1"/>
      <w:numFmt w:val="lowerRoman"/>
      <w:lvlText w:val="%1)"/>
      <w:lvlJc w:val="left"/>
      <w:pPr>
        <w:ind w:left="1570" w:hanging="720"/>
      </w:pPr>
      <w:rPr>
        <w:rFonts w:hint="default"/>
      </w:r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42" w15:restartNumberingAfterBreak="0">
    <w:nsid w:val="7AA02CDD"/>
    <w:multiLevelType w:val="hybridMultilevel"/>
    <w:tmpl w:val="13145304"/>
    <w:lvl w:ilvl="0" w:tplc="9B6E3022">
      <w:start w:val="100"/>
      <w:numFmt w:val="lowerRoman"/>
      <w:lvlText w:val="(%1)"/>
      <w:lvlJc w:val="left"/>
      <w:pPr>
        <w:ind w:left="5688" w:hanging="720"/>
      </w:pPr>
      <w:rPr>
        <w:rFonts w:hint="default"/>
      </w:rPr>
    </w:lvl>
    <w:lvl w:ilvl="1" w:tplc="04090019" w:tentative="1">
      <w:start w:val="1"/>
      <w:numFmt w:val="lowerLetter"/>
      <w:lvlText w:val="%2."/>
      <w:lvlJc w:val="left"/>
      <w:pPr>
        <w:ind w:left="6048" w:hanging="360"/>
      </w:pPr>
    </w:lvl>
    <w:lvl w:ilvl="2" w:tplc="0409001B" w:tentative="1">
      <w:start w:val="1"/>
      <w:numFmt w:val="lowerRoman"/>
      <w:lvlText w:val="%3."/>
      <w:lvlJc w:val="right"/>
      <w:pPr>
        <w:ind w:left="6768" w:hanging="180"/>
      </w:pPr>
    </w:lvl>
    <w:lvl w:ilvl="3" w:tplc="0409000F" w:tentative="1">
      <w:start w:val="1"/>
      <w:numFmt w:val="decimal"/>
      <w:lvlText w:val="%4."/>
      <w:lvlJc w:val="left"/>
      <w:pPr>
        <w:ind w:left="7488" w:hanging="360"/>
      </w:pPr>
    </w:lvl>
    <w:lvl w:ilvl="4" w:tplc="04090019" w:tentative="1">
      <w:start w:val="1"/>
      <w:numFmt w:val="lowerLetter"/>
      <w:lvlText w:val="%5."/>
      <w:lvlJc w:val="left"/>
      <w:pPr>
        <w:ind w:left="8208" w:hanging="360"/>
      </w:pPr>
    </w:lvl>
    <w:lvl w:ilvl="5" w:tplc="0409001B" w:tentative="1">
      <w:start w:val="1"/>
      <w:numFmt w:val="lowerRoman"/>
      <w:lvlText w:val="%6."/>
      <w:lvlJc w:val="right"/>
      <w:pPr>
        <w:ind w:left="8928" w:hanging="180"/>
      </w:pPr>
    </w:lvl>
    <w:lvl w:ilvl="6" w:tplc="0409000F" w:tentative="1">
      <w:start w:val="1"/>
      <w:numFmt w:val="decimal"/>
      <w:lvlText w:val="%7."/>
      <w:lvlJc w:val="left"/>
      <w:pPr>
        <w:ind w:left="9648" w:hanging="360"/>
      </w:pPr>
    </w:lvl>
    <w:lvl w:ilvl="7" w:tplc="04090019" w:tentative="1">
      <w:start w:val="1"/>
      <w:numFmt w:val="lowerLetter"/>
      <w:lvlText w:val="%8."/>
      <w:lvlJc w:val="left"/>
      <w:pPr>
        <w:ind w:left="10368" w:hanging="360"/>
      </w:pPr>
    </w:lvl>
    <w:lvl w:ilvl="8" w:tplc="0409001B" w:tentative="1">
      <w:start w:val="1"/>
      <w:numFmt w:val="lowerRoman"/>
      <w:lvlText w:val="%9."/>
      <w:lvlJc w:val="right"/>
      <w:pPr>
        <w:ind w:left="11088" w:hanging="180"/>
      </w:pPr>
    </w:lvl>
  </w:abstractNum>
  <w:abstractNum w:abstractNumId="43" w15:restartNumberingAfterBreak="0">
    <w:nsid w:val="7D127872"/>
    <w:multiLevelType w:val="hybridMultilevel"/>
    <w:tmpl w:val="25C8BF78"/>
    <w:lvl w:ilvl="0" w:tplc="84540A28">
      <w:start w:val="1"/>
      <w:numFmt w:val="lowerRoman"/>
      <w:lvlText w:val="(%1)"/>
      <w:lvlJc w:val="left"/>
      <w:pPr>
        <w:ind w:left="3417" w:hanging="720"/>
      </w:pPr>
      <w:rPr>
        <w:rFonts w:hint="default"/>
      </w:rPr>
    </w:lvl>
    <w:lvl w:ilvl="1" w:tplc="140A0019" w:tentative="1">
      <w:start w:val="1"/>
      <w:numFmt w:val="lowerLetter"/>
      <w:lvlText w:val="%2."/>
      <w:lvlJc w:val="left"/>
      <w:pPr>
        <w:ind w:left="3634" w:hanging="360"/>
      </w:pPr>
    </w:lvl>
    <w:lvl w:ilvl="2" w:tplc="140A001B" w:tentative="1">
      <w:start w:val="1"/>
      <w:numFmt w:val="lowerRoman"/>
      <w:lvlText w:val="%3."/>
      <w:lvlJc w:val="right"/>
      <w:pPr>
        <w:ind w:left="4354" w:hanging="180"/>
      </w:pPr>
    </w:lvl>
    <w:lvl w:ilvl="3" w:tplc="140A000F" w:tentative="1">
      <w:start w:val="1"/>
      <w:numFmt w:val="decimal"/>
      <w:lvlText w:val="%4."/>
      <w:lvlJc w:val="left"/>
      <w:pPr>
        <w:ind w:left="5074" w:hanging="360"/>
      </w:pPr>
    </w:lvl>
    <w:lvl w:ilvl="4" w:tplc="140A0019" w:tentative="1">
      <w:start w:val="1"/>
      <w:numFmt w:val="lowerLetter"/>
      <w:lvlText w:val="%5."/>
      <w:lvlJc w:val="left"/>
      <w:pPr>
        <w:ind w:left="5794" w:hanging="360"/>
      </w:pPr>
    </w:lvl>
    <w:lvl w:ilvl="5" w:tplc="140A001B" w:tentative="1">
      <w:start w:val="1"/>
      <w:numFmt w:val="lowerRoman"/>
      <w:lvlText w:val="%6."/>
      <w:lvlJc w:val="right"/>
      <w:pPr>
        <w:ind w:left="6514" w:hanging="180"/>
      </w:pPr>
    </w:lvl>
    <w:lvl w:ilvl="6" w:tplc="140A000F" w:tentative="1">
      <w:start w:val="1"/>
      <w:numFmt w:val="decimal"/>
      <w:lvlText w:val="%7."/>
      <w:lvlJc w:val="left"/>
      <w:pPr>
        <w:ind w:left="7234" w:hanging="360"/>
      </w:pPr>
    </w:lvl>
    <w:lvl w:ilvl="7" w:tplc="140A0019" w:tentative="1">
      <w:start w:val="1"/>
      <w:numFmt w:val="lowerLetter"/>
      <w:lvlText w:val="%8."/>
      <w:lvlJc w:val="left"/>
      <w:pPr>
        <w:ind w:left="7954" w:hanging="360"/>
      </w:pPr>
    </w:lvl>
    <w:lvl w:ilvl="8" w:tplc="140A001B" w:tentative="1">
      <w:start w:val="1"/>
      <w:numFmt w:val="lowerRoman"/>
      <w:lvlText w:val="%9."/>
      <w:lvlJc w:val="right"/>
      <w:pPr>
        <w:ind w:left="8674" w:hanging="180"/>
      </w:pPr>
    </w:lvl>
  </w:abstractNum>
  <w:abstractNum w:abstractNumId="44" w15:restartNumberingAfterBreak="0">
    <w:nsid w:val="7E862143"/>
    <w:multiLevelType w:val="hybridMultilevel"/>
    <w:tmpl w:val="1A685FDC"/>
    <w:lvl w:ilvl="0" w:tplc="907A0646">
      <w:start w:val="1"/>
      <w:numFmt w:val="decimal"/>
      <w:lvlText w:val="%1."/>
      <w:lvlJc w:val="left"/>
      <w:pPr>
        <w:ind w:left="540" w:hanging="360"/>
      </w:pPr>
      <w:rPr>
        <w:rFonts w:hint="default"/>
      </w:rPr>
    </w:lvl>
    <w:lvl w:ilvl="1" w:tplc="040A0019" w:tentative="1">
      <w:start w:val="1"/>
      <w:numFmt w:val="lowerLetter"/>
      <w:lvlText w:val="%2."/>
      <w:lvlJc w:val="left"/>
      <w:pPr>
        <w:ind w:left="1260" w:hanging="360"/>
      </w:pPr>
    </w:lvl>
    <w:lvl w:ilvl="2" w:tplc="040A001B" w:tentative="1">
      <w:start w:val="1"/>
      <w:numFmt w:val="lowerRoman"/>
      <w:lvlText w:val="%3."/>
      <w:lvlJc w:val="right"/>
      <w:pPr>
        <w:ind w:left="1980" w:hanging="180"/>
      </w:pPr>
    </w:lvl>
    <w:lvl w:ilvl="3" w:tplc="040A000F" w:tentative="1">
      <w:start w:val="1"/>
      <w:numFmt w:val="decimal"/>
      <w:lvlText w:val="%4."/>
      <w:lvlJc w:val="left"/>
      <w:pPr>
        <w:ind w:left="2700" w:hanging="360"/>
      </w:pPr>
    </w:lvl>
    <w:lvl w:ilvl="4" w:tplc="040A0019" w:tentative="1">
      <w:start w:val="1"/>
      <w:numFmt w:val="lowerLetter"/>
      <w:lvlText w:val="%5."/>
      <w:lvlJc w:val="left"/>
      <w:pPr>
        <w:ind w:left="3420" w:hanging="360"/>
      </w:pPr>
    </w:lvl>
    <w:lvl w:ilvl="5" w:tplc="040A001B" w:tentative="1">
      <w:start w:val="1"/>
      <w:numFmt w:val="lowerRoman"/>
      <w:lvlText w:val="%6."/>
      <w:lvlJc w:val="right"/>
      <w:pPr>
        <w:ind w:left="4140" w:hanging="180"/>
      </w:pPr>
    </w:lvl>
    <w:lvl w:ilvl="6" w:tplc="040A000F" w:tentative="1">
      <w:start w:val="1"/>
      <w:numFmt w:val="decimal"/>
      <w:lvlText w:val="%7."/>
      <w:lvlJc w:val="left"/>
      <w:pPr>
        <w:ind w:left="4860" w:hanging="360"/>
      </w:pPr>
    </w:lvl>
    <w:lvl w:ilvl="7" w:tplc="040A0019" w:tentative="1">
      <w:start w:val="1"/>
      <w:numFmt w:val="lowerLetter"/>
      <w:lvlText w:val="%8."/>
      <w:lvlJc w:val="left"/>
      <w:pPr>
        <w:ind w:left="5580" w:hanging="360"/>
      </w:pPr>
    </w:lvl>
    <w:lvl w:ilvl="8" w:tplc="040A001B" w:tentative="1">
      <w:start w:val="1"/>
      <w:numFmt w:val="lowerRoman"/>
      <w:lvlText w:val="%9."/>
      <w:lvlJc w:val="right"/>
      <w:pPr>
        <w:ind w:left="6300" w:hanging="180"/>
      </w:pPr>
    </w:lvl>
  </w:abstractNum>
  <w:num w:numId="1">
    <w:abstractNumId w:val="40"/>
  </w:num>
  <w:num w:numId="2">
    <w:abstractNumId w:val="19"/>
  </w:num>
  <w:num w:numId="3">
    <w:abstractNumId w:val="0"/>
  </w:num>
  <w:num w:numId="4">
    <w:abstractNumId w:val="1"/>
  </w:num>
  <w:num w:numId="5">
    <w:abstractNumId w:val="11"/>
  </w:num>
  <w:num w:numId="6">
    <w:abstractNumId w:val="44"/>
  </w:num>
  <w:num w:numId="7">
    <w:abstractNumId w:val="6"/>
  </w:num>
  <w:num w:numId="8">
    <w:abstractNumId w:val="25"/>
  </w:num>
  <w:num w:numId="9">
    <w:abstractNumId w:val="33"/>
  </w:num>
  <w:num w:numId="10">
    <w:abstractNumId w:val="3"/>
  </w:num>
  <w:num w:numId="11">
    <w:abstractNumId w:val="18"/>
  </w:num>
  <w:num w:numId="12">
    <w:abstractNumId w:val="39"/>
  </w:num>
  <w:num w:numId="13">
    <w:abstractNumId w:val="31"/>
  </w:num>
  <w:num w:numId="14">
    <w:abstractNumId w:val="29"/>
  </w:num>
  <w:num w:numId="15">
    <w:abstractNumId w:val="15"/>
  </w:num>
  <w:num w:numId="16">
    <w:abstractNumId w:val="30"/>
  </w:num>
  <w:num w:numId="17">
    <w:abstractNumId w:val="4"/>
  </w:num>
  <w:num w:numId="18">
    <w:abstractNumId w:val="5"/>
  </w:num>
  <w:num w:numId="19">
    <w:abstractNumId w:val="42"/>
  </w:num>
  <w:num w:numId="20">
    <w:abstractNumId w:val="8"/>
  </w:num>
  <w:num w:numId="21">
    <w:abstractNumId w:val="17"/>
  </w:num>
  <w:num w:numId="22">
    <w:abstractNumId w:val="27"/>
  </w:num>
  <w:num w:numId="23">
    <w:abstractNumId w:val="37"/>
  </w:num>
  <w:num w:numId="24">
    <w:abstractNumId w:val="23"/>
  </w:num>
  <w:num w:numId="25">
    <w:abstractNumId w:val="12"/>
  </w:num>
  <w:num w:numId="26">
    <w:abstractNumId w:val="20"/>
  </w:num>
  <w:num w:numId="27">
    <w:abstractNumId w:val="14"/>
  </w:num>
  <w:num w:numId="28">
    <w:abstractNumId w:val="32"/>
  </w:num>
  <w:num w:numId="29">
    <w:abstractNumId w:val="36"/>
  </w:num>
  <w:num w:numId="30">
    <w:abstractNumId w:val="9"/>
  </w:num>
  <w:num w:numId="31">
    <w:abstractNumId w:val="34"/>
  </w:num>
  <w:num w:numId="32">
    <w:abstractNumId w:val="7"/>
  </w:num>
  <w:num w:numId="33">
    <w:abstractNumId w:val="10"/>
  </w:num>
  <w:num w:numId="34">
    <w:abstractNumId w:val="22"/>
  </w:num>
  <w:num w:numId="35">
    <w:abstractNumId w:val="2"/>
  </w:num>
  <w:num w:numId="36">
    <w:abstractNumId w:val="21"/>
  </w:num>
  <w:num w:numId="37">
    <w:abstractNumId w:val="13"/>
  </w:num>
  <w:num w:numId="38">
    <w:abstractNumId w:val="16"/>
  </w:num>
  <w:num w:numId="39">
    <w:abstractNumId w:val="41"/>
  </w:num>
  <w:num w:numId="40">
    <w:abstractNumId w:val="28"/>
  </w:num>
  <w:num w:numId="41">
    <w:abstractNumId w:val="43"/>
  </w:num>
  <w:num w:numId="42">
    <w:abstractNumId w:val="35"/>
  </w:num>
  <w:num w:numId="43">
    <w:abstractNumId w:val="38"/>
  </w:num>
  <w:num w:numId="44">
    <w:abstractNumId w:val="26"/>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D18"/>
    <w:rsid w:val="000318A9"/>
    <w:rsid w:val="00056110"/>
    <w:rsid w:val="000A0E2E"/>
    <w:rsid w:val="000A1FE7"/>
    <w:rsid w:val="001042F6"/>
    <w:rsid w:val="001E25AA"/>
    <w:rsid w:val="00267D71"/>
    <w:rsid w:val="002C7305"/>
    <w:rsid w:val="00365613"/>
    <w:rsid w:val="00382BDC"/>
    <w:rsid w:val="003A3ECA"/>
    <w:rsid w:val="00427A6D"/>
    <w:rsid w:val="0043379A"/>
    <w:rsid w:val="00460E1E"/>
    <w:rsid w:val="004C0507"/>
    <w:rsid w:val="004F4C00"/>
    <w:rsid w:val="00524640"/>
    <w:rsid w:val="00532E98"/>
    <w:rsid w:val="00553E17"/>
    <w:rsid w:val="005B1038"/>
    <w:rsid w:val="005E556D"/>
    <w:rsid w:val="00624BF6"/>
    <w:rsid w:val="006452AF"/>
    <w:rsid w:val="00653C97"/>
    <w:rsid w:val="006C517E"/>
    <w:rsid w:val="006C65EF"/>
    <w:rsid w:val="006D001B"/>
    <w:rsid w:val="006E3EE4"/>
    <w:rsid w:val="007013C0"/>
    <w:rsid w:val="00701A85"/>
    <w:rsid w:val="00721C2B"/>
    <w:rsid w:val="00796FAE"/>
    <w:rsid w:val="007C4E95"/>
    <w:rsid w:val="007D6A96"/>
    <w:rsid w:val="008209FD"/>
    <w:rsid w:val="008304B9"/>
    <w:rsid w:val="00852D76"/>
    <w:rsid w:val="00867479"/>
    <w:rsid w:val="0088344A"/>
    <w:rsid w:val="008C14D7"/>
    <w:rsid w:val="008F53E8"/>
    <w:rsid w:val="00904280"/>
    <w:rsid w:val="00910170"/>
    <w:rsid w:val="00911B06"/>
    <w:rsid w:val="00950F87"/>
    <w:rsid w:val="00951011"/>
    <w:rsid w:val="009527F2"/>
    <w:rsid w:val="00965449"/>
    <w:rsid w:val="00994E33"/>
    <w:rsid w:val="009B3F79"/>
    <w:rsid w:val="009C18CF"/>
    <w:rsid w:val="00A10041"/>
    <w:rsid w:val="00A27778"/>
    <w:rsid w:val="00A31E26"/>
    <w:rsid w:val="00A37750"/>
    <w:rsid w:val="00A53941"/>
    <w:rsid w:val="00A7242C"/>
    <w:rsid w:val="00AA5F0A"/>
    <w:rsid w:val="00AF4FC4"/>
    <w:rsid w:val="00AF52E3"/>
    <w:rsid w:val="00B45652"/>
    <w:rsid w:val="00BA64D6"/>
    <w:rsid w:val="00BB4377"/>
    <w:rsid w:val="00BF64AF"/>
    <w:rsid w:val="00C10096"/>
    <w:rsid w:val="00C102C0"/>
    <w:rsid w:val="00C1446B"/>
    <w:rsid w:val="00C237DD"/>
    <w:rsid w:val="00C42E09"/>
    <w:rsid w:val="00C554BE"/>
    <w:rsid w:val="00C91318"/>
    <w:rsid w:val="00DD53D8"/>
    <w:rsid w:val="00E0235E"/>
    <w:rsid w:val="00E02830"/>
    <w:rsid w:val="00E05D61"/>
    <w:rsid w:val="00E074D7"/>
    <w:rsid w:val="00E26CA9"/>
    <w:rsid w:val="00E4276A"/>
    <w:rsid w:val="00E42ACE"/>
    <w:rsid w:val="00EB0D36"/>
    <w:rsid w:val="00ED2F3B"/>
    <w:rsid w:val="00F05214"/>
    <w:rsid w:val="00F94236"/>
    <w:rsid w:val="00FC313C"/>
    <w:rsid w:val="00FE3C4C"/>
    <w:rsid w:val="00FF0D18"/>
    <w:rsid w:val="00FF45F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2B05B10-8552-44F0-8E21-48F65AEF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D18"/>
    <w:pPr>
      <w:spacing w:after="160" w:line="259" w:lineRule="auto"/>
      <w:jc w:val="left"/>
    </w:pPr>
  </w:style>
  <w:style w:type="paragraph" w:styleId="Ttulo1">
    <w:name w:val="heading 1"/>
    <w:aliases w:val="Título 11,1 ghost,g"/>
    <w:basedOn w:val="Normal"/>
    <w:next w:val="Normal"/>
    <w:link w:val="Ttulo1Car"/>
    <w:qFormat/>
    <w:rsid w:val="00FF0D18"/>
    <w:pPr>
      <w:keepNext/>
      <w:spacing w:after="0" w:line="240" w:lineRule="auto"/>
      <w:ind w:left="432" w:hanging="432"/>
      <w:jc w:val="center"/>
      <w:outlineLvl w:val="0"/>
    </w:pPr>
    <w:rPr>
      <w:rFonts w:ascii="Times New Roman" w:eastAsia="Times New Roman" w:hAnsi="Times New Roman" w:cs="Times New Roman"/>
      <w:b/>
      <w:bCs/>
      <w:szCs w:val="20"/>
      <w:lang w:val="es-VE"/>
    </w:rPr>
  </w:style>
  <w:style w:type="paragraph" w:styleId="Ttulo2">
    <w:name w:val="heading 2"/>
    <w:aliases w:val="h2,Título 21"/>
    <w:basedOn w:val="Normal"/>
    <w:link w:val="Ttulo2Car"/>
    <w:qFormat/>
    <w:rsid w:val="00FF0D18"/>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paragraph" w:styleId="Ttulo3">
    <w:name w:val="heading 3"/>
    <w:aliases w:val="TITULO 3 DIG"/>
    <w:basedOn w:val="Normal"/>
    <w:next w:val="Normal"/>
    <w:link w:val="Ttulo3Car"/>
    <w:unhideWhenUsed/>
    <w:qFormat/>
    <w:rsid w:val="00FF0D18"/>
    <w:pPr>
      <w:keepNext/>
      <w:spacing w:before="240" w:after="60" w:line="276"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FF0D18"/>
    <w:pPr>
      <w:keepNext/>
      <w:spacing w:before="240" w:after="60" w:line="276"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FF0D18"/>
    <w:pPr>
      <w:keepNext/>
      <w:suppressAutoHyphens/>
      <w:spacing w:after="0" w:line="240" w:lineRule="auto"/>
      <w:ind w:left="1008" w:hanging="1008"/>
      <w:outlineLvl w:val="4"/>
    </w:pPr>
    <w:rPr>
      <w:rFonts w:ascii="Times New Roman" w:eastAsia="Times New Roman" w:hAnsi="Times New Roman" w:cs="Times New Roman"/>
      <w:b/>
      <w:color w:val="000000"/>
      <w:spacing w:val="-2"/>
      <w:szCs w:val="20"/>
      <w:lang w:val="es-ES_tradnl"/>
    </w:rPr>
  </w:style>
  <w:style w:type="paragraph" w:styleId="Ttulo6">
    <w:name w:val="heading 6"/>
    <w:basedOn w:val="Normal"/>
    <w:next w:val="Normal"/>
    <w:link w:val="Ttulo6Car"/>
    <w:uiPriority w:val="9"/>
    <w:qFormat/>
    <w:rsid w:val="00FF0D18"/>
    <w:pPr>
      <w:spacing w:before="240" w:after="60" w:line="240" w:lineRule="auto"/>
      <w:ind w:left="1152" w:hanging="1152"/>
      <w:outlineLvl w:val="5"/>
    </w:pPr>
    <w:rPr>
      <w:rFonts w:ascii="Times New Roman" w:eastAsia="Times New Roman" w:hAnsi="Times New Roman" w:cs="Times New Roman"/>
      <w:b/>
      <w:bCs/>
    </w:rPr>
  </w:style>
  <w:style w:type="paragraph" w:styleId="Ttulo7">
    <w:name w:val="heading 7"/>
    <w:basedOn w:val="Normal"/>
    <w:next w:val="Normal"/>
    <w:link w:val="Ttulo7Car"/>
    <w:uiPriority w:val="9"/>
    <w:qFormat/>
    <w:rsid w:val="00FF0D18"/>
    <w:pPr>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uiPriority w:val="9"/>
    <w:qFormat/>
    <w:rsid w:val="00FF0D18"/>
    <w:pPr>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FF0D18"/>
    <w:pPr>
      <w:spacing w:before="240" w:after="60" w:line="240" w:lineRule="auto"/>
      <w:ind w:left="1584" w:hanging="1584"/>
      <w:outlineLvl w:val="8"/>
    </w:pPr>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1 ghost Car,g Car"/>
    <w:basedOn w:val="Fuentedeprrafopredeter"/>
    <w:link w:val="Ttulo1"/>
    <w:rsid w:val="00FF0D18"/>
    <w:rPr>
      <w:rFonts w:ascii="Times New Roman" w:eastAsia="Times New Roman" w:hAnsi="Times New Roman" w:cs="Times New Roman"/>
      <w:b/>
      <w:bCs/>
      <w:szCs w:val="20"/>
      <w:lang w:val="es-VE"/>
    </w:rPr>
  </w:style>
  <w:style w:type="character" w:customStyle="1" w:styleId="Ttulo2Car">
    <w:name w:val="Título 2 Car"/>
    <w:aliases w:val="h2 Car,Título 21 Car"/>
    <w:basedOn w:val="Fuentedeprrafopredeter"/>
    <w:link w:val="Ttulo2"/>
    <w:rsid w:val="00FF0D18"/>
    <w:rPr>
      <w:rFonts w:ascii="Times New Roman" w:eastAsia="Times New Roman" w:hAnsi="Times New Roman" w:cs="Times New Roman"/>
      <w:b/>
      <w:bCs/>
      <w:sz w:val="36"/>
      <w:szCs w:val="36"/>
      <w:lang w:eastAsia="es-CR"/>
    </w:rPr>
  </w:style>
  <w:style w:type="character" w:customStyle="1" w:styleId="Ttulo3Car">
    <w:name w:val="Título 3 Car"/>
    <w:aliases w:val="TITULO 3 DIG Car"/>
    <w:basedOn w:val="Fuentedeprrafopredeter"/>
    <w:link w:val="Ttulo3"/>
    <w:rsid w:val="00FF0D18"/>
    <w:rPr>
      <w:rFonts w:ascii="Cambria" w:eastAsia="Times New Roman" w:hAnsi="Cambria" w:cs="Times New Roman"/>
      <w:b/>
      <w:bCs/>
      <w:sz w:val="26"/>
      <w:szCs w:val="26"/>
    </w:rPr>
  </w:style>
  <w:style w:type="character" w:customStyle="1" w:styleId="Ttulo4Car">
    <w:name w:val="Título 4 Car"/>
    <w:basedOn w:val="Fuentedeprrafopredeter"/>
    <w:link w:val="Ttulo4"/>
    <w:rsid w:val="00FF0D18"/>
    <w:rPr>
      <w:rFonts w:ascii="Calibri" w:eastAsia="Times New Roman" w:hAnsi="Calibri" w:cs="Times New Roman"/>
      <w:b/>
      <w:bCs/>
      <w:sz w:val="28"/>
      <w:szCs w:val="28"/>
    </w:rPr>
  </w:style>
  <w:style w:type="character" w:customStyle="1" w:styleId="Ttulo5Car">
    <w:name w:val="Título 5 Car"/>
    <w:basedOn w:val="Fuentedeprrafopredeter"/>
    <w:link w:val="Ttulo5"/>
    <w:rsid w:val="00FF0D18"/>
    <w:rPr>
      <w:rFonts w:ascii="Times New Roman" w:eastAsia="Times New Roman" w:hAnsi="Times New Roman" w:cs="Times New Roman"/>
      <w:b/>
      <w:color w:val="000000"/>
      <w:spacing w:val="-2"/>
      <w:szCs w:val="20"/>
      <w:lang w:val="es-ES_tradnl"/>
    </w:rPr>
  </w:style>
  <w:style w:type="character" w:customStyle="1" w:styleId="Ttulo6Car">
    <w:name w:val="Título 6 Car"/>
    <w:basedOn w:val="Fuentedeprrafopredeter"/>
    <w:link w:val="Ttulo6"/>
    <w:uiPriority w:val="9"/>
    <w:rsid w:val="00FF0D18"/>
    <w:rPr>
      <w:rFonts w:ascii="Times New Roman" w:eastAsia="Times New Roman" w:hAnsi="Times New Roman" w:cs="Times New Roman"/>
      <w:b/>
      <w:bCs/>
    </w:rPr>
  </w:style>
  <w:style w:type="character" w:customStyle="1" w:styleId="Ttulo7Car">
    <w:name w:val="Título 7 Car"/>
    <w:basedOn w:val="Fuentedeprrafopredeter"/>
    <w:link w:val="Ttulo7"/>
    <w:uiPriority w:val="9"/>
    <w:rsid w:val="00FF0D18"/>
    <w:rPr>
      <w:rFonts w:ascii="Times New Roman" w:eastAsia="Times New Roman" w:hAnsi="Times New Roman" w:cs="Times New Roman"/>
      <w:sz w:val="24"/>
      <w:szCs w:val="24"/>
    </w:rPr>
  </w:style>
  <w:style w:type="character" w:customStyle="1" w:styleId="Ttulo8Car">
    <w:name w:val="Título 8 Car"/>
    <w:basedOn w:val="Fuentedeprrafopredeter"/>
    <w:link w:val="Ttulo8"/>
    <w:uiPriority w:val="9"/>
    <w:rsid w:val="00FF0D18"/>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FF0D18"/>
    <w:rPr>
      <w:rFonts w:ascii="Arial" w:eastAsia="Times New Roman" w:hAnsi="Arial" w:cs="Times New Roman"/>
    </w:rPr>
  </w:style>
  <w:style w:type="numbering" w:customStyle="1" w:styleId="Sinlista1">
    <w:name w:val="Sin lista1"/>
    <w:next w:val="Sinlista"/>
    <w:uiPriority w:val="99"/>
    <w:semiHidden/>
    <w:unhideWhenUsed/>
    <w:rsid w:val="00FF0D18"/>
  </w:style>
  <w:style w:type="paragraph" w:styleId="NormalWeb">
    <w:name w:val="Normal (Web)"/>
    <w:basedOn w:val="Normal"/>
    <w:uiPriority w:val="99"/>
    <w:rsid w:val="00FF0D1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nhideWhenUsed/>
    <w:rsid w:val="00FF0D18"/>
    <w:pPr>
      <w:spacing w:after="0" w:line="240" w:lineRule="auto"/>
    </w:pPr>
    <w:rPr>
      <w:rFonts w:ascii="Tahoma" w:eastAsia="Calibri" w:hAnsi="Tahoma" w:cs="Times New Roman"/>
      <w:sz w:val="16"/>
      <w:szCs w:val="16"/>
    </w:rPr>
  </w:style>
  <w:style w:type="character" w:customStyle="1" w:styleId="TextodegloboCar">
    <w:name w:val="Texto de globo Car"/>
    <w:basedOn w:val="Fuentedeprrafopredeter"/>
    <w:link w:val="Textodeglobo"/>
    <w:rsid w:val="00FF0D18"/>
    <w:rPr>
      <w:rFonts w:ascii="Tahoma" w:eastAsia="Calibri" w:hAnsi="Tahoma" w:cs="Times New Roman"/>
      <w:sz w:val="16"/>
      <w:szCs w:val="16"/>
    </w:rPr>
  </w:style>
  <w:style w:type="paragraph" w:styleId="Textoindependiente">
    <w:name w:val="Body Text"/>
    <w:basedOn w:val="Normal"/>
    <w:link w:val="TextoindependienteCar"/>
    <w:rsid w:val="00FF0D1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F0D18"/>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FF0D18"/>
    <w:pPr>
      <w:widowControl w:val="0"/>
      <w:suppressAutoHyphens/>
      <w:spacing w:after="0" w:line="240" w:lineRule="auto"/>
    </w:pPr>
    <w:rPr>
      <w:rFonts w:ascii="Baskerville Old Face" w:eastAsia="Times New Roman" w:hAnsi="Baskerville Old Face" w:cs="Times New Roman"/>
      <w:b/>
      <w:kern w:val="1"/>
      <w:sz w:val="24"/>
      <w:szCs w:val="20"/>
      <w:lang w:val="en-US" w:eastAsia="ar-SA"/>
    </w:rPr>
  </w:style>
  <w:style w:type="character" w:styleId="Refdecomentario">
    <w:name w:val="annotation reference"/>
    <w:uiPriority w:val="99"/>
    <w:unhideWhenUsed/>
    <w:rsid w:val="00FF0D18"/>
    <w:rPr>
      <w:sz w:val="16"/>
      <w:szCs w:val="16"/>
    </w:rPr>
  </w:style>
  <w:style w:type="paragraph" w:styleId="Textocomentario">
    <w:name w:val="annotation text"/>
    <w:basedOn w:val="Normal"/>
    <w:link w:val="TextocomentarioCar"/>
    <w:unhideWhenUsed/>
    <w:rsid w:val="00FF0D18"/>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rsid w:val="00FF0D1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FF0D18"/>
    <w:rPr>
      <w:b/>
      <w:bCs/>
    </w:rPr>
  </w:style>
  <w:style w:type="character" w:customStyle="1" w:styleId="AsuntodelcomentarioCar">
    <w:name w:val="Asunto del comentario Car"/>
    <w:basedOn w:val="TextocomentarioCar"/>
    <w:link w:val="Asuntodelcomentario"/>
    <w:uiPriority w:val="99"/>
    <w:rsid w:val="00FF0D18"/>
    <w:rPr>
      <w:rFonts w:ascii="Calibri" w:eastAsia="Calibri" w:hAnsi="Calibri" w:cs="Times New Roman"/>
      <w:b/>
      <w:bCs/>
      <w:sz w:val="20"/>
      <w:szCs w:val="20"/>
    </w:rPr>
  </w:style>
  <w:style w:type="paragraph" w:styleId="Textoindependiente2">
    <w:name w:val="Body Text 2"/>
    <w:basedOn w:val="Normal"/>
    <w:link w:val="Textoindependiente2Car"/>
    <w:unhideWhenUsed/>
    <w:rsid w:val="00FF0D18"/>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rsid w:val="00FF0D18"/>
    <w:rPr>
      <w:rFonts w:ascii="Calibri" w:eastAsia="Calibri" w:hAnsi="Calibri" w:cs="Times New Roman"/>
    </w:rPr>
  </w:style>
  <w:style w:type="paragraph" w:styleId="Prrafodelista">
    <w:name w:val="List Paragraph"/>
    <w:aliases w:val="References,List Paragraph 1,Numbered List Paragraph,Main numbered paragraph,Bullets,List Paragraph (numbered (a)),Akapit z listą BS,List_Paragraph,Multilevel para_II,List Paragraph1,Liste 1,ReferencesCxSpLast,Medium Grid 1 - Accent 21,3"/>
    <w:basedOn w:val="Normal"/>
    <w:link w:val="PrrafodelistaCar"/>
    <w:uiPriority w:val="99"/>
    <w:qFormat/>
    <w:rsid w:val="00FF0D18"/>
    <w:pPr>
      <w:spacing w:after="0" w:line="240" w:lineRule="auto"/>
      <w:ind w:left="720"/>
      <w:contextualSpacing/>
    </w:pPr>
    <w:rPr>
      <w:rFonts w:ascii="Times New Roman" w:eastAsia="Times New Roman" w:hAnsi="Times New Roman" w:cs="Times New Roman"/>
      <w:sz w:val="24"/>
      <w:szCs w:val="24"/>
    </w:rPr>
  </w:style>
  <w:style w:type="character" w:customStyle="1" w:styleId="PrrafodelistaCar">
    <w:name w:val="Párrafo de lista Car"/>
    <w:aliases w:val="References Car,List Paragraph 1 Car,Numbered List Paragraph Car,Main numbered paragraph Car,Bullets Car,List Paragraph (numbered (a)) Car,Akapit z listą BS Car,List_Paragraph Car,Multilevel para_II Car,List Paragraph1 Car,3 Car"/>
    <w:link w:val="Prrafodelista"/>
    <w:uiPriority w:val="99"/>
    <w:rsid w:val="00FF0D18"/>
    <w:rPr>
      <w:rFonts w:ascii="Times New Roman" w:eastAsia="Times New Roman" w:hAnsi="Times New Roman" w:cs="Times New Roman"/>
      <w:sz w:val="24"/>
      <w:szCs w:val="24"/>
    </w:rPr>
  </w:style>
  <w:style w:type="paragraph" w:styleId="Textonotapie">
    <w:name w:val="footnote text"/>
    <w:aliases w:val="fn,Texto de rodapé,nota_rodapé,nota de rodapé,footnote,FOOTNOTES,single space,footnote text,Footnote Text Char Char,Footnote Text Char,Texto nota pie IIRSA,texto de nota al pie,Texto nota pie Car Car Car Car Car Car Car Car,foottextfra,F"/>
    <w:basedOn w:val="Normal"/>
    <w:link w:val="TextonotapieCar"/>
    <w:uiPriority w:val="99"/>
    <w:qFormat/>
    <w:rsid w:val="00FF0D18"/>
    <w:pPr>
      <w:spacing w:after="0" w:line="240" w:lineRule="auto"/>
    </w:pPr>
    <w:rPr>
      <w:rFonts w:ascii="Arial" w:eastAsia="Times New Roman" w:hAnsi="Arial" w:cs="Times New Roman"/>
      <w:sz w:val="20"/>
      <w:szCs w:val="20"/>
    </w:rPr>
  </w:style>
  <w:style w:type="character" w:customStyle="1" w:styleId="TextonotapieCar">
    <w:name w:val="Texto nota pie Car"/>
    <w:aliases w:val="fn Car,Texto de rodapé Car,nota_rodapé Car,nota de rodapé Car,footnote Car,FOOTNOTES Car,single space Car,footnote text Car,Footnote Text Char Char Car,Footnote Text Char Car,Texto nota pie IIRSA Car,texto de nota al pie Car,F Car"/>
    <w:basedOn w:val="Fuentedeprrafopredeter"/>
    <w:link w:val="Textonotapie"/>
    <w:uiPriority w:val="99"/>
    <w:rsid w:val="00FF0D18"/>
    <w:rPr>
      <w:rFonts w:ascii="Arial" w:eastAsia="Times New Roman" w:hAnsi="Arial" w:cs="Times New Roman"/>
      <w:sz w:val="20"/>
      <w:szCs w:val="20"/>
    </w:rPr>
  </w:style>
  <w:style w:type="character" w:styleId="Refdenotaalpie">
    <w:name w:val="footnote reference"/>
    <w:aliases w:val="(Ref. de nota al pie),FC,ftref,Ref,de nota al pie,16 Point,Superscript 6 Point,titulo 2,Style 24,pie pddes,referencia nota al pie,Fußnotenzeichen DISS,Footnote Reference.SES,Referência de rodapé,Ref. de nota al pie.,o,fr,Footnote,FO"/>
    <w:link w:val="BVIfnrCarCar"/>
    <w:uiPriority w:val="99"/>
    <w:qFormat/>
    <w:rsid w:val="00FF0D18"/>
    <w:rPr>
      <w:vertAlign w:val="superscript"/>
    </w:rPr>
  </w:style>
  <w:style w:type="paragraph" w:styleId="Encabezado">
    <w:name w:val="header"/>
    <w:aliases w:val=" Car, Car Car Car Car Car"/>
    <w:basedOn w:val="Normal"/>
    <w:link w:val="EncabezadoCar"/>
    <w:unhideWhenUsed/>
    <w:rsid w:val="00FF0D18"/>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 Car Car, Car Car Car Car Car Car"/>
    <w:basedOn w:val="Fuentedeprrafopredeter"/>
    <w:link w:val="Encabezado"/>
    <w:rsid w:val="00FF0D18"/>
    <w:rPr>
      <w:rFonts w:ascii="Calibri" w:eastAsia="Calibri" w:hAnsi="Calibri" w:cs="Times New Roman"/>
    </w:rPr>
  </w:style>
  <w:style w:type="paragraph" w:styleId="Piedepgina">
    <w:name w:val="footer"/>
    <w:basedOn w:val="Normal"/>
    <w:link w:val="PiedepginaCar"/>
    <w:uiPriority w:val="99"/>
    <w:unhideWhenUsed/>
    <w:rsid w:val="00FF0D18"/>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F0D18"/>
    <w:rPr>
      <w:rFonts w:ascii="Calibri" w:eastAsia="Calibri" w:hAnsi="Calibri" w:cs="Times New Roman"/>
    </w:rPr>
  </w:style>
  <w:style w:type="paragraph" w:customStyle="1" w:styleId="Estilo1">
    <w:name w:val="Estilo1"/>
    <w:basedOn w:val="Normal"/>
    <w:link w:val="Estilo1Car"/>
    <w:rsid w:val="00FF0D18"/>
    <w:pPr>
      <w:spacing w:before="120" w:beforeAutospacing="1" w:after="100" w:afterAutospacing="1" w:line="288" w:lineRule="auto"/>
      <w:jc w:val="both"/>
    </w:pPr>
    <w:rPr>
      <w:rFonts w:ascii="Verdana" w:eastAsia="Times New Roman" w:hAnsi="Verdana" w:cs="Times New Roman"/>
      <w:lang w:val="es-ES_tradnl"/>
    </w:rPr>
  </w:style>
  <w:style w:type="character" w:customStyle="1" w:styleId="Estilo1Car">
    <w:name w:val="Estilo1 Car"/>
    <w:link w:val="Estilo1"/>
    <w:rsid w:val="00FF0D18"/>
    <w:rPr>
      <w:rFonts w:ascii="Verdana" w:eastAsia="Times New Roman" w:hAnsi="Verdana" w:cs="Times New Roman"/>
      <w:lang w:val="es-ES_tradnl"/>
    </w:rPr>
  </w:style>
  <w:style w:type="character" w:styleId="Textoennegrita">
    <w:name w:val="Strong"/>
    <w:qFormat/>
    <w:rsid w:val="00FF0D18"/>
    <w:rPr>
      <w:b/>
      <w:bCs/>
    </w:rPr>
  </w:style>
  <w:style w:type="paragraph" w:customStyle="1" w:styleId="Default">
    <w:name w:val="Default"/>
    <w:rsid w:val="00FF0D18"/>
    <w:pPr>
      <w:autoSpaceDE w:val="0"/>
      <w:autoSpaceDN w:val="0"/>
      <w:adjustRightInd w:val="0"/>
      <w:jc w:val="left"/>
    </w:pPr>
    <w:rPr>
      <w:rFonts w:ascii="Arial" w:eastAsia="Times New Roman" w:hAnsi="Arial" w:cs="Arial"/>
      <w:color w:val="000000"/>
      <w:sz w:val="24"/>
      <w:szCs w:val="24"/>
    </w:rPr>
  </w:style>
  <w:style w:type="paragraph" w:styleId="Descripcin">
    <w:name w:val="caption"/>
    <w:basedOn w:val="Normal"/>
    <w:next w:val="Normal"/>
    <w:uiPriority w:val="35"/>
    <w:unhideWhenUsed/>
    <w:qFormat/>
    <w:rsid w:val="00FF0D18"/>
    <w:pPr>
      <w:spacing w:after="200" w:line="240" w:lineRule="auto"/>
      <w:jc w:val="both"/>
    </w:pPr>
    <w:rPr>
      <w:rFonts w:ascii="Calibri" w:eastAsia="Times New Roman" w:hAnsi="Calibri" w:cs="Times New Roman"/>
      <w:b/>
      <w:bCs/>
      <w:sz w:val="18"/>
      <w:szCs w:val="18"/>
      <w:lang w:bidi="en-US"/>
    </w:rPr>
  </w:style>
  <w:style w:type="character" w:customStyle="1" w:styleId="hps">
    <w:name w:val="hps"/>
    <w:basedOn w:val="Fuentedeprrafopredeter"/>
    <w:rsid w:val="00FF0D18"/>
  </w:style>
  <w:style w:type="character" w:styleId="Hipervnculo">
    <w:name w:val="Hyperlink"/>
    <w:unhideWhenUsed/>
    <w:rsid w:val="00FF0D18"/>
    <w:rPr>
      <w:color w:val="0000FF"/>
      <w:u w:val="single"/>
    </w:rPr>
  </w:style>
  <w:style w:type="character" w:customStyle="1" w:styleId="WW8Num1z0">
    <w:name w:val="WW8Num1z0"/>
    <w:rsid w:val="00FF0D18"/>
    <w:rPr>
      <w:b/>
      <w:i w:val="0"/>
    </w:rPr>
  </w:style>
  <w:style w:type="character" w:customStyle="1" w:styleId="WW8Num1z1">
    <w:name w:val="WW8Num1z1"/>
    <w:rsid w:val="00FF0D18"/>
    <w:rPr>
      <w:rFonts w:ascii="Times New Roman" w:hAnsi="Times New Roman"/>
      <w:b w:val="0"/>
      <w:i w:val="0"/>
      <w:caps w:val="0"/>
      <w:smallCaps w:val="0"/>
      <w:strike w:val="0"/>
      <w:dstrike w:val="0"/>
      <w:vanish w:val="0"/>
      <w:color w:val="auto"/>
      <w:position w:val="0"/>
      <w:sz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FF0D18"/>
    <w:rPr>
      <w:b/>
    </w:rPr>
  </w:style>
  <w:style w:type="character" w:customStyle="1" w:styleId="WW8Num2z1">
    <w:name w:val="WW8Num2z1"/>
    <w:rsid w:val="00FF0D18"/>
    <w:rPr>
      <w:rFonts w:ascii="Times New Roman" w:hAnsi="Times New Roman"/>
      <w:b w:val="0"/>
      <w:i w:val="0"/>
      <w:caps w:val="0"/>
      <w:smallCaps w:val="0"/>
      <w:strike w:val="0"/>
      <w:dstrike w:val="0"/>
      <w:vanish w:val="0"/>
      <w:color w:val="auto"/>
      <w:position w:val="0"/>
      <w:sz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sid w:val="00FF0D18"/>
    <w:rPr>
      <w:b/>
    </w:rPr>
  </w:style>
  <w:style w:type="character" w:customStyle="1" w:styleId="WW8Num3z1">
    <w:name w:val="WW8Num3z1"/>
    <w:rsid w:val="00FF0D18"/>
    <w:rPr>
      <w:rFonts w:ascii="Times New Roman" w:hAnsi="Times New Roman"/>
      <w:b w:val="0"/>
      <w:i w:val="0"/>
      <w:caps w:val="0"/>
      <w:smallCaps w:val="0"/>
      <w:strike w:val="0"/>
      <w:dstrike w:val="0"/>
      <w:vanish w:val="0"/>
      <w:color w:val="auto"/>
      <w:position w:val="0"/>
      <w:sz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z0">
    <w:name w:val="WW8Num7z0"/>
    <w:rsid w:val="00FF0D18"/>
    <w:rPr>
      <w:b/>
    </w:rPr>
  </w:style>
  <w:style w:type="character" w:customStyle="1" w:styleId="Absatz-Standardschriftart">
    <w:name w:val="Absatz-Standardschriftart"/>
    <w:rsid w:val="00FF0D18"/>
  </w:style>
  <w:style w:type="character" w:customStyle="1" w:styleId="WW8Num4z0">
    <w:name w:val="WW8Num4z0"/>
    <w:rsid w:val="00FF0D18"/>
    <w:rPr>
      <w:b/>
    </w:rPr>
  </w:style>
  <w:style w:type="character" w:customStyle="1" w:styleId="WW-Absatz-Standardschriftart">
    <w:name w:val="WW-Absatz-Standardschriftart"/>
    <w:rsid w:val="00FF0D18"/>
  </w:style>
  <w:style w:type="character" w:customStyle="1" w:styleId="WW-Absatz-Standardschriftart1">
    <w:name w:val="WW-Absatz-Standardschriftart1"/>
    <w:rsid w:val="00FF0D18"/>
  </w:style>
  <w:style w:type="character" w:customStyle="1" w:styleId="WW-Absatz-Standardschriftart11">
    <w:name w:val="WW-Absatz-Standardschriftart11"/>
    <w:rsid w:val="00FF0D18"/>
  </w:style>
  <w:style w:type="character" w:customStyle="1" w:styleId="WW-Absatz-Standardschriftart111">
    <w:name w:val="WW-Absatz-Standardschriftart111"/>
    <w:rsid w:val="00FF0D18"/>
  </w:style>
  <w:style w:type="character" w:customStyle="1" w:styleId="Fuentedeprrafopredeter2">
    <w:name w:val="Fuente de párrafo predeter.2"/>
    <w:rsid w:val="00FF0D18"/>
  </w:style>
  <w:style w:type="character" w:customStyle="1" w:styleId="WW-Absatz-Standardschriftart1111">
    <w:name w:val="WW-Absatz-Standardschriftart1111"/>
    <w:rsid w:val="00FF0D18"/>
  </w:style>
  <w:style w:type="character" w:customStyle="1" w:styleId="WW8Num6z0">
    <w:name w:val="WW8Num6z0"/>
    <w:rsid w:val="00FF0D18"/>
    <w:rPr>
      <w:b/>
    </w:rPr>
  </w:style>
  <w:style w:type="character" w:customStyle="1" w:styleId="WW-Absatz-Standardschriftart11111">
    <w:name w:val="WW-Absatz-Standardschriftart11111"/>
    <w:rsid w:val="00FF0D18"/>
  </w:style>
  <w:style w:type="character" w:customStyle="1" w:styleId="WW8Num5z0">
    <w:name w:val="WW8Num5z0"/>
    <w:rsid w:val="00FF0D18"/>
    <w:rPr>
      <w:b/>
    </w:rPr>
  </w:style>
  <w:style w:type="character" w:customStyle="1" w:styleId="WW-Absatz-Standardschriftart111111">
    <w:name w:val="WW-Absatz-Standardschriftart111111"/>
    <w:rsid w:val="00FF0D18"/>
  </w:style>
  <w:style w:type="character" w:customStyle="1" w:styleId="WW-Absatz-Standardschriftart1111111">
    <w:name w:val="WW-Absatz-Standardschriftart1111111"/>
    <w:rsid w:val="00FF0D18"/>
  </w:style>
  <w:style w:type="character" w:customStyle="1" w:styleId="WW-Absatz-Standardschriftart11111111">
    <w:name w:val="WW-Absatz-Standardschriftart11111111"/>
    <w:rsid w:val="00FF0D18"/>
  </w:style>
  <w:style w:type="character" w:customStyle="1" w:styleId="WW8Num5z2">
    <w:name w:val="WW8Num5z2"/>
    <w:rsid w:val="00FF0D18"/>
    <w:rPr>
      <w:lang w:val="es-ES"/>
    </w:rPr>
  </w:style>
  <w:style w:type="character" w:customStyle="1" w:styleId="WW8Num8z0">
    <w:name w:val="WW8Num8z0"/>
    <w:rsid w:val="00FF0D18"/>
    <w:rPr>
      <w:u w:val="none"/>
    </w:rPr>
  </w:style>
  <w:style w:type="character" w:customStyle="1" w:styleId="WW8Num8z1">
    <w:name w:val="WW8Num8z1"/>
    <w:rsid w:val="00FF0D18"/>
    <w:rPr>
      <w:b/>
    </w:rPr>
  </w:style>
  <w:style w:type="character" w:customStyle="1" w:styleId="Fuentedeprrafopredeter1">
    <w:name w:val="Fuente de párrafo predeter.1"/>
    <w:rsid w:val="00FF0D18"/>
  </w:style>
  <w:style w:type="character" w:customStyle="1" w:styleId="Caracteresdenotaalpie">
    <w:name w:val="Caracteres de nota al pie"/>
    <w:rsid w:val="00FF0D18"/>
  </w:style>
  <w:style w:type="character" w:customStyle="1" w:styleId="SangradetextonormalCar">
    <w:name w:val="Sangría de texto normal Car"/>
    <w:rsid w:val="00FF0D18"/>
    <w:rPr>
      <w:rFonts w:ascii="Baskerville Old Face" w:hAnsi="Baskerville Old Face"/>
      <w:sz w:val="24"/>
    </w:rPr>
  </w:style>
  <w:style w:type="character" w:customStyle="1" w:styleId="ParagraphChar">
    <w:name w:val="Paragraph Char"/>
    <w:basedOn w:val="SangradetextonormalCar"/>
    <w:rsid w:val="00FF0D18"/>
    <w:rPr>
      <w:rFonts w:ascii="Baskerville Old Face" w:hAnsi="Baskerville Old Face"/>
      <w:sz w:val="24"/>
    </w:rPr>
  </w:style>
  <w:style w:type="character" w:customStyle="1" w:styleId="Sangra3detindependienteCar">
    <w:name w:val="Sangría 3 de t. independiente Car"/>
    <w:rsid w:val="00FF0D18"/>
    <w:rPr>
      <w:rFonts w:ascii="Baskerville Old Face" w:hAnsi="Baskerville Old Face"/>
      <w:sz w:val="16"/>
      <w:szCs w:val="16"/>
    </w:rPr>
  </w:style>
  <w:style w:type="character" w:styleId="Nmerodepgina">
    <w:name w:val="page number"/>
    <w:basedOn w:val="Fuentedeprrafopredeter1"/>
    <w:rsid w:val="00FF0D18"/>
  </w:style>
  <w:style w:type="character" w:customStyle="1" w:styleId="Smbolosdenumeracin">
    <w:name w:val="Símbolos de numeración"/>
    <w:rsid w:val="00FF0D18"/>
  </w:style>
  <w:style w:type="character" w:customStyle="1" w:styleId="ListLabel1">
    <w:name w:val="ListLabel 1"/>
    <w:rsid w:val="00FF0D18"/>
    <w:rPr>
      <w:b/>
    </w:rPr>
  </w:style>
  <w:style w:type="character" w:customStyle="1" w:styleId="Refdenotaalpie1">
    <w:name w:val="Ref. de nota al pie1"/>
    <w:rsid w:val="00FF0D18"/>
    <w:rPr>
      <w:vertAlign w:val="superscript"/>
    </w:rPr>
  </w:style>
  <w:style w:type="character" w:customStyle="1" w:styleId="Caracteresdenotafinal">
    <w:name w:val="Caracteres de nota final"/>
    <w:rsid w:val="00FF0D18"/>
    <w:rPr>
      <w:vertAlign w:val="superscript"/>
    </w:rPr>
  </w:style>
  <w:style w:type="character" w:customStyle="1" w:styleId="WW-Caracteresdenotafinal">
    <w:name w:val="WW-Caracteres de nota final"/>
    <w:rsid w:val="00FF0D18"/>
  </w:style>
  <w:style w:type="character" w:customStyle="1" w:styleId="Refdenotaalfinal1">
    <w:name w:val="Ref. de nota al final1"/>
    <w:rsid w:val="00FF0D18"/>
    <w:rPr>
      <w:vertAlign w:val="superscript"/>
    </w:rPr>
  </w:style>
  <w:style w:type="character" w:styleId="Refdenotaalfinal">
    <w:name w:val="endnote reference"/>
    <w:rsid w:val="00FF0D18"/>
    <w:rPr>
      <w:vertAlign w:val="superscript"/>
    </w:rPr>
  </w:style>
  <w:style w:type="character" w:customStyle="1" w:styleId="ListLabel4">
    <w:name w:val="ListLabel 4"/>
    <w:rsid w:val="00FF0D18"/>
    <w:rPr>
      <w:b/>
    </w:rPr>
  </w:style>
  <w:style w:type="paragraph" w:customStyle="1" w:styleId="Encabezado2">
    <w:name w:val="Encabezado2"/>
    <w:basedOn w:val="Normal"/>
    <w:next w:val="Textoindependiente"/>
    <w:rsid w:val="00FF0D18"/>
    <w:pPr>
      <w:keepNext/>
      <w:widowControl w:val="0"/>
      <w:suppressAutoHyphens/>
      <w:spacing w:before="240" w:after="120" w:line="240" w:lineRule="auto"/>
    </w:pPr>
    <w:rPr>
      <w:rFonts w:ascii="Arial" w:eastAsia="Microsoft YaHei" w:hAnsi="Arial" w:cs="Mangal"/>
      <w:kern w:val="1"/>
      <w:sz w:val="28"/>
      <w:szCs w:val="28"/>
      <w:lang w:val="en-US" w:eastAsia="ar-SA"/>
    </w:rPr>
  </w:style>
  <w:style w:type="paragraph" w:styleId="Lista">
    <w:name w:val="List"/>
    <w:basedOn w:val="Textoindependiente"/>
    <w:rsid w:val="00FF0D18"/>
    <w:pPr>
      <w:widowControl w:val="0"/>
      <w:suppressAutoHyphens/>
    </w:pPr>
    <w:rPr>
      <w:rFonts w:ascii="Baskerville Old Face" w:hAnsi="Baskerville Old Face" w:cs="Mangal"/>
      <w:kern w:val="1"/>
      <w:szCs w:val="20"/>
      <w:lang w:val="en-US" w:eastAsia="ar-SA"/>
    </w:rPr>
  </w:style>
  <w:style w:type="paragraph" w:customStyle="1" w:styleId="Etiqueta">
    <w:name w:val="Etiqueta"/>
    <w:basedOn w:val="Normal"/>
    <w:rsid w:val="00FF0D18"/>
    <w:pPr>
      <w:widowControl w:val="0"/>
      <w:suppressLineNumbers/>
      <w:suppressAutoHyphens/>
      <w:spacing w:before="120" w:after="120" w:line="240" w:lineRule="auto"/>
    </w:pPr>
    <w:rPr>
      <w:rFonts w:ascii="Baskerville Old Face" w:eastAsia="Times New Roman" w:hAnsi="Baskerville Old Face" w:cs="Mangal"/>
      <w:i/>
      <w:iCs/>
      <w:kern w:val="1"/>
      <w:sz w:val="24"/>
      <w:szCs w:val="24"/>
      <w:lang w:val="en-US" w:eastAsia="ar-SA"/>
    </w:rPr>
  </w:style>
  <w:style w:type="paragraph" w:customStyle="1" w:styleId="ndice">
    <w:name w:val="Índice"/>
    <w:basedOn w:val="Normal"/>
    <w:rsid w:val="00FF0D18"/>
    <w:pPr>
      <w:widowControl w:val="0"/>
      <w:suppressLineNumbers/>
      <w:suppressAutoHyphens/>
      <w:spacing w:after="0" w:line="240" w:lineRule="auto"/>
    </w:pPr>
    <w:rPr>
      <w:rFonts w:ascii="Baskerville Old Face" w:eastAsia="Times New Roman" w:hAnsi="Baskerville Old Face" w:cs="Mangal"/>
      <w:kern w:val="1"/>
      <w:sz w:val="24"/>
      <w:szCs w:val="20"/>
      <w:lang w:val="en-US" w:eastAsia="ar-SA"/>
    </w:rPr>
  </w:style>
  <w:style w:type="paragraph" w:customStyle="1" w:styleId="Encabezado1">
    <w:name w:val="Encabezado1"/>
    <w:basedOn w:val="Normal"/>
    <w:next w:val="Textoindependiente"/>
    <w:rsid w:val="00FF0D18"/>
    <w:pPr>
      <w:keepNext/>
      <w:widowControl w:val="0"/>
      <w:suppressAutoHyphens/>
      <w:spacing w:before="240" w:after="120" w:line="240" w:lineRule="auto"/>
    </w:pPr>
    <w:rPr>
      <w:rFonts w:ascii="Arial" w:eastAsia="Microsoft YaHei" w:hAnsi="Arial" w:cs="Mangal"/>
      <w:kern w:val="1"/>
      <w:sz w:val="28"/>
      <w:szCs w:val="28"/>
      <w:lang w:val="en-US" w:eastAsia="ar-SA"/>
    </w:rPr>
  </w:style>
  <w:style w:type="paragraph" w:customStyle="1" w:styleId="Chapter">
    <w:name w:val="Chapter"/>
    <w:basedOn w:val="Normal"/>
    <w:next w:val="Normal"/>
    <w:rsid w:val="00FF0D18"/>
    <w:pPr>
      <w:keepNext/>
      <w:numPr>
        <w:numId w:val="4"/>
      </w:numPr>
      <w:tabs>
        <w:tab w:val="left" w:pos="1440"/>
      </w:tabs>
      <w:suppressAutoHyphens/>
      <w:spacing w:before="240" w:after="240" w:line="240" w:lineRule="auto"/>
      <w:ind w:left="259" w:firstLine="0"/>
      <w:jc w:val="center"/>
    </w:pPr>
    <w:rPr>
      <w:rFonts w:ascii="Times New Roman" w:eastAsia="Times New Roman" w:hAnsi="Times New Roman" w:cs="Arial"/>
      <w:b/>
      <w:smallCaps/>
      <w:kern w:val="1"/>
      <w:sz w:val="24"/>
      <w:szCs w:val="20"/>
      <w:lang w:eastAsia="ar-SA"/>
    </w:rPr>
  </w:style>
  <w:style w:type="paragraph" w:styleId="Sangradetextonormal">
    <w:name w:val="Body Text Indent"/>
    <w:basedOn w:val="Normal"/>
    <w:link w:val="SangradetextonormalCar1"/>
    <w:rsid w:val="00FF0D18"/>
    <w:pPr>
      <w:widowControl w:val="0"/>
      <w:suppressAutoHyphens/>
      <w:spacing w:after="120" w:line="240" w:lineRule="auto"/>
      <w:ind w:left="360"/>
    </w:pPr>
    <w:rPr>
      <w:rFonts w:ascii="Baskerville Old Face" w:eastAsia="Times New Roman" w:hAnsi="Baskerville Old Face" w:cs="Times New Roman"/>
      <w:kern w:val="1"/>
      <w:sz w:val="24"/>
      <w:szCs w:val="20"/>
      <w:lang w:val="en-US" w:eastAsia="ar-SA"/>
    </w:rPr>
  </w:style>
  <w:style w:type="character" w:customStyle="1" w:styleId="SangradetextonormalCar1">
    <w:name w:val="Sangría de texto normal Car1"/>
    <w:basedOn w:val="Fuentedeprrafopredeter"/>
    <w:link w:val="Sangradetextonormal"/>
    <w:rsid w:val="00FF0D18"/>
    <w:rPr>
      <w:rFonts w:ascii="Baskerville Old Face" w:eastAsia="Times New Roman" w:hAnsi="Baskerville Old Face" w:cs="Times New Roman"/>
      <w:kern w:val="1"/>
      <w:sz w:val="24"/>
      <w:szCs w:val="20"/>
      <w:lang w:val="en-US" w:eastAsia="ar-SA"/>
    </w:rPr>
  </w:style>
  <w:style w:type="paragraph" w:customStyle="1" w:styleId="Paragraph">
    <w:name w:val="Paragraph"/>
    <w:aliases w:val="paragraph,p,PARAGRAPH,PG,pa,at"/>
    <w:basedOn w:val="Sangradetextonormal"/>
    <w:link w:val="ParagraphCar"/>
    <w:qFormat/>
    <w:rsid w:val="00FF0D18"/>
    <w:pPr>
      <w:widowControl/>
      <w:numPr>
        <w:ilvl w:val="1"/>
        <w:numId w:val="3"/>
      </w:numPr>
      <w:spacing w:before="120"/>
      <w:jc w:val="both"/>
      <w:outlineLvl w:val="1"/>
    </w:pPr>
    <w:rPr>
      <w:rFonts w:ascii="Times New Roman" w:hAnsi="Times New Roman"/>
    </w:rPr>
  </w:style>
  <w:style w:type="paragraph" w:customStyle="1" w:styleId="Sangra3detindependiente1">
    <w:name w:val="Sangría 3 de t. independiente1"/>
    <w:basedOn w:val="Normal"/>
    <w:rsid w:val="00FF0D18"/>
    <w:pPr>
      <w:widowControl w:val="0"/>
      <w:suppressAutoHyphens/>
      <w:spacing w:after="120" w:line="240" w:lineRule="auto"/>
      <w:ind w:left="360"/>
    </w:pPr>
    <w:rPr>
      <w:rFonts w:ascii="Baskerville Old Face" w:eastAsia="Times New Roman" w:hAnsi="Baskerville Old Face" w:cs="Times New Roman"/>
      <w:kern w:val="1"/>
      <w:sz w:val="16"/>
      <w:szCs w:val="16"/>
      <w:lang w:val="en-US" w:eastAsia="ar-SA"/>
    </w:rPr>
  </w:style>
  <w:style w:type="paragraph" w:customStyle="1" w:styleId="subpar">
    <w:name w:val="subpar"/>
    <w:basedOn w:val="Sangra3detindependiente1"/>
    <w:uiPriority w:val="99"/>
    <w:rsid w:val="00FF0D18"/>
    <w:pPr>
      <w:widowControl/>
      <w:numPr>
        <w:numId w:val="3"/>
      </w:numPr>
      <w:spacing w:before="120"/>
      <w:jc w:val="both"/>
    </w:pPr>
    <w:rPr>
      <w:rFonts w:ascii="Times New Roman" w:hAnsi="Times New Roman"/>
      <w:sz w:val="24"/>
      <w:szCs w:val="20"/>
    </w:rPr>
  </w:style>
  <w:style w:type="paragraph" w:customStyle="1" w:styleId="SubSubPar">
    <w:name w:val="SubSubPar"/>
    <w:basedOn w:val="subpar"/>
    <w:uiPriority w:val="99"/>
    <w:rsid w:val="00FF0D18"/>
    <w:pPr>
      <w:numPr>
        <w:numId w:val="0"/>
      </w:numPr>
      <w:tabs>
        <w:tab w:val="num" w:pos="900"/>
        <w:tab w:val="left" w:pos="1152"/>
      </w:tabs>
      <w:ind w:left="1152" w:hanging="432"/>
    </w:pPr>
  </w:style>
  <w:style w:type="paragraph" w:styleId="ndice1">
    <w:name w:val="index 1"/>
    <w:basedOn w:val="Normal"/>
    <w:next w:val="Normal"/>
    <w:rsid w:val="00FF0D18"/>
    <w:pPr>
      <w:widowControl w:val="0"/>
      <w:suppressAutoHyphens/>
      <w:spacing w:after="0" w:line="240" w:lineRule="auto"/>
      <w:ind w:left="240" w:hanging="240"/>
    </w:pPr>
    <w:rPr>
      <w:rFonts w:ascii="Baskerville Old Face" w:eastAsia="Times New Roman" w:hAnsi="Baskerville Old Face" w:cs="Times New Roman"/>
      <w:kern w:val="1"/>
      <w:sz w:val="24"/>
      <w:szCs w:val="20"/>
      <w:lang w:val="en-US" w:eastAsia="ar-SA"/>
    </w:rPr>
  </w:style>
  <w:style w:type="paragraph" w:customStyle="1" w:styleId="Contenidodelmarco">
    <w:name w:val="Contenido del marco"/>
    <w:basedOn w:val="Textoindependiente"/>
    <w:rsid w:val="00FF0D18"/>
    <w:pPr>
      <w:widowControl w:val="0"/>
      <w:suppressAutoHyphens/>
    </w:pPr>
    <w:rPr>
      <w:rFonts w:ascii="Baskerville Old Face" w:hAnsi="Baskerville Old Face"/>
      <w:kern w:val="1"/>
      <w:szCs w:val="20"/>
      <w:lang w:val="en-US" w:eastAsia="ar-SA"/>
    </w:rPr>
  </w:style>
  <w:style w:type="paragraph" w:customStyle="1" w:styleId="Contenidodelatabla">
    <w:name w:val="Contenido de la tabla"/>
    <w:basedOn w:val="Normal"/>
    <w:rsid w:val="00FF0D18"/>
    <w:pPr>
      <w:widowControl w:val="0"/>
      <w:suppressLineNumbers/>
      <w:suppressAutoHyphens/>
      <w:spacing w:after="0" w:line="240" w:lineRule="auto"/>
    </w:pPr>
    <w:rPr>
      <w:rFonts w:ascii="Baskerville Old Face" w:eastAsia="Times New Roman" w:hAnsi="Baskerville Old Face" w:cs="Times New Roman"/>
      <w:kern w:val="1"/>
      <w:sz w:val="24"/>
      <w:szCs w:val="20"/>
      <w:lang w:val="en-US" w:eastAsia="ar-SA"/>
    </w:rPr>
  </w:style>
  <w:style w:type="paragraph" w:customStyle="1" w:styleId="Encabezadodelatabla">
    <w:name w:val="Encabezado de la tabla"/>
    <w:basedOn w:val="Contenidodelatabla"/>
    <w:rsid w:val="00FF0D18"/>
    <w:pPr>
      <w:jc w:val="center"/>
    </w:pPr>
    <w:rPr>
      <w:b/>
      <w:bCs/>
    </w:rPr>
  </w:style>
  <w:style w:type="paragraph" w:customStyle="1" w:styleId="Sangra3detindependiente2">
    <w:name w:val="Sangría 3 de t. independiente2"/>
    <w:basedOn w:val="Normal"/>
    <w:rsid w:val="00FF0D18"/>
    <w:pPr>
      <w:widowControl w:val="0"/>
      <w:suppressAutoHyphens/>
      <w:spacing w:after="0" w:line="240" w:lineRule="auto"/>
      <w:ind w:firstLine="708"/>
    </w:pPr>
    <w:rPr>
      <w:rFonts w:ascii="Baskerville Old Face" w:eastAsia="Times New Roman" w:hAnsi="Baskerville Old Face" w:cs="Times New Roman"/>
      <w:kern w:val="1"/>
      <w:sz w:val="24"/>
      <w:szCs w:val="20"/>
      <w:lang w:val="en-US" w:eastAsia="ar-SA"/>
    </w:rPr>
  </w:style>
  <w:style w:type="paragraph" w:customStyle="1" w:styleId="Textoindependiente31">
    <w:name w:val="Texto independiente 31"/>
    <w:basedOn w:val="Normal"/>
    <w:rsid w:val="00FF0D18"/>
    <w:pPr>
      <w:widowControl w:val="0"/>
      <w:suppressAutoHyphens/>
      <w:spacing w:after="0" w:line="240" w:lineRule="auto"/>
      <w:ind w:right="79"/>
    </w:pPr>
    <w:rPr>
      <w:rFonts w:ascii="Baskerville Old Face" w:eastAsia="Times New Roman" w:hAnsi="Baskerville Old Face" w:cs="Times New Roman"/>
      <w:b/>
      <w:kern w:val="1"/>
      <w:sz w:val="24"/>
      <w:szCs w:val="20"/>
      <w:lang w:val="en-US" w:eastAsia="ar-SA"/>
    </w:rPr>
  </w:style>
  <w:style w:type="paragraph" w:customStyle="1" w:styleId="Sangra2detindependiente1">
    <w:name w:val="Sangría 2 de t. independiente1"/>
    <w:basedOn w:val="Normal"/>
    <w:rsid w:val="00FF0D18"/>
    <w:pPr>
      <w:widowControl w:val="0"/>
      <w:suppressAutoHyphens/>
      <w:spacing w:after="0" w:line="480" w:lineRule="auto"/>
      <w:ind w:right="-42" w:firstLine="708"/>
    </w:pPr>
    <w:rPr>
      <w:rFonts w:ascii="Baskerville Old Face" w:eastAsia="Times New Roman" w:hAnsi="Baskerville Old Face" w:cs="Times New Roman"/>
      <w:kern w:val="1"/>
      <w:sz w:val="24"/>
      <w:szCs w:val="20"/>
      <w:lang w:val="en-US" w:eastAsia="ar-SA"/>
    </w:rPr>
  </w:style>
  <w:style w:type="paragraph" w:customStyle="1" w:styleId="WW-BodyText21">
    <w:name w:val="WW-Body Text 21"/>
    <w:basedOn w:val="Normal"/>
    <w:rsid w:val="00FF0D18"/>
    <w:pPr>
      <w:widowControl w:val="0"/>
      <w:suppressAutoHyphens/>
      <w:spacing w:after="0" w:line="480" w:lineRule="auto"/>
    </w:pPr>
    <w:rPr>
      <w:rFonts w:ascii="Courier New" w:eastAsia="Times New Roman" w:hAnsi="Courier New" w:cs="Times New Roman"/>
      <w:b/>
      <w:kern w:val="1"/>
      <w:sz w:val="24"/>
      <w:szCs w:val="20"/>
      <w:lang w:val="es-ES" w:eastAsia="ar-SA"/>
    </w:rPr>
  </w:style>
  <w:style w:type="paragraph" w:customStyle="1" w:styleId="Textodebloque1">
    <w:name w:val="Texto de bloque1"/>
    <w:basedOn w:val="Normal"/>
    <w:rsid w:val="00FF0D18"/>
    <w:pPr>
      <w:widowControl w:val="0"/>
      <w:suppressAutoHyphens/>
      <w:spacing w:after="0" w:line="480" w:lineRule="auto"/>
      <w:ind w:left="960" w:right="851" w:hanging="360"/>
    </w:pPr>
    <w:rPr>
      <w:rFonts w:ascii="Baskerville Old Face" w:eastAsia="Times New Roman" w:hAnsi="Baskerville Old Face" w:cs="Times New Roman"/>
      <w:b/>
      <w:kern w:val="1"/>
      <w:sz w:val="24"/>
      <w:szCs w:val="20"/>
      <w:lang w:val="en-US" w:eastAsia="ar-SA"/>
    </w:rPr>
  </w:style>
  <w:style w:type="paragraph" w:customStyle="1" w:styleId="TA-1">
    <w:name w:val="TA-1"/>
    <w:rsid w:val="00FF0D18"/>
    <w:pPr>
      <w:suppressAutoHyphens/>
      <w:spacing w:line="360" w:lineRule="auto"/>
    </w:pPr>
    <w:rPr>
      <w:rFonts w:ascii="Courier New" w:eastAsia="Arial" w:hAnsi="Courier New" w:cs="Courier New"/>
      <w:kern w:val="1"/>
      <w:sz w:val="24"/>
      <w:szCs w:val="20"/>
      <w:lang w:val="es-ES_tradnl" w:eastAsia="ar-SA"/>
    </w:rPr>
  </w:style>
  <w:style w:type="paragraph" w:customStyle="1" w:styleId="Prrafodelista1">
    <w:name w:val="Párrafo de lista1"/>
    <w:basedOn w:val="Normal"/>
    <w:rsid w:val="00FF0D18"/>
    <w:pPr>
      <w:widowControl w:val="0"/>
      <w:suppressAutoHyphens/>
      <w:spacing w:after="0" w:line="240" w:lineRule="auto"/>
      <w:ind w:left="720"/>
    </w:pPr>
    <w:rPr>
      <w:rFonts w:ascii="Baskerville Old Face" w:eastAsia="Times New Roman" w:hAnsi="Baskerville Old Face" w:cs="Times New Roman"/>
      <w:kern w:val="1"/>
      <w:sz w:val="24"/>
      <w:szCs w:val="20"/>
      <w:lang w:val="en-US" w:eastAsia="ar-SA"/>
    </w:rPr>
  </w:style>
  <w:style w:type="paragraph" w:styleId="Ttulo">
    <w:name w:val="Title"/>
    <w:basedOn w:val="Normal"/>
    <w:next w:val="Subttulo"/>
    <w:link w:val="TtuloCar"/>
    <w:qFormat/>
    <w:rsid w:val="00FF0D18"/>
    <w:pPr>
      <w:widowControl w:val="0"/>
      <w:suppressAutoHyphens/>
      <w:spacing w:after="0" w:line="240" w:lineRule="auto"/>
      <w:jc w:val="center"/>
    </w:pPr>
    <w:rPr>
      <w:rFonts w:ascii="Times New Roman" w:eastAsia="Times New Roman" w:hAnsi="Times New Roman" w:cs="Times New Roman"/>
      <w:b/>
      <w:bCs/>
      <w:kern w:val="1"/>
      <w:sz w:val="28"/>
      <w:szCs w:val="20"/>
      <w:lang w:eastAsia="ar-SA"/>
    </w:rPr>
  </w:style>
  <w:style w:type="character" w:customStyle="1" w:styleId="TtuloCar">
    <w:name w:val="Título Car"/>
    <w:basedOn w:val="Fuentedeprrafopredeter"/>
    <w:link w:val="Ttulo"/>
    <w:rsid w:val="00FF0D18"/>
    <w:rPr>
      <w:rFonts w:ascii="Times New Roman" w:eastAsia="Times New Roman" w:hAnsi="Times New Roman" w:cs="Times New Roman"/>
      <w:b/>
      <w:bCs/>
      <w:kern w:val="1"/>
      <w:sz w:val="28"/>
      <w:szCs w:val="20"/>
      <w:lang w:eastAsia="ar-SA"/>
    </w:rPr>
  </w:style>
  <w:style w:type="paragraph" w:styleId="Subttulo">
    <w:name w:val="Subtitle"/>
    <w:basedOn w:val="Encabezado1"/>
    <w:next w:val="Textoindependiente"/>
    <w:link w:val="SubttuloCar"/>
    <w:qFormat/>
    <w:rsid w:val="00FF0D18"/>
    <w:pPr>
      <w:jc w:val="center"/>
    </w:pPr>
    <w:rPr>
      <w:rFonts w:cs="Times New Roman"/>
      <w:i/>
      <w:iCs/>
    </w:rPr>
  </w:style>
  <w:style w:type="character" w:customStyle="1" w:styleId="SubttuloCar">
    <w:name w:val="Subtítulo Car"/>
    <w:basedOn w:val="Fuentedeprrafopredeter"/>
    <w:link w:val="Subttulo"/>
    <w:rsid w:val="00FF0D18"/>
    <w:rPr>
      <w:rFonts w:ascii="Arial" w:eastAsia="Microsoft YaHei" w:hAnsi="Arial" w:cs="Times New Roman"/>
      <w:i/>
      <w:iCs/>
      <w:kern w:val="1"/>
      <w:sz w:val="28"/>
      <w:szCs w:val="28"/>
      <w:lang w:val="en-US" w:eastAsia="ar-SA"/>
    </w:rPr>
  </w:style>
  <w:style w:type="character" w:customStyle="1" w:styleId="Sangra2detindependienteCar">
    <w:name w:val="Sangría 2 de t. independiente Car"/>
    <w:link w:val="Sangra2detindependiente"/>
    <w:rsid w:val="00FF0D18"/>
    <w:rPr>
      <w:rFonts w:ascii="Baskerville Old Face" w:eastAsia="Times New Roman" w:hAnsi="Baskerville Old Face"/>
      <w:kern w:val="1"/>
      <w:sz w:val="24"/>
      <w:lang w:val="en-US" w:eastAsia="ar-SA"/>
    </w:rPr>
  </w:style>
  <w:style w:type="paragraph" w:styleId="Sangra2detindependiente">
    <w:name w:val="Body Text Indent 2"/>
    <w:basedOn w:val="Normal"/>
    <w:link w:val="Sangra2detindependienteCar"/>
    <w:unhideWhenUsed/>
    <w:rsid w:val="00FF0D18"/>
    <w:pPr>
      <w:widowControl w:val="0"/>
      <w:suppressAutoHyphens/>
      <w:spacing w:after="120" w:line="480" w:lineRule="auto"/>
      <w:ind w:left="283"/>
    </w:pPr>
    <w:rPr>
      <w:rFonts w:ascii="Baskerville Old Face" w:eastAsia="Times New Roman" w:hAnsi="Baskerville Old Face"/>
      <w:kern w:val="1"/>
      <w:sz w:val="24"/>
      <w:lang w:val="en-US" w:eastAsia="ar-SA"/>
    </w:rPr>
  </w:style>
  <w:style w:type="character" w:customStyle="1" w:styleId="Sangra2detindependienteCar1">
    <w:name w:val="Sangría 2 de t. independiente Car1"/>
    <w:basedOn w:val="Fuentedeprrafopredeter"/>
    <w:uiPriority w:val="99"/>
    <w:semiHidden/>
    <w:rsid w:val="00FF0D18"/>
  </w:style>
  <w:style w:type="character" w:customStyle="1" w:styleId="Sangra3detindependienteCar1">
    <w:name w:val="Sangría 3 de t. independiente Car1"/>
    <w:link w:val="Sangra3detindependiente"/>
    <w:rsid w:val="00FF0D18"/>
    <w:rPr>
      <w:rFonts w:ascii="Baskerville Old Face" w:eastAsia="Times New Roman" w:hAnsi="Baskerville Old Face"/>
      <w:kern w:val="1"/>
      <w:sz w:val="16"/>
      <w:szCs w:val="16"/>
      <w:lang w:val="en-US" w:eastAsia="ar-SA"/>
    </w:rPr>
  </w:style>
  <w:style w:type="paragraph" w:styleId="Sangra3detindependiente">
    <w:name w:val="Body Text Indent 3"/>
    <w:basedOn w:val="Normal"/>
    <w:link w:val="Sangra3detindependienteCar1"/>
    <w:unhideWhenUsed/>
    <w:rsid w:val="00FF0D18"/>
    <w:pPr>
      <w:widowControl w:val="0"/>
      <w:suppressAutoHyphens/>
      <w:spacing w:after="120" w:line="240" w:lineRule="auto"/>
      <w:ind w:left="283"/>
    </w:pPr>
    <w:rPr>
      <w:rFonts w:ascii="Baskerville Old Face" w:eastAsia="Times New Roman" w:hAnsi="Baskerville Old Face"/>
      <w:kern w:val="1"/>
      <w:sz w:val="16"/>
      <w:szCs w:val="16"/>
      <w:lang w:val="en-US" w:eastAsia="ar-SA"/>
    </w:rPr>
  </w:style>
  <w:style w:type="character" w:customStyle="1" w:styleId="Sangra3detindependienteCar2">
    <w:name w:val="Sangría 3 de t. independiente Car2"/>
    <w:basedOn w:val="Fuentedeprrafopredeter"/>
    <w:uiPriority w:val="99"/>
    <w:semiHidden/>
    <w:rsid w:val="00FF0D18"/>
    <w:rPr>
      <w:sz w:val="16"/>
      <w:szCs w:val="16"/>
    </w:rPr>
  </w:style>
  <w:style w:type="character" w:customStyle="1" w:styleId="atn">
    <w:name w:val="atn"/>
    <w:basedOn w:val="Fuentedeprrafopredeter"/>
    <w:rsid w:val="00FF0D18"/>
  </w:style>
  <w:style w:type="paragraph" w:styleId="Revisin">
    <w:name w:val="Revision"/>
    <w:hidden/>
    <w:uiPriority w:val="99"/>
    <w:semiHidden/>
    <w:rsid w:val="00FF0D18"/>
    <w:pPr>
      <w:jc w:val="left"/>
    </w:pPr>
    <w:rPr>
      <w:rFonts w:ascii="Calibri" w:eastAsia="Calibri" w:hAnsi="Calibri" w:cs="Times New Roman"/>
    </w:rPr>
  </w:style>
  <w:style w:type="paragraph" w:customStyle="1" w:styleId="Textoindependiente22">
    <w:name w:val="Texto independiente 22"/>
    <w:basedOn w:val="Normal"/>
    <w:rsid w:val="00FF0D18"/>
    <w:pPr>
      <w:widowControl w:val="0"/>
      <w:suppressAutoHyphens/>
      <w:spacing w:after="0" w:line="240" w:lineRule="auto"/>
    </w:pPr>
    <w:rPr>
      <w:rFonts w:ascii="Baskerville Old Face" w:eastAsia="Times New Roman" w:hAnsi="Baskerville Old Face" w:cs="Times New Roman"/>
      <w:b/>
      <w:kern w:val="1"/>
      <w:sz w:val="24"/>
      <w:szCs w:val="20"/>
      <w:lang w:val="en-US" w:eastAsia="ar-SA"/>
    </w:rPr>
  </w:style>
  <w:style w:type="table" w:styleId="Tablaconcuadrcula">
    <w:name w:val="Table Grid"/>
    <w:basedOn w:val="Tablanormal"/>
    <w:rsid w:val="00FF0D18"/>
    <w:pPr>
      <w:jc w:val="left"/>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SubPara">
    <w:name w:val="ClauseSub_Para"/>
    <w:rsid w:val="00FF0D18"/>
    <w:pPr>
      <w:spacing w:before="60" w:after="60"/>
      <w:ind w:left="2268"/>
      <w:jc w:val="left"/>
    </w:pPr>
    <w:rPr>
      <w:rFonts w:ascii="Times New Roman" w:eastAsia="Times New Roman" w:hAnsi="Times New Roman" w:cs="Times New Roman"/>
      <w:lang w:val="en-GB"/>
    </w:rPr>
  </w:style>
  <w:style w:type="paragraph" w:customStyle="1" w:styleId="ClauseSubList">
    <w:name w:val="ClauseSub_List"/>
    <w:rsid w:val="00FF0D18"/>
    <w:pPr>
      <w:tabs>
        <w:tab w:val="num" w:pos="360"/>
      </w:tabs>
      <w:suppressAutoHyphens/>
      <w:ind w:left="360" w:hanging="360"/>
      <w:jc w:val="left"/>
    </w:pPr>
    <w:rPr>
      <w:rFonts w:ascii="Times New Roman" w:eastAsia="Times New Roman" w:hAnsi="Times New Roman" w:cs="Times New Roman"/>
      <w:lang w:val="en-GB"/>
    </w:rPr>
  </w:style>
  <w:style w:type="paragraph" w:customStyle="1" w:styleId="Section7heading4">
    <w:name w:val="Section 7 heading 4"/>
    <w:basedOn w:val="Ttulo3"/>
    <w:rsid w:val="00FF0D18"/>
    <w:pPr>
      <w:keepNext w:val="0"/>
      <w:tabs>
        <w:tab w:val="left" w:pos="576"/>
      </w:tabs>
      <w:suppressAutoHyphens/>
      <w:spacing w:before="0" w:after="0" w:line="240" w:lineRule="auto"/>
      <w:ind w:left="576" w:hanging="576"/>
    </w:pPr>
    <w:rPr>
      <w:rFonts w:ascii="Times New Roman" w:hAnsi="Times New Roman"/>
      <w:bCs w:val="0"/>
      <w:sz w:val="24"/>
      <w:szCs w:val="20"/>
      <w:lang w:val="es-ES_tradnl"/>
    </w:rPr>
  </w:style>
  <w:style w:type="table" w:customStyle="1" w:styleId="Sombreadoclaro1">
    <w:name w:val="Sombreado claro1"/>
    <w:basedOn w:val="Tablanormal"/>
    <w:uiPriority w:val="60"/>
    <w:rsid w:val="00FF0D18"/>
    <w:pPr>
      <w:jc w:val="left"/>
    </w:pPr>
    <w:rPr>
      <w:rFonts w:ascii="Calibri" w:eastAsia="Book Antiqua" w:hAnsi="Calibri"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rstHeading">
    <w:name w:val="FirstHeading"/>
    <w:basedOn w:val="Normal"/>
    <w:link w:val="FirstHeadingChar"/>
    <w:rsid w:val="00FF0D18"/>
    <w:pPr>
      <w:keepNext/>
      <w:numPr>
        <w:numId w:val="5"/>
      </w:numPr>
      <w:tabs>
        <w:tab w:val="left" w:pos="0"/>
        <w:tab w:val="left" w:pos="90"/>
      </w:tabs>
      <w:spacing w:before="120" w:after="120" w:line="240" w:lineRule="auto"/>
    </w:pPr>
    <w:rPr>
      <w:rFonts w:ascii="Times New Roman" w:eastAsia="Times New Roman" w:hAnsi="Times New Roman" w:cs="Times New Roman"/>
      <w:b/>
      <w:noProof/>
      <w:sz w:val="24"/>
      <w:szCs w:val="20"/>
      <w:lang w:val="en-US"/>
    </w:rPr>
  </w:style>
  <w:style w:type="paragraph" w:customStyle="1" w:styleId="SecHeading">
    <w:name w:val="SecHeading"/>
    <w:basedOn w:val="Normal"/>
    <w:next w:val="Paragraph"/>
    <w:rsid w:val="00FF0D18"/>
    <w:pPr>
      <w:keepNext/>
      <w:numPr>
        <w:ilvl w:val="1"/>
        <w:numId w:val="5"/>
      </w:numPr>
      <w:spacing w:before="120" w:after="120" w:line="240" w:lineRule="auto"/>
    </w:pPr>
    <w:rPr>
      <w:rFonts w:ascii="Times New Roman" w:eastAsia="Times New Roman" w:hAnsi="Times New Roman" w:cs="Times New Roman"/>
      <w:b/>
      <w:sz w:val="24"/>
      <w:szCs w:val="20"/>
      <w:lang w:val="en-US"/>
    </w:rPr>
  </w:style>
  <w:style w:type="paragraph" w:customStyle="1" w:styleId="SubHeading1">
    <w:name w:val="SubHeading1"/>
    <w:basedOn w:val="SecHeading"/>
    <w:rsid w:val="00FF0D18"/>
    <w:pPr>
      <w:numPr>
        <w:ilvl w:val="2"/>
      </w:numPr>
    </w:pPr>
  </w:style>
  <w:style w:type="paragraph" w:customStyle="1" w:styleId="Subheading2">
    <w:name w:val="Subheading2"/>
    <w:basedOn w:val="SecHeading"/>
    <w:rsid w:val="00FF0D18"/>
    <w:pPr>
      <w:numPr>
        <w:ilvl w:val="3"/>
      </w:numPr>
    </w:pPr>
  </w:style>
  <w:style w:type="character" w:customStyle="1" w:styleId="ParagraphCar">
    <w:name w:val="Paragraph Car"/>
    <w:link w:val="Paragraph"/>
    <w:rsid w:val="00FF0D18"/>
    <w:rPr>
      <w:rFonts w:ascii="Times New Roman" w:eastAsia="Times New Roman" w:hAnsi="Times New Roman" w:cs="Times New Roman"/>
      <w:kern w:val="1"/>
      <w:sz w:val="24"/>
      <w:szCs w:val="20"/>
      <w:lang w:val="en-US" w:eastAsia="ar-SA"/>
    </w:rPr>
  </w:style>
  <w:style w:type="character" w:customStyle="1" w:styleId="FirstHeadingChar">
    <w:name w:val="FirstHeading Char"/>
    <w:link w:val="FirstHeading"/>
    <w:rsid w:val="00FF0D18"/>
    <w:rPr>
      <w:rFonts w:ascii="Times New Roman" w:eastAsia="Times New Roman" w:hAnsi="Times New Roman" w:cs="Times New Roman"/>
      <w:b/>
      <w:noProof/>
      <w:sz w:val="24"/>
      <w:szCs w:val="20"/>
      <w:lang w:val="en-US"/>
    </w:rPr>
  </w:style>
  <w:style w:type="table" w:customStyle="1" w:styleId="Listamedia1-nfasis31">
    <w:name w:val="Lista media 1 - Énfasis 31"/>
    <w:basedOn w:val="Tablanormal"/>
    <w:next w:val="Listamedia1-nfasis3"/>
    <w:uiPriority w:val="65"/>
    <w:rsid w:val="00FF0D18"/>
    <w:pPr>
      <w:jc w:val="left"/>
    </w:pPr>
    <w:rPr>
      <w:rFonts w:ascii="Calibri" w:eastAsia="Calibri" w:hAnsi="Calibri" w:cs="Times New Roman"/>
      <w:color w:val="000000"/>
      <w:sz w:val="20"/>
      <w:szCs w:val="20"/>
      <w:lang w:eastAsia="es-CR"/>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staclara-nfasis31">
    <w:name w:val="Lista clara - Énfasis 31"/>
    <w:basedOn w:val="Tablanormal"/>
    <w:next w:val="Listaclara-nfasis3"/>
    <w:uiPriority w:val="61"/>
    <w:rsid w:val="00FF0D18"/>
    <w:pPr>
      <w:jc w:val="left"/>
    </w:pPr>
    <w:rPr>
      <w:rFonts w:ascii="Calibri" w:eastAsia="Calibri" w:hAnsi="Calibri" w:cs="Times New Roman"/>
      <w:sz w:val="20"/>
      <w:szCs w:val="20"/>
      <w:lang w:eastAsia="es-C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6concolores-nfasis11">
    <w:name w:val="Tabla con cuadrícula 6 con colores - Énfasis 11"/>
    <w:basedOn w:val="Tablanormal"/>
    <w:uiPriority w:val="51"/>
    <w:rsid w:val="00FF0D18"/>
    <w:pPr>
      <w:jc w:val="left"/>
    </w:pPr>
    <w:rPr>
      <w:color w:val="365F91"/>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concolores-nfasis51">
    <w:name w:val="Tabla con cuadrícula 6 con colores - Énfasis 51"/>
    <w:basedOn w:val="Tablanormal"/>
    <w:uiPriority w:val="51"/>
    <w:rsid w:val="00FF0D18"/>
    <w:pPr>
      <w:jc w:val="left"/>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ParagraphChar1">
    <w:name w:val="Paragraph Char1"/>
    <w:aliases w:val="paragraph Char,p Char,PARAGRAPH Char,PG Char,pa Char,at Char"/>
    <w:basedOn w:val="Fuentedeprrafopredeter"/>
    <w:rsid w:val="00FF0D18"/>
    <w:rPr>
      <w:rFonts w:ascii="Arial" w:eastAsia="Times New Roman" w:hAnsi="Arial" w:cs="Times New Roman"/>
      <w:sz w:val="22"/>
      <w:szCs w:val="20"/>
    </w:rPr>
  </w:style>
  <w:style w:type="table" w:customStyle="1" w:styleId="TableGrid1">
    <w:name w:val="Table Grid1"/>
    <w:basedOn w:val="Tablanormal"/>
    <w:next w:val="Tablaconcuadrcula"/>
    <w:uiPriority w:val="59"/>
    <w:rsid w:val="00FF0D18"/>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FF0D18"/>
    <w:rPr>
      <w:color w:val="800080"/>
      <w:u w:val="single"/>
    </w:rPr>
  </w:style>
  <w:style w:type="character" w:customStyle="1" w:styleId="DeltaViewInsertion">
    <w:name w:val="DeltaView Insertion"/>
    <w:uiPriority w:val="99"/>
    <w:rsid w:val="00FF0D18"/>
    <w:rPr>
      <w:color w:val="0000FF"/>
      <w:u w:val="double"/>
    </w:rPr>
  </w:style>
  <w:style w:type="character" w:customStyle="1" w:styleId="DeltaViewDeletion">
    <w:name w:val="DeltaView Deletion"/>
    <w:uiPriority w:val="99"/>
    <w:rsid w:val="00FF0D18"/>
    <w:rPr>
      <w:strike/>
      <w:color w:val="FF0000"/>
    </w:rPr>
  </w:style>
  <w:style w:type="numbering" w:customStyle="1" w:styleId="NoList1">
    <w:name w:val="No List1"/>
    <w:next w:val="Sinlista"/>
    <w:uiPriority w:val="99"/>
    <w:semiHidden/>
    <w:unhideWhenUsed/>
    <w:rsid w:val="00FF0D18"/>
  </w:style>
  <w:style w:type="character" w:customStyle="1" w:styleId="CarChar">
    <w:name w:val="Car Char"/>
    <w:basedOn w:val="Fuentedeprrafopredeter"/>
    <w:uiPriority w:val="99"/>
    <w:rsid w:val="00FF0D18"/>
  </w:style>
  <w:style w:type="table" w:customStyle="1" w:styleId="TableGrid2">
    <w:name w:val="Table Grid2"/>
    <w:basedOn w:val="Tablanormal"/>
    <w:next w:val="Tablaconcuadrcula"/>
    <w:rsid w:val="00FF0D18"/>
    <w:pPr>
      <w:jc w:val="left"/>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F0D18"/>
  </w:style>
  <w:style w:type="table" w:customStyle="1" w:styleId="Tablaconcuadrcula1">
    <w:name w:val="Tabla con cuadrícula1"/>
    <w:basedOn w:val="Tablanormal"/>
    <w:next w:val="Tablaconcuadrcula"/>
    <w:rsid w:val="00FF0D18"/>
    <w:pPr>
      <w:jc w:val="left"/>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uiPriority w:val="60"/>
    <w:rsid w:val="00FF0D18"/>
    <w:pPr>
      <w:jc w:val="left"/>
    </w:pPr>
    <w:rPr>
      <w:rFonts w:ascii="Calibri" w:eastAsia="Book Antiqua" w:hAnsi="Calibri"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6concolores-nfasis111">
    <w:name w:val="Tabla con cuadrícula 6 con colores - Énfasis 111"/>
    <w:basedOn w:val="Tablanormal"/>
    <w:uiPriority w:val="51"/>
    <w:rsid w:val="00FF0D18"/>
    <w:pPr>
      <w:jc w:val="left"/>
    </w:pPr>
    <w:rPr>
      <w:color w:val="365F91"/>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concolores-nfasis511">
    <w:name w:val="Tabla con cuadrícula 6 con colores - Énfasis 511"/>
    <w:basedOn w:val="Tablanormal"/>
    <w:uiPriority w:val="51"/>
    <w:rsid w:val="00FF0D18"/>
    <w:pPr>
      <w:jc w:val="left"/>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1">
    <w:name w:val="Table Grid11"/>
    <w:basedOn w:val="Tablanormal"/>
    <w:next w:val="Tablaconcuadrcula"/>
    <w:uiPriority w:val="59"/>
    <w:rsid w:val="00FF0D18"/>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inlista"/>
    <w:uiPriority w:val="99"/>
    <w:semiHidden/>
    <w:unhideWhenUsed/>
    <w:rsid w:val="00FF0D18"/>
  </w:style>
  <w:style w:type="table" w:customStyle="1" w:styleId="TableGrid21">
    <w:name w:val="Table Grid21"/>
    <w:basedOn w:val="Tablanormal"/>
    <w:next w:val="Tablaconcuadrcula"/>
    <w:rsid w:val="00FF0D18"/>
    <w:pPr>
      <w:jc w:val="left"/>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12">
    <w:name w:val="Tabla con cuadrícula 6 con colores - Énfasis 112"/>
    <w:basedOn w:val="Tablanormal"/>
    <w:uiPriority w:val="51"/>
    <w:rsid w:val="00FF0D18"/>
    <w:pPr>
      <w:jc w:val="left"/>
    </w:pPr>
    <w:rPr>
      <w:color w:val="365F91"/>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BVIfnrCarCar">
    <w:name w:val="BVI fnr Car Car"/>
    <w:aliases w:val=" BVI fnr Car Car Car Car Char,BVI fnr Car,BVI fnr Car Car Car Car Char"/>
    <w:basedOn w:val="Normal"/>
    <w:link w:val="Refdenotaalpie"/>
    <w:uiPriority w:val="99"/>
    <w:rsid w:val="00FF0D18"/>
    <w:pPr>
      <w:spacing w:line="240" w:lineRule="exact"/>
    </w:pPr>
    <w:rPr>
      <w:vertAlign w:val="superscript"/>
    </w:rPr>
  </w:style>
  <w:style w:type="table" w:customStyle="1" w:styleId="Tablaportada1">
    <w:name w:val="Tabla portada1"/>
    <w:basedOn w:val="Tablanormal"/>
    <w:next w:val="Tablaconcuadrcula"/>
    <w:rsid w:val="00FF0D18"/>
    <w:pPr>
      <w:jc w:val="left"/>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3">
    <w:name w:val="Medium List 1 Accent 3"/>
    <w:basedOn w:val="Tablanormal"/>
    <w:uiPriority w:val="65"/>
    <w:semiHidden/>
    <w:unhideWhenUsed/>
    <w:rsid w:val="00FF0D18"/>
    <w:pPr>
      <w:jc w:val="left"/>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clara-nfasis3">
    <w:name w:val="Light List Accent 3"/>
    <w:basedOn w:val="Tablanormal"/>
    <w:uiPriority w:val="61"/>
    <w:semiHidden/>
    <w:unhideWhenUsed/>
    <w:rsid w:val="00FF0D18"/>
    <w:pPr>
      <w:jc w:val="left"/>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ipervnculovisitado">
    <w:name w:val="FollowedHyperlink"/>
    <w:basedOn w:val="Fuentedeprrafopredeter"/>
    <w:uiPriority w:val="99"/>
    <w:semiHidden/>
    <w:unhideWhenUsed/>
    <w:rsid w:val="00FF0D18"/>
    <w:rPr>
      <w:color w:val="954F72" w:themeColor="followedHyperlink"/>
      <w:u w:val="single"/>
    </w:rPr>
  </w:style>
  <w:style w:type="numbering" w:customStyle="1" w:styleId="Sinlista2">
    <w:name w:val="Sin lista2"/>
    <w:next w:val="Sinlista"/>
    <w:uiPriority w:val="99"/>
    <w:semiHidden/>
    <w:unhideWhenUsed/>
    <w:rsid w:val="00FF0D18"/>
  </w:style>
  <w:style w:type="table" w:customStyle="1" w:styleId="Tablaconcuadrcula2">
    <w:name w:val="Tabla con cuadrícula2"/>
    <w:basedOn w:val="Tablanormal"/>
    <w:next w:val="Tablaconcuadrcula"/>
    <w:rsid w:val="00FF0D18"/>
    <w:pPr>
      <w:jc w:val="left"/>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despachomh@hacienda.go.cr" TargetMode="External"/><Relationship Id="rId26" Type="http://schemas.openxmlformats.org/officeDocument/2006/relationships/hyperlink" Target="http://www.iadb.org/es/adquisiciones-de-proyectos/adquisiciones-de-proyectos,8148.html" TargetMode="External"/><Relationship Id="rId39"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iadb.org/es/adquisiciones-de-proyectos/adquisiciones-de-proyectos,8148.html"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oleObject" Target="embeddings/oleObject1.bin"/><Relationship Id="rId41"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image" Target="media/image10.wmf"/><Relationship Id="rId36" Type="http://schemas.openxmlformats.org/officeDocument/2006/relationships/image" Target="media/image17.emf"/><Relationship Id="rId49"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mailto:bidcostarica@iadb.org" TargetMode="Externa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124</Pages>
  <Words>39329</Words>
  <Characters>216315</Characters>
  <Application>Microsoft Office Word</Application>
  <DocSecurity>0</DocSecurity>
  <Lines>1802</Lines>
  <Paragraphs>510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Vega Ballestero</dc:creator>
  <cp:keywords/>
  <dc:description/>
  <cp:lastModifiedBy>Edel Reales Noboa</cp:lastModifiedBy>
  <cp:revision>2</cp:revision>
  <dcterms:created xsi:type="dcterms:W3CDTF">2020-04-28T17:22:00Z</dcterms:created>
  <dcterms:modified xsi:type="dcterms:W3CDTF">2020-04-28T17:22:00Z</dcterms:modified>
</cp:coreProperties>
</file>