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E0D0" w14:textId="4C393FA8" w:rsidR="004308E8" w:rsidRPr="00552E61" w:rsidRDefault="00A44D9E" w:rsidP="003A2279">
      <w:pPr>
        <w:pStyle w:val="Ttulo1"/>
        <w:spacing w:before="0"/>
        <w:jc w:val="center"/>
        <w:rPr>
          <w:rFonts w:ascii="Cambria" w:hAnsi="Cambria" w:cs="Arial"/>
          <w:b/>
          <w:color w:val="auto"/>
          <w:sz w:val="22"/>
          <w:szCs w:val="22"/>
        </w:rPr>
      </w:pPr>
      <w:r w:rsidRPr="00552E61">
        <w:rPr>
          <w:rFonts w:ascii="Cambria" w:hAnsi="Cambria" w:cs="Arial"/>
          <w:b/>
          <w:color w:val="auto"/>
          <w:sz w:val="22"/>
          <w:szCs w:val="22"/>
        </w:rPr>
        <w:t xml:space="preserve">Programas de </w:t>
      </w:r>
      <w:r w:rsidR="004308E8" w:rsidRPr="00552E61">
        <w:rPr>
          <w:rFonts w:ascii="Cambria" w:hAnsi="Cambria" w:cs="Arial"/>
          <w:b/>
          <w:color w:val="auto"/>
          <w:sz w:val="22"/>
          <w:szCs w:val="22"/>
        </w:rPr>
        <w:t>PREVENCION</w:t>
      </w:r>
    </w:p>
    <w:p w14:paraId="48C06F5E" w14:textId="77777777" w:rsidR="00FB1CEA" w:rsidRPr="00970184" w:rsidRDefault="00FB1CEA" w:rsidP="00FB1CEA">
      <w:pPr>
        <w:jc w:val="both"/>
        <w:rPr>
          <w:rFonts w:ascii="Cambria" w:hAnsi="Cambria"/>
          <w:sz w:val="22"/>
          <w:szCs w:val="22"/>
        </w:rPr>
      </w:pPr>
    </w:p>
    <w:tbl>
      <w:tblPr>
        <w:tblStyle w:val="GFATableGrid1"/>
        <w:tblW w:w="9067" w:type="dxa"/>
        <w:tblLook w:val="01E0" w:firstRow="1" w:lastRow="1" w:firstColumn="1" w:lastColumn="1" w:noHBand="0" w:noVBand="0"/>
      </w:tblPr>
      <w:tblGrid>
        <w:gridCol w:w="1702"/>
        <w:gridCol w:w="1337"/>
        <w:gridCol w:w="6028"/>
      </w:tblGrid>
      <w:tr w:rsidR="00FB1CEA" w:rsidRPr="00970184" w14:paraId="684F23DE" w14:textId="77777777" w:rsidTr="00066254">
        <w:trPr>
          <w:trHeight w:val="325"/>
          <w:tblHeader/>
        </w:trPr>
        <w:tc>
          <w:tcPr>
            <w:tcW w:w="2987" w:type="dxa"/>
            <w:gridSpan w:val="2"/>
            <w:shd w:val="clear" w:color="auto" w:fill="E7E6E6" w:themeFill="background2"/>
            <w:vAlign w:val="center"/>
            <w:hideMark/>
          </w:tcPr>
          <w:p w14:paraId="7AC3D176" w14:textId="77777777" w:rsidR="00FB1CEA" w:rsidRPr="00970184" w:rsidRDefault="00FB1CEA" w:rsidP="00066254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Elemento</w:t>
            </w:r>
          </w:p>
        </w:tc>
        <w:tc>
          <w:tcPr>
            <w:tcW w:w="6080" w:type="dxa"/>
            <w:shd w:val="clear" w:color="auto" w:fill="E7E6E6" w:themeFill="background2"/>
            <w:vAlign w:val="center"/>
            <w:hideMark/>
          </w:tcPr>
          <w:p w14:paraId="4547A343" w14:textId="77777777" w:rsidR="00FB1CEA" w:rsidRPr="00970184" w:rsidRDefault="00FB1CEA" w:rsidP="00066254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Descripción</w:t>
            </w:r>
          </w:p>
        </w:tc>
      </w:tr>
      <w:tr w:rsidR="00FB1CEA" w:rsidRPr="00970184" w14:paraId="3A730B05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</w:tcPr>
          <w:p w14:paraId="3F1FF662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Nombre del indicador</w:t>
            </w:r>
          </w:p>
        </w:tc>
        <w:tc>
          <w:tcPr>
            <w:tcW w:w="6080" w:type="dxa"/>
            <w:vAlign w:val="center"/>
          </w:tcPr>
          <w:p w14:paraId="483BD54F" w14:textId="69F35DD0" w:rsidR="00FB1CEA" w:rsidRPr="00970184" w:rsidRDefault="004E057D" w:rsidP="0079467C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Número de estudiantes </w:t>
            </w:r>
            <w:r w:rsidRPr="008D291A">
              <w:rPr>
                <w:rFonts w:ascii="Cambria" w:hAnsi="Cambria" w:cs="Arial"/>
                <w:lang w:val="es-CR" w:eastAsia="es-CR"/>
              </w:rPr>
              <w:t xml:space="preserve">intervenidos </w:t>
            </w:r>
            <w:r w:rsidR="002B07FD" w:rsidRPr="008D291A">
              <w:rPr>
                <w:rFonts w:ascii="Cambria" w:hAnsi="Cambria" w:cs="Arial"/>
                <w:lang w:val="es-CR" w:eastAsia="es-CR"/>
              </w:rPr>
              <w:t>con los programas preventivos</w:t>
            </w:r>
            <w:r w:rsidR="008D291A">
              <w:rPr>
                <w:rFonts w:ascii="Cambria" w:hAnsi="Cambria" w:cs="Arial"/>
                <w:lang w:val="es-CR" w:eastAsia="es-CR"/>
              </w:rPr>
              <w:t xml:space="preserve"> </w:t>
            </w:r>
          </w:p>
        </w:tc>
      </w:tr>
      <w:tr w:rsidR="00FB1CEA" w:rsidRPr="00970184" w14:paraId="49EAF555" w14:textId="77777777" w:rsidTr="00066254">
        <w:trPr>
          <w:trHeight w:val="437"/>
        </w:trPr>
        <w:tc>
          <w:tcPr>
            <w:tcW w:w="2987" w:type="dxa"/>
            <w:gridSpan w:val="2"/>
            <w:vAlign w:val="center"/>
            <w:hideMark/>
          </w:tcPr>
          <w:p w14:paraId="6A7A980E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Definición conceptual</w:t>
            </w:r>
          </w:p>
        </w:tc>
        <w:tc>
          <w:tcPr>
            <w:tcW w:w="6080" w:type="dxa"/>
            <w:vAlign w:val="center"/>
            <w:hideMark/>
          </w:tcPr>
          <w:p w14:paraId="2DEF21A8" w14:textId="496254F8" w:rsidR="00FB1CEA" w:rsidRPr="00970184" w:rsidRDefault="00C62076" w:rsidP="00066254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970184">
              <w:rPr>
                <w:rFonts w:ascii="Cambria" w:hAnsi="Cambria" w:cs="Arial"/>
                <w:lang w:val="es-CR"/>
              </w:rPr>
              <w:t>Propiciar el desar</w:t>
            </w:r>
            <w:r w:rsidR="008D291A">
              <w:rPr>
                <w:rFonts w:ascii="Cambria" w:hAnsi="Cambria" w:cs="Arial"/>
                <w:lang w:val="es-CR"/>
              </w:rPr>
              <w:t>rollo sano y seguro de los estudiantes de primaria mediante el Programa de habilidades para la vida KUDOS</w:t>
            </w:r>
            <w:r w:rsidRPr="00970184">
              <w:rPr>
                <w:rFonts w:ascii="Cambria" w:hAnsi="Cambria" w:cs="Arial"/>
                <w:lang w:val="es-CR"/>
              </w:rPr>
              <w:t xml:space="preserve"> y jóvenes</w:t>
            </w:r>
            <w:r w:rsidR="008D291A">
              <w:rPr>
                <w:rFonts w:ascii="Cambria" w:hAnsi="Cambria" w:cs="Arial"/>
                <w:lang w:val="es-CR"/>
              </w:rPr>
              <w:t xml:space="preserve"> estudiantes de secundaria mediante el programa de habilidades para la vida DYNAMO,</w:t>
            </w:r>
            <w:r w:rsidRPr="00970184">
              <w:rPr>
                <w:rFonts w:ascii="Cambria" w:hAnsi="Cambria" w:cs="Arial"/>
                <w:lang w:val="es-CR"/>
              </w:rPr>
              <w:t xml:space="preserve"> para </w:t>
            </w:r>
            <w:r w:rsidRPr="00FB4047">
              <w:rPr>
                <w:rFonts w:ascii="Cambria" w:hAnsi="Cambria" w:cs="Arial"/>
                <w:lang w:val="es-CR"/>
              </w:rPr>
              <w:t xml:space="preserve">potenciar sus talentos y convertirse en miembros productivos de su comunidad y la sociedad, </w:t>
            </w:r>
            <w:r w:rsidRPr="00970184">
              <w:rPr>
                <w:rFonts w:ascii="Cambria" w:hAnsi="Cambria" w:cs="Arial"/>
                <w:lang w:val="es-CR"/>
              </w:rPr>
              <w:t xml:space="preserve">contribuyendo a retardar la edad de inicio en el </w:t>
            </w:r>
            <w:r w:rsidR="00C213FF" w:rsidRPr="00970184">
              <w:rPr>
                <w:rFonts w:ascii="Cambria" w:hAnsi="Cambria" w:cs="Arial"/>
                <w:lang w:val="es-CR"/>
              </w:rPr>
              <w:t>consumo y</w:t>
            </w:r>
            <w:r w:rsidRPr="00970184">
              <w:rPr>
                <w:rFonts w:ascii="Cambria" w:hAnsi="Cambria" w:cs="Arial"/>
                <w:lang w:val="es-CR"/>
              </w:rPr>
              <w:t xml:space="preserve"> a reducir los niveles de prevalencia de consumo de sustancias psicoactivas</w:t>
            </w:r>
          </w:p>
        </w:tc>
      </w:tr>
      <w:tr w:rsidR="00FB1CEA" w:rsidRPr="00970184" w14:paraId="07C2BF9F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55D2ACC6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 xml:space="preserve">Fórmula de cálculo </w:t>
            </w:r>
          </w:p>
        </w:tc>
        <w:tc>
          <w:tcPr>
            <w:tcW w:w="6080" w:type="dxa"/>
            <w:vAlign w:val="center"/>
            <w:hideMark/>
          </w:tcPr>
          <w:p w14:paraId="022CC303" w14:textId="78C20337" w:rsidR="00E3565A" w:rsidRPr="008D291A" w:rsidRDefault="003239BF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EIPP</w:t>
            </w:r>
            <w:r w:rsidR="00E3565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= </w:t>
            </w:r>
            <w:r w:rsidR="00E3565A" w:rsidRPr="008D291A">
              <w:rPr>
                <w:rFonts w:ascii="Cambria Math" w:eastAsia="ArialMT" w:hAnsi="Cambria Math" w:cstheme="minorHAnsi"/>
                <w:sz w:val="24"/>
                <w:szCs w:val="24"/>
                <w:lang w:val="es-CR" w:eastAsia="en-US"/>
              </w:rPr>
              <w:t>⅀</w:t>
            </w:r>
            <w:r w:rsidR="00E3565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(X</w:t>
            </w:r>
            <w:r w:rsidR="008D291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+Y</w:t>
            </w:r>
            <w:r w:rsidR="00E3565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)</w:t>
            </w:r>
          </w:p>
          <w:p w14:paraId="0A41ECEF" w14:textId="77777777" w:rsidR="00E3565A" w:rsidRPr="008D291A" w:rsidRDefault="00E3565A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</w:p>
          <w:p w14:paraId="1E2B5210" w14:textId="77777777" w:rsidR="00E3565A" w:rsidRPr="008D291A" w:rsidRDefault="00E3565A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Donde:</w:t>
            </w:r>
          </w:p>
          <w:p w14:paraId="7EF7F3FC" w14:textId="2585A154" w:rsidR="00E3565A" w:rsidRPr="008D291A" w:rsidRDefault="003239BF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EIPP</w:t>
            </w:r>
            <w:r w:rsidR="008D291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:</w:t>
            </w:r>
            <w:r w:rsidR="00E3565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</w:t>
            </w: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Estudiantes </w:t>
            </w:r>
            <w:r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intervenidos</w:t>
            </w:r>
            <w:r w:rsidR="00E3565A"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</w:t>
            </w:r>
            <w:r w:rsidR="00436AC8"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de primaria y secundaria pública, </w:t>
            </w:r>
            <w:r w:rsidR="00E3565A"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qu</w:t>
            </w:r>
            <w:r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e participan</w:t>
            </w:r>
            <w:r w:rsidR="00E3565A" w:rsidRPr="00DA43BC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en lo</w:t>
            </w:r>
            <w:r w:rsidR="00E3565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s programas preventivos.</w:t>
            </w:r>
          </w:p>
          <w:p w14:paraId="4C78D3AC" w14:textId="525D4B85" w:rsidR="00E3565A" w:rsidRPr="008D291A" w:rsidRDefault="00E3565A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</w:p>
          <w:p w14:paraId="60270595" w14:textId="618FE27A" w:rsidR="00E3565A" w:rsidRPr="008D291A" w:rsidRDefault="00E3565A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X: Número de estudiantes</w:t>
            </w:r>
            <w:r w:rsidR="008D291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de primaria</w:t>
            </w: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</w:t>
            </w:r>
            <w:r w:rsidR="00AF7E92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intervenidos</w:t>
            </w:r>
            <w:r w:rsidR="008D291A"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 en Programa KUDOS</w:t>
            </w:r>
          </w:p>
          <w:p w14:paraId="657EBAF1" w14:textId="47DE70D2" w:rsidR="008D291A" w:rsidRPr="008D291A" w:rsidRDefault="008D291A" w:rsidP="00E3565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8D291A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Y: Número de estudiantes de secundaria intervenidos en Programa DYNAMO</w:t>
            </w:r>
          </w:p>
          <w:p w14:paraId="0E3AFB2E" w14:textId="13A92AEA" w:rsidR="00FB4047" w:rsidRPr="008D291A" w:rsidRDefault="00FB4047" w:rsidP="00FB4047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</w:p>
        </w:tc>
      </w:tr>
      <w:tr w:rsidR="00FB1CEA" w:rsidRPr="00970184" w14:paraId="480CFB0F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</w:tcPr>
          <w:p w14:paraId="553DFB2C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Componentes involucrados en la fórmula del cálculo</w:t>
            </w:r>
          </w:p>
        </w:tc>
        <w:tc>
          <w:tcPr>
            <w:tcW w:w="6080" w:type="dxa"/>
            <w:vAlign w:val="center"/>
          </w:tcPr>
          <w:p w14:paraId="6E5F4CF3" w14:textId="19EFB092" w:rsidR="008D291A" w:rsidRPr="008D291A" w:rsidRDefault="00FB1CEA" w:rsidP="00CE4001">
            <w:pPr>
              <w:pStyle w:val="Sinespaciado"/>
              <w:jc w:val="both"/>
              <w:rPr>
                <w:rFonts w:ascii="Cambria" w:hAnsi="Cambria" w:cs="Arial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Estudiantes de </w:t>
            </w:r>
            <w:r w:rsidR="00CE4001"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primaria </w:t>
            </w:r>
            <w:r w:rsidR="008D291A">
              <w:rPr>
                <w:rFonts w:ascii="Cambria" w:hAnsi="Cambria" w:cs="Arial"/>
                <w:color w:val="000000"/>
                <w:lang w:val="es-CR" w:eastAsia="es-CR"/>
              </w:rPr>
              <w:t xml:space="preserve">intervenidos con el programa de </w:t>
            </w:r>
            <w:r w:rsidR="008D291A" w:rsidRPr="008D291A">
              <w:rPr>
                <w:rFonts w:ascii="Cambria" w:hAnsi="Cambria" w:cs="Arial"/>
                <w:lang w:val="es-CR" w:eastAsia="es-CR"/>
              </w:rPr>
              <w:t>prevención KUDOS</w:t>
            </w:r>
          </w:p>
          <w:p w14:paraId="45D99A9B" w14:textId="4FF399EA" w:rsidR="00552E61" w:rsidRPr="006C17CB" w:rsidRDefault="008D291A" w:rsidP="008D291A">
            <w:pPr>
              <w:pStyle w:val="Sinespaciado"/>
              <w:jc w:val="both"/>
              <w:rPr>
                <w:rFonts w:ascii="Cambria" w:hAnsi="Cambria" w:cs="Arial"/>
                <w:color w:val="000000"/>
                <w:lang w:val="es-CR" w:eastAsia="es-CR"/>
              </w:rPr>
            </w:pPr>
            <w:r w:rsidRPr="008D291A">
              <w:rPr>
                <w:rFonts w:ascii="Cambria" w:hAnsi="Cambria" w:cs="Arial"/>
                <w:lang w:val="es-CR" w:eastAsia="es-CR"/>
              </w:rPr>
              <w:t>Estudiantes de</w:t>
            </w:r>
            <w:r w:rsidR="00CE4001" w:rsidRPr="008D291A">
              <w:rPr>
                <w:rFonts w:ascii="Cambria" w:hAnsi="Cambria" w:cs="Arial"/>
                <w:lang w:val="es-CR" w:eastAsia="es-CR"/>
              </w:rPr>
              <w:t xml:space="preserve"> </w:t>
            </w:r>
            <w:r w:rsidR="00FB1CEA" w:rsidRPr="008D291A">
              <w:rPr>
                <w:rFonts w:ascii="Cambria" w:hAnsi="Cambria" w:cs="Arial"/>
                <w:lang w:val="es-CR" w:eastAsia="es-CR"/>
              </w:rPr>
              <w:t xml:space="preserve">secundaria </w:t>
            </w:r>
            <w:r w:rsidR="004E057D" w:rsidRPr="008D291A">
              <w:rPr>
                <w:rFonts w:ascii="Cambria" w:hAnsi="Cambria" w:cs="Arial"/>
                <w:lang w:val="es-CR" w:eastAsia="es-CR"/>
              </w:rPr>
              <w:t xml:space="preserve">intervenidos </w:t>
            </w:r>
            <w:r w:rsidRPr="008D291A">
              <w:rPr>
                <w:rFonts w:ascii="Cambria" w:hAnsi="Cambria" w:cs="Arial"/>
                <w:lang w:val="es-CR" w:eastAsia="es-CR"/>
              </w:rPr>
              <w:t>con el programa de prevención DYNAMO</w:t>
            </w:r>
          </w:p>
        </w:tc>
      </w:tr>
      <w:tr w:rsidR="00FB1CEA" w:rsidRPr="00970184" w14:paraId="5C6FAC55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3508449E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Unidad de medida</w:t>
            </w:r>
          </w:p>
        </w:tc>
        <w:tc>
          <w:tcPr>
            <w:tcW w:w="6080" w:type="dxa"/>
            <w:vAlign w:val="center"/>
            <w:hideMark/>
          </w:tcPr>
          <w:p w14:paraId="193D36E5" w14:textId="4C1CDA66" w:rsidR="00FB1CEA" w:rsidRPr="00970184" w:rsidRDefault="00FB1CEA" w:rsidP="003B4E4D">
            <w:pPr>
              <w:pStyle w:val="Sinespaciado"/>
              <w:jc w:val="both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Número </w:t>
            </w:r>
          </w:p>
        </w:tc>
      </w:tr>
      <w:tr w:rsidR="00FB1CEA" w:rsidRPr="00970184" w14:paraId="1BD66B19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43331B1C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Interpretación</w:t>
            </w:r>
          </w:p>
        </w:tc>
        <w:tc>
          <w:tcPr>
            <w:tcW w:w="6080" w:type="dxa"/>
            <w:vAlign w:val="center"/>
            <w:hideMark/>
          </w:tcPr>
          <w:p w14:paraId="5B871D0C" w14:textId="0BEDFF20" w:rsidR="00FB1CEA" w:rsidRPr="00970184" w:rsidRDefault="00CE4001" w:rsidP="00CE4001">
            <w:pPr>
              <w:pStyle w:val="Sinespaciado"/>
              <w:jc w:val="both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Estudiantes que participan de programas que se orientan a </w:t>
            </w:r>
            <w:r w:rsidR="0064174A" w:rsidRPr="00970184">
              <w:rPr>
                <w:rFonts w:ascii="Cambria" w:hAnsi="Cambria" w:cs="Arial"/>
                <w:color w:val="000000"/>
                <w:lang w:val="es-CR" w:eastAsia="es-CR"/>
              </w:rPr>
              <w:t>informa</w:t>
            </w:r>
            <w:r w:rsidR="0064174A">
              <w:rPr>
                <w:rFonts w:ascii="Cambria" w:hAnsi="Cambria" w:cs="Arial"/>
                <w:color w:val="000000"/>
                <w:lang w:val="es-CR" w:eastAsia="es-CR"/>
              </w:rPr>
              <w:t xml:space="preserve">r </w:t>
            </w:r>
            <w:r w:rsidR="0064174A" w:rsidRPr="00970184">
              <w:rPr>
                <w:rFonts w:ascii="Cambria" w:hAnsi="Cambria" w:cs="Arial"/>
                <w:color w:val="000000"/>
                <w:lang w:val="es-CR" w:eastAsia="es-CR"/>
              </w:rPr>
              <w:t>y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 crear conocimiento acerca de las consecuencias que se derivan del consumo de sustancias psicoactivas (SPA) y que fomentan acciones de promoción de la salud.</w:t>
            </w:r>
          </w:p>
          <w:p w14:paraId="1AA3E009" w14:textId="7B28E248" w:rsidR="00CE4001" w:rsidRPr="00970184" w:rsidRDefault="00CE4001" w:rsidP="00CE4001">
            <w:pPr>
              <w:pStyle w:val="Sinespaciado"/>
              <w:jc w:val="both"/>
              <w:rPr>
                <w:rFonts w:ascii="Cambria" w:hAnsi="Cambria" w:cs="Arial"/>
                <w:bCs/>
                <w:highlight w:val="yellow"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Estudiantes que participan de p</w:t>
            </w:r>
            <w:r w:rsidRPr="00970184">
              <w:rPr>
                <w:rFonts w:ascii="Cambria" w:hAnsi="Cambria" w:cs="Arial"/>
                <w:bCs/>
                <w:lang w:val="es-CR"/>
              </w:rPr>
              <w:t xml:space="preserve">rogramas dirigidos a grupos poblacionales identificados con mayor riesgo de desarrollar conductas asociadas al consumo </w:t>
            </w:r>
            <w:proofErr w:type="gramStart"/>
            <w:r w:rsidRPr="00970184">
              <w:rPr>
                <w:rFonts w:ascii="Cambria" w:hAnsi="Cambria" w:cs="Arial"/>
                <w:bCs/>
                <w:lang w:val="es-CR"/>
              </w:rPr>
              <w:t>de  drogas</w:t>
            </w:r>
            <w:proofErr w:type="gramEnd"/>
            <w:r w:rsidRPr="00970184">
              <w:rPr>
                <w:rFonts w:ascii="Cambria" w:hAnsi="Cambria" w:cs="Arial"/>
                <w:bCs/>
                <w:lang w:val="es-CR"/>
              </w:rPr>
              <w:t xml:space="preserve"> (SPA) enfocado en grupos en alta vulnerabilidad social.</w:t>
            </w:r>
          </w:p>
        </w:tc>
      </w:tr>
      <w:tr w:rsidR="00FB1CEA" w:rsidRPr="00970184" w14:paraId="6DB16D83" w14:textId="77777777" w:rsidTr="00066254">
        <w:trPr>
          <w:trHeight w:val="240"/>
        </w:trPr>
        <w:tc>
          <w:tcPr>
            <w:tcW w:w="1650" w:type="dxa"/>
            <w:vMerge w:val="restart"/>
            <w:vAlign w:val="center"/>
            <w:hideMark/>
          </w:tcPr>
          <w:p w14:paraId="0BD76FE8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Desagregación</w:t>
            </w:r>
          </w:p>
        </w:tc>
        <w:tc>
          <w:tcPr>
            <w:tcW w:w="1337" w:type="dxa"/>
            <w:vAlign w:val="center"/>
          </w:tcPr>
          <w:p w14:paraId="62ECD83E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Geográfica</w:t>
            </w:r>
          </w:p>
        </w:tc>
        <w:tc>
          <w:tcPr>
            <w:tcW w:w="6080" w:type="dxa"/>
            <w:vAlign w:val="center"/>
            <w:hideMark/>
          </w:tcPr>
          <w:p w14:paraId="3330AEDF" w14:textId="02B08FC8" w:rsidR="00FB1CEA" w:rsidRPr="00970184" w:rsidRDefault="00C12B83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Gran Área Metropolitana y Occidente</w:t>
            </w:r>
          </w:p>
        </w:tc>
      </w:tr>
      <w:tr w:rsidR="00FB1CEA" w:rsidRPr="00970184" w14:paraId="331190FF" w14:textId="77777777" w:rsidTr="00066254">
        <w:trPr>
          <w:trHeight w:val="240"/>
        </w:trPr>
        <w:tc>
          <w:tcPr>
            <w:tcW w:w="1650" w:type="dxa"/>
            <w:vMerge/>
            <w:vAlign w:val="center"/>
          </w:tcPr>
          <w:p w14:paraId="4AC325E3" w14:textId="77777777" w:rsidR="00FB1CEA" w:rsidRPr="00970184" w:rsidRDefault="00FB1CEA" w:rsidP="00066254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</w:p>
        </w:tc>
        <w:tc>
          <w:tcPr>
            <w:tcW w:w="1337" w:type="dxa"/>
            <w:vAlign w:val="center"/>
          </w:tcPr>
          <w:p w14:paraId="3B915380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Temática</w:t>
            </w:r>
          </w:p>
        </w:tc>
        <w:tc>
          <w:tcPr>
            <w:tcW w:w="6080" w:type="dxa"/>
            <w:vAlign w:val="center"/>
          </w:tcPr>
          <w:p w14:paraId="513D2DC4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Sexo, Nivel educativo</w:t>
            </w:r>
          </w:p>
        </w:tc>
      </w:tr>
      <w:tr w:rsidR="00FB1CEA" w:rsidRPr="00970184" w14:paraId="44824AFA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43F4437B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Línea base</w:t>
            </w:r>
          </w:p>
        </w:tc>
        <w:tc>
          <w:tcPr>
            <w:tcW w:w="6080" w:type="dxa"/>
            <w:vAlign w:val="center"/>
            <w:hideMark/>
          </w:tcPr>
          <w:p w14:paraId="0CCD8C0B" w14:textId="3B500829" w:rsidR="00FB1CEA" w:rsidRPr="00970184" w:rsidRDefault="004E057D" w:rsidP="009D6C28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20</w:t>
            </w:r>
            <w:r w:rsidR="009D6C28" w:rsidRPr="00970184">
              <w:rPr>
                <w:rFonts w:ascii="Cambria" w:hAnsi="Cambria" w:cs="Arial"/>
                <w:color w:val="000000"/>
                <w:lang w:val="es-CR" w:eastAsia="es-CR"/>
              </w:rPr>
              <w:t>20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: </w:t>
            </w:r>
            <w:r w:rsidR="009D6C28" w:rsidRPr="00970184">
              <w:rPr>
                <w:rFonts w:ascii="Cambria" w:hAnsi="Cambria" w:cs="Arial"/>
                <w:color w:val="000000"/>
                <w:lang w:val="es-CR" w:eastAsia="es-CR"/>
              </w:rPr>
              <w:t>0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 estudiantes de </w:t>
            </w:r>
            <w:r w:rsidR="009D6C28" w:rsidRPr="00970184">
              <w:rPr>
                <w:rFonts w:ascii="Cambria" w:hAnsi="Cambria" w:cs="Arial"/>
                <w:color w:val="000000"/>
                <w:lang w:val="es-CR" w:eastAsia="es-CR"/>
              </w:rPr>
              <w:t>escuelas y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 colegios públicos</w:t>
            </w:r>
          </w:p>
        </w:tc>
      </w:tr>
      <w:tr w:rsidR="00FB1CEA" w:rsidRPr="00970184" w14:paraId="57C7B928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55832F83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Meta</w:t>
            </w:r>
          </w:p>
        </w:tc>
        <w:tc>
          <w:tcPr>
            <w:tcW w:w="6080" w:type="dxa"/>
            <w:vAlign w:val="center"/>
            <w:hideMark/>
          </w:tcPr>
          <w:p w14:paraId="06018C21" w14:textId="1477DA66" w:rsidR="00FB1CEA" w:rsidRPr="00970184" w:rsidRDefault="00E9396C" w:rsidP="004E057D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2030: 60.405</w:t>
            </w:r>
          </w:p>
          <w:p w14:paraId="39466A76" w14:textId="669C47B5" w:rsidR="00E9396C" w:rsidRPr="00970184" w:rsidRDefault="00E9396C" w:rsidP="004E057D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2040: 60.405</w:t>
            </w:r>
          </w:p>
          <w:p w14:paraId="24C29480" w14:textId="1DC340DE" w:rsidR="00E9396C" w:rsidRPr="00970184" w:rsidRDefault="00E9396C" w:rsidP="004E057D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2050: 60.405</w:t>
            </w:r>
          </w:p>
        </w:tc>
      </w:tr>
      <w:tr w:rsidR="00FB1CEA" w:rsidRPr="00970184" w14:paraId="581CFD64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24171863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 xml:space="preserve">Periodicidad </w:t>
            </w:r>
          </w:p>
        </w:tc>
        <w:tc>
          <w:tcPr>
            <w:tcW w:w="6080" w:type="dxa"/>
            <w:vAlign w:val="center"/>
            <w:hideMark/>
          </w:tcPr>
          <w:p w14:paraId="250F542D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Trimestral, Semestral y Anual</w:t>
            </w:r>
          </w:p>
        </w:tc>
      </w:tr>
      <w:tr w:rsidR="00FB1CEA" w:rsidRPr="00970184" w14:paraId="7CCF8559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6B31C443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lastRenderedPageBreak/>
              <w:t>Fuente de información</w:t>
            </w:r>
          </w:p>
        </w:tc>
        <w:tc>
          <w:tcPr>
            <w:tcW w:w="6080" w:type="dxa"/>
            <w:vAlign w:val="center"/>
          </w:tcPr>
          <w:p w14:paraId="6F431D7F" w14:textId="449F40BA" w:rsidR="00FB1CEA" w:rsidRPr="00970184" w:rsidRDefault="00FB1CEA" w:rsidP="008D291A">
            <w:pPr>
              <w:rPr>
                <w:rFonts w:ascii="Cambria" w:hAnsi="Cambria" w:cs="Arial"/>
                <w:bCs/>
                <w:strike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Registros de estudiantes intervenidos según centro educativo por nivel</w:t>
            </w:r>
            <w:r w:rsidR="008D291A">
              <w:rPr>
                <w:rFonts w:ascii="Cambria" w:hAnsi="Cambria" w:cs="Arial"/>
                <w:color w:val="000000"/>
                <w:lang w:val="es-CR" w:eastAsia="es-CR"/>
              </w:rPr>
              <w:t xml:space="preserve"> y, por programa preventivo.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br/>
              <w:t>Base de datos</w:t>
            </w:r>
          </w:p>
        </w:tc>
      </w:tr>
      <w:tr w:rsidR="00FB1CEA" w:rsidRPr="00970184" w14:paraId="0266BD18" w14:textId="77777777" w:rsidTr="00066254">
        <w:trPr>
          <w:trHeight w:val="290"/>
        </w:trPr>
        <w:tc>
          <w:tcPr>
            <w:tcW w:w="2987" w:type="dxa"/>
            <w:gridSpan w:val="2"/>
            <w:vAlign w:val="center"/>
            <w:hideMark/>
          </w:tcPr>
          <w:p w14:paraId="403B9D0B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Clasificación</w:t>
            </w:r>
          </w:p>
        </w:tc>
        <w:tc>
          <w:tcPr>
            <w:tcW w:w="6080" w:type="dxa"/>
            <w:vAlign w:val="center"/>
            <w:hideMark/>
          </w:tcPr>
          <w:p w14:paraId="4A04969F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proofErr w:type="gramStart"/>
            <w:r w:rsidRPr="00970184">
              <w:rPr>
                <w:rFonts w:ascii="Cambria" w:hAnsi="Cambria" w:cs="Arial"/>
                <w:bCs/>
                <w:lang w:val="es-CR"/>
              </w:rPr>
              <w:t>(  )</w:t>
            </w:r>
            <w:proofErr w:type="gramEnd"/>
            <w:r w:rsidRPr="00970184">
              <w:rPr>
                <w:rFonts w:ascii="Cambria" w:hAnsi="Cambria" w:cs="Arial"/>
                <w:bCs/>
                <w:lang w:val="es-CR"/>
              </w:rPr>
              <w:t xml:space="preserve"> Impacto.</w:t>
            </w:r>
          </w:p>
          <w:p w14:paraId="2D13339F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proofErr w:type="gramStart"/>
            <w:r w:rsidRPr="00970184">
              <w:rPr>
                <w:rFonts w:ascii="Cambria" w:hAnsi="Cambria" w:cs="Arial"/>
                <w:bCs/>
                <w:lang w:val="es-CR"/>
              </w:rPr>
              <w:t>(  )</w:t>
            </w:r>
            <w:proofErr w:type="gramEnd"/>
            <w:r w:rsidRPr="00970184">
              <w:rPr>
                <w:rFonts w:ascii="Cambria" w:hAnsi="Cambria" w:cs="Arial"/>
                <w:bCs/>
                <w:lang w:val="es-CR"/>
              </w:rPr>
              <w:t xml:space="preserve"> Efecto.</w:t>
            </w:r>
          </w:p>
          <w:p w14:paraId="54B016C7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bCs/>
                <w:lang w:val="es-CR"/>
              </w:rPr>
              <w:t>(X) Producto.</w:t>
            </w:r>
          </w:p>
        </w:tc>
      </w:tr>
      <w:tr w:rsidR="00FB1CEA" w:rsidRPr="00970184" w14:paraId="2B8A7892" w14:textId="77777777" w:rsidTr="00066254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3A70EB4E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Tipo de operación estadística</w:t>
            </w:r>
          </w:p>
        </w:tc>
        <w:tc>
          <w:tcPr>
            <w:tcW w:w="6080" w:type="dxa"/>
            <w:vAlign w:val="center"/>
            <w:hideMark/>
          </w:tcPr>
          <w:p w14:paraId="18FFE1E9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Registros administrativos</w:t>
            </w:r>
          </w:p>
        </w:tc>
      </w:tr>
      <w:tr w:rsidR="00FB1CEA" w:rsidRPr="00970184" w14:paraId="65C55B0A" w14:textId="77777777" w:rsidTr="00066254">
        <w:trPr>
          <w:trHeight w:val="522"/>
        </w:trPr>
        <w:tc>
          <w:tcPr>
            <w:tcW w:w="2987" w:type="dxa"/>
            <w:gridSpan w:val="2"/>
            <w:vAlign w:val="center"/>
            <w:hideMark/>
          </w:tcPr>
          <w:p w14:paraId="7A40331B" w14:textId="77777777" w:rsidR="00FB1CEA" w:rsidRPr="00970184" w:rsidRDefault="00FB1CEA" w:rsidP="00066254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Comentarios generales</w:t>
            </w:r>
          </w:p>
        </w:tc>
        <w:tc>
          <w:tcPr>
            <w:tcW w:w="6080" w:type="dxa"/>
            <w:vAlign w:val="center"/>
            <w:hideMark/>
          </w:tcPr>
          <w:p w14:paraId="4BFC802C" w14:textId="77777777" w:rsidR="00FB1CEA" w:rsidRPr="008D291A" w:rsidRDefault="007C05C9" w:rsidP="00066254">
            <w:pPr>
              <w:rPr>
                <w:rFonts w:ascii="Cambria" w:hAnsi="Cambria" w:cs="Arial"/>
                <w:bCs/>
                <w:lang w:val="es-CR"/>
              </w:rPr>
            </w:pPr>
            <w:r>
              <w:rPr>
                <w:rFonts w:ascii="Cambria" w:hAnsi="Cambria" w:cs="Arial"/>
                <w:bCs/>
                <w:lang w:val="es-CR"/>
              </w:rPr>
              <w:t xml:space="preserve"> </w:t>
            </w:r>
            <w:r w:rsidR="004B4595" w:rsidRPr="004B4595">
              <w:rPr>
                <w:rFonts w:ascii="Cambria" w:hAnsi="Cambria" w:cs="Arial"/>
                <w:bCs/>
                <w:lang w:val="es-CR"/>
              </w:rPr>
              <w:t xml:space="preserve">La meta no es acumulativa. Se definió por medio de proyecciones mediante el software DELPHOS, utilizando el </w:t>
            </w:r>
            <w:r w:rsidR="004B4595" w:rsidRPr="008D291A">
              <w:rPr>
                <w:rFonts w:ascii="Cambria" w:hAnsi="Cambria" w:cs="Arial"/>
                <w:bCs/>
                <w:lang w:val="es-CR"/>
              </w:rPr>
              <w:t>método ARIMA.</w:t>
            </w:r>
          </w:p>
          <w:p w14:paraId="14630898" w14:textId="77777777" w:rsidR="00F37EA1" w:rsidRPr="008D291A" w:rsidRDefault="00F37EA1" w:rsidP="00066254">
            <w:pPr>
              <w:rPr>
                <w:rFonts w:ascii="Cambria" w:hAnsi="Cambria" w:cs="Arial"/>
                <w:bCs/>
                <w:lang w:val="es-CR"/>
              </w:rPr>
            </w:pPr>
          </w:p>
          <w:p w14:paraId="71918BF0" w14:textId="6A8506BB" w:rsidR="007C05C9" w:rsidRPr="008D291A" w:rsidRDefault="007C05C9" w:rsidP="00263AAC">
            <w:pPr>
              <w:pStyle w:val="Default"/>
              <w:jc w:val="both"/>
              <w:rPr>
                <w:color w:val="auto"/>
                <w:lang w:val="es-CR"/>
              </w:rPr>
            </w:pPr>
            <w:r w:rsidRPr="008D291A">
              <w:rPr>
                <w:color w:val="auto"/>
                <w:lang w:val="es-CR"/>
              </w:rPr>
              <w:t xml:space="preserve">El método ARIMA, se puede señalar que el mismo es un modelo autorregresivo integrado de promedio móvil o ARIMA (acrónimo del inglés </w:t>
            </w:r>
            <w:proofErr w:type="spellStart"/>
            <w:r w:rsidRPr="008D291A">
              <w:rPr>
                <w:color w:val="auto"/>
                <w:lang w:val="es-CR"/>
              </w:rPr>
              <w:t>Autoregressive</w:t>
            </w:r>
            <w:proofErr w:type="spellEnd"/>
            <w:r w:rsidRPr="008D291A">
              <w:rPr>
                <w:color w:val="auto"/>
                <w:lang w:val="es-CR"/>
              </w:rPr>
              <w:t xml:space="preserve"> </w:t>
            </w:r>
            <w:proofErr w:type="spellStart"/>
            <w:r w:rsidRPr="008D291A">
              <w:rPr>
                <w:color w:val="auto"/>
                <w:lang w:val="es-CR"/>
              </w:rPr>
              <w:t>Integrated</w:t>
            </w:r>
            <w:proofErr w:type="spellEnd"/>
            <w:r w:rsidRPr="008D291A">
              <w:rPr>
                <w:color w:val="auto"/>
                <w:lang w:val="es-CR"/>
              </w:rPr>
              <w:t xml:space="preserve"> </w:t>
            </w:r>
            <w:proofErr w:type="spellStart"/>
            <w:r w:rsidRPr="008D291A">
              <w:rPr>
                <w:color w:val="auto"/>
                <w:lang w:val="es-CR"/>
              </w:rPr>
              <w:t>Moving</w:t>
            </w:r>
            <w:proofErr w:type="spellEnd"/>
            <w:r w:rsidRPr="008D291A">
              <w:rPr>
                <w:color w:val="auto"/>
                <w:lang w:val="es-CR"/>
              </w:rPr>
              <w:t xml:space="preserve"> </w:t>
            </w:r>
            <w:proofErr w:type="spellStart"/>
            <w:r w:rsidRPr="008D291A">
              <w:rPr>
                <w:color w:val="auto"/>
                <w:lang w:val="es-CR"/>
              </w:rPr>
              <w:t>Average</w:t>
            </w:r>
            <w:proofErr w:type="spellEnd"/>
            <w:r w:rsidRPr="008D291A">
              <w:rPr>
                <w:color w:val="auto"/>
                <w:lang w:val="es-CR"/>
              </w:rPr>
              <w:t xml:space="preserve">), modelo estadístico que utiliza variaciones y regresiones de datos estadísticos con el fin de encontrar patrones para una predicción hacia el futuro. A diferencia de otros modelos estadísticos, ARIMA es un modelo dinámico de series temporales donde las estimaciones futuras vienen explicadas por los datos del pasado y no por variables independientes, por lo cual, para la construcción </w:t>
            </w:r>
            <w:proofErr w:type="gramStart"/>
            <w:r w:rsidRPr="008D291A">
              <w:rPr>
                <w:color w:val="auto"/>
                <w:lang w:val="es-CR"/>
              </w:rPr>
              <w:t>del mismo</w:t>
            </w:r>
            <w:proofErr w:type="gramEnd"/>
            <w:r w:rsidRPr="008D291A">
              <w:rPr>
                <w:color w:val="auto"/>
                <w:lang w:val="es-CR"/>
              </w:rPr>
              <w:t xml:space="preserve"> son fundamentales los datos estadísticos históricos que ha manejado el IAFA. </w:t>
            </w:r>
          </w:p>
          <w:p w14:paraId="0C603590" w14:textId="61F391EE" w:rsidR="00C11601" w:rsidRPr="008D291A" w:rsidRDefault="00C11601" w:rsidP="007C05C9">
            <w:pPr>
              <w:pStyle w:val="Default"/>
              <w:rPr>
                <w:color w:val="auto"/>
                <w:lang w:val="es-CR"/>
              </w:rPr>
            </w:pPr>
          </w:p>
          <w:p w14:paraId="58322F47" w14:textId="21C5F96C" w:rsidR="00C11601" w:rsidRPr="008D291A" w:rsidRDefault="00C11601" w:rsidP="007C05C9">
            <w:pPr>
              <w:pStyle w:val="Default"/>
              <w:rPr>
                <w:color w:val="auto"/>
                <w:lang w:val="es-CR"/>
              </w:rPr>
            </w:pPr>
            <w:r w:rsidRPr="008D291A">
              <w:rPr>
                <w:color w:val="auto"/>
                <w:lang w:val="es-CR"/>
              </w:rPr>
              <w:t>Los datos se to</w:t>
            </w:r>
            <w:r w:rsidR="00F37EA1" w:rsidRPr="008D291A">
              <w:rPr>
                <w:color w:val="auto"/>
                <w:lang w:val="es-CR"/>
              </w:rPr>
              <w:t>man de los registros del IAFA.</w:t>
            </w:r>
          </w:p>
          <w:p w14:paraId="0BF58A3F" w14:textId="4B8A5532" w:rsidR="007C05C9" w:rsidRPr="00F25DC9" w:rsidRDefault="007C05C9" w:rsidP="00066254">
            <w:pPr>
              <w:rPr>
                <w:rFonts w:ascii="Cambria" w:hAnsi="Cambria" w:cs="Arial"/>
                <w:bCs/>
                <w:color w:val="FF0000"/>
                <w:lang w:val="es-CR"/>
              </w:rPr>
            </w:pPr>
          </w:p>
        </w:tc>
      </w:tr>
    </w:tbl>
    <w:p w14:paraId="1B8C14AE" w14:textId="3E8C0A27" w:rsidR="004308E8" w:rsidRPr="00970184" w:rsidRDefault="004308E8">
      <w:pPr>
        <w:rPr>
          <w:rFonts w:ascii="Cambria" w:hAnsi="Cambria"/>
        </w:rPr>
      </w:pPr>
      <w:r w:rsidRPr="00970184">
        <w:rPr>
          <w:rFonts w:ascii="Cambria" w:hAnsi="Cambria"/>
        </w:rPr>
        <w:br w:type="page"/>
      </w:r>
    </w:p>
    <w:p w14:paraId="2CD3D0FA" w14:textId="77777777" w:rsidR="00FD245F" w:rsidRDefault="00FD245F" w:rsidP="004308E8">
      <w:pPr>
        <w:pStyle w:val="Ttulo1"/>
        <w:jc w:val="center"/>
        <w:rPr>
          <w:rFonts w:ascii="Cambria" w:hAnsi="Cambria" w:cs="Arial"/>
          <w:b/>
          <w:color w:val="auto"/>
          <w:sz w:val="22"/>
          <w:szCs w:val="22"/>
        </w:rPr>
      </w:pPr>
    </w:p>
    <w:p w14:paraId="33AD8D4A" w14:textId="77777777" w:rsidR="00FD245F" w:rsidRDefault="00FD245F" w:rsidP="004308E8">
      <w:pPr>
        <w:pStyle w:val="Ttulo1"/>
        <w:jc w:val="center"/>
        <w:rPr>
          <w:rFonts w:ascii="Cambria" w:hAnsi="Cambria" w:cs="Arial"/>
          <w:b/>
          <w:color w:val="auto"/>
          <w:sz w:val="22"/>
          <w:szCs w:val="22"/>
        </w:rPr>
      </w:pPr>
    </w:p>
    <w:p w14:paraId="0E5FF66E" w14:textId="5504C95B" w:rsidR="004308E8" w:rsidRPr="00552E61" w:rsidRDefault="00A44D9E" w:rsidP="004308E8">
      <w:pPr>
        <w:pStyle w:val="Ttulo1"/>
        <w:jc w:val="center"/>
        <w:rPr>
          <w:rFonts w:ascii="Cambria" w:hAnsi="Cambria" w:cs="Arial"/>
          <w:b/>
          <w:color w:val="auto"/>
          <w:sz w:val="22"/>
          <w:szCs w:val="22"/>
        </w:rPr>
      </w:pPr>
      <w:r w:rsidRPr="00552E61">
        <w:rPr>
          <w:rFonts w:ascii="Cambria" w:hAnsi="Cambria" w:cs="Arial"/>
          <w:b/>
          <w:color w:val="auto"/>
          <w:sz w:val="22"/>
          <w:szCs w:val="22"/>
        </w:rPr>
        <w:t xml:space="preserve">Programa de </w:t>
      </w:r>
      <w:r w:rsidR="004308E8" w:rsidRPr="00552E61">
        <w:rPr>
          <w:rFonts w:ascii="Cambria" w:hAnsi="Cambria" w:cs="Arial"/>
          <w:b/>
          <w:color w:val="auto"/>
          <w:sz w:val="22"/>
          <w:szCs w:val="22"/>
        </w:rPr>
        <w:t>TRATAMIENTO</w:t>
      </w:r>
    </w:p>
    <w:p w14:paraId="500474EC" w14:textId="560670ED" w:rsidR="003E4DAE" w:rsidRPr="00970184" w:rsidRDefault="003E4DAE">
      <w:pPr>
        <w:rPr>
          <w:rFonts w:ascii="Cambria" w:hAnsi="Cambria"/>
        </w:rPr>
      </w:pPr>
    </w:p>
    <w:tbl>
      <w:tblPr>
        <w:tblStyle w:val="GFATableGrid1"/>
        <w:tblW w:w="9067" w:type="dxa"/>
        <w:tblLook w:val="01E0" w:firstRow="1" w:lastRow="1" w:firstColumn="1" w:lastColumn="1" w:noHBand="0" w:noVBand="0"/>
      </w:tblPr>
      <w:tblGrid>
        <w:gridCol w:w="1702"/>
        <w:gridCol w:w="1337"/>
        <w:gridCol w:w="6028"/>
      </w:tblGrid>
      <w:tr w:rsidR="003E4DAE" w:rsidRPr="00970184" w14:paraId="4F4CFADF" w14:textId="77777777" w:rsidTr="00D819F3">
        <w:trPr>
          <w:trHeight w:val="325"/>
          <w:tblHeader/>
        </w:trPr>
        <w:tc>
          <w:tcPr>
            <w:tcW w:w="2987" w:type="dxa"/>
            <w:gridSpan w:val="2"/>
            <w:shd w:val="clear" w:color="auto" w:fill="E7E6E6" w:themeFill="background2"/>
            <w:vAlign w:val="center"/>
            <w:hideMark/>
          </w:tcPr>
          <w:p w14:paraId="087EDD22" w14:textId="77777777" w:rsidR="003E4DAE" w:rsidRPr="00970184" w:rsidRDefault="003E4DAE" w:rsidP="00D819F3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Elemento</w:t>
            </w:r>
          </w:p>
        </w:tc>
        <w:tc>
          <w:tcPr>
            <w:tcW w:w="6080" w:type="dxa"/>
            <w:shd w:val="clear" w:color="auto" w:fill="E7E6E6" w:themeFill="background2"/>
            <w:vAlign w:val="center"/>
            <w:hideMark/>
          </w:tcPr>
          <w:p w14:paraId="05F62743" w14:textId="77777777" w:rsidR="003E4DAE" w:rsidRPr="00970184" w:rsidRDefault="003E4DAE" w:rsidP="00D819F3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Descripción</w:t>
            </w:r>
          </w:p>
        </w:tc>
      </w:tr>
      <w:tr w:rsidR="003E4DAE" w:rsidRPr="00970184" w14:paraId="43AB908D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</w:tcPr>
          <w:p w14:paraId="57412C6E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Nombre del indicador</w:t>
            </w:r>
          </w:p>
        </w:tc>
        <w:tc>
          <w:tcPr>
            <w:tcW w:w="6080" w:type="dxa"/>
            <w:vAlign w:val="center"/>
          </w:tcPr>
          <w:p w14:paraId="7A52559E" w14:textId="18B0EA2D" w:rsidR="003E4DAE" w:rsidRPr="00970184" w:rsidRDefault="00116318" w:rsidP="00FE1A38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Número de personas que uti</w:t>
            </w:r>
            <w:r w:rsidR="00FE1A38">
              <w:rPr>
                <w:rFonts w:ascii="Cambria" w:hAnsi="Cambria" w:cs="Arial"/>
                <w:color w:val="000000"/>
                <w:lang w:val="es-CR" w:eastAsia="es-CR"/>
              </w:rPr>
              <w:t xml:space="preserve">lizan servicios de atención 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derivados del consumo de sustancias psicoactivas</w:t>
            </w:r>
            <w:r w:rsidR="00F25DC9">
              <w:rPr>
                <w:rFonts w:ascii="Cambria" w:hAnsi="Cambria" w:cs="Arial"/>
                <w:color w:val="000000"/>
                <w:lang w:val="es-CR" w:eastAsia="es-CR"/>
              </w:rPr>
              <w:t>.</w:t>
            </w:r>
          </w:p>
        </w:tc>
      </w:tr>
      <w:tr w:rsidR="003E4DAE" w:rsidRPr="00970184" w14:paraId="34E3E3C6" w14:textId="77777777" w:rsidTr="00D819F3">
        <w:trPr>
          <w:trHeight w:val="437"/>
        </w:trPr>
        <w:tc>
          <w:tcPr>
            <w:tcW w:w="2987" w:type="dxa"/>
            <w:gridSpan w:val="2"/>
            <w:vAlign w:val="center"/>
            <w:hideMark/>
          </w:tcPr>
          <w:p w14:paraId="27D53855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Definición conceptual</w:t>
            </w:r>
          </w:p>
        </w:tc>
        <w:tc>
          <w:tcPr>
            <w:tcW w:w="6080" w:type="dxa"/>
            <w:vAlign w:val="center"/>
            <w:hideMark/>
          </w:tcPr>
          <w:p w14:paraId="0FBC0613" w14:textId="01138399" w:rsidR="00D37BF2" w:rsidRPr="00FE1A38" w:rsidRDefault="00D37BF2" w:rsidP="00FE1A38">
            <w:pPr>
              <w:jc w:val="both"/>
              <w:rPr>
                <w:rStyle w:val="ui-provider"/>
                <w:rFonts w:ascii="Cambria" w:hAnsi="Cambria" w:cs="Segoe UI"/>
                <w:sz w:val="21"/>
                <w:szCs w:val="21"/>
                <w:u w:val="single"/>
              </w:rPr>
            </w:pPr>
            <w:r w:rsidRPr="00FE1A38">
              <w:rPr>
                <w:rStyle w:val="ui-provider"/>
                <w:rFonts w:ascii="Cambria" w:hAnsi="Cambria" w:cs="Segoe UI"/>
                <w:sz w:val="21"/>
                <w:szCs w:val="21"/>
              </w:rPr>
              <w:t xml:space="preserve">Servicios de atención: servicios de tratamiento </w:t>
            </w:r>
            <w:r w:rsidRPr="00DA43BC">
              <w:rPr>
                <w:rStyle w:val="ui-provider"/>
                <w:rFonts w:ascii="Cambria" w:hAnsi="Cambria" w:cs="Segoe UI"/>
                <w:sz w:val="21"/>
                <w:szCs w:val="21"/>
              </w:rPr>
              <w:t>integral</w:t>
            </w:r>
            <w:r w:rsidR="00172468" w:rsidRPr="00DA43BC">
              <w:rPr>
                <w:rStyle w:val="ui-provider"/>
                <w:rFonts w:ascii="Cambria" w:hAnsi="Cambria" w:cs="Segoe UI"/>
                <w:sz w:val="21"/>
                <w:szCs w:val="21"/>
              </w:rPr>
              <w:t xml:space="preserve"> y</w:t>
            </w:r>
            <w:r w:rsidRPr="00DA43BC">
              <w:rPr>
                <w:rStyle w:val="ui-provider"/>
                <w:rFonts w:ascii="Cambria" w:hAnsi="Cambria" w:cs="Segoe UI"/>
                <w:sz w:val="21"/>
                <w:szCs w:val="21"/>
              </w:rPr>
              <w:t xml:space="preserve"> </w:t>
            </w:r>
            <w:r w:rsidRPr="00FE1A38">
              <w:rPr>
                <w:rStyle w:val="ui-provider"/>
                <w:rFonts w:ascii="Cambria" w:hAnsi="Cambria" w:cs="Segoe UI"/>
                <w:sz w:val="21"/>
                <w:szCs w:val="21"/>
              </w:rPr>
              <w:t xml:space="preserve">rehabilitación a personas con consumo de sustancias psicoactivas y sus familias a través </w:t>
            </w:r>
            <w:r w:rsidR="00FE1A38" w:rsidRPr="00FE1A38">
              <w:rPr>
                <w:rStyle w:val="ui-provider"/>
                <w:rFonts w:ascii="Cambria" w:hAnsi="Cambria" w:cs="Segoe UI"/>
                <w:sz w:val="21"/>
                <w:szCs w:val="21"/>
              </w:rPr>
              <w:t>de</w:t>
            </w:r>
            <w:r w:rsidRPr="00FE1A38">
              <w:rPr>
                <w:rStyle w:val="ui-provider"/>
                <w:rFonts w:ascii="Cambria" w:hAnsi="Cambria" w:cs="Segoe UI"/>
                <w:sz w:val="21"/>
                <w:szCs w:val="21"/>
              </w:rPr>
              <w:t xml:space="preserve"> servicios </w:t>
            </w:r>
            <w:r w:rsidR="00FE1A38" w:rsidRPr="00FE1A38">
              <w:rPr>
                <w:rStyle w:val="ui-provider"/>
                <w:rFonts w:ascii="Cambria" w:hAnsi="Cambria" w:cs="Segoe UI"/>
                <w:sz w:val="21"/>
                <w:szCs w:val="21"/>
              </w:rPr>
              <w:t>ambulatorios y residenciales.</w:t>
            </w:r>
          </w:p>
          <w:p w14:paraId="2B63FFCF" w14:textId="6C230185" w:rsidR="00D37BF2" w:rsidRDefault="00D37BF2" w:rsidP="005439F9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D37BF2">
              <w:rPr>
                <w:rStyle w:val="ui-provider"/>
                <w:rFonts w:ascii="Segoe UI" w:hAnsi="Segoe UI" w:cs="Segoe UI"/>
                <w:color w:val="FF0000"/>
                <w:sz w:val="21"/>
                <w:szCs w:val="21"/>
              </w:rPr>
              <w:t> </w:t>
            </w:r>
          </w:p>
          <w:p w14:paraId="39DED6D1" w14:textId="38D6D440" w:rsidR="003E4DAE" w:rsidRPr="00970184" w:rsidRDefault="00723BA3" w:rsidP="00DA43BC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970184">
              <w:rPr>
                <w:rFonts w:ascii="Cambria" w:hAnsi="Cambria" w:cs="Arial"/>
                <w:lang w:val="es-CR"/>
              </w:rPr>
              <w:t>Brindar se</w:t>
            </w:r>
            <w:r w:rsidR="00172468">
              <w:rPr>
                <w:rFonts w:ascii="Cambria" w:hAnsi="Cambria" w:cs="Arial"/>
                <w:lang w:val="es-CR"/>
              </w:rPr>
              <w:t xml:space="preserve">rvicios de tratamiento </w:t>
            </w:r>
            <w:r w:rsidR="00172468" w:rsidRPr="00DA43BC">
              <w:rPr>
                <w:rFonts w:ascii="Cambria" w:hAnsi="Cambria" w:cs="Arial"/>
                <w:lang w:val="es-CR"/>
              </w:rPr>
              <w:t>integral y</w:t>
            </w:r>
            <w:r w:rsidRPr="00DA43BC">
              <w:rPr>
                <w:rFonts w:ascii="Cambria" w:hAnsi="Cambria" w:cs="Arial"/>
                <w:lang w:val="es-CR"/>
              </w:rPr>
              <w:t xml:space="preserve"> rehabilitación </w:t>
            </w:r>
            <w:r w:rsidRPr="00970184">
              <w:rPr>
                <w:rFonts w:ascii="Cambria" w:hAnsi="Cambria" w:cs="Arial"/>
                <w:lang w:val="es-CR"/>
              </w:rPr>
              <w:t>a personas con consumo de sustancias psicoactivas y sus familias, incorporando los enfoques de derechos humanos, género, inclusión social, vulnerabilidad; basados en evidencia y teniendo en cuenta estándares de calidad internacionales; con el fin de mejorar su calidad de vida</w:t>
            </w:r>
            <w:r w:rsidR="005439F9" w:rsidRPr="00970184">
              <w:rPr>
                <w:rFonts w:ascii="Cambria" w:hAnsi="Cambria" w:cs="Arial"/>
                <w:lang w:val="es-CR"/>
              </w:rPr>
              <w:t>, en los establecimientos o servicios del IAFA.</w:t>
            </w:r>
          </w:p>
        </w:tc>
      </w:tr>
      <w:tr w:rsidR="003E4DAE" w:rsidRPr="00970184" w14:paraId="41F4DC35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25A5E039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 xml:space="preserve">Fórmula de cálculo </w:t>
            </w:r>
          </w:p>
        </w:tc>
        <w:tc>
          <w:tcPr>
            <w:tcW w:w="6080" w:type="dxa"/>
            <w:vAlign w:val="center"/>
            <w:hideMark/>
          </w:tcPr>
          <w:p w14:paraId="1355497A" w14:textId="310D814B" w:rsidR="00746C8A" w:rsidRPr="00FE1A38" w:rsidRDefault="00746C8A" w:rsidP="00746C8A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PSA= </w:t>
            </w:r>
            <w:r w:rsidRPr="00FE1A38">
              <w:rPr>
                <w:rFonts w:ascii="Cambria Math" w:eastAsia="ArialMT" w:hAnsi="Cambria Math" w:cstheme="minorHAnsi"/>
                <w:sz w:val="24"/>
                <w:szCs w:val="24"/>
                <w:lang w:val="es-CR" w:eastAsia="en-US"/>
              </w:rPr>
              <w:t>⅀</w:t>
            </w: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(X</w:t>
            </w:r>
            <w:r w:rsidR="00FE1A38"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+Y</w:t>
            </w: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)</w:t>
            </w:r>
          </w:p>
          <w:p w14:paraId="104C4DFB" w14:textId="77777777" w:rsidR="008C53FD" w:rsidRPr="00FE1A38" w:rsidRDefault="008C53FD" w:rsidP="00D819F3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</w:p>
          <w:p w14:paraId="2D90DC8D" w14:textId="76D97AE3" w:rsidR="007A39D5" w:rsidRPr="00FE1A38" w:rsidRDefault="008C53FD" w:rsidP="00D819F3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Donde:</w:t>
            </w:r>
          </w:p>
          <w:p w14:paraId="7BFCA4FF" w14:textId="77777777" w:rsidR="008C53FD" w:rsidRPr="00FE1A38" w:rsidRDefault="008C53FD" w:rsidP="00D819F3">
            <w:pPr>
              <w:pStyle w:val="Sinespaciado"/>
              <w:jc w:val="both"/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</w:pPr>
          </w:p>
          <w:p w14:paraId="08B67CA5" w14:textId="2113696B" w:rsidR="007A39D5" w:rsidRPr="00FE1A38" w:rsidRDefault="00746C8A" w:rsidP="00D819F3">
            <w:pPr>
              <w:pStyle w:val="Sinespaciado"/>
              <w:jc w:val="both"/>
              <w:rPr>
                <w:rFonts w:ascii="Cambria" w:hAnsi="Cambria" w:cs="Arial"/>
                <w:lang w:val="es-CR" w:eastAsia="es-CR"/>
              </w:rPr>
            </w:pP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PSA:</w:t>
            </w:r>
            <w:r w:rsidRPr="00FE1A38">
              <w:rPr>
                <w:rFonts w:ascii="Cambria" w:hAnsi="Cambria" w:cs="Arial"/>
                <w:lang w:val="es-CR" w:eastAsia="es-CR"/>
              </w:rPr>
              <w:t xml:space="preserve"> personas que utili</w:t>
            </w:r>
            <w:r w:rsidR="00FE1A38" w:rsidRPr="00FE1A38">
              <w:rPr>
                <w:rFonts w:ascii="Cambria" w:hAnsi="Cambria" w:cs="Arial"/>
                <w:lang w:val="es-CR" w:eastAsia="es-CR"/>
              </w:rPr>
              <w:t xml:space="preserve">zan servicios de atención por </w:t>
            </w:r>
            <w:r w:rsidRPr="00FE1A38">
              <w:rPr>
                <w:rFonts w:ascii="Cambria" w:hAnsi="Cambria" w:cs="Arial"/>
                <w:lang w:val="es-CR" w:eastAsia="es-CR"/>
              </w:rPr>
              <w:t>consumo de sustancias psicoactivas.</w:t>
            </w:r>
          </w:p>
          <w:p w14:paraId="1907A2F2" w14:textId="3F0C4EF6" w:rsidR="007A39D5" w:rsidRPr="00FE1A38" w:rsidRDefault="00746C8A" w:rsidP="00D819F3">
            <w:pPr>
              <w:pStyle w:val="Sinespaciado"/>
              <w:jc w:val="both"/>
              <w:rPr>
                <w:rFonts w:ascii="Cambria" w:hAnsi="Cambria" w:cs="Arial"/>
                <w:lang w:val="es-CR" w:eastAsia="es-CR"/>
              </w:rPr>
            </w:pP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 xml:space="preserve">X: Número de </w:t>
            </w:r>
            <w:r w:rsidRPr="00FE1A38">
              <w:rPr>
                <w:rFonts w:ascii="Cambria" w:hAnsi="Cambria" w:cs="Arial"/>
                <w:lang w:val="es-CR" w:eastAsia="es-CR"/>
              </w:rPr>
              <w:t xml:space="preserve">personas </w:t>
            </w:r>
            <w:r w:rsidR="00FE1A38" w:rsidRPr="00FE1A38">
              <w:rPr>
                <w:rFonts w:ascii="Cambria" w:hAnsi="Cambria" w:cs="Arial"/>
                <w:lang w:val="es-CR" w:eastAsia="es-CR"/>
              </w:rPr>
              <w:t xml:space="preserve">(menores y mayores de edad) </w:t>
            </w:r>
            <w:r w:rsidRPr="00FE1A38">
              <w:rPr>
                <w:rFonts w:ascii="Cambria" w:hAnsi="Cambria" w:cs="Arial"/>
                <w:lang w:val="es-CR" w:eastAsia="es-CR"/>
              </w:rPr>
              <w:t>atendidas</w:t>
            </w:r>
            <w:r w:rsidR="0072202A" w:rsidRPr="00FE1A38">
              <w:rPr>
                <w:rFonts w:ascii="Cambria" w:hAnsi="Cambria" w:cs="Arial"/>
                <w:lang w:val="es-CR" w:eastAsia="es-CR"/>
              </w:rPr>
              <w:t xml:space="preserve"> anualmente</w:t>
            </w:r>
            <w:r w:rsidR="00FE1A38" w:rsidRPr="00FE1A38">
              <w:rPr>
                <w:rFonts w:ascii="Cambria" w:hAnsi="Cambria" w:cs="Arial"/>
                <w:lang w:val="es-CR" w:eastAsia="es-CR"/>
              </w:rPr>
              <w:t xml:space="preserve"> en servicios ambulatorios.</w:t>
            </w:r>
          </w:p>
          <w:p w14:paraId="6FC2C36B" w14:textId="62B40575" w:rsidR="00FE1A38" w:rsidRPr="00FE1A38" w:rsidRDefault="00FE1A38" w:rsidP="00D819F3">
            <w:pPr>
              <w:pStyle w:val="Sinespaciado"/>
              <w:jc w:val="both"/>
              <w:rPr>
                <w:rFonts w:ascii="Cambria" w:hAnsi="Cambria" w:cs="Arial"/>
                <w:lang w:val="es-CR" w:eastAsia="es-CR"/>
              </w:rPr>
            </w:pPr>
            <w:r w:rsidRPr="00FE1A38">
              <w:rPr>
                <w:rFonts w:ascii="Cambria" w:hAnsi="Cambria" w:cs="Arial"/>
                <w:lang w:val="es-CR" w:eastAsia="es-CR"/>
              </w:rPr>
              <w:t>Y: Número de personas menores de edad atendidas anualmente en servicios residenciales.</w:t>
            </w:r>
          </w:p>
          <w:p w14:paraId="6797B482" w14:textId="6436240B" w:rsidR="00FB4047" w:rsidRPr="00FE1A38" w:rsidRDefault="00E97DF9" w:rsidP="00FB4047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FE1A38">
              <w:rPr>
                <w:rFonts w:asciiTheme="minorHAnsi" w:eastAsia="ArialMT" w:hAnsiTheme="minorHAnsi" w:cstheme="minorHAnsi"/>
                <w:sz w:val="24"/>
                <w:szCs w:val="24"/>
                <w:lang w:val="es-CR" w:eastAsia="en-US"/>
              </w:rPr>
              <w:t>Σ</w:t>
            </w:r>
            <w:r w:rsidRPr="00FE1A38">
              <w:rPr>
                <w:rFonts w:asciiTheme="minorHAnsi" w:hAnsiTheme="minorHAnsi" w:cstheme="minorHAnsi"/>
                <w:lang w:val="es-CR" w:eastAsia="en-US"/>
              </w:rPr>
              <w:t xml:space="preserve"> </w:t>
            </w:r>
            <w:r w:rsidR="003E4DAE" w:rsidRPr="00FE1A38">
              <w:rPr>
                <w:rFonts w:ascii="Cambria" w:hAnsi="Cambria" w:cs="Arial"/>
                <w:lang w:val="es-CR" w:eastAsia="es-CR"/>
              </w:rPr>
              <w:t xml:space="preserve">de </w:t>
            </w:r>
            <w:r w:rsidR="00EA752A" w:rsidRPr="00FE1A38">
              <w:rPr>
                <w:rFonts w:ascii="Cambria" w:hAnsi="Cambria" w:cs="Arial"/>
                <w:lang w:val="es-CR" w:eastAsia="es-CR"/>
              </w:rPr>
              <w:t>p</w:t>
            </w:r>
            <w:r w:rsidR="00B3070A" w:rsidRPr="00FE1A38">
              <w:rPr>
                <w:rFonts w:ascii="Cambria" w:hAnsi="Cambria" w:cs="Arial"/>
                <w:lang w:val="es-CR" w:eastAsia="es-CR"/>
              </w:rPr>
              <w:t xml:space="preserve">acientes </w:t>
            </w:r>
            <w:r w:rsidR="00EA752A" w:rsidRPr="00FE1A38">
              <w:rPr>
                <w:rFonts w:ascii="Cambria" w:hAnsi="Cambria" w:cs="Arial"/>
                <w:lang w:val="es-CR" w:eastAsia="es-CR"/>
              </w:rPr>
              <w:t xml:space="preserve">(personas) </w:t>
            </w:r>
            <w:r w:rsidR="00B3070A" w:rsidRPr="00FE1A38">
              <w:rPr>
                <w:rFonts w:ascii="Cambria" w:hAnsi="Cambria" w:cs="Arial"/>
                <w:lang w:val="es-CR" w:eastAsia="es-CR"/>
              </w:rPr>
              <w:t xml:space="preserve">que consultan </w:t>
            </w:r>
            <w:r w:rsidR="00B3070A" w:rsidRPr="00FE1A38">
              <w:rPr>
                <w:rFonts w:ascii="Cambria" w:hAnsi="Cambria" w:cs="Arial"/>
                <w:lang w:val="es-CR"/>
              </w:rPr>
              <w:t>en los establecimientos o servicios del IAFA</w:t>
            </w:r>
          </w:p>
        </w:tc>
      </w:tr>
      <w:tr w:rsidR="003E4DAE" w:rsidRPr="00970184" w14:paraId="305C1008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</w:tcPr>
          <w:p w14:paraId="69B0B631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Componentes involucrados en la fórmula del cálculo</w:t>
            </w:r>
          </w:p>
        </w:tc>
        <w:tc>
          <w:tcPr>
            <w:tcW w:w="6080" w:type="dxa"/>
            <w:vAlign w:val="center"/>
          </w:tcPr>
          <w:p w14:paraId="07BE7E36" w14:textId="77777777" w:rsidR="00FE1A38" w:rsidRDefault="000B4FC9" w:rsidP="00700FDD">
            <w:pPr>
              <w:pStyle w:val="Sinespaciado"/>
              <w:jc w:val="both"/>
              <w:rPr>
                <w:rFonts w:ascii="Cambria" w:hAnsi="Cambria" w:cs="Arial"/>
                <w:color w:val="000000"/>
                <w:lang w:val="es-CR" w:eastAsia="es-CR"/>
              </w:rPr>
            </w:pPr>
            <w:r>
              <w:rPr>
                <w:rFonts w:ascii="Cambria" w:hAnsi="Cambria" w:cs="Arial"/>
                <w:color w:val="000000"/>
                <w:lang w:val="es-CR" w:eastAsia="es-CR"/>
              </w:rPr>
              <w:t>P</w:t>
            </w:r>
            <w:r w:rsidR="00700FDD" w:rsidRPr="00970184">
              <w:rPr>
                <w:rFonts w:ascii="Cambria" w:hAnsi="Cambria" w:cs="Arial"/>
                <w:color w:val="000000"/>
                <w:lang w:val="es-CR" w:eastAsia="es-CR"/>
              </w:rPr>
              <w:t>ersonas</w:t>
            </w:r>
            <w:r w:rsidR="00241E06"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 atendida</w:t>
            </w:r>
            <w:r w:rsidR="00FE1A38">
              <w:rPr>
                <w:rFonts w:ascii="Cambria" w:hAnsi="Cambria" w:cs="Arial"/>
                <w:color w:val="000000"/>
                <w:lang w:val="es-CR" w:eastAsia="es-CR"/>
              </w:rPr>
              <w:t>s anualmente en servicios ambulatorios.</w:t>
            </w:r>
          </w:p>
          <w:p w14:paraId="3B4A66F1" w14:textId="3852F125" w:rsidR="003E4DAE" w:rsidRPr="00970184" w:rsidRDefault="00FE1A38" w:rsidP="00700FDD">
            <w:pPr>
              <w:pStyle w:val="Sinespaciado"/>
              <w:jc w:val="both"/>
              <w:rPr>
                <w:rFonts w:ascii="Cambria" w:hAnsi="Cambria" w:cs="Arial"/>
                <w:bCs/>
                <w:lang w:val="es-CR"/>
              </w:rPr>
            </w:pPr>
            <w:r>
              <w:rPr>
                <w:rFonts w:ascii="Cambria" w:hAnsi="Cambria" w:cs="Arial"/>
                <w:color w:val="000000"/>
                <w:lang w:val="es-CR" w:eastAsia="es-CR"/>
              </w:rPr>
              <w:t>Personas menores de edad atendidas anualmente en servicios residenciales.</w:t>
            </w:r>
          </w:p>
        </w:tc>
      </w:tr>
      <w:tr w:rsidR="003E4DAE" w:rsidRPr="00970184" w14:paraId="21EFF359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56DFCCA2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Unidad de medida</w:t>
            </w:r>
          </w:p>
        </w:tc>
        <w:tc>
          <w:tcPr>
            <w:tcW w:w="6080" w:type="dxa"/>
            <w:vAlign w:val="center"/>
            <w:hideMark/>
          </w:tcPr>
          <w:p w14:paraId="62BA58DD" w14:textId="5F420731" w:rsidR="003E4DAE" w:rsidRPr="00970184" w:rsidRDefault="00A44D9E" w:rsidP="00D819F3">
            <w:pPr>
              <w:pStyle w:val="Sinespaciado"/>
              <w:jc w:val="both"/>
              <w:rPr>
                <w:rFonts w:ascii="Cambria" w:hAnsi="Cambria" w:cs="Arial"/>
                <w:bCs/>
                <w:lang w:val="es-CR"/>
              </w:rPr>
            </w:pPr>
            <w:r>
              <w:rPr>
                <w:rFonts w:ascii="Cambria" w:hAnsi="Cambria" w:cs="Arial"/>
                <w:color w:val="000000"/>
                <w:lang w:val="es-CR" w:eastAsia="es-CR"/>
              </w:rPr>
              <w:t>Nú</w:t>
            </w:r>
            <w:r w:rsidR="000B4FC9">
              <w:rPr>
                <w:rFonts w:ascii="Cambria" w:hAnsi="Cambria" w:cs="Arial"/>
                <w:color w:val="000000"/>
                <w:lang w:val="es-CR" w:eastAsia="es-CR"/>
              </w:rPr>
              <w:t>mero</w:t>
            </w:r>
          </w:p>
        </w:tc>
      </w:tr>
      <w:tr w:rsidR="003E4DAE" w:rsidRPr="00970184" w14:paraId="6BA764F1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0D5767BD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Interpretación</w:t>
            </w:r>
          </w:p>
        </w:tc>
        <w:tc>
          <w:tcPr>
            <w:tcW w:w="6080" w:type="dxa"/>
            <w:vAlign w:val="center"/>
            <w:hideMark/>
          </w:tcPr>
          <w:p w14:paraId="00EFE309" w14:textId="432F25D8" w:rsidR="00795CB1" w:rsidRPr="0005307D" w:rsidRDefault="00795CB1" w:rsidP="0016320C">
            <w:pPr>
              <w:pStyle w:val="Sinespaciado"/>
              <w:jc w:val="both"/>
              <w:rPr>
                <w:rFonts w:ascii="Cambria" w:hAnsi="Cambria" w:cs="Arial"/>
                <w:lang w:val="es-CR" w:eastAsia="es-CR"/>
              </w:rPr>
            </w:pPr>
            <w:r w:rsidRPr="0005307D">
              <w:rPr>
                <w:rFonts w:ascii="Cambria" w:hAnsi="Cambria" w:cs="Arial"/>
                <w:lang w:val="es-CR" w:eastAsia="es-CR"/>
              </w:rPr>
              <w:t>Número de personas atendidas anualmente en los servicios</w:t>
            </w:r>
            <w:r w:rsidR="0005307D" w:rsidRPr="0005307D">
              <w:rPr>
                <w:rFonts w:ascii="Cambria" w:hAnsi="Cambria" w:cs="Arial"/>
                <w:lang w:val="es-CR" w:eastAsia="es-CR"/>
              </w:rPr>
              <w:t xml:space="preserve"> ambulatorios y </w:t>
            </w:r>
            <w:r w:rsidR="0005307D" w:rsidRPr="00DA43BC">
              <w:rPr>
                <w:rFonts w:ascii="Cambria" w:hAnsi="Cambria" w:cs="Arial"/>
                <w:lang w:val="es-CR" w:eastAsia="es-CR"/>
              </w:rPr>
              <w:t>residenciales</w:t>
            </w:r>
            <w:r w:rsidRPr="00DA43BC">
              <w:rPr>
                <w:rFonts w:ascii="Cambria" w:hAnsi="Cambria" w:cs="Arial"/>
                <w:lang w:val="es-CR" w:eastAsia="es-CR"/>
              </w:rPr>
              <w:t>,</w:t>
            </w:r>
            <w:r w:rsidR="005C791C" w:rsidRPr="00DA43BC">
              <w:rPr>
                <w:rFonts w:ascii="Cambria" w:hAnsi="Cambria" w:cs="Arial"/>
                <w:lang w:val="es-CR" w:eastAsia="es-CR"/>
              </w:rPr>
              <w:t xml:space="preserve"> por eventos directamente asociados al consumo de psicoactivos.</w:t>
            </w:r>
          </w:p>
          <w:p w14:paraId="6D337F4B" w14:textId="46FB0F36" w:rsidR="0016320C" w:rsidRPr="00970184" w:rsidRDefault="0016320C" w:rsidP="00DA43BC">
            <w:pPr>
              <w:pStyle w:val="Sinespaciado"/>
              <w:jc w:val="both"/>
              <w:rPr>
                <w:rFonts w:ascii="Cambria" w:hAnsi="Cambria" w:cs="Arial"/>
                <w:bCs/>
                <w:lang w:val="es-CR"/>
              </w:rPr>
            </w:pPr>
            <w:r w:rsidRPr="0005307D">
              <w:rPr>
                <w:rFonts w:ascii="Cambria" w:hAnsi="Cambria" w:cs="Arial"/>
                <w:lang w:val="es-CR" w:eastAsia="es-CR"/>
              </w:rPr>
              <w:t xml:space="preserve">Las personas consultantes (pacientes) permiten 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cuantificar la demanda de los </w:t>
            </w:r>
            <w:r w:rsidRPr="00DA43BC">
              <w:rPr>
                <w:rFonts w:ascii="Cambria" w:hAnsi="Cambria" w:cs="Arial"/>
                <w:lang w:val="es-CR" w:eastAsia="es-CR"/>
              </w:rPr>
              <w:t xml:space="preserve">servicios y medir el crecimiento de la cobertura, </w:t>
            </w:r>
            <w:r w:rsidR="00AA5C3E" w:rsidRPr="00DA43BC">
              <w:rPr>
                <w:rFonts w:ascii="Cambria" w:hAnsi="Cambria" w:cs="Arial"/>
                <w:lang w:val="es-CR" w:eastAsia="es-CR"/>
              </w:rPr>
              <w:t xml:space="preserve">para lo cual, es necesario </w:t>
            </w:r>
            <w:r w:rsidR="00A44D9E" w:rsidRPr="00DA43BC">
              <w:rPr>
                <w:rFonts w:ascii="Cambria" w:hAnsi="Cambria" w:cs="Arial"/>
                <w:lang w:val="es-CR" w:eastAsia="es-CR"/>
              </w:rPr>
              <w:t>conocer la</w:t>
            </w:r>
            <w:r w:rsidR="00DA43BC">
              <w:rPr>
                <w:rFonts w:ascii="Cambria" w:hAnsi="Cambria" w:cs="Arial"/>
                <w:lang w:val="es-CR" w:eastAsia="es-CR"/>
              </w:rPr>
              <w:t>s</w:t>
            </w:r>
            <w:r w:rsidR="00A44D9E" w:rsidRPr="00DA43BC">
              <w:rPr>
                <w:rFonts w:ascii="Cambria" w:hAnsi="Cambria" w:cs="Arial"/>
                <w:lang w:val="es-CR" w:eastAsia="es-CR"/>
              </w:rPr>
              <w:t xml:space="preserve"> consulta</w:t>
            </w:r>
            <w:r w:rsidRPr="00DA43BC">
              <w:rPr>
                <w:rFonts w:ascii="Cambria" w:hAnsi="Cambria" w:cs="Arial"/>
                <w:lang w:val="es-CR" w:eastAsia="es-CR"/>
              </w:rPr>
              <w:t>s de primera vez en la vida</w:t>
            </w:r>
            <w:r w:rsidR="00DA43BC">
              <w:rPr>
                <w:rFonts w:ascii="Cambria" w:hAnsi="Cambria" w:cs="Arial"/>
                <w:lang w:val="es-CR" w:eastAsia="es-CR"/>
              </w:rPr>
              <w:t xml:space="preserve"> y</w:t>
            </w:r>
            <w:r w:rsidR="00341860" w:rsidRPr="00DA43BC">
              <w:rPr>
                <w:rFonts w:ascii="Cambria" w:hAnsi="Cambria" w:cs="Arial"/>
                <w:lang w:val="es-CR" w:eastAsia="es-CR"/>
              </w:rPr>
              <w:t xml:space="preserve"> las</w:t>
            </w:r>
            <w:r w:rsidR="00AA5C3E" w:rsidRPr="00DA43BC">
              <w:rPr>
                <w:rFonts w:ascii="Cambria" w:hAnsi="Cambria" w:cs="Arial"/>
                <w:lang w:val="es-CR" w:eastAsia="es-CR"/>
              </w:rPr>
              <w:t xml:space="preserve"> subsecuentes</w:t>
            </w:r>
            <w:r w:rsidR="00DA43BC">
              <w:rPr>
                <w:rFonts w:ascii="Cambria" w:hAnsi="Cambria" w:cs="Arial"/>
                <w:lang w:val="es-CR" w:eastAsia="es-CR"/>
              </w:rPr>
              <w:t xml:space="preserve">, </w:t>
            </w:r>
            <w:r w:rsidR="00DA43BC" w:rsidRPr="00DA43BC">
              <w:rPr>
                <w:rFonts w:ascii="Cambria" w:hAnsi="Cambria" w:cs="Arial"/>
                <w:lang w:val="es-CR" w:eastAsia="es-CR"/>
              </w:rPr>
              <w:t>por eventos directamente asociados al consumo de sustancias psicoactivas.</w:t>
            </w:r>
            <w:r w:rsidR="00DA43BC">
              <w:rPr>
                <w:rFonts w:ascii="Cambria" w:hAnsi="Cambria" w:cs="Arial"/>
                <w:lang w:val="es-CR" w:eastAsia="es-CR"/>
              </w:rPr>
              <w:t xml:space="preserve"> </w:t>
            </w:r>
          </w:p>
        </w:tc>
      </w:tr>
      <w:tr w:rsidR="003E4DAE" w:rsidRPr="00970184" w14:paraId="6AED85F7" w14:textId="77777777" w:rsidTr="00D819F3">
        <w:trPr>
          <w:trHeight w:val="240"/>
        </w:trPr>
        <w:tc>
          <w:tcPr>
            <w:tcW w:w="1650" w:type="dxa"/>
            <w:vMerge w:val="restart"/>
            <w:vAlign w:val="center"/>
            <w:hideMark/>
          </w:tcPr>
          <w:p w14:paraId="0FD865C5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Desagregación</w:t>
            </w:r>
          </w:p>
        </w:tc>
        <w:tc>
          <w:tcPr>
            <w:tcW w:w="1337" w:type="dxa"/>
            <w:vAlign w:val="center"/>
          </w:tcPr>
          <w:p w14:paraId="7BC4DF8D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Geográfica</w:t>
            </w:r>
          </w:p>
        </w:tc>
        <w:tc>
          <w:tcPr>
            <w:tcW w:w="6080" w:type="dxa"/>
            <w:vAlign w:val="center"/>
            <w:hideMark/>
          </w:tcPr>
          <w:p w14:paraId="4AC10BC6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Gran Área Metropolitana y Occidente</w:t>
            </w:r>
          </w:p>
        </w:tc>
      </w:tr>
      <w:tr w:rsidR="003E4DAE" w:rsidRPr="00970184" w14:paraId="3663405E" w14:textId="77777777" w:rsidTr="00D819F3">
        <w:trPr>
          <w:trHeight w:val="240"/>
        </w:trPr>
        <w:tc>
          <w:tcPr>
            <w:tcW w:w="1650" w:type="dxa"/>
            <w:vMerge/>
            <w:vAlign w:val="center"/>
          </w:tcPr>
          <w:p w14:paraId="3539492C" w14:textId="77777777" w:rsidR="003E4DAE" w:rsidRPr="00970184" w:rsidRDefault="003E4DAE" w:rsidP="00D819F3">
            <w:pPr>
              <w:pStyle w:val="Sinespaciado"/>
              <w:jc w:val="center"/>
              <w:rPr>
                <w:rFonts w:ascii="Cambria" w:hAnsi="Cambria" w:cs="Arial"/>
                <w:b/>
                <w:bCs/>
                <w:lang w:val="es-CR"/>
              </w:rPr>
            </w:pPr>
          </w:p>
        </w:tc>
        <w:tc>
          <w:tcPr>
            <w:tcW w:w="1337" w:type="dxa"/>
            <w:vAlign w:val="center"/>
          </w:tcPr>
          <w:p w14:paraId="71B8DAF3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Temática</w:t>
            </w:r>
          </w:p>
        </w:tc>
        <w:tc>
          <w:tcPr>
            <w:tcW w:w="6080" w:type="dxa"/>
            <w:vAlign w:val="center"/>
          </w:tcPr>
          <w:p w14:paraId="5BB47E6F" w14:textId="16C17C90" w:rsidR="003E4DAE" w:rsidRPr="00970184" w:rsidRDefault="005744A2" w:rsidP="0005307D">
            <w:pPr>
              <w:pStyle w:val="Sinespaciado"/>
              <w:jc w:val="both"/>
              <w:rPr>
                <w:rFonts w:ascii="Cambria" w:hAnsi="Cambria" w:cs="Arial"/>
                <w:lang w:val="es-CR"/>
              </w:rPr>
            </w:pPr>
            <w:r w:rsidRPr="006B1C47">
              <w:rPr>
                <w:rFonts w:ascii="Cambria" w:hAnsi="Cambria" w:cs="Arial"/>
                <w:color w:val="000000"/>
                <w:lang w:val="es-CR" w:eastAsia="es-CR"/>
              </w:rPr>
              <w:t>Sexo, edad</w:t>
            </w:r>
            <w:r w:rsidR="0005307D">
              <w:rPr>
                <w:rFonts w:ascii="Cambria" w:hAnsi="Cambria" w:cs="Arial"/>
                <w:color w:val="000000"/>
                <w:lang w:val="es-CR" w:eastAsia="es-CR"/>
              </w:rPr>
              <w:t>, tipo de servicios</w:t>
            </w:r>
            <w:r w:rsidRPr="006B1C47">
              <w:rPr>
                <w:rFonts w:ascii="Cambria" w:hAnsi="Cambria" w:cs="Arial"/>
                <w:color w:val="000000"/>
                <w:lang w:val="es-CR" w:eastAsia="es-CR"/>
              </w:rPr>
              <w:t xml:space="preserve"> y especialidad o modalidad</w:t>
            </w:r>
            <w:r w:rsidR="0005307D">
              <w:rPr>
                <w:rFonts w:ascii="Cambria" w:hAnsi="Cambria" w:cs="Arial"/>
                <w:color w:val="000000"/>
                <w:lang w:val="es-CR" w:eastAsia="es-CR"/>
              </w:rPr>
              <w:t>.</w:t>
            </w:r>
          </w:p>
        </w:tc>
      </w:tr>
      <w:tr w:rsidR="003E4DAE" w:rsidRPr="00970184" w14:paraId="2344D18E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18A91A09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lastRenderedPageBreak/>
              <w:t>Línea base</w:t>
            </w:r>
          </w:p>
        </w:tc>
        <w:tc>
          <w:tcPr>
            <w:tcW w:w="6080" w:type="dxa"/>
            <w:vAlign w:val="center"/>
            <w:hideMark/>
          </w:tcPr>
          <w:p w14:paraId="2A58947A" w14:textId="65C28375" w:rsidR="003E4DAE" w:rsidRPr="00970184" w:rsidRDefault="003E4DAE" w:rsidP="0016320C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2020: </w:t>
            </w:r>
            <w:r w:rsidR="00116318" w:rsidRPr="00970184">
              <w:rPr>
                <w:rFonts w:ascii="Cambria" w:hAnsi="Cambria" w:cs="Arial"/>
                <w:color w:val="000000"/>
                <w:lang w:val="es-CR" w:eastAsia="es-CR"/>
              </w:rPr>
              <w:t>17.</w:t>
            </w:r>
            <w:r w:rsidR="003C12F6">
              <w:rPr>
                <w:rFonts w:ascii="Cambria" w:hAnsi="Cambria" w:cs="Arial"/>
                <w:color w:val="000000"/>
                <w:lang w:val="es-CR" w:eastAsia="es-CR"/>
              </w:rPr>
              <w:t>00</w:t>
            </w:r>
            <w:r w:rsidR="00116318" w:rsidRPr="00970184">
              <w:rPr>
                <w:rFonts w:ascii="Cambria" w:hAnsi="Cambria" w:cs="Arial"/>
                <w:color w:val="000000"/>
                <w:lang w:val="es-CR" w:eastAsia="es-CR"/>
              </w:rPr>
              <w:t>5</w:t>
            </w: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 </w:t>
            </w:r>
            <w:r w:rsidR="0016320C" w:rsidRPr="00970184">
              <w:rPr>
                <w:rFonts w:ascii="Cambria" w:hAnsi="Cambria" w:cs="Arial"/>
                <w:color w:val="000000"/>
                <w:lang w:val="es-CR" w:eastAsia="es-CR"/>
              </w:rPr>
              <w:t>personas que consultan en los servicios del IAFA</w:t>
            </w:r>
          </w:p>
        </w:tc>
      </w:tr>
      <w:tr w:rsidR="003E4DAE" w:rsidRPr="00970184" w14:paraId="303225A3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22280822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Meta</w:t>
            </w:r>
          </w:p>
        </w:tc>
        <w:tc>
          <w:tcPr>
            <w:tcW w:w="6080" w:type="dxa"/>
            <w:vAlign w:val="center"/>
            <w:hideMark/>
          </w:tcPr>
          <w:p w14:paraId="74CCC821" w14:textId="5533557C" w:rsidR="003E4DAE" w:rsidRPr="00970184" w:rsidRDefault="003E4DAE" w:rsidP="00D819F3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2030: </w:t>
            </w:r>
            <w:r w:rsidR="004E3C44" w:rsidRPr="00970184">
              <w:rPr>
                <w:rFonts w:ascii="Cambria" w:hAnsi="Cambria" w:cs="Arial"/>
                <w:color w:val="000000"/>
                <w:lang w:val="es-CR" w:eastAsia="es-CR"/>
              </w:rPr>
              <w:t>19.270</w:t>
            </w:r>
          </w:p>
          <w:p w14:paraId="6F269AA3" w14:textId="2547B7E0" w:rsidR="003E4DAE" w:rsidRPr="00970184" w:rsidRDefault="003E4DAE" w:rsidP="00D819F3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2040: </w:t>
            </w:r>
            <w:r w:rsidR="004E3C44" w:rsidRPr="00970184">
              <w:rPr>
                <w:rFonts w:ascii="Cambria" w:hAnsi="Cambria" w:cs="Arial"/>
                <w:color w:val="000000"/>
                <w:lang w:val="es-CR" w:eastAsia="es-CR"/>
              </w:rPr>
              <w:t>20.085</w:t>
            </w:r>
          </w:p>
          <w:p w14:paraId="37075AC6" w14:textId="53C661DC" w:rsidR="003E4DAE" w:rsidRPr="00970184" w:rsidRDefault="003E4DAE" w:rsidP="00D819F3">
            <w:pPr>
              <w:pStyle w:val="Sinespaciado"/>
              <w:rPr>
                <w:rFonts w:ascii="Cambria" w:hAnsi="Cambria" w:cs="Arial"/>
                <w:color w:val="000000"/>
                <w:lang w:val="es-CR" w:eastAsia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 xml:space="preserve">2050: </w:t>
            </w:r>
            <w:r w:rsidR="004E3C44" w:rsidRPr="00970184">
              <w:rPr>
                <w:rFonts w:ascii="Cambria" w:hAnsi="Cambria" w:cs="Arial"/>
                <w:color w:val="000000"/>
                <w:lang w:val="es-CR" w:eastAsia="es-CR"/>
              </w:rPr>
              <w:t>18.336</w:t>
            </w:r>
          </w:p>
        </w:tc>
      </w:tr>
      <w:tr w:rsidR="003E4DAE" w:rsidRPr="00970184" w14:paraId="17F56962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0EDAB18A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 xml:space="preserve">Periodicidad </w:t>
            </w:r>
          </w:p>
        </w:tc>
        <w:tc>
          <w:tcPr>
            <w:tcW w:w="6080" w:type="dxa"/>
            <w:vAlign w:val="center"/>
            <w:hideMark/>
          </w:tcPr>
          <w:p w14:paraId="76D9AE02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Trimestral, Semestral y Anual</w:t>
            </w:r>
          </w:p>
        </w:tc>
      </w:tr>
      <w:tr w:rsidR="003E4DAE" w:rsidRPr="00970184" w14:paraId="2652B8E3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3CD88262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bCs/>
                <w:lang w:val="es-CR"/>
              </w:rPr>
              <w:t>Fuente de información</w:t>
            </w:r>
          </w:p>
        </w:tc>
        <w:tc>
          <w:tcPr>
            <w:tcW w:w="6080" w:type="dxa"/>
            <w:vAlign w:val="center"/>
          </w:tcPr>
          <w:p w14:paraId="590EC2C4" w14:textId="006F5555" w:rsidR="003E4DAE" w:rsidRPr="00970184" w:rsidRDefault="0016320C" w:rsidP="00D819F3">
            <w:pPr>
              <w:rPr>
                <w:rFonts w:ascii="Cambria" w:hAnsi="Cambria" w:cs="Arial"/>
                <w:bCs/>
                <w:strike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Registros Médicos del IAFA y expedientes de los pacientes</w:t>
            </w:r>
          </w:p>
        </w:tc>
      </w:tr>
      <w:tr w:rsidR="003E4DAE" w:rsidRPr="00970184" w14:paraId="1F0A2CE5" w14:textId="77777777" w:rsidTr="00D819F3">
        <w:trPr>
          <w:trHeight w:val="290"/>
        </w:trPr>
        <w:tc>
          <w:tcPr>
            <w:tcW w:w="2987" w:type="dxa"/>
            <w:gridSpan w:val="2"/>
            <w:vAlign w:val="center"/>
            <w:hideMark/>
          </w:tcPr>
          <w:p w14:paraId="4E8BB494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Clasificación</w:t>
            </w:r>
          </w:p>
        </w:tc>
        <w:tc>
          <w:tcPr>
            <w:tcW w:w="6080" w:type="dxa"/>
            <w:vAlign w:val="center"/>
            <w:hideMark/>
          </w:tcPr>
          <w:p w14:paraId="609B82FB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proofErr w:type="gramStart"/>
            <w:r w:rsidRPr="00970184">
              <w:rPr>
                <w:rFonts w:ascii="Cambria" w:hAnsi="Cambria" w:cs="Arial"/>
                <w:bCs/>
                <w:lang w:val="es-CR"/>
              </w:rPr>
              <w:t>(  )</w:t>
            </w:r>
            <w:proofErr w:type="gramEnd"/>
            <w:r w:rsidRPr="00970184">
              <w:rPr>
                <w:rFonts w:ascii="Cambria" w:hAnsi="Cambria" w:cs="Arial"/>
                <w:bCs/>
                <w:lang w:val="es-CR"/>
              </w:rPr>
              <w:t xml:space="preserve"> Impacto.</w:t>
            </w:r>
          </w:p>
          <w:p w14:paraId="48FCC2A1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proofErr w:type="gramStart"/>
            <w:r w:rsidRPr="00970184">
              <w:rPr>
                <w:rFonts w:ascii="Cambria" w:hAnsi="Cambria" w:cs="Arial"/>
                <w:bCs/>
                <w:lang w:val="es-CR"/>
              </w:rPr>
              <w:t>(  )</w:t>
            </w:r>
            <w:proofErr w:type="gramEnd"/>
            <w:r w:rsidRPr="00970184">
              <w:rPr>
                <w:rFonts w:ascii="Cambria" w:hAnsi="Cambria" w:cs="Arial"/>
                <w:bCs/>
                <w:lang w:val="es-CR"/>
              </w:rPr>
              <w:t xml:space="preserve"> Efecto.</w:t>
            </w:r>
          </w:p>
          <w:p w14:paraId="23C38676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bCs/>
                <w:lang w:val="es-CR"/>
              </w:rPr>
              <w:t>(X) Producto.</w:t>
            </w:r>
          </w:p>
        </w:tc>
      </w:tr>
      <w:tr w:rsidR="003E4DAE" w:rsidRPr="00970184" w14:paraId="4F3FAA93" w14:textId="77777777" w:rsidTr="00D819F3">
        <w:trPr>
          <w:trHeight w:val="510"/>
        </w:trPr>
        <w:tc>
          <w:tcPr>
            <w:tcW w:w="2987" w:type="dxa"/>
            <w:gridSpan w:val="2"/>
            <w:vAlign w:val="center"/>
            <w:hideMark/>
          </w:tcPr>
          <w:p w14:paraId="6469005E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Tipo de operación estadística</w:t>
            </w:r>
          </w:p>
        </w:tc>
        <w:tc>
          <w:tcPr>
            <w:tcW w:w="6080" w:type="dxa"/>
            <w:vAlign w:val="center"/>
            <w:hideMark/>
          </w:tcPr>
          <w:p w14:paraId="2B3FF250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Cs/>
                <w:lang w:val="es-CR"/>
              </w:rPr>
            </w:pPr>
            <w:r w:rsidRPr="00970184">
              <w:rPr>
                <w:rFonts w:ascii="Cambria" w:hAnsi="Cambria" w:cs="Arial"/>
                <w:color w:val="000000"/>
                <w:lang w:val="es-CR" w:eastAsia="es-CR"/>
              </w:rPr>
              <w:t>Registros administrativos</w:t>
            </w:r>
          </w:p>
        </w:tc>
      </w:tr>
      <w:tr w:rsidR="003E4DAE" w:rsidRPr="00970184" w14:paraId="2CB01BB0" w14:textId="77777777" w:rsidTr="00D819F3">
        <w:trPr>
          <w:trHeight w:val="522"/>
        </w:trPr>
        <w:tc>
          <w:tcPr>
            <w:tcW w:w="2987" w:type="dxa"/>
            <w:gridSpan w:val="2"/>
            <w:vAlign w:val="center"/>
            <w:hideMark/>
          </w:tcPr>
          <w:p w14:paraId="587F9621" w14:textId="77777777" w:rsidR="003E4DAE" w:rsidRPr="00970184" w:rsidRDefault="003E4DAE" w:rsidP="00D819F3">
            <w:pPr>
              <w:pStyle w:val="Sinespaciado"/>
              <w:rPr>
                <w:rFonts w:ascii="Cambria" w:hAnsi="Cambria" w:cs="Arial"/>
                <w:b/>
                <w:bCs/>
                <w:lang w:val="es-CR"/>
              </w:rPr>
            </w:pPr>
            <w:r w:rsidRPr="00970184">
              <w:rPr>
                <w:rFonts w:ascii="Cambria" w:hAnsi="Cambria" w:cs="Arial"/>
                <w:b/>
                <w:lang w:val="es-CR"/>
              </w:rPr>
              <w:t>Comentarios generales</w:t>
            </w:r>
          </w:p>
        </w:tc>
        <w:tc>
          <w:tcPr>
            <w:tcW w:w="6080" w:type="dxa"/>
            <w:vAlign w:val="center"/>
            <w:hideMark/>
          </w:tcPr>
          <w:p w14:paraId="2625BE90" w14:textId="77777777" w:rsidR="00177703" w:rsidRDefault="00177703" w:rsidP="00162829">
            <w:pPr>
              <w:jc w:val="both"/>
              <w:rPr>
                <w:rFonts w:ascii="Cambria" w:hAnsi="Cambria" w:cs="Arial"/>
                <w:bCs/>
                <w:lang w:val="es-CR"/>
              </w:rPr>
            </w:pPr>
            <w:r>
              <w:rPr>
                <w:rFonts w:ascii="Cambria" w:hAnsi="Cambria" w:cs="Arial"/>
                <w:bCs/>
                <w:lang w:val="es-CR"/>
              </w:rPr>
              <w:t>La meta no es acumulativa. Se definió por medio de</w:t>
            </w:r>
            <w:r w:rsidRPr="00177703">
              <w:rPr>
                <w:rFonts w:ascii="Cambria" w:hAnsi="Cambria" w:cs="Arial"/>
                <w:bCs/>
                <w:lang w:val="es-CR"/>
              </w:rPr>
              <w:t xml:space="preserve"> proyecciones mediante el software DELPHOS, utilizando el método ARIMA.</w:t>
            </w:r>
          </w:p>
          <w:p w14:paraId="22ABF20E" w14:textId="77777777" w:rsidR="00286291" w:rsidRPr="00FE1A38" w:rsidRDefault="00286291" w:rsidP="00162829">
            <w:pPr>
              <w:jc w:val="both"/>
              <w:rPr>
                <w:rFonts w:ascii="Cambria" w:hAnsi="Cambria" w:cs="Arial"/>
                <w:bCs/>
                <w:lang w:val="es-CR"/>
              </w:rPr>
            </w:pPr>
          </w:p>
          <w:p w14:paraId="2F49F104" w14:textId="77777777" w:rsidR="00286291" w:rsidRPr="00FE1A38" w:rsidRDefault="00286291" w:rsidP="00341860">
            <w:pPr>
              <w:pStyle w:val="Default"/>
              <w:jc w:val="both"/>
              <w:rPr>
                <w:color w:val="auto"/>
                <w:lang w:val="es-CR"/>
              </w:rPr>
            </w:pPr>
            <w:r w:rsidRPr="00FE1A38">
              <w:rPr>
                <w:color w:val="auto"/>
                <w:lang w:val="es-CR"/>
              </w:rPr>
              <w:t xml:space="preserve">El método ARIMA, se puede señalar que el mismo es un modelo autorregresivo integrado de promedio móvil o ARIMA (acrónimo del inglés </w:t>
            </w:r>
            <w:proofErr w:type="spellStart"/>
            <w:r w:rsidRPr="00FE1A38">
              <w:rPr>
                <w:color w:val="auto"/>
                <w:lang w:val="es-CR"/>
              </w:rPr>
              <w:t>Autoregressive</w:t>
            </w:r>
            <w:proofErr w:type="spellEnd"/>
            <w:r w:rsidRPr="00FE1A38">
              <w:rPr>
                <w:color w:val="auto"/>
                <w:lang w:val="es-CR"/>
              </w:rPr>
              <w:t xml:space="preserve"> </w:t>
            </w:r>
            <w:proofErr w:type="spellStart"/>
            <w:r w:rsidRPr="00FE1A38">
              <w:rPr>
                <w:color w:val="auto"/>
                <w:lang w:val="es-CR"/>
              </w:rPr>
              <w:t>Integrated</w:t>
            </w:r>
            <w:proofErr w:type="spellEnd"/>
            <w:r w:rsidRPr="00FE1A38">
              <w:rPr>
                <w:color w:val="auto"/>
                <w:lang w:val="es-CR"/>
              </w:rPr>
              <w:t xml:space="preserve"> </w:t>
            </w:r>
            <w:proofErr w:type="spellStart"/>
            <w:r w:rsidRPr="00FE1A38">
              <w:rPr>
                <w:color w:val="auto"/>
                <w:lang w:val="es-CR"/>
              </w:rPr>
              <w:t>Moving</w:t>
            </w:r>
            <w:proofErr w:type="spellEnd"/>
            <w:r w:rsidRPr="00FE1A38">
              <w:rPr>
                <w:color w:val="auto"/>
                <w:lang w:val="es-CR"/>
              </w:rPr>
              <w:t xml:space="preserve"> </w:t>
            </w:r>
            <w:proofErr w:type="spellStart"/>
            <w:r w:rsidRPr="00FE1A38">
              <w:rPr>
                <w:color w:val="auto"/>
                <w:lang w:val="es-CR"/>
              </w:rPr>
              <w:t>Average</w:t>
            </w:r>
            <w:proofErr w:type="spellEnd"/>
            <w:r w:rsidRPr="00FE1A38">
              <w:rPr>
                <w:color w:val="auto"/>
                <w:lang w:val="es-CR"/>
              </w:rPr>
              <w:t xml:space="preserve">), modelo estadístico que utiliza variaciones y regresiones de datos estadísticos con el fin de encontrar patrones para una predicción hacia el futuro. A diferencia de otros modelos estadísticos, ARIMA es un modelo dinámico de series temporales donde las estimaciones futuras vienen explicadas por los datos del pasado y no por variables independientes, por lo cual, para la construcción </w:t>
            </w:r>
            <w:proofErr w:type="gramStart"/>
            <w:r w:rsidRPr="00FE1A38">
              <w:rPr>
                <w:color w:val="auto"/>
                <w:lang w:val="es-CR"/>
              </w:rPr>
              <w:t>del mismo</w:t>
            </w:r>
            <w:proofErr w:type="gramEnd"/>
            <w:r w:rsidRPr="00FE1A38">
              <w:rPr>
                <w:color w:val="auto"/>
                <w:lang w:val="es-CR"/>
              </w:rPr>
              <w:t xml:space="preserve"> son fundamentales los datos estadísticos históricos que ha manejado el IAFA. </w:t>
            </w:r>
          </w:p>
          <w:p w14:paraId="42AFF31B" w14:textId="77777777" w:rsidR="00286291" w:rsidRPr="00FE1A38" w:rsidRDefault="00286291" w:rsidP="00286291">
            <w:pPr>
              <w:pStyle w:val="Default"/>
              <w:rPr>
                <w:color w:val="auto"/>
                <w:lang w:val="es-CR"/>
              </w:rPr>
            </w:pPr>
          </w:p>
          <w:p w14:paraId="730E25AD" w14:textId="77777777" w:rsidR="00286291" w:rsidRPr="00FE1A38" w:rsidRDefault="00286291" w:rsidP="00286291">
            <w:pPr>
              <w:pStyle w:val="Default"/>
              <w:rPr>
                <w:color w:val="auto"/>
                <w:lang w:val="es-CR"/>
              </w:rPr>
            </w:pPr>
            <w:r w:rsidRPr="00FE1A38">
              <w:rPr>
                <w:color w:val="auto"/>
                <w:lang w:val="es-CR"/>
              </w:rPr>
              <w:t>Los datos se toman de los registros del IAFA.</w:t>
            </w:r>
          </w:p>
          <w:p w14:paraId="00C85A02" w14:textId="77777777" w:rsidR="00286291" w:rsidRDefault="00286291" w:rsidP="00286291">
            <w:pPr>
              <w:rPr>
                <w:rFonts w:ascii="Cambria" w:hAnsi="Cambria" w:cs="Arial"/>
                <w:bCs/>
                <w:color w:val="FF0000"/>
                <w:lang w:val="es-CR"/>
              </w:rPr>
            </w:pPr>
          </w:p>
          <w:p w14:paraId="31AF49D4" w14:textId="1DD7416F" w:rsidR="00286291" w:rsidRPr="00970184" w:rsidRDefault="00286291" w:rsidP="00162829">
            <w:pPr>
              <w:jc w:val="both"/>
              <w:rPr>
                <w:rFonts w:ascii="Cambria" w:hAnsi="Cambria" w:cs="Arial"/>
                <w:bCs/>
                <w:lang w:val="es-CR"/>
              </w:rPr>
            </w:pPr>
          </w:p>
        </w:tc>
      </w:tr>
    </w:tbl>
    <w:p w14:paraId="50272337" w14:textId="77777777" w:rsidR="003E4DAE" w:rsidRDefault="003E4DAE">
      <w:pPr>
        <w:rPr>
          <w:rFonts w:ascii="Cambria" w:hAnsi="Cambria"/>
        </w:rPr>
      </w:pPr>
    </w:p>
    <w:p w14:paraId="34FD8084" w14:textId="77777777" w:rsidR="009D4FA8" w:rsidRPr="00970184" w:rsidRDefault="009D4FA8">
      <w:pPr>
        <w:rPr>
          <w:rFonts w:ascii="Cambria" w:hAnsi="Cambria"/>
        </w:rPr>
      </w:pPr>
    </w:p>
    <w:sectPr w:rsidR="009D4FA8" w:rsidRPr="00970184" w:rsidSect="0049762E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F70E" w14:textId="77777777" w:rsidR="00DA3C1D" w:rsidRDefault="00DA3C1D" w:rsidP="00BF254B">
      <w:r>
        <w:separator/>
      </w:r>
    </w:p>
  </w:endnote>
  <w:endnote w:type="continuationSeparator" w:id="0">
    <w:p w14:paraId="797887CD" w14:textId="77777777" w:rsidR="00DA3C1D" w:rsidRDefault="00DA3C1D" w:rsidP="00BF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0F877" w14:textId="619830FE" w:rsidR="00833AC0" w:rsidRPr="00C40C3E" w:rsidRDefault="00833AC0" w:rsidP="00833AC0">
    <w:pPr>
      <w:rPr>
        <w:color w:val="44546A" w:themeColor="text2"/>
        <w:sz w:val="18"/>
      </w:rPr>
    </w:pPr>
    <w:r>
      <w:rPr>
        <w:noProof/>
        <w:color w:val="44546A" w:themeColor="text2"/>
        <w:sz w:val="18"/>
        <w:lang w:val="es-CR" w:eastAsia="es-CR"/>
      </w:rPr>
      <w:drawing>
        <wp:anchor distT="0" distB="0" distL="114300" distR="114300" simplePos="0" relativeHeight="251661312" behindDoc="0" locked="0" layoutInCell="1" allowOverlap="1" wp14:anchorId="53A8E51D" wp14:editId="116A7B5B">
          <wp:simplePos x="0" y="0"/>
          <wp:positionH relativeFrom="margin">
            <wp:align>right</wp:align>
          </wp:positionH>
          <wp:positionV relativeFrom="paragraph">
            <wp:posOffset>-74406</wp:posOffset>
          </wp:positionV>
          <wp:extent cx="3253740" cy="240665"/>
          <wp:effectExtent l="0" t="0" r="3810" b="6985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Cintillo-Cier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3740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79D">
      <w:rPr>
        <w:color w:val="767171" w:themeColor="background2" w:themeShade="80"/>
        <w:sz w:val="18"/>
      </w:rPr>
      <w:t xml:space="preserve">Pg. </w:t>
    </w:r>
    <w:r w:rsidRPr="0056179D">
      <w:rPr>
        <w:color w:val="767171" w:themeColor="background2" w:themeShade="80"/>
        <w:sz w:val="18"/>
      </w:rPr>
      <w:fldChar w:fldCharType="begin"/>
    </w:r>
    <w:r w:rsidRPr="0056179D">
      <w:rPr>
        <w:color w:val="767171" w:themeColor="background2" w:themeShade="80"/>
        <w:sz w:val="18"/>
      </w:rPr>
      <w:instrText>PAGE  \* Arabic  \* MERGEFORMAT</w:instrText>
    </w:r>
    <w:r w:rsidRPr="0056179D">
      <w:rPr>
        <w:color w:val="767171" w:themeColor="background2" w:themeShade="80"/>
        <w:sz w:val="18"/>
      </w:rPr>
      <w:fldChar w:fldCharType="separate"/>
    </w:r>
    <w:r w:rsidR="00DA43BC">
      <w:rPr>
        <w:noProof/>
        <w:color w:val="767171" w:themeColor="background2" w:themeShade="80"/>
        <w:sz w:val="18"/>
      </w:rPr>
      <w:t>4</w:t>
    </w:r>
    <w:r w:rsidRPr="0056179D">
      <w:rPr>
        <w:color w:val="767171" w:themeColor="background2" w:themeShade="80"/>
        <w:sz w:val="18"/>
      </w:rPr>
      <w:fldChar w:fldCharType="end"/>
    </w:r>
    <w:r w:rsidRPr="0056179D">
      <w:rPr>
        <w:color w:val="767171" w:themeColor="background2" w:themeShade="80"/>
        <w:sz w:val="18"/>
      </w:rPr>
      <w:t xml:space="preserve"> de </w:t>
    </w:r>
    <w:r w:rsidRPr="0056179D">
      <w:rPr>
        <w:color w:val="767171" w:themeColor="background2" w:themeShade="80"/>
        <w:sz w:val="18"/>
      </w:rPr>
      <w:fldChar w:fldCharType="begin"/>
    </w:r>
    <w:r w:rsidRPr="0056179D">
      <w:rPr>
        <w:color w:val="767171" w:themeColor="background2" w:themeShade="80"/>
        <w:sz w:val="18"/>
      </w:rPr>
      <w:instrText>NUMPAGES  \* Arabic  \* MERGEFORMAT</w:instrText>
    </w:r>
    <w:r w:rsidRPr="0056179D">
      <w:rPr>
        <w:color w:val="767171" w:themeColor="background2" w:themeShade="80"/>
        <w:sz w:val="18"/>
      </w:rPr>
      <w:fldChar w:fldCharType="separate"/>
    </w:r>
    <w:r w:rsidR="00DA43BC">
      <w:rPr>
        <w:noProof/>
        <w:color w:val="767171" w:themeColor="background2" w:themeShade="80"/>
        <w:sz w:val="18"/>
      </w:rPr>
      <w:t>4</w:t>
    </w:r>
    <w:r w:rsidRPr="0056179D">
      <w:rPr>
        <w:color w:val="767171" w:themeColor="background2" w:themeShade="80"/>
        <w:sz w:val="18"/>
      </w:rPr>
      <w:fldChar w:fldCharType="end"/>
    </w:r>
  </w:p>
  <w:p w14:paraId="73BFBCD7" w14:textId="77777777" w:rsidR="00BF254B" w:rsidRDefault="00BF25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D5BD2" w14:textId="77777777" w:rsidR="00DA3C1D" w:rsidRDefault="00DA3C1D" w:rsidP="00BF254B">
      <w:r>
        <w:separator/>
      </w:r>
    </w:p>
  </w:footnote>
  <w:footnote w:type="continuationSeparator" w:id="0">
    <w:p w14:paraId="1D098DA7" w14:textId="77777777" w:rsidR="00DA3C1D" w:rsidRDefault="00DA3C1D" w:rsidP="00BF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74647" w14:textId="77777777" w:rsidR="00BF254B" w:rsidRPr="00833AC0" w:rsidRDefault="00BF254B" w:rsidP="00BF254B">
    <w:pPr>
      <w:pStyle w:val="Encabezado"/>
      <w:rPr>
        <w:rFonts w:ascii="Arial" w:hAnsi="Arial" w:cs="Arial"/>
      </w:rPr>
    </w:pPr>
    <w:r w:rsidRPr="00833AC0">
      <w:rPr>
        <w:rFonts w:ascii="Arial" w:hAnsi="Arial" w:cs="Arial"/>
        <w:noProof/>
        <w:lang w:val="es-CR" w:eastAsia="es-CR"/>
      </w:rPr>
      <w:drawing>
        <wp:anchor distT="0" distB="0" distL="114300" distR="114300" simplePos="0" relativeHeight="251659264" behindDoc="0" locked="0" layoutInCell="1" allowOverlap="1" wp14:anchorId="5B2FCE8F" wp14:editId="541429B3">
          <wp:simplePos x="0" y="0"/>
          <wp:positionH relativeFrom="column">
            <wp:posOffset>-175260</wp:posOffset>
          </wp:positionH>
          <wp:positionV relativeFrom="paragraph">
            <wp:posOffset>-144780</wp:posOffset>
          </wp:positionV>
          <wp:extent cx="2889914" cy="733425"/>
          <wp:effectExtent l="0" t="0" r="0" b="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intill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9914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8A5EA8" w14:textId="2490AB7E" w:rsidR="00BF254B" w:rsidRPr="00833AC0" w:rsidRDefault="00BF254B">
    <w:pPr>
      <w:pStyle w:val="Encabezado"/>
      <w:rPr>
        <w:rFonts w:ascii="Arial" w:hAnsi="Arial" w:cs="Arial"/>
      </w:rPr>
    </w:pPr>
  </w:p>
  <w:p w14:paraId="5D0FD717" w14:textId="43BB70C9" w:rsidR="00BF254B" w:rsidRPr="00833AC0" w:rsidRDefault="00BF254B">
    <w:pPr>
      <w:pStyle w:val="Encabezado"/>
      <w:rPr>
        <w:rFonts w:ascii="Arial" w:hAnsi="Arial" w:cs="Arial"/>
      </w:rPr>
    </w:pPr>
  </w:p>
  <w:p w14:paraId="08E2AA49" w14:textId="77777777" w:rsidR="00BF254B" w:rsidRPr="00E34CEF" w:rsidRDefault="00BF254B">
    <w:pPr>
      <w:pStyle w:val="Encabezad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EA"/>
    <w:rsid w:val="00007468"/>
    <w:rsid w:val="0001633F"/>
    <w:rsid w:val="0005307D"/>
    <w:rsid w:val="00061CE9"/>
    <w:rsid w:val="000B4FC9"/>
    <w:rsid w:val="000C498B"/>
    <w:rsid w:val="000C7DAD"/>
    <w:rsid w:val="00116318"/>
    <w:rsid w:val="001210E5"/>
    <w:rsid w:val="0015521B"/>
    <w:rsid w:val="00162829"/>
    <w:rsid w:val="0016320C"/>
    <w:rsid w:val="00172468"/>
    <w:rsid w:val="00177703"/>
    <w:rsid w:val="001C1808"/>
    <w:rsid w:val="002035C1"/>
    <w:rsid w:val="00206304"/>
    <w:rsid w:val="00212E09"/>
    <w:rsid w:val="00231DEC"/>
    <w:rsid w:val="00241E06"/>
    <w:rsid w:val="00263AAC"/>
    <w:rsid w:val="00286291"/>
    <w:rsid w:val="002A4F27"/>
    <w:rsid w:val="002B07FD"/>
    <w:rsid w:val="003239BF"/>
    <w:rsid w:val="00341860"/>
    <w:rsid w:val="00390EC9"/>
    <w:rsid w:val="003A2279"/>
    <w:rsid w:val="003B4E4D"/>
    <w:rsid w:val="003C12F6"/>
    <w:rsid w:val="003E4DAE"/>
    <w:rsid w:val="00407129"/>
    <w:rsid w:val="004308E8"/>
    <w:rsid w:val="00436AC8"/>
    <w:rsid w:val="0049762E"/>
    <w:rsid w:val="004B4595"/>
    <w:rsid w:val="004E057D"/>
    <w:rsid w:val="004E3C44"/>
    <w:rsid w:val="004E4AAE"/>
    <w:rsid w:val="004F5AC2"/>
    <w:rsid w:val="004F72EA"/>
    <w:rsid w:val="005439F9"/>
    <w:rsid w:val="00552E61"/>
    <w:rsid w:val="005744A2"/>
    <w:rsid w:val="00576819"/>
    <w:rsid w:val="00580862"/>
    <w:rsid w:val="005815CD"/>
    <w:rsid w:val="005A48AB"/>
    <w:rsid w:val="005B0C03"/>
    <w:rsid w:val="005C791C"/>
    <w:rsid w:val="005F2757"/>
    <w:rsid w:val="005F2E3D"/>
    <w:rsid w:val="00622B34"/>
    <w:rsid w:val="0064174A"/>
    <w:rsid w:val="006723D1"/>
    <w:rsid w:val="006B1C47"/>
    <w:rsid w:val="006B46C7"/>
    <w:rsid w:val="006C17CB"/>
    <w:rsid w:val="006E3134"/>
    <w:rsid w:val="00700FDD"/>
    <w:rsid w:val="0072202A"/>
    <w:rsid w:val="00723BA3"/>
    <w:rsid w:val="00726D4F"/>
    <w:rsid w:val="007318D4"/>
    <w:rsid w:val="00746C8A"/>
    <w:rsid w:val="0079467C"/>
    <w:rsid w:val="00795CB1"/>
    <w:rsid w:val="007A39D5"/>
    <w:rsid w:val="007B0656"/>
    <w:rsid w:val="007C05C9"/>
    <w:rsid w:val="007C50B3"/>
    <w:rsid w:val="0082223D"/>
    <w:rsid w:val="00833AC0"/>
    <w:rsid w:val="0087064D"/>
    <w:rsid w:val="008720DC"/>
    <w:rsid w:val="00875346"/>
    <w:rsid w:val="008C53FD"/>
    <w:rsid w:val="008D291A"/>
    <w:rsid w:val="008F6B7B"/>
    <w:rsid w:val="00914D99"/>
    <w:rsid w:val="00932549"/>
    <w:rsid w:val="00936560"/>
    <w:rsid w:val="009549DB"/>
    <w:rsid w:val="00966D9A"/>
    <w:rsid w:val="00970184"/>
    <w:rsid w:val="00972B51"/>
    <w:rsid w:val="00982C32"/>
    <w:rsid w:val="009D4FA8"/>
    <w:rsid w:val="009D6C28"/>
    <w:rsid w:val="009F16D2"/>
    <w:rsid w:val="00A42B0E"/>
    <w:rsid w:val="00A44D9E"/>
    <w:rsid w:val="00A45D0C"/>
    <w:rsid w:val="00AA5C3E"/>
    <w:rsid w:val="00AD6E48"/>
    <w:rsid w:val="00AF7E92"/>
    <w:rsid w:val="00B00614"/>
    <w:rsid w:val="00B3070A"/>
    <w:rsid w:val="00B92BC1"/>
    <w:rsid w:val="00BE5EB5"/>
    <w:rsid w:val="00BE6D7D"/>
    <w:rsid w:val="00BF254B"/>
    <w:rsid w:val="00C11601"/>
    <w:rsid w:val="00C12B83"/>
    <w:rsid w:val="00C213FF"/>
    <w:rsid w:val="00C22A10"/>
    <w:rsid w:val="00C62076"/>
    <w:rsid w:val="00C670B4"/>
    <w:rsid w:val="00CE4001"/>
    <w:rsid w:val="00D21553"/>
    <w:rsid w:val="00D35DB0"/>
    <w:rsid w:val="00D37BF2"/>
    <w:rsid w:val="00DA3C1D"/>
    <w:rsid w:val="00DA43BC"/>
    <w:rsid w:val="00DD7743"/>
    <w:rsid w:val="00DF5A34"/>
    <w:rsid w:val="00E12897"/>
    <w:rsid w:val="00E34CEF"/>
    <w:rsid w:val="00E3565A"/>
    <w:rsid w:val="00E9396C"/>
    <w:rsid w:val="00E95F1C"/>
    <w:rsid w:val="00E97DF9"/>
    <w:rsid w:val="00EA752A"/>
    <w:rsid w:val="00F0323A"/>
    <w:rsid w:val="00F25682"/>
    <w:rsid w:val="00F25DC9"/>
    <w:rsid w:val="00F37EA1"/>
    <w:rsid w:val="00F532D4"/>
    <w:rsid w:val="00FB1CEA"/>
    <w:rsid w:val="00FB4047"/>
    <w:rsid w:val="00FC4513"/>
    <w:rsid w:val="00FD245F"/>
    <w:rsid w:val="00FE1A38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FF8F8"/>
  <w15:docId w15:val="{0AB98160-E8B8-40B6-8880-D5667098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CEA"/>
    <w:rPr>
      <w:rFonts w:ascii="Times New Roman" w:eastAsia="Times New Roman" w:hAnsi="Times New Roman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B1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1C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Sinespaciado">
    <w:name w:val="No Spacing"/>
    <w:link w:val="SinespaciadoCar"/>
    <w:uiPriority w:val="1"/>
    <w:qFormat/>
    <w:rsid w:val="00FB1CEA"/>
    <w:rPr>
      <w:rFonts w:ascii="Times New Roman" w:eastAsia="Times New Roman" w:hAnsi="Times New Roman" w:cs="Times New Roman"/>
      <w:lang w:val="es-ES" w:eastAsia="es-ES"/>
    </w:rPr>
  </w:style>
  <w:style w:type="table" w:customStyle="1" w:styleId="GFATableGrid1">
    <w:name w:val="GFA Table Grid1"/>
    <w:basedOn w:val="Tablanormal"/>
    <w:next w:val="Tablaconcuadrcula"/>
    <w:uiPriority w:val="59"/>
    <w:rsid w:val="00FB1CEA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FB1CEA"/>
    <w:rPr>
      <w:rFonts w:ascii="Times New Roman" w:eastAsia="Times New Roman" w:hAnsi="Times New Roman" w:cs="Times New Roman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1C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1C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1CE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FB1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14D9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D9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F25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254B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F25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54B"/>
    <w:rPr>
      <w:rFonts w:ascii="Times New Roman" w:eastAsia="Times New Roman" w:hAnsi="Times New Roman" w:cs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8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81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customStyle="1" w:styleId="Default">
    <w:name w:val="Default"/>
    <w:rsid w:val="007C05C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ui-provider">
    <w:name w:val="ui-provider"/>
    <w:basedOn w:val="Fuentedeprrafopredeter"/>
    <w:rsid w:val="00D37BF2"/>
  </w:style>
  <w:style w:type="paragraph" w:styleId="NormalWeb">
    <w:name w:val="Normal (Web)"/>
    <w:basedOn w:val="Normal"/>
    <w:uiPriority w:val="99"/>
    <w:semiHidden/>
    <w:unhideWhenUsed/>
    <w:rsid w:val="00D37BF2"/>
    <w:pPr>
      <w:spacing w:before="100" w:beforeAutospacing="1" w:after="100" w:afterAutospacing="1"/>
    </w:pPr>
    <w:rPr>
      <w:lang w:val="es-CR"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7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B9247916DE714A895078DB25329C8E" ma:contentTypeVersion="14" ma:contentTypeDescription="Crear nuevo documento." ma:contentTypeScope="" ma:versionID="69b08af6bd4e7fdb8bbeecb6dde7d3d1">
  <xsd:schema xmlns:xsd="http://www.w3.org/2001/XMLSchema" xmlns:xs="http://www.w3.org/2001/XMLSchema" xmlns:p="http://schemas.microsoft.com/office/2006/metadata/properties" xmlns:ns3="eae3bb09-4a6f-477e-b469-550eed977f42" xmlns:ns4="8e57e01e-d90c-45dd-b098-3abe78fce14f" targetNamespace="http://schemas.microsoft.com/office/2006/metadata/properties" ma:root="true" ma:fieldsID="ba804af0618091dab234244d5b865182" ns3:_="" ns4:_="">
    <xsd:import namespace="eae3bb09-4a6f-477e-b469-550eed977f42"/>
    <xsd:import namespace="8e57e01e-d90c-45dd-b098-3abe78fce1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3bb09-4a6f-477e-b469-550eed977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7e01e-d90c-45dd-b098-3abe78fce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8CDE7E-5E5C-4E9C-83AF-A8F17F7E7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e3bb09-4a6f-477e-b469-550eed977f42"/>
    <ds:schemaRef ds:uri="8e57e01e-d90c-45dd-b098-3abe78fce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2E2CF-C4C2-4267-A09D-F2998C933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AFB0B-2A6F-43F5-BC52-2BADF81A1D39}">
  <ds:schemaRefs>
    <ds:schemaRef ds:uri="http://purl.org/dc/terms/"/>
    <ds:schemaRef ds:uri="http://schemas.openxmlformats.org/package/2006/metadata/core-properties"/>
    <ds:schemaRef ds:uri="8e57e01e-d90c-45dd-b098-3abe78fce14f"/>
    <ds:schemaRef ds:uri="http://purl.org/dc/dcmitype/"/>
    <ds:schemaRef ds:uri="http://schemas.microsoft.com/office/infopath/2007/PartnerControls"/>
    <ds:schemaRef ds:uri="eae3bb09-4a6f-477e-b469-550eed977f42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Mata</dc:creator>
  <cp:lastModifiedBy>María Elena Rojas Cruz</cp:lastModifiedBy>
  <cp:revision>2</cp:revision>
  <dcterms:created xsi:type="dcterms:W3CDTF">2021-11-02T19:18:00Z</dcterms:created>
  <dcterms:modified xsi:type="dcterms:W3CDTF">2021-11-02T19:18:00Z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0x010100A4B9247916DE714A895078DB25329C8E</vt:lpwstr>
  </property>
</Properties>
</file>