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9DAE" w14:textId="1EAE6E72" w:rsidR="00822116" w:rsidRPr="000A5AB5" w:rsidRDefault="000A5AB5" w:rsidP="000A5A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5AB5">
        <w:rPr>
          <w:rFonts w:ascii="Arial" w:hAnsi="Arial" w:cs="Arial"/>
          <w:b/>
          <w:bCs/>
          <w:noProof/>
          <w:sz w:val="24"/>
          <w:szCs w:val="24"/>
        </w:rPr>
        <w:t>Ficha del ind</w:t>
      </w:r>
      <w:r>
        <w:rPr>
          <w:rFonts w:ascii="Arial" w:hAnsi="Arial" w:cs="Arial"/>
          <w:b/>
          <w:bCs/>
          <w:noProof/>
          <w:sz w:val="24"/>
          <w:szCs w:val="24"/>
        </w:rPr>
        <w:t>i</w:t>
      </w:r>
      <w:r w:rsidRPr="000A5AB5">
        <w:rPr>
          <w:rFonts w:ascii="Arial" w:hAnsi="Arial" w:cs="Arial"/>
          <w:b/>
          <w:bCs/>
          <w:noProof/>
          <w:sz w:val="24"/>
          <w:szCs w:val="24"/>
        </w:rPr>
        <w:t>cador</w:t>
      </w:r>
    </w:p>
    <w:p w14:paraId="1DDACD0A" w14:textId="77777777" w:rsidR="00822116" w:rsidRPr="000A5AB5" w:rsidRDefault="00822116" w:rsidP="00822116">
      <w:pPr>
        <w:rPr>
          <w:rFonts w:ascii="Arial" w:hAnsi="Arial" w:cs="Arial"/>
        </w:rPr>
      </w:pPr>
    </w:p>
    <w:tbl>
      <w:tblPr>
        <w:tblW w:w="8907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1403"/>
        <w:gridCol w:w="1427"/>
        <w:gridCol w:w="6077"/>
      </w:tblGrid>
      <w:tr w:rsidR="007C0127" w:rsidRPr="000A5AB5" w14:paraId="5A27531B" w14:textId="77777777" w:rsidTr="000A5AB5">
        <w:trPr>
          <w:trHeight w:val="32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BF87143" w14:textId="77777777" w:rsidR="007C0127" w:rsidRPr="000A5AB5" w:rsidRDefault="007C0127" w:rsidP="000A5AB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A5AB5">
              <w:rPr>
                <w:rFonts w:ascii="Arial" w:eastAsia="Arial Narrow" w:hAnsi="Arial" w:cs="Arial"/>
                <w:b/>
                <w:color w:val="FFFFFF" w:themeColor="background1"/>
              </w:rPr>
              <w:t>Elemento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08B27C30" w14:textId="77777777" w:rsidR="007C0127" w:rsidRPr="000A5AB5" w:rsidRDefault="007C0127" w:rsidP="000A5AB5">
            <w:pPr>
              <w:jc w:val="center"/>
              <w:rPr>
                <w:rFonts w:ascii="Arial" w:eastAsia="Arial Narrow" w:hAnsi="Arial" w:cs="Arial"/>
                <w:b/>
                <w:color w:val="FFFFFF" w:themeColor="background1"/>
              </w:rPr>
            </w:pPr>
            <w:r w:rsidRPr="000A5AB5">
              <w:rPr>
                <w:rFonts w:ascii="Arial" w:eastAsia="Arial Narrow" w:hAnsi="Arial" w:cs="Arial"/>
                <w:b/>
                <w:color w:val="FFFFFF" w:themeColor="background1"/>
              </w:rPr>
              <w:t>Descripción</w:t>
            </w:r>
          </w:p>
          <w:p w14:paraId="351DFAB2" w14:textId="11D73900" w:rsidR="000A5AB5" w:rsidRPr="000A5AB5" w:rsidRDefault="000A5AB5" w:rsidP="000A5AB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C0127" w:rsidRPr="000A5AB5" w14:paraId="66F32F85" w14:textId="77777777" w:rsidTr="00B26A80">
        <w:trPr>
          <w:trHeight w:val="5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7D9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Nombre del indicador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F08" w14:textId="3BC26815" w:rsidR="000A5AB5" w:rsidRPr="000A5AB5" w:rsidRDefault="00A533C3" w:rsidP="00757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Porcentaje de i</w:t>
            </w:r>
            <w:r w:rsidR="00E25CA0" w:rsidRPr="000A5AB5">
              <w:rPr>
                <w:rFonts w:ascii="Arial" w:hAnsi="Arial" w:cs="Arial"/>
              </w:rPr>
              <w:t>nfraestructura pública que se diseña y construye con base evaluaciones de riesgo que se elabora a partir de un modelo de valoración oficial de vulnerabilidad ante el riesgo de desastres, aplicable a amenazas de origen natural.</w:t>
            </w:r>
          </w:p>
        </w:tc>
      </w:tr>
      <w:tr w:rsidR="007C0127" w:rsidRPr="000A5AB5" w14:paraId="1AC271BA" w14:textId="77777777" w:rsidTr="00B26A80">
        <w:trPr>
          <w:trHeight w:val="431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473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Definición conceptual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0DF" w14:textId="1B3CFB50" w:rsidR="001B320C" w:rsidRPr="000A5AB5" w:rsidRDefault="001B320C" w:rsidP="001B320C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 xml:space="preserve">La modelación del riesgo es un ejercicio basado en criterios determinísticos y probabilísticos para identificar los riesgos y determinar el potencial de daño o pérdida de los desastres, combina información científica con datos de proyección y tendencia de diversas variables que inciden en el comportamiento probable de las amenazas y bajo métodos cada vez más rigurosos, conforme la información mejora, tienden a ser de carácter cuantitativo. La modelación es una determinación del riesgo probable, en términos de una proyección de escenarios </w:t>
            </w:r>
            <w:r w:rsidR="00F53A05" w:rsidRPr="000A5AB5">
              <w:rPr>
                <w:rFonts w:ascii="Arial" w:hAnsi="Arial" w:cs="Arial"/>
              </w:rPr>
              <w:t>sobre los cuales se puede actuar para reducir el impacto negativo de las amenazas y la vulnerabilidad presente.</w:t>
            </w:r>
          </w:p>
          <w:p w14:paraId="0D81F25A" w14:textId="77777777" w:rsidR="000A5AB5" w:rsidRPr="000A5AB5" w:rsidRDefault="000A5AB5" w:rsidP="001B320C">
            <w:pPr>
              <w:rPr>
                <w:rFonts w:ascii="Arial" w:hAnsi="Arial" w:cs="Arial"/>
              </w:rPr>
            </w:pPr>
          </w:p>
          <w:p w14:paraId="10083213" w14:textId="4D3B10BB" w:rsidR="001B320C" w:rsidRPr="000A5AB5" w:rsidRDefault="001B320C" w:rsidP="001B320C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 xml:space="preserve">Bajo el mandato de la Ley N°8488, la CNE tiene responsabilidad </w:t>
            </w:r>
            <w:r w:rsidR="00F53A05" w:rsidRPr="000A5AB5">
              <w:rPr>
                <w:rFonts w:ascii="Arial" w:hAnsi="Arial" w:cs="Arial"/>
              </w:rPr>
              <w:t>de</w:t>
            </w:r>
            <w:r w:rsidRPr="000A5AB5">
              <w:rPr>
                <w:rFonts w:ascii="Arial" w:hAnsi="Arial" w:cs="Arial"/>
              </w:rPr>
              <w:t xml:space="preserve"> genera</w:t>
            </w:r>
            <w:r w:rsidR="00F53A05" w:rsidRPr="000A5AB5">
              <w:rPr>
                <w:rFonts w:ascii="Arial" w:hAnsi="Arial" w:cs="Arial"/>
              </w:rPr>
              <w:t>r</w:t>
            </w:r>
            <w:r w:rsidRPr="000A5AB5">
              <w:rPr>
                <w:rFonts w:ascii="Arial" w:hAnsi="Arial" w:cs="Arial"/>
              </w:rPr>
              <w:t xml:space="preserve"> de información sobre riesgo, aplicable a la regulación del uso del suelo, el desarrollo de infraestructura, inversión, preparativos para emergencias y la educación de la población costarricense. El Decreto N°36721-MP-PLAN, emitido en el mes de agosto del año 2011, señala la responsabilidad de la CNE de generar, administrar y poner a disposición los modelos de valoración de vulnerabilidad ante el riesgo de desastres aplicable a las amenazas naturales, con tarea de fiscalizar la aplicación en las diversas áreas temáticas que se establezcan: tales como la planificación territorial, el desarrollo de asentamientos humanos y viviendas, en particular promovidos por el Estado, la inversión p</w:t>
            </w:r>
            <w:r w:rsidR="00F53A05" w:rsidRPr="000A5AB5">
              <w:rPr>
                <w:rFonts w:ascii="Arial" w:hAnsi="Arial" w:cs="Arial"/>
              </w:rPr>
              <w:t>ú</w:t>
            </w:r>
            <w:r w:rsidRPr="000A5AB5">
              <w:rPr>
                <w:rFonts w:ascii="Arial" w:hAnsi="Arial" w:cs="Arial"/>
              </w:rPr>
              <w:t>blica e infraestructura y servicios y la ejecución de mecanismos de transferencia de riesgo, en particular seguros.</w:t>
            </w:r>
          </w:p>
          <w:p w14:paraId="6DFDABF3" w14:textId="77777777" w:rsidR="000A5AB5" w:rsidRPr="000A5AB5" w:rsidRDefault="000A5AB5" w:rsidP="001B320C">
            <w:pPr>
              <w:rPr>
                <w:rFonts w:ascii="Arial" w:hAnsi="Arial" w:cs="Arial"/>
              </w:rPr>
            </w:pPr>
          </w:p>
          <w:p w14:paraId="44B2CF2B" w14:textId="2C1FB44A" w:rsidR="000A5AB5" w:rsidRPr="000A5AB5" w:rsidRDefault="001B320C" w:rsidP="001B320C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La modelación del riesgo tiene ab</w:t>
            </w:r>
            <w:r w:rsidR="00F53A05" w:rsidRPr="000A5AB5">
              <w:rPr>
                <w:rFonts w:ascii="Arial" w:hAnsi="Arial" w:cs="Arial"/>
              </w:rPr>
              <w:t>so</w:t>
            </w:r>
            <w:r w:rsidRPr="000A5AB5">
              <w:rPr>
                <w:rFonts w:ascii="Arial" w:hAnsi="Arial" w:cs="Arial"/>
              </w:rPr>
              <w:t>luta relevancia para los temas de la planificación urbana y en general para toda la planificación sectorial.</w:t>
            </w:r>
          </w:p>
        </w:tc>
      </w:tr>
      <w:tr w:rsidR="007C0127" w:rsidRPr="000A5AB5" w14:paraId="6CF0024D" w14:textId="77777777" w:rsidTr="00B26A80">
        <w:trPr>
          <w:trHeight w:val="8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C87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Fórmula de cálculo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16F" w14:textId="5754395F" w:rsidR="000A5AB5" w:rsidRPr="000A5AB5" w:rsidRDefault="00A533C3" w:rsidP="0093349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Cantidad </w:t>
            </w:r>
            <w:r w:rsidR="00E374DC" w:rsidRPr="000A5AB5">
              <w:rPr>
                <w:rFonts w:ascii="Arial" w:hAnsi="Arial" w:cs="Arial"/>
                <w:noProof/>
              </w:rPr>
              <w:t xml:space="preserve">de </w:t>
            </w:r>
            <w:r w:rsidR="008569EA" w:rsidRPr="000A5AB5">
              <w:rPr>
                <w:rFonts w:ascii="Arial" w:hAnsi="Arial" w:cs="Arial"/>
                <w:noProof/>
              </w:rPr>
              <w:t>la infraestructura que cuenta con evaluación de riesgo, basado en un modelo de valoración de la vunerabilidad</w:t>
            </w:r>
            <w:r>
              <w:rPr>
                <w:rFonts w:ascii="Arial" w:hAnsi="Arial" w:cs="Arial"/>
                <w:noProof/>
              </w:rPr>
              <w:t xml:space="preserve"> / totalidad de la infraestructura analizada y evaluada.</w:t>
            </w:r>
          </w:p>
        </w:tc>
      </w:tr>
      <w:tr w:rsidR="007C0127" w:rsidRPr="000A5AB5" w14:paraId="2E0E4048" w14:textId="77777777" w:rsidTr="00B26A80">
        <w:trPr>
          <w:trHeight w:val="33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227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Componentes involucrados en la fórmula del cálculo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5C1" w14:textId="5529DE15" w:rsidR="000A5AB5" w:rsidRPr="000A5AB5" w:rsidRDefault="00E374DC" w:rsidP="006F0084">
            <w:pPr>
              <w:rPr>
                <w:rFonts w:ascii="Arial" w:hAnsi="Arial" w:cs="Arial"/>
                <w:noProof/>
              </w:rPr>
            </w:pPr>
            <w:r w:rsidRPr="000A5AB5">
              <w:rPr>
                <w:rFonts w:ascii="Arial" w:hAnsi="Arial" w:cs="Arial"/>
                <w:noProof/>
              </w:rPr>
              <w:t>Bases de datos de variables de las amenazas. Construcción del modelo estocástico por amenaza. Análisis de exposición. Estimación y ponderación.</w:t>
            </w:r>
          </w:p>
        </w:tc>
      </w:tr>
      <w:tr w:rsidR="007C0127" w:rsidRPr="000A5AB5" w14:paraId="1F06ECCB" w14:textId="77777777" w:rsidTr="00B26A80">
        <w:trPr>
          <w:trHeight w:val="25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4AC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Unidad de medida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55D" w14:textId="4239AD09" w:rsidR="000A5AB5" w:rsidRPr="000A5AB5" w:rsidRDefault="00D15928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Infraestructura pública</w:t>
            </w:r>
          </w:p>
        </w:tc>
      </w:tr>
      <w:tr w:rsidR="007C0127" w:rsidRPr="000A5AB5" w14:paraId="216B0D30" w14:textId="77777777" w:rsidTr="00B26A80">
        <w:trPr>
          <w:trHeight w:val="2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2D2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lastRenderedPageBreak/>
              <w:t>Interpretación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136" w14:textId="77777777" w:rsidR="008569EA" w:rsidRPr="000A5AB5" w:rsidRDefault="008569EA" w:rsidP="00EB6A1E">
            <w:pPr>
              <w:rPr>
                <w:rFonts w:ascii="Arial" w:hAnsi="Arial" w:cs="Arial"/>
                <w:noProof/>
              </w:rPr>
            </w:pPr>
            <w:r w:rsidRPr="000A5AB5">
              <w:rPr>
                <w:rFonts w:ascii="Arial" w:hAnsi="Arial" w:cs="Arial"/>
                <w:noProof/>
              </w:rPr>
              <w:t>Se interpreta como el avance en la evaluación de riesgo en la infraestructura y en proceso de planificación territorial, basados en u</w:t>
            </w:r>
            <w:r w:rsidR="00EB6A1E" w:rsidRPr="000A5AB5">
              <w:rPr>
                <w:rFonts w:ascii="Arial" w:hAnsi="Arial" w:cs="Arial"/>
                <w:noProof/>
              </w:rPr>
              <w:t>n modelo de valoración de vulnerabilidad ante el riesgo de desastres, aplicable a amenazas naturales evaluable y ajustable cada dos años a partir</w:t>
            </w:r>
            <w:r w:rsidR="00D15928" w:rsidRPr="000A5AB5">
              <w:rPr>
                <w:rFonts w:ascii="Arial" w:hAnsi="Arial" w:cs="Arial"/>
                <w:noProof/>
              </w:rPr>
              <w:t xml:space="preserve"> </w:t>
            </w:r>
            <w:r w:rsidR="00EB6A1E" w:rsidRPr="000A5AB5">
              <w:rPr>
                <w:rFonts w:ascii="Arial" w:hAnsi="Arial" w:cs="Arial"/>
                <w:noProof/>
              </w:rPr>
              <w:t>de su implementación, que será de acceso al público.</w:t>
            </w:r>
          </w:p>
          <w:p w14:paraId="53769F79" w14:textId="77777777" w:rsidR="008569EA" w:rsidRPr="000A5AB5" w:rsidRDefault="008569EA" w:rsidP="00EB6A1E">
            <w:pPr>
              <w:rPr>
                <w:rFonts w:ascii="Arial" w:hAnsi="Arial" w:cs="Arial"/>
                <w:noProof/>
              </w:rPr>
            </w:pPr>
          </w:p>
          <w:p w14:paraId="708E62A3" w14:textId="39B01134" w:rsidR="000A5AB5" w:rsidRPr="000A5AB5" w:rsidRDefault="00EB6A1E" w:rsidP="008569EA">
            <w:pPr>
              <w:rPr>
                <w:rFonts w:ascii="Arial" w:hAnsi="Arial" w:cs="Arial"/>
                <w:noProof/>
              </w:rPr>
            </w:pPr>
            <w:r w:rsidRPr="000A5AB5">
              <w:rPr>
                <w:rFonts w:ascii="Arial" w:hAnsi="Arial" w:cs="Arial"/>
                <w:noProof/>
              </w:rPr>
              <w:t>El modelo tendrá aplicación obligatoria en todas las instituciones del Estado con el propósito</w:t>
            </w:r>
            <w:r w:rsidR="00D15928" w:rsidRPr="000A5AB5">
              <w:rPr>
                <w:rFonts w:ascii="Arial" w:hAnsi="Arial" w:cs="Arial"/>
                <w:noProof/>
              </w:rPr>
              <w:t xml:space="preserve"> </w:t>
            </w:r>
            <w:r w:rsidRPr="000A5AB5">
              <w:rPr>
                <w:rFonts w:ascii="Arial" w:hAnsi="Arial" w:cs="Arial"/>
                <w:noProof/>
              </w:rPr>
              <w:t>de contribuir a la reducción de riesgo a desastres, en especial para el cumplimiento de competencias relacionadas con los siguientes procesos:</w:t>
            </w:r>
            <w:r w:rsidR="008569EA" w:rsidRPr="000A5AB5">
              <w:rPr>
                <w:rFonts w:ascii="Arial" w:hAnsi="Arial" w:cs="Arial"/>
                <w:noProof/>
              </w:rPr>
              <w:t xml:space="preserve"> (1) </w:t>
            </w:r>
            <w:r w:rsidRPr="000A5AB5">
              <w:rPr>
                <w:rFonts w:ascii="Arial" w:hAnsi="Arial" w:cs="Arial"/>
                <w:noProof/>
              </w:rPr>
              <w:t>La planificación territorial</w:t>
            </w:r>
            <w:r w:rsidR="008569EA" w:rsidRPr="000A5AB5">
              <w:rPr>
                <w:rFonts w:ascii="Arial" w:hAnsi="Arial" w:cs="Arial"/>
                <w:noProof/>
              </w:rPr>
              <w:t>, (2</w:t>
            </w:r>
            <w:r w:rsidRPr="000A5AB5">
              <w:rPr>
                <w:rFonts w:ascii="Arial" w:hAnsi="Arial" w:cs="Arial"/>
                <w:noProof/>
              </w:rPr>
              <w:t>) La implementación de asentamientos humanos y vivienda,</w:t>
            </w:r>
            <w:r w:rsidR="00E25CA0" w:rsidRPr="000A5AB5">
              <w:rPr>
                <w:rFonts w:ascii="Arial" w:hAnsi="Arial" w:cs="Arial"/>
                <w:noProof/>
              </w:rPr>
              <w:t xml:space="preserve"> </w:t>
            </w:r>
            <w:r w:rsidRPr="000A5AB5">
              <w:rPr>
                <w:rFonts w:ascii="Arial" w:hAnsi="Arial" w:cs="Arial"/>
                <w:noProof/>
              </w:rPr>
              <w:t>con particular énfasis en aquellos procesos promovidos por el</w:t>
            </w:r>
            <w:r w:rsidR="00E25CA0" w:rsidRPr="000A5AB5">
              <w:rPr>
                <w:rFonts w:ascii="Arial" w:hAnsi="Arial" w:cs="Arial"/>
                <w:noProof/>
              </w:rPr>
              <w:t xml:space="preserve"> </w:t>
            </w:r>
            <w:r w:rsidRPr="000A5AB5">
              <w:rPr>
                <w:rFonts w:ascii="Arial" w:hAnsi="Arial" w:cs="Arial"/>
                <w:noProof/>
              </w:rPr>
              <w:t>Estado</w:t>
            </w:r>
            <w:r w:rsidR="008569EA" w:rsidRPr="000A5AB5">
              <w:rPr>
                <w:rFonts w:ascii="Arial" w:hAnsi="Arial" w:cs="Arial"/>
                <w:noProof/>
              </w:rPr>
              <w:t>, (3</w:t>
            </w:r>
            <w:r w:rsidRPr="000A5AB5">
              <w:rPr>
                <w:rFonts w:ascii="Arial" w:hAnsi="Arial" w:cs="Arial"/>
                <w:noProof/>
              </w:rPr>
              <w:t>) El establecimiento de inversión pública e infraestructura (Diversas modalidades de ejecución y financiamiento) y servicios</w:t>
            </w:r>
            <w:r w:rsidR="008569EA" w:rsidRPr="000A5AB5">
              <w:rPr>
                <w:rFonts w:ascii="Arial" w:hAnsi="Arial" w:cs="Arial"/>
                <w:noProof/>
              </w:rPr>
              <w:t xml:space="preserve"> y (4</w:t>
            </w:r>
            <w:r w:rsidRPr="000A5AB5">
              <w:rPr>
                <w:rFonts w:ascii="Arial" w:hAnsi="Arial" w:cs="Arial"/>
                <w:noProof/>
              </w:rPr>
              <w:t>) La ejecución de mecanismos de transferencia de riesgo, en</w:t>
            </w:r>
            <w:r w:rsidR="00E25CA0" w:rsidRPr="000A5AB5">
              <w:rPr>
                <w:rFonts w:ascii="Arial" w:hAnsi="Arial" w:cs="Arial"/>
                <w:noProof/>
              </w:rPr>
              <w:t xml:space="preserve"> </w:t>
            </w:r>
            <w:r w:rsidRPr="000A5AB5">
              <w:rPr>
                <w:rFonts w:ascii="Arial" w:hAnsi="Arial" w:cs="Arial"/>
                <w:noProof/>
              </w:rPr>
              <w:t>particular el desarrollo de seguros.</w:t>
            </w:r>
          </w:p>
        </w:tc>
      </w:tr>
      <w:tr w:rsidR="007C0127" w:rsidRPr="000A5AB5" w14:paraId="21F23178" w14:textId="77777777" w:rsidTr="00B26A80">
        <w:trPr>
          <w:trHeight w:val="237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B96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Desagregación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877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Geográfica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84E" w14:textId="3290D70D" w:rsidR="000A5AB5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Nacional</w:t>
            </w:r>
          </w:p>
        </w:tc>
      </w:tr>
      <w:tr w:rsidR="007C0127" w:rsidRPr="000A5AB5" w14:paraId="1DC0D527" w14:textId="77777777" w:rsidTr="00B26A80">
        <w:trPr>
          <w:trHeight w:val="237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6DB" w14:textId="77777777" w:rsidR="007C0127" w:rsidRPr="000A5AB5" w:rsidRDefault="007C0127" w:rsidP="00933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D97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Temática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144" w14:textId="7996DB6C" w:rsidR="000A5AB5" w:rsidRPr="000A5AB5" w:rsidRDefault="00997CD2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Ordenamiento Territorial y Asentamientos Humanos</w:t>
            </w:r>
            <w:r w:rsidR="007C0127" w:rsidRPr="000A5AB5">
              <w:rPr>
                <w:rFonts w:ascii="Arial" w:hAnsi="Arial" w:cs="Arial"/>
              </w:rPr>
              <w:t>.</w:t>
            </w:r>
          </w:p>
        </w:tc>
      </w:tr>
      <w:tr w:rsidR="007C0127" w:rsidRPr="000A5AB5" w14:paraId="4E13DC3F" w14:textId="77777777" w:rsidTr="00B26A80">
        <w:trPr>
          <w:trHeight w:val="213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C88" w14:textId="77777777" w:rsidR="007C0127" w:rsidRPr="00D97E6E" w:rsidRDefault="007C0127" w:rsidP="00933499">
            <w:pPr>
              <w:rPr>
                <w:rFonts w:ascii="Arial" w:hAnsi="Arial" w:cs="Arial"/>
              </w:rPr>
            </w:pPr>
            <w:r w:rsidRPr="00D97E6E">
              <w:rPr>
                <w:rFonts w:ascii="Arial" w:eastAsia="Arial Narrow" w:hAnsi="Arial" w:cs="Arial"/>
              </w:rPr>
              <w:t>Línea base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C32" w14:textId="1A428615" w:rsidR="000A5AB5" w:rsidRPr="00D97E6E" w:rsidRDefault="007C0127" w:rsidP="00933499">
            <w:pPr>
              <w:rPr>
                <w:rFonts w:ascii="Arial" w:hAnsi="Arial" w:cs="Arial"/>
              </w:rPr>
            </w:pPr>
            <w:r w:rsidRPr="00D97E6E">
              <w:rPr>
                <w:rFonts w:ascii="Arial" w:hAnsi="Arial" w:cs="Arial"/>
              </w:rPr>
              <w:t>20</w:t>
            </w:r>
            <w:r w:rsidR="0036668C" w:rsidRPr="00D97E6E">
              <w:rPr>
                <w:rFonts w:ascii="Arial" w:hAnsi="Arial" w:cs="Arial"/>
              </w:rPr>
              <w:t>2</w:t>
            </w:r>
            <w:r w:rsidR="00D97E6E" w:rsidRPr="00D97E6E">
              <w:rPr>
                <w:rFonts w:ascii="Arial" w:hAnsi="Arial" w:cs="Arial"/>
              </w:rPr>
              <w:t>0:</w:t>
            </w:r>
            <w:r w:rsidR="00A533C3" w:rsidRPr="00D97E6E">
              <w:rPr>
                <w:rFonts w:ascii="Arial" w:hAnsi="Arial" w:cs="Arial"/>
              </w:rPr>
              <w:t xml:space="preserve"> </w:t>
            </w:r>
            <w:r w:rsidR="00D61F6A">
              <w:rPr>
                <w:rFonts w:ascii="Arial" w:hAnsi="Arial" w:cs="Arial"/>
              </w:rPr>
              <w:t xml:space="preserve">Las instituciones a cargo de obra pública hacen ejercicios de evaluación de riesgo para el diseño, construcción y operación de la </w:t>
            </w:r>
            <w:r w:rsidR="00A533C3" w:rsidRPr="00D97E6E">
              <w:rPr>
                <w:rFonts w:ascii="Arial" w:hAnsi="Arial" w:cs="Arial"/>
              </w:rPr>
              <w:t>infraestructura pública nueva se diseña</w:t>
            </w:r>
            <w:r w:rsidR="00D61F6A">
              <w:rPr>
                <w:rFonts w:ascii="Arial" w:hAnsi="Arial" w:cs="Arial"/>
              </w:rPr>
              <w:t xml:space="preserve">, sin que responda a un </w:t>
            </w:r>
            <w:r w:rsidR="00A533C3" w:rsidRPr="00D97E6E">
              <w:rPr>
                <w:rFonts w:ascii="Arial" w:hAnsi="Arial" w:cs="Arial"/>
              </w:rPr>
              <w:t>modelo de valoración de vulnerabilidad ante el riesgo de desastres</w:t>
            </w:r>
            <w:r w:rsidR="00D61F6A">
              <w:rPr>
                <w:rFonts w:ascii="Arial" w:hAnsi="Arial" w:cs="Arial"/>
              </w:rPr>
              <w:t xml:space="preserve"> concordado y oficialmente definido.</w:t>
            </w:r>
          </w:p>
        </w:tc>
      </w:tr>
      <w:tr w:rsidR="007C0127" w:rsidRPr="000A5AB5" w14:paraId="0DCE9E01" w14:textId="77777777" w:rsidTr="00B26A80">
        <w:trPr>
          <w:trHeight w:val="25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2DCF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Meta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EA1" w14:textId="051EA109" w:rsidR="000A5AB5" w:rsidRPr="000A5AB5" w:rsidRDefault="007C0127" w:rsidP="00336C7A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20</w:t>
            </w:r>
            <w:r w:rsidR="0036668C" w:rsidRPr="000A5AB5">
              <w:rPr>
                <w:rFonts w:ascii="Arial" w:hAnsi="Arial" w:cs="Arial"/>
              </w:rPr>
              <w:t>30</w:t>
            </w:r>
            <w:r w:rsidRPr="000A5AB5">
              <w:rPr>
                <w:rFonts w:ascii="Arial" w:hAnsi="Arial" w:cs="Arial"/>
              </w:rPr>
              <w:t xml:space="preserve">: </w:t>
            </w:r>
            <w:r w:rsidR="00D15928" w:rsidRPr="000A5AB5">
              <w:rPr>
                <w:rFonts w:ascii="Arial" w:hAnsi="Arial" w:cs="Arial"/>
              </w:rPr>
              <w:t>100% de la infraestructura pública nueva se diseña y construye y ubica basado en una adecuada evaluación del riesgo con base en un modelo de valoración de vulnerabilidad ante el riesgo de desastres.</w:t>
            </w:r>
          </w:p>
        </w:tc>
      </w:tr>
      <w:tr w:rsidR="007C0127" w:rsidRPr="000A5AB5" w14:paraId="3EBF6D89" w14:textId="77777777" w:rsidTr="00B26A80">
        <w:trPr>
          <w:trHeight w:val="111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4F9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Periodicidad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F88" w14:textId="03147BBD" w:rsidR="000A5AB5" w:rsidRPr="000A5AB5" w:rsidRDefault="009945BC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Anual</w:t>
            </w:r>
          </w:p>
        </w:tc>
      </w:tr>
      <w:tr w:rsidR="007C0127" w:rsidRPr="000A5AB5" w14:paraId="4CFF0D9D" w14:textId="77777777" w:rsidTr="00B26A80">
        <w:trPr>
          <w:trHeight w:val="3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0566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Fuente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1B8" w14:textId="59AF1186" w:rsidR="007C0127" w:rsidRPr="000A5AB5" w:rsidRDefault="009945BC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CNE</w:t>
            </w:r>
          </w:p>
        </w:tc>
      </w:tr>
      <w:tr w:rsidR="007C0127" w:rsidRPr="000A5AB5" w14:paraId="313F8F2C" w14:textId="77777777" w:rsidTr="00B26A80">
        <w:trPr>
          <w:trHeight w:val="28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DD8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Clasificación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131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(   ) Impacto.</w:t>
            </w:r>
          </w:p>
          <w:p w14:paraId="76C12A07" w14:textId="10FB0AD6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(</w:t>
            </w:r>
            <w:r w:rsidR="00C71E66" w:rsidRPr="000A5AB5">
              <w:rPr>
                <w:rFonts w:ascii="Arial" w:hAnsi="Arial" w:cs="Arial"/>
              </w:rPr>
              <w:t xml:space="preserve">   </w:t>
            </w:r>
            <w:r w:rsidRPr="000A5AB5">
              <w:rPr>
                <w:rFonts w:ascii="Arial" w:hAnsi="Arial" w:cs="Arial"/>
              </w:rPr>
              <w:t>) Efecto.</w:t>
            </w:r>
          </w:p>
          <w:p w14:paraId="6B763797" w14:textId="43DBAE3E" w:rsidR="000A5AB5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(</w:t>
            </w:r>
            <w:proofErr w:type="gramStart"/>
            <w:r w:rsidR="00C71E66" w:rsidRPr="000A5AB5">
              <w:rPr>
                <w:rFonts w:ascii="Arial" w:hAnsi="Arial" w:cs="Arial"/>
              </w:rPr>
              <w:t>x</w:t>
            </w:r>
            <w:r w:rsidR="00B26A80" w:rsidRPr="000A5AB5">
              <w:rPr>
                <w:rFonts w:ascii="Arial" w:hAnsi="Arial" w:cs="Arial"/>
              </w:rPr>
              <w:t xml:space="preserve"> </w:t>
            </w:r>
            <w:r w:rsidRPr="000A5AB5">
              <w:rPr>
                <w:rFonts w:ascii="Arial" w:hAnsi="Arial" w:cs="Arial"/>
              </w:rPr>
              <w:t>)</w:t>
            </w:r>
            <w:proofErr w:type="gramEnd"/>
            <w:r w:rsidRPr="000A5AB5">
              <w:rPr>
                <w:rFonts w:ascii="Arial" w:hAnsi="Arial" w:cs="Arial"/>
              </w:rPr>
              <w:t xml:space="preserve"> Producto.</w:t>
            </w:r>
          </w:p>
        </w:tc>
      </w:tr>
      <w:tr w:rsidR="007C0127" w:rsidRPr="000A5AB5" w14:paraId="09B48710" w14:textId="77777777" w:rsidTr="00B26A80">
        <w:trPr>
          <w:trHeight w:val="38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370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Tipo de operación estadística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255" w14:textId="2372F5BE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Encuesta y registros administrativos</w:t>
            </w:r>
            <w:r w:rsidR="00262087" w:rsidRPr="000A5AB5">
              <w:rPr>
                <w:rFonts w:ascii="Arial" w:hAnsi="Arial" w:cs="Arial"/>
              </w:rPr>
              <w:t>.</w:t>
            </w:r>
          </w:p>
        </w:tc>
      </w:tr>
      <w:tr w:rsidR="007C0127" w:rsidRPr="000A5AB5" w14:paraId="4EAE3E88" w14:textId="77777777" w:rsidTr="000A5AB5">
        <w:trPr>
          <w:trHeight w:val="35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1C6B" w14:textId="77777777" w:rsidR="007C0127" w:rsidRPr="000A5AB5" w:rsidRDefault="007C012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eastAsia="Arial Narrow" w:hAnsi="Arial" w:cs="Arial"/>
              </w:rPr>
              <w:t>Comentarios generales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2A22" w14:textId="5DB85D49" w:rsidR="000A5AB5" w:rsidRPr="000A5AB5" w:rsidRDefault="00071B07" w:rsidP="00933499">
            <w:pPr>
              <w:rPr>
                <w:rFonts w:ascii="Arial" w:hAnsi="Arial" w:cs="Arial"/>
              </w:rPr>
            </w:pPr>
            <w:r w:rsidRPr="000A5AB5">
              <w:rPr>
                <w:rFonts w:ascii="Arial" w:hAnsi="Arial" w:cs="Arial"/>
              </w:rPr>
              <w:t>Esto es un compromiso que responde a los lineamientos de la Política Nacional de Gestión del Riesgo y genera diversos compromisos en el Plan Nacional de Gestión del Riesgo de instituciones como CNE, MIDEPLAN, municipalidades y las instituciones a cargo de servicios públicos. Esto se vincula con lineamientos que también desarrolla la Política Nacional de Adaptación y la Política Nacional de Hábitat</w:t>
            </w:r>
            <w:r w:rsidR="00D61F6A">
              <w:rPr>
                <w:rFonts w:ascii="Arial" w:hAnsi="Arial" w:cs="Arial"/>
              </w:rPr>
              <w:t>.</w:t>
            </w:r>
          </w:p>
        </w:tc>
      </w:tr>
    </w:tbl>
    <w:p w14:paraId="744FAE8E" w14:textId="2FE874E0" w:rsidR="00CC17C9" w:rsidRPr="000A5AB5" w:rsidRDefault="00CC17C9" w:rsidP="000A5AB5">
      <w:pPr>
        <w:rPr>
          <w:rFonts w:ascii="Arial" w:hAnsi="Arial" w:cs="Arial"/>
        </w:rPr>
      </w:pPr>
    </w:p>
    <w:sectPr w:rsidR="00CC17C9" w:rsidRPr="000A5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DA20" w14:textId="77777777" w:rsidR="00103D5B" w:rsidRDefault="00103D5B" w:rsidP="007C0127">
      <w:r>
        <w:separator/>
      </w:r>
    </w:p>
  </w:endnote>
  <w:endnote w:type="continuationSeparator" w:id="0">
    <w:p w14:paraId="2B64D17B" w14:textId="77777777" w:rsidR="00103D5B" w:rsidRDefault="00103D5B" w:rsidP="007C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1175" w14:textId="77777777" w:rsidR="00103D5B" w:rsidRDefault="00103D5B" w:rsidP="007C0127">
      <w:r>
        <w:separator/>
      </w:r>
    </w:p>
  </w:footnote>
  <w:footnote w:type="continuationSeparator" w:id="0">
    <w:p w14:paraId="716C668F" w14:textId="77777777" w:rsidR="00103D5B" w:rsidRDefault="00103D5B" w:rsidP="007C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F1E"/>
    <w:multiLevelType w:val="hybridMultilevel"/>
    <w:tmpl w:val="D6923CE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870"/>
    <w:multiLevelType w:val="hybridMultilevel"/>
    <w:tmpl w:val="D6923CE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C6F63"/>
    <w:multiLevelType w:val="hybridMultilevel"/>
    <w:tmpl w:val="2C1C7C60"/>
    <w:lvl w:ilvl="0" w:tplc="7796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27"/>
    <w:rsid w:val="00071B07"/>
    <w:rsid w:val="00084B8D"/>
    <w:rsid w:val="000A5AB5"/>
    <w:rsid w:val="000B164D"/>
    <w:rsid w:val="00103D5B"/>
    <w:rsid w:val="00156B46"/>
    <w:rsid w:val="00160769"/>
    <w:rsid w:val="00164217"/>
    <w:rsid w:val="0019350F"/>
    <w:rsid w:val="001B320C"/>
    <w:rsid w:val="001E056C"/>
    <w:rsid w:val="00247791"/>
    <w:rsid w:val="00262087"/>
    <w:rsid w:val="002B4AEE"/>
    <w:rsid w:val="002B5F3E"/>
    <w:rsid w:val="002B68F3"/>
    <w:rsid w:val="002E6900"/>
    <w:rsid w:val="002F3B83"/>
    <w:rsid w:val="00336C7A"/>
    <w:rsid w:val="0034713D"/>
    <w:rsid w:val="0036668C"/>
    <w:rsid w:val="003E7C0F"/>
    <w:rsid w:val="003F10E3"/>
    <w:rsid w:val="00412619"/>
    <w:rsid w:val="00481A82"/>
    <w:rsid w:val="004967C9"/>
    <w:rsid w:val="004A3871"/>
    <w:rsid w:val="006F0084"/>
    <w:rsid w:val="006F270A"/>
    <w:rsid w:val="00744957"/>
    <w:rsid w:val="007577C0"/>
    <w:rsid w:val="007A5D6F"/>
    <w:rsid w:val="007B48AF"/>
    <w:rsid w:val="007B7386"/>
    <w:rsid w:val="007C0127"/>
    <w:rsid w:val="008021EF"/>
    <w:rsid w:val="00822116"/>
    <w:rsid w:val="00836495"/>
    <w:rsid w:val="008542FD"/>
    <w:rsid w:val="008569EA"/>
    <w:rsid w:val="00870F14"/>
    <w:rsid w:val="008A62A3"/>
    <w:rsid w:val="008E006F"/>
    <w:rsid w:val="009048E2"/>
    <w:rsid w:val="00936CBE"/>
    <w:rsid w:val="00944638"/>
    <w:rsid w:val="00951958"/>
    <w:rsid w:val="00960E4C"/>
    <w:rsid w:val="009932D3"/>
    <w:rsid w:val="009945BC"/>
    <w:rsid w:val="00997CD2"/>
    <w:rsid w:val="009D47D5"/>
    <w:rsid w:val="00A533C3"/>
    <w:rsid w:val="00A63B57"/>
    <w:rsid w:val="00B04628"/>
    <w:rsid w:val="00B101FD"/>
    <w:rsid w:val="00B26A80"/>
    <w:rsid w:val="00B3536B"/>
    <w:rsid w:val="00B54023"/>
    <w:rsid w:val="00B64A70"/>
    <w:rsid w:val="00BD0A11"/>
    <w:rsid w:val="00BF77D9"/>
    <w:rsid w:val="00C12735"/>
    <w:rsid w:val="00C3432C"/>
    <w:rsid w:val="00C7083C"/>
    <w:rsid w:val="00C71E66"/>
    <w:rsid w:val="00CC17C9"/>
    <w:rsid w:val="00CF470F"/>
    <w:rsid w:val="00D15928"/>
    <w:rsid w:val="00D53933"/>
    <w:rsid w:val="00D61F6A"/>
    <w:rsid w:val="00D97E6E"/>
    <w:rsid w:val="00DC49A3"/>
    <w:rsid w:val="00DD486A"/>
    <w:rsid w:val="00DF762D"/>
    <w:rsid w:val="00E25CA0"/>
    <w:rsid w:val="00E374DC"/>
    <w:rsid w:val="00E5487C"/>
    <w:rsid w:val="00EB6A1E"/>
    <w:rsid w:val="00EE733B"/>
    <w:rsid w:val="00F23D32"/>
    <w:rsid w:val="00F53A05"/>
    <w:rsid w:val="00F952FB"/>
    <w:rsid w:val="00FB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EC9C"/>
  <w15:docId w15:val="{0BE4FAB2-0F93-463F-AF32-8FEC805D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0127"/>
    <w:pPr>
      <w:spacing w:after="0" w:line="240" w:lineRule="auto"/>
      <w:jc w:val="both"/>
    </w:pPr>
    <w:rPr>
      <w:rFonts w:ascii="Century Gothic" w:eastAsia="Century Gothic" w:hAnsi="Century Gothic" w:cs="Century Gothic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aliases w:val="PIE_PAGINA"/>
    <w:basedOn w:val="Normal"/>
    <w:next w:val="Normal"/>
    <w:link w:val="CitadestacadaCar"/>
    <w:autoRedefine/>
    <w:uiPriority w:val="30"/>
    <w:qFormat/>
    <w:rsid w:val="007C0127"/>
    <w:pPr>
      <w:contextualSpacing/>
    </w:pPr>
    <w:rPr>
      <w:rFonts w:ascii="Arial Narrow" w:hAnsi="Arial Narrow"/>
      <w:iCs/>
      <w:sz w:val="16"/>
    </w:rPr>
  </w:style>
  <w:style w:type="character" w:customStyle="1" w:styleId="CitadestacadaCar">
    <w:name w:val="Cita destacada Car"/>
    <w:aliases w:val="PIE_PAGINA Car"/>
    <w:basedOn w:val="Fuentedeprrafopredeter"/>
    <w:link w:val="Citadestacada"/>
    <w:uiPriority w:val="30"/>
    <w:rsid w:val="007C0127"/>
    <w:rPr>
      <w:rFonts w:ascii="Arial Narrow" w:eastAsia="Century Gothic" w:hAnsi="Arial Narrow" w:cs="Century Gothic"/>
      <w:iCs/>
      <w:sz w:val="16"/>
      <w:lang w:eastAsia="es-CR"/>
    </w:rPr>
  </w:style>
  <w:style w:type="paragraph" w:styleId="Prrafodelista">
    <w:name w:val="List Paragraph"/>
    <w:basedOn w:val="Normal"/>
    <w:uiPriority w:val="34"/>
    <w:qFormat/>
    <w:rsid w:val="007C01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4B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B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B8D"/>
    <w:rPr>
      <w:rFonts w:ascii="Century Gothic" w:eastAsia="Century Gothic" w:hAnsi="Century Gothic" w:cs="Century Gothic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B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B8D"/>
    <w:rPr>
      <w:rFonts w:ascii="Century Gothic" w:eastAsia="Century Gothic" w:hAnsi="Century Gothic" w:cs="Century Gothic"/>
      <w:b/>
      <w:bCs/>
      <w:sz w:val="20"/>
      <w:szCs w:val="20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B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B8D"/>
    <w:rPr>
      <w:rFonts w:ascii="Tahoma" w:eastAsia="Century Gothic" w:hAnsi="Tahoma" w:cs="Tahoma"/>
      <w:sz w:val="16"/>
      <w:szCs w:val="1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Barboza Calvo</dc:creator>
  <cp:lastModifiedBy>Carlos Picado Rojas</cp:lastModifiedBy>
  <cp:revision>2</cp:revision>
  <dcterms:created xsi:type="dcterms:W3CDTF">2021-10-25T15:44:00Z</dcterms:created>
  <dcterms:modified xsi:type="dcterms:W3CDTF">2021-10-25T15:44:00Z</dcterms:modified>
</cp:coreProperties>
</file>