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5AAB7" w14:textId="77777777" w:rsidR="00B936AA" w:rsidRPr="00B936AA" w:rsidRDefault="00B936AA" w:rsidP="006E299B">
      <w:pPr>
        <w:pBdr>
          <w:bottom w:val="single" w:sz="4" w:space="1" w:color="auto"/>
        </w:pBdr>
        <w:spacing w:line="240" w:lineRule="auto"/>
        <w:rPr>
          <w:b/>
          <w:sz w:val="52"/>
          <w:szCs w:val="44"/>
        </w:rPr>
      </w:pPr>
      <w:r w:rsidRPr="006E299B">
        <w:rPr>
          <w:b/>
          <w:sz w:val="44"/>
          <w:szCs w:val="36"/>
        </w:rPr>
        <w:t>Criterios técnicos</w:t>
      </w:r>
      <w:r w:rsidR="006E299B" w:rsidRPr="006E299B">
        <w:rPr>
          <w:b/>
          <w:sz w:val="44"/>
          <w:szCs w:val="36"/>
        </w:rPr>
        <w:t xml:space="preserve"> para evaluar la </w:t>
      </w:r>
      <w:r w:rsidR="00D12128" w:rsidRPr="006E299B">
        <w:rPr>
          <w:b/>
          <w:sz w:val="44"/>
          <w:szCs w:val="36"/>
        </w:rPr>
        <w:t>Construcción de Infraestructura de Telecomunicaciones</w:t>
      </w:r>
      <w:r w:rsidRPr="006E299B">
        <w:rPr>
          <w:b/>
          <w:sz w:val="44"/>
          <w:szCs w:val="36"/>
        </w:rPr>
        <w:br/>
      </w:r>
      <w:r w:rsidR="003B0165" w:rsidRPr="00B936AA">
        <w:rPr>
          <w:b/>
          <w:sz w:val="32"/>
          <w:szCs w:val="24"/>
        </w:rPr>
        <w:t>Reglam</w:t>
      </w:r>
      <w:r w:rsidR="009E54EC" w:rsidRPr="00B936AA">
        <w:rPr>
          <w:b/>
          <w:sz w:val="32"/>
          <w:szCs w:val="24"/>
        </w:rPr>
        <w:t>ento de Construcciones del INVU</w:t>
      </w:r>
      <w:r>
        <w:rPr>
          <w:b/>
          <w:sz w:val="32"/>
          <w:szCs w:val="24"/>
        </w:rPr>
        <w:br/>
      </w:r>
      <w:r w:rsidRPr="00B936AA">
        <w:rPr>
          <w:b/>
        </w:rPr>
        <w:t>Alcance N°145 a La Gaceta N°148 del 16 de agosto del 2018</w:t>
      </w:r>
    </w:p>
    <w:p w14:paraId="7652EC85" w14:textId="77777777" w:rsidR="00B936AA" w:rsidRPr="007224C7" w:rsidRDefault="007224C7" w:rsidP="007224C7">
      <w:pPr>
        <w:spacing w:line="240" w:lineRule="auto"/>
        <w:jc w:val="both"/>
      </w:pPr>
      <w:r w:rsidRPr="007224C7">
        <w:t>La</w:t>
      </w:r>
      <w:r>
        <w:t xml:space="preserve"> tabla que se muestra a continuación resume los elementos presentes en el Reglamento de Construcciones del INVU relacionados con la construcción de infraestructura de soporte para redes de telecomunicaciones. La tabla no pretende reemplazar </w:t>
      </w:r>
      <w:r w:rsidR="00703F89">
        <w:t xml:space="preserve">la revisión y lectura </w:t>
      </w:r>
      <w:r>
        <w:t>de los artículos completos, sino, facilitar su localización, por lo que se sugiere utilizarl</w:t>
      </w:r>
      <w:r w:rsidR="00703F89">
        <w:t>a</w:t>
      </w:r>
      <w:r>
        <w:t xml:space="preserve"> como una guía rápida</w:t>
      </w:r>
      <w:r w:rsidR="00703F89">
        <w:t xml:space="preserve"> para la lectura del reglamento</w:t>
      </w:r>
      <w:r>
        <w:t>.</w:t>
      </w:r>
    </w:p>
    <w:tbl>
      <w:tblPr>
        <w:tblStyle w:val="Listaclara-nfasis1"/>
        <w:tblW w:w="5000" w:type="pct"/>
        <w:tblLayout w:type="fixed"/>
        <w:tblLook w:val="0420" w:firstRow="1" w:lastRow="0" w:firstColumn="0" w:lastColumn="0" w:noHBand="0" w:noVBand="1"/>
      </w:tblPr>
      <w:tblGrid>
        <w:gridCol w:w="658"/>
        <w:gridCol w:w="3099"/>
        <w:gridCol w:w="2409"/>
        <w:gridCol w:w="2652"/>
      </w:tblGrid>
      <w:tr w:rsidR="006E299B" w:rsidRPr="000F607E" w14:paraId="02DCB632" w14:textId="77777777" w:rsidTr="000F60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73" w:type="pct"/>
            <w:tcBorders>
              <w:top w:val="nil"/>
              <w:bottom w:val="single" w:sz="8" w:space="0" w:color="4F81BD" w:themeColor="accent1"/>
            </w:tcBorders>
          </w:tcPr>
          <w:p w14:paraId="66489370" w14:textId="77777777" w:rsidR="006E299B" w:rsidRPr="000F607E" w:rsidRDefault="006E299B" w:rsidP="000F607E">
            <w:pPr>
              <w:rPr>
                <w:sz w:val="20"/>
                <w:szCs w:val="20"/>
              </w:rPr>
            </w:pPr>
          </w:p>
        </w:tc>
        <w:tc>
          <w:tcPr>
            <w:tcW w:w="1757" w:type="pct"/>
          </w:tcPr>
          <w:p w14:paraId="094D29E6" w14:textId="77777777" w:rsidR="006E299B" w:rsidRPr="000F607E" w:rsidRDefault="006E299B" w:rsidP="008269AD">
            <w:pPr>
              <w:rPr>
                <w:sz w:val="20"/>
                <w:szCs w:val="20"/>
              </w:rPr>
            </w:pPr>
            <w:r w:rsidRPr="000F607E">
              <w:rPr>
                <w:sz w:val="20"/>
                <w:szCs w:val="20"/>
              </w:rPr>
              <w:t>Criterio</w:t>
            </w:r>
          </w:p>
        </w:tc>
        <w:tc>
          <w:tcPr>
            <w:tcW w:w="1366" w:type="pct"/>
          </w:tcPr>
          <w:p w14:paraId="704D19D8" w14:textId="77777777" w:rsidR="006E299B" w:rsidRPr="000F607E" w:rsidRDefault="006E299B" w:rsidP="008269AD">
            <w:pPr>
              <w:rPr>
                <w:sz w:val="20"/>
                <w:szCs w:val="20"/>
              </w:rPr>
            </w:pPr>
          </w:p>
        </w:tc>
        <w:tc>
          <w:tcPr>
            <w:tcW w:w="1504" w:type="pct"/>
          </w:tcPr>
          <w:p w14:paraId="58E563A3" w14:textId="77777777" w:rsidR="006E299B" w:rsidRPr="000F607E" w:rsidRDefault="006E299B" w:rsidP="008269AD">
            <w:pPr>
              <w:rPr>
                <w:b w:val="0"/>
                <w:bCs w:val="0"/>
                <w:sz w:val="20"/>
                <w:szCs w:val="20"/>
              </w:rPr>
            </w:pPr>
            <w:r w:rsidRPr="000F607E">
              <w:rPr>
                <w:sz w:val="20"/>
                <w:szCs w:val="20"/>
              </w:rPr>
              <w:t>Fundamento jurídico</w:t>
            </w:r>
          </w:p>
          <w:p w14:paraId="732C3AE7" w14:textId="77777777" w:rsidR="006E299B" w:rsidRPr="000F607E" w:rsidRDefault="006E299B" w:rsidP="00120E9C">
            <w:pPr>
              <w:rPr>
                <w:sz w:val="20"/>
                <w:szCs w:val="20"/>
              </w:rPr>
            </w:pPr>
          </w:p>
        </w:tc>
      </w:tr>
      <w:tr w:rsidR="006E299B" w:rsidRPr="000F607E" w14:paraId="580297E4" w14:textId="77777777" w:rsidTr="000F60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73" w:type="pct"/>
          </w:tcPr>
          <w:p w14:paraId="68463C75" w14:textId="77777777" w:rsidR="006E299B" w:rsidRPr="000F607E" w:rsidRDefault="006E299B" w:rsidP="000F607E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123" w:type="pct"/>
            <w:gridSpan w:val="2"/>
          </w:tcPr>
          <w:p w14:paraId="698A395C" w14:textId="77777777" w:rsidR="006E299B" w:rsidRPr="000F607E" w:rsidRDefault="006E299B" w:rsidP="0016123D">
            <w:pPr>
              <w:rPr>
                <w:b/>
                <w:bCs/>
                <w:sz w:val="20"/>
                <w:szCs w:val="20"/>
              </w:rPr>
            </w:pPr>
            <w:r w:rsidRPr="000F607E">
              <w:rPr>
                <w:sz w:val="20"/>
                <w:szCs w:val="20"/>
              </w:rPr>
              <w:t xml:space="preserve">Se puede </w:t>
            </w:r>
            <w:r w:rsidRPr="000F607E">
              <w:rPr>
                <w:b/>
                <w:bCs/>
                <w:sz w:val="20"/>
                <w:szCs w:val="20"/>
              </w:rPr>
              <w:t>ubicar en cualquier</w:t>
            </w:r>
          </w:p>
          <w:p w14:paraId="76C75BA1" w14:textId="77777777" w:rsidR="006E299B" w:rsidRPr="000F607E" w:rsidRDefault="006E299B" w:rsidP="0016123D">
            <w:pPr>
              <w:rPr>
                <w:sz w:val="20"/>
                <w:szCs w:val="20"/>
              </w:rPr>
            </w:pPr>
            <w:r w:rsidRPr="000F607E">
              <w:rPr>
                <w:b/>
                <w:bCs/>
                <w:sz w:val="20"/>
                <w:szCs w:val="20"/>
              </w:rPr>
              <w:t>parte</w:t>
            </w:r>
            <w:r w:rsidRPr="000F607E">
              <w:rPr>
                <w:sz w:val="20"/>
                <w:szCs w:val="20"/>
              </w:rPr>
              <w:t xml:space="preserve"> del territorio nacional y debe cumplir con establecido en este Reglamento para la Accesibilidad,</w:t>
            </w:r>
          </w:p>
          <w:p w14:paraId="59132E31" w14:textId="77777777" w:rsidR="006E299B" w:rsidRPr="000F607E" w:rsidRDefault="006E299B" w:rsidP="0016123D">
            <w:pPr>
              <w:rPr>
                <w:sz w:val="20"/>
                <w:szCs w:val="20"/>
              </w:rPr>
            </w:pPr>
            <w:r w:rsidRPr="000F607E">
              <w:rPr>
                <w:sz w:val="20"/>
                <w:szCs w:val="20"/>
              </w:rPr>
              <w:t>si se encuentran en la vía pública.</w:t>
            </w:r>
          </w:p>
        </w:tc>
        <w:tc>
          <w:tcPr>
            <w:tcW w:w="1504" w:type="pct"/>
          </w:tcPr>
          <w:p w14:paraId="4FDFEDA2" w14:textId="77777777" w:rsidR="006E299B" w:rsidRPr="000F607E" w:rsidRDefault="006E299B" w:rsidP="002160AA">
            <w:pPr>
              <w:rPr>
                <w:sz w:val="20"/>
                <w:szCs w:val="20"/>
              </w:rPr>
            </w:pPr>
            <w:r w:rsidRPr="000F607E">
              <w:rPr>
                <w:sz w:val="20"/>
                <w:szCs w:val="20"/>
              </w:rPr>
              <w:t>ARTÍCULO 385. Certificado de uso de suelo</w:t>
            </w:r>
          </w:p>
          <w:p w14:paraId="5CAC45E7" w14:textId="77777777" w:rsidR="006E299B" w:rsidRPr="000F607E" w:rsidRDefault="006E299B" w:rsidP="008269AD">
            <w:pPr>
              <w:rPr>
                <w:sz w:val="20"/>
                <w:szCs w:val="20"/>
              </w:rPr>
            </w:pPr>
          </w:p>
        </w:tc>
      </w:tr>
      <w:tr w:rsidR="006E299B" w:rsidRPr="000F607E" w14:paraId="6398D37D" w14:textId="77777777" w:rsidTr="000F607E">
        <w:tc>
          <w:tcPr>
            <w:tcW w:w="373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14:paraId="7689F206" w14:textId="77777777" w:rsidR="006E299B" w:rsidRPr="000F607E" w:rsidRDefault="006E299B" w:rsidP="000F607E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123" w:type="pct"/>
            <w:gridSpan w:val="2"/>
          </w:tcPr>
          <w:p w14:paraId="2516B51C" w14:textId="77777777" w:rsidR="006E299B" w:rsidRPr="000F607E" w:rsidRDefault="006E299B" w:rsidP="00701A9B">
            <w:pPr>
              <w:rPr>
                <w:sz w:val="20"/>
                <w:szCs w:val="20"/>
              </w:rPr>
            </w:pPr>
            <w:r w:rsidRPr="000F607E">
              <w:rPr>
                <w:sz w:val="20"/>
                <w:szCs w:val="20"/>
              </w:rPr>
              <w:t>El cobro por arrendamiento de bienes de uso público, será establecido por la Dirección General de Tributación.</w:t>
            </w:r>
          </w:p>
        </w:tc>
        <w:tc>
          <w:tcPr>
            <w:tcW w:w="1504" w:type="pct"/>
          </w:tcPr>
          <w:p w14:paraId="732EC06C" w14:textId="77777777" w:rsidR="006E299B" w:rsidRPr="000F607E" w:rsidRDefault="006E299B" w:rsidP="008269AD">
            <w:pPr>
              <w:rPr>
                <w:sz w:val="20"/>
                <w:szCs w:val="20"/>
              </w:rPr>
            </w:pPr>
            <w:r w:rsidRPr="000F607E">
              <w:rPr>
                <w:sz w:val="20"/>
                <w:szCs w:val="20"/>
              </w:rPr>
              <w:t>ARTÍCULO 390. Cobro por uso en bienes de uso público</w:t>
            </w:r>
          </w:p>
        </w:tc>
      </w:tr>
      <w:tr w:rsidR="006E299B" w:rsidRPr="000F607E" w14:paraId="7CCA6CA5" w14:textId="77777777" w:rsidTr="000F60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73" w:type="pct"/>
          </w:tcPr>
          <w:p w14:paraId="78F63DBF" w14:textId="77777777" w:rsidR="006E299B" w:rsidRPr="000F607E" w:rsidRDefault="006E299B" w:rsidP="000F607E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123" w:type="pct"/>
            <w:gridSpan w:val="2"/>
          </w:tcPr>
          <w:p w14:paraId="19ABB257" w14:textId="77777777" w:rsidR="006E299B" w:rsidRPr="000F607E" w:rsidRDefault="006E299B" w:rsidP="00120E9C">
            <w:pPr>
              <w:rPr>
                <w:sz w:val="20"/>
                <w:szCs w:val="20"/>
              </w:rPr>
            </w:pPr>
            <w:r w:rsidRPr="000F607E">
              <w:rPr>
                <w:sz w:val="20"/>
                <w:szCs w:val="20"/>
              </w:rPr>
              <w:t xml:space="preserve">La Dirección General de Aviación Civil determina la </w:t>
            </w:r>
            <w:r w:rsidRPr="000F607E">
              <w:rPr>
                <w:b/>
                <w:bCs/>
                <w:sz w:val="20"/>
                <w:szCs w:val="20"/>
                <w:u w:val="single"/>
              </w:rPr>
              <w:t>altura</w:t>
            </w:r>
            <w:r w:rsidRPr="000F607E">
              <w:rPr>
                <w:b/>
                <w:bCs/>
                <w:sz w:val="20"/>
                <w:szCs w:val="20"/>
              </w:rPr>
              <w:t xml:space="preserve"> </w:t>
            </w:r>
            <w:r w:rsidRPr="000F607E">
              <w:rPr>
                <w:b/>
                <w:bCs/>
                <w:sz w:val="20"/>
                <w:szCs w:val="20"/>
                <w:u w:val="single"/>
              </w:rPr>
              <w:t>máxima</w:t>
            </w:r>
            <w:r w:rsidRPr="000F607E">
              <w:rPr>
                <w:sz w:val="20"/>
                <w:szCs w:val="20"/>
              </w:rPr>
              <w:t xml:space="preserve"> y señalización de la infraestructura para el soporte de redes de telecomunicaciones.</w:t>
            </w:r>
          </w:p>
        </w:tc>
        <w:tc>
          <w:tcPr>
            <w:tcW w:w="1504" w:type="pct"/>
          </w:tcPr>
          <w:p w14:paraId="6AE56116" w14:textId="77777777" w:rsidR="006E299B" w:rsidRPr="000F607E" w:rsidRDefault="006E299B" w:rsidP="008269AD">
            <w:pPr>
              <w:rPr>
                <w:sz w:val="20"/>
                <w:szCs w:val="20"/>
              </w:rPr>
            </w:pPr>
            <w:r w:rsidRPr="000F607E">
              <w:rPr>
                <w:sz w:val="20"/>
                <w:szCs w:val="20"/>
              </w:rPr>
              <w:t>ARTÍCULO 391. Altura máxima y señalización</w:t>
            </w:r>
          </w:p>
        </w:tc>
      </w:tr>
      <w:tr w:rsidR="006E299B" w:rsidRPr="000F607E" w14:paraId="24E798E2" w14:textId="77777777" w:rsidTr="000F607E">
        <w:tc>
          <w:tcPr>
            <w:tcW w:w="373" w:type="pct"/>
            <w:tcBorders>
              <w:top w:val="single" w:sz="8" w:space="0" w:color="4F81BD" w:themeColor="accent1"/>
              <w:bottom w:val="nil"/>
            </w:tcBorders>
          </w:tcPr>
          <w:p w14:paraId="7CB6E641" w14:textId="77777777" w:rsidR="006E299B" w:rsidRPr="000F607E" w:rsidRDefault="006E299B" w:rsidP="000F607E">
            <w:pPr>
              <w:rPr>
                <w:sz w:val="20"/>
                <w:szCs w:val="20"/>
              </w:rPr>
            </w:pPr>
          </w:p>
          <w:p w14:paraId="0FAC569C" w14:textId="77777777" w:rsidR="00E30217" w:rsidRPr="000F607E" w:rsidRDefault="00E30217" w:rsidP="000F607E">
            <w:pPr>
              <w:rPr>
                <w:sz w:val="20"/>
                <w:szCs w:val="20"/>
              </w:rPr>
            </w:pPr>
          </w:p>
          <w:p w14:paraId="6183500C" w14:textId="77777777" w:rsidR="00E30217" w:rsidRPr="000F607E" w:rsidRDefault="00E30217" w:rsidP="000F607E">
            <w:pPr>
              <w:rPr>
                <w:sz w:val="20"/>
                <w:szCs w:val="20"/>
              </w:rPr>
            </w:pPr>
          </w:p>
        </w:tc>
        <w:tc>
          <w:tcPr>
            <w:tcW w:w="3123" w:type="pct"/>
            <w:gridSpan w:val="2"/>
            <w:tcBorders>
              <w:top w:val="single" w:sz="8" w:space="0" w:color="4F81BD" w:themeColor="accent1"/>
              <w:bottom w:val="nil"/>
            </w:tcBorders>
          </w:tcPr>
          <w:p w14:paraId="05A2D11A" w14:textId="77777777" w:rsidR="006E299B" w:rsidRPr="000F607E" w:rsidRDefault="006E299B" w:rsidP="000F607E">
            <w:pPr>
              <w:rPr>
                <w:b/>
                <w:bCs/>
                <w:sz w:val="20"/>
                <w:szCs w:val="20"/>
              </w:rPr>
            </w:pPr>
            <w:r w:rsidRPr="000F607E">
              <w:rPr>
                <w:b/>
                <w:bCs/>
                <w:sz w:val="20"/>
                <w:szCs w:val="20"/>
              </w:rPr>
              <w:t>Requisitos para la instalación de torres y postes de telecomunicaciones:</w:t>
            </w:r>
          </w:p>
          <w:p w14:paraId="523C85C5" w14:textId="77777777" w:rsidR="006E299B" w:rsidRPr="000F607E" w:rsidRDefault="006E299B" w:rsidP="00701A9B">
            <w:pPr>
              <w:rPr>
                <w:b/>
                <w:bCs/>
                <w:sz w:val="20"/>
                <w:szCs w:val="20"/>
              </w:rPr>
            </w:pPr>
          </w:p>
          <w:p w14:paraId="76E4C0A9" w14:textId="77777777" w:rsidR="006E299B" w:rsidRPr="000F607E" w:rsidRDefault="006E299B" w:rsidP="0016123D">
            <w:pPr>
              <w:rPr>
                <w:sz w:val="20"/>
                <w:szCs w:val="20"/>
              </w:rPr>
            </w:pPr>
          </w:p>
        </w:tc>
        <w:tc>
          <w:tcPr>
            <w:tcW w:w="1504" w:type="pct"/>
            <w:tcBorders>
              <w:top w:val="single" w:sz="8" w:space="0" w:color="4F81BD" w:themeColor="accent1"/>
              <w:bottom w:val="nil"/>
            </w:tcBorders>
          </w:tcPr>
          <w:p w14:paraId="40C01B64" w14:textId="77777777" w:rsidR="006E299B" w:rsidRPr="000F607E" w:rsidRDefault="006E299B" w:rsidP="00BC2CB3">
            <w:pPr>
              <w:rPr>
                <w:sz w:val="20"/>
                <w:szCs w:val="20"/>
              </w:rPr>
            </w:pPr>
            <w:r w:rsidRPr="000F607E">
              <w:rPr>
                <w:sz w:val="20"/>
                <w:szCs w:val="20"/>
              </w:rPr>
              <w:t>ARTÍCULO 392. Requisitos para la instalación de infraestructura de soporte para redes de telecomunicaciones</w:t>
            </w:r>
          </w:p>
        </w:tc>
      </w:tr>
      <w:tr w:rsidR="00E30217" w:rsidRPr="000F607E" w14:paraId="78BC7B49" w14:textId="77777777" w:rsidTr="000F60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73" w:type="pct"/>
            <w:tcBorders>
              <w:top w:val="nil"/>
              <w:bottom w:val="nil"/>
            </w:tcBorders>
          </w:tcPr>
          <w:p w14:paraId="63E0C980" w14:textId="77777777" w:rsidR="00E30217" w:rsidRPr="000F607E" w:rsidRDefault="00E30217" w:rsidP="000F607E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123" w:type="pct"/>
            <w:gridSpan w:val="2"/>
            <w:tcBorders>
              <w:top w:val="nil"/>
              <w:bottom w:val="nil"/>
            </w:tcBorders>
          </w:tcPr>
          <w:p w14:paraId="419F2491" w14:textId="77777777" w:rsidR="00E30217" w:rsidRPr="000F607E" w:rsidRDefault="00E30217" w:rsidP="00E30217">
            <w:pPr>
              <w:rPr>
                <w:sz w:val="20"/>
                <w:szCs w:val="20"/>
              </w:rPr>
            </w:pPr>
            <w:r w:rsidRPr="000F607E">
              <w:rPr>
                <w:sz w:val="20"/>
                <w:szCs w:val="20"/>
              </w:rPr>
              <w:t>1) Georreferenciación de la ubicación del centro de la infraestructura, con coordenadas de longitud y latitud en formatos CRTM05 y WGS84</w:t>
            </w:r>
          </w:p>
        </w:tc>
        <w:tc>
          <w:tcPr>
            <w:tcW w:w="1504" w:type="pct"/>
            <w:tcBorders>
              <w:top w:val="nil"/>
              <w:bottom w:val="nil"/>
            </w:tcBorders>
          </w:tcPr>
          <w:p w14:paraId="114AAC31" w14:textId="77777777" w:rsidR="00E30217" w:rsidRPr="000F607E" w:rsidRDefault="00E30217" w:rsidP="00120E9C">
            <w:pPr>
              <w:rPr>
                <w:sz w:val="20"/>
                <w:szCs w:val="20"/>
              </w:rPr>
            </w:pPr>
          </w:p>
        </w:tc>
      </w:tr>
      <w:tr w:rsidR="00E30217" w:rsidRPr="000F607E" w14:paraId="79156946" w14:textId="77777777" w:rsidTr="000F607E">
        <w:tc>
          <w:tcPr>
            <w:tcW w:w="373" w:type="pct"/>
            <w:tcBorders>
              <w:top w:val="nil"/>
              <w:bottom w:val="nil"/>
            </w:tcBorders>
          </w:tcPr>
          <w:p w14:paraId="71D29527" w14:textId="77777777" w:rsidR="00E30217" w:rsidRPr="000F607E" w:rsidRDefault="00E30217" w:rsidP="000F607E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123" w:type="pct"/>
            <w:gridSpan w:val="2"/>
            <w:tcBorders>
              <w:top w:val="nil"/>
              <w:bottom w:val="nil"/>
            </w:tcBorders>
          </w:tcPr>
          <w:p w14:paraId="36B10044" w14:textId="77777777" w:rsidR="00E30217" w:rsidRPr="000F607E" w:rsidRDefault="00E30217" w:rsidP="00E30217">
            <w:pPr>
              <w:rPr>
                <w:sz w:val="20"/>
                <w:szCs w:val="20"/>
              </w:rPr>
            </w:pPr>
            <w:r w:rsidRPr="000F607E">
              <w:rPr>
                <w:sz w:val="20"/>
                <w:szCs w:val="20"/>
              </w:rPr>
              <w:t>2) Presentación de la cédula de identidad de personas físicas, o certificación de personería jurídica cuando se refiera a personas jurídicas, cuya vigencia determina el ente emisor.</w:t>
            </w:r>
          </w:p>
        </w:tc>
        <w:tc>
          <w:tcPr>
            <w:tcW w:w="1504" w:type="pct"/>
            <w:tcBorders>
              <w:top w:val="nil"/>
              <w:bottom w:val="nil"/>
            </w:tcBorders>
          </w:tcPr>
          <w:p w14:paraId="3F63F75C" w14:textId="77777777" w:rsidR="00E30217" w:rsidRPr="000F607E" w:rsidRDefault="00E30217" w:rsidP="00120E9C">
            <w:pPr>
              <w:rPr>
                <w:sz w:val="20"/>
                <w:szCs w:val="20"/>
              </w:rPr>
            </w:pPr>
          </w:p>
        </w:tc>
      </w:tr>
      <w:tr w:rsidR="00E30217" w:rsidRPr="000F607E" w14:paraId="02354D89" w14:textId="77777777" w:rsidTr="000F60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73" w:type="pct"/>
            <w:tcBorders>
              <w:top w:val="nil"/>
              <w:bottom w:val="nil"/>
            </w:tcBorders>
          </w:tcPr>
          <w:p w14:paraId="45748F00" w14:textId="77777777" w:rsidR="00E30217" w:rsidRPr="000F607E" w:rsidRDefault="00E30217" w:rsidP="000F607E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123" w:type="pct"/>
            <w:gridSpan w:val="2"/>
            <w:tcBorders>
              <w:top w:val="nil"/>
              <w:bottom w:val="nil"/>
            </w:tcBorders>
          </w:tcPr>
          <w:p w14:paraId="239ED47C" w14:textId="77777777" w:rsidR="00E30217" w:rsidRPr="000F607E" w:rsidRDefault="00E30217" w:rsidP="002E6970">
            <w:pPr>
              <w:rPr>
                <w:sz w:val="20"/>
                <w:szCs w:val="20"/>
              </w:rPr>
            </w:pPr>
            <w:r w:rsidRPr="000F607E">
              <w:rPr>
                <w:sz w:val="20"/>
                <w:szCs w:val="20"/>
              </w:rPr>
              <w:t>3) Alineamiento del MOPT o de la Municipalidad, según la naturaleza de la vía, en caso que el predio enfrente a una vía pública.</w:t>
            </w:r>
          </w:p>
        </w:tc>
        <w:tc>
          <w:tcPr>
            <w:tcW w:w="1504" w:type="pct"/>
            <w:tcBorders>
              <w:top w:val="nil"/>
              <w:bottom w:val="nil"/>
            </w:tcBorders>
          </w:tcPr>
          <w:p w14:paraId="1F4A5897" w14:textId="77777777" w:rsidR="00E30217" w:rsidRPr="000F607E" w:rsidRDefault="00E30217" w:rsidP="00120E9C">
            <w:pPr>
              <w:rPr>
                <w:sz w:val="20"/>
                <w:szCs w:val="20"/>
              </w:rPr>
            </w:pPr>
          </w:p>
        </w:tc>
      </w:tr>
      <w:tr w:rsidR="00E30217" w:rsidRPr="000F607E" w14:paraId="7A2DC15D" w14:textId="77777777" w:rsidTr="000F607E">
        <w:tc>
          <w:tcPr>
            <w:tcW w:w="373" w:type="pct"/>
            <w:tcBorders>
              <w:top w:val="nil"/>
              <w:bottom w:val="nil"/>
            </w:tcBorders>
          </w:tcPr>
          <w:p w14:paraId="51EC287B" w14:textId="77777777" w:rsidR="00E30217" w:rsidRPr="000F607E" w:rsidRDefault="00E30217" w:rsidP="000F607E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123" w:type="pct"/>
            <w:gridSpan w:val="2"/>
            <w:tcBorders>
              <w:top w:val="nil"/>
              <w:bottom w:val="nil"/>
            </w:tcBorders>
          </w:tcPr>
          <w:p w14:paraId="6BD9DADD" w14:textId="77777777" w:rsidR="00E30217" w:rsidRPr="000F607E" w:rsidRDefault="00E30217" w:rsidP="00E30217">
            <w:pPr>
              <w:rPr>
                <w:sz w:val="20"/>
                <w:szCs w:val="20"/>
              </w:rPr>
            </w:pPr>
            <w:r w:rsidRPr="000F607E">
              <w:rPr>
                <w:sz w:val="20"/>
                <w:szCs w:val="20"/>
              </w:rPr>
              <w:t>4) Planos constructivos firmados por profesional responsable y sellados por el CFIA, que den cumplimiento a Ley de Igualdad de Oportunidades para Personas con Discapacidad, Ley N°7600, y su Reglamento Decreto Ejecutivo N° 26831-MP</w:t>
            </w:r>
          </w:p>
        </w:tc>
        <w:tc>
          <w:tcPr>
            <w:tcW w:w="1504" w:type="pct"/>
            <w:tcBorders>
              <w:top w:val="nil"/>
              <w:bottom w:val="nil"/>
            </w:tcBorders>
          </w:tcPr>
          <w:p w14:paraId="1FAE3B83" w14:textId="77777777" w:rsidR="00E30217" w:rsidRPr="000F607E" w:rsidRDefault="00E30217" w:rsidP="00120E9C">
            <w:pPr>
              <w:rPr>
                <w:sz w:val="20"/>
                <w:szCs w:val="20"/>
              </w:rPr>
            </w:pPr>
          </w:p>
        </w:tc>
      </w:tr>
      <w:tr w:rsidR="00E30217" w:rsidRPr="000F607E" w14:paraId="5A22C213" w14:textId="77777777" w:rsidTr="000F60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73" w:type="pct"/>
            <w:tcBorders>
              <w:top w:val="nil"/>
              <w:bottom w:val="nil"/>
            </w:tcBorders>
          </w:tcPr>
          <w:p w14:paraId="48601681" w14:textId="77777777" w:rsidR="00E30217" w:rsidRPr="000F607E" w:rsidRDefault="00E30217" w:rsidP="000F607E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123" w:type="pct"/>
            <w:gridSpan w:val="2"/>
            <w:tcBorders>
              <w:top w:val="nil"/>
              <w:bottom w:val="nil"/>
            </w:tcBorders>
          </w:tcPr>
          <w:p w14:paraId="294C274F" w14:textId="77777777" w:rsidR="00E30217" w:rsidRPr="000F607E" w:rsidRDefault="00E30217" w:rsidP="00E30217">
            <w:pPr>
              <w:rPr>
                <w:sz w:val="20"/>
                <w:szCs w:val="20"/>
              </w:rPr>
            </w:pPr>
            <w:r w:rsidRPr="000F607E">
              <w:rPr>
                <w:sz w:val="20"/>
                <w:szCs w:val="20"/>
              </w:rPr>
              <w:t>5) Especificaciones técnicas de empotramiento</w:t>
            </w:r>
          </w:p>
        </w:tc>
        <w:tc>
          <w:tcPr>
            <w:tcW w:w="1504" w:type="pct"/>
            <w:tcBorders>
              <w:top w:val="nil"/>
              <w:bottom w:val="nil"/>
            </w:tcBorders>
          </w:tcPr>
          <w:p w14:paraId="698CD05F" w14:textId="77777777" w:rsidR="00E30217" w:rsidRPr="000F607E" w:rsidRDefault="00E30217" w:rsidP="00120E9C">
            <w:pPr>
              <w:rPr>
                <w:sz w:val="20"/>
                <w:szCs w:val="20"/>
              </w:rPr>
            </w:pPr>
          </w:p>
        </w:tc>
      </w:tr>
      <w:tr w:rsidR="00E30217" w:rsidRPr="000F607E" w14:paraId="7B9604C9" w14:textId="77777777" w:rsidTr="000F607E">
        <w:tc>
          <w:tcPr>
            <w:tcW w:w="373" w:type="pct"/>
            <w:tcBorders>
              <w:top w:val="nil"/>
              <w:bottom w:val="single" w:sz="8" w:space="0" w:color="4F81BD" w:themeColor="accent1"/>
            </w:tcBorders>
          </w:tcPr>
          <w:p w14:paraId="027C2C85" w14:textId="77777777" w:rsidR="00E30217" w:rsidRPr="000F607E" w:rsidRDefault="00E30217" w:rsidP="000F607E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123" w:type="pct"/>
            <w:gridSpan w:val="2"/>
            <w:tcBorders>
              <w:top w:val="nil"/>
              <w:bottom w:val="single" w:sz="8" w:space="0" w:color="4F81BD" w:themeColor="accent1"/>
            </w:tcBorders>
          </w:tcPr>
          <w:p w14:paraId="70C4A715" w14:textId="77777777" w:rsidR="00E30217" w:rsidRPr="000F607E" w:rsidRDefault="00E30217" w:rsidP="00E30217">
            <w:pPr>
              <w:rPr>
                <w:sz w:val="20"/>
                <w:szCs w:val="20"/>
              </w:rPr>
            </w:pPr>
            <w:r w:rsidRPr="000F607E">
              <w:rPr>
                <w:sz w:val="20"/>
                <w:szCs w:val="20"/>
              </w:rPr>
              <w:t>6) Indicación de la altura de la infraestructura</w:t>
            </w:r>
          </w:p>
          <w:p w14:paraId="434AB662" w14:textId="77777777" w:rsidR="00E30217" w:rsidRDefault="00E30217" w:rsidP="00E30217">
            <w:pPr>
              <w:rPr>
                <w:b/>
                <w:bCs/>
                <w:sz w:val="20"/>
                <w:szCs w:val="20"/>
              </w:rPr>
            </w:pPr>
          </w:p>
          <w:p w14:paraId="2443B1C8" w14:textId="77777777" w:rsidR="000F607E" w:rsidRPr="000F607E" w:rsidRDefault="000F607E" w:rsidP="00E30217">
            <w:pPr>
              <w:rPr>
                <w:b/>
                <w:bCs/>
                <w:sz w:val="20"/>
                <w:szCs w:val="20"/>
              </w:rPr>
            </w:pPr>
          </w:p>
          <w:p w14:paraId="540819E0" w14:textId="77777777" w:rsidR="00E30217" w:rsidRPr="000F607E" w:rsidRDefault="00E30217" w:rsidP="00E30217">
            <w:pPr>
              <w:rPr>
                <w:sz w:val="20"/>
                <w:szCs w:val="20"/>
              </w:rPr>
            </w:pPr>
            <w:r w:rsidRPr="000F607E">
              <w:rPr>
                <w:sz w:val="20"/>
                <w:szCs w:val="20"/>
              </w:rPr>
              <w:t>Adicionalmente, en casos de rutas nacionales, los postes de telecomunicaciones requieren del Permiso de rotura de vía del MOPT.</w:t>
            </w:r>
          </w:p>
        </w:tc>
        <w:tc>
          <w:tcPr>
            <w:tcW w:w="1504" w:type="pct"/>
            <w:tcBorders>
              <w:top w:val="nil"/>
              <w:bottom w:val="single" w:sz="8" w:space="0" w:color="4F81BD" w:themeColor="accent1"/>
            </w:tcBorders>
          </w:tcPr>
          <w:p w14:paraId="55D58682" w14:textId="77777777" w:rsidR="00E30217" w:rsidRPr="000F607E" w:rsidRDefault="00E30217" w:rsidP="00120E9C">
            <w:pPr>
              <w:rPr>
                <w:sz w:val="20"/>
                <w:szCs w:val="20"/>
              </w:rPr>
            </w:pPr>
          </w:p>
        </w:tc>
      </w:tr>
      <w:tr w:rsidR="006E299B" w:rsidRPr="000F607E" w14:paraId="6A6269F4" w14:textId="77777777" w:rsidTr="000F60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73" w:type="pct"/>
          </w:tcPr>
          <w:p w14:paraId="454291E0" w14:textId="77777777" w:rsidR="006E299B" w:rsidRPr="000F607E" w:rsidRDefault="006E299B" w:rsidP="000F607E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123" w:type="pct"/>
            <w:gridSpan w:val="2"/>
          </w:tcPr>
          <w:p w14:paraId="25E305C9" w14:textId="77777777" w:rsidR="006E299B" w:rsidRPr="000F607E" w:rsidRDefault="006E299B" w:rsidP="002E6970">
            <w:pPr>
              <w:rPr>
                <w:sz w:val="20"/>
                <w:szCs w:val="20"/>
              </w:rPr>
            </w:pPr>
            <w:r w:rsidRPr="000F607E">
              <w:rPr>
                <w:sz w:val="20"/>
                <w:szCs w:val="20"/>
              </w:rPr>
              <w:t xml:space="preserve">Las </w:t>
            </w:r>
            <w:r w:rsidRPr="000F607E">
              <w:rPr>
                <w:b/>
                <w:bCs/>
                <w:sz w:val="20"/>
                <w:szCs w:val="20"/>
              </w:rPr>
              <w:t>dimensiones mínimas de frente y fondo</w:t>
            </w:r>
            <w:r w:rsidRPr="000F607E">
              <w:rPr>
                <w:sz w:val="20"/>
                <w:szCs w:val="20"/>
              </w:rPr>
              <w:t xml:space="preserve"> equivalente al 30% de la altura de la torre, medida desde el centro de la base de la torre hasta el final de la misma sin incluir el pararrayo. El porcentaje debe ser del 20%, bajo los mismos términos señalados, cuando la infraestructura sea mayor a 30,00 m de altura.</w:t>
            </w:r>
          </w:p>
        </w:tc>
        <w:tc>
          <w:tcPr>
            <w:tcW w:w="1504" w:type="pct"/>
          </w:tcPr>
          <w:p w14:paraId="1161A778" w14:textId="77777777" w:rsidR="006E299B" w:rsidRPr="000F607E" w:rsidRDefault="006E299B" w:rsidP="00120E9C">
            <w:pPr>
              <w:rPr>
                <w:sz w:val="20"/>
                <w:szCs w:val="20"/>
              </w:rPr>
            </w:pPr>
            <w:r w:rsidRPr="000F607E">
              <w:rPr>
                <w:sz w:val="20"/>
                <w:szCs w:val="20"/>
              </w:rPr>
              <w:t>ARTÍCULO 393. Instalación de torres en predios independientes</w:t>
            </w:r>
          </w:p>
        </w:tc>
      </w:tr>
      <w:tr w:rsidR="006E299B" w:rsidRPr="000F607E" w14:paraId="054F6FA0" w14:textId="77777777" w:rsidTr="000F607E">
        <w:tc>
          <w:tcPr>
            <w:tcW w:w="373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14:paraId="5C879ACB" w14:textId="77777777" w:rsidR="006E299B" w:rsidRPr="000F607E" w:rsidRDefault="006E299B" w:rsidP="000F607E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123" w:type="pct"/>
            <w:gridSpan w:val="2"/>
          </w:tcPr>
          <w:p w14:paraId="594A3FD3" w14:textId="77777777" w:rsidR="006E299B" w:rsidRPr="000F607E" w:rsidRDefault="006E299B" w:rsidP="002E6970">
            <w:pPr>
              <w:rPr>
                <w:sz w:val="20"/>
                <w:szCs w:val="20"/>
              </w:rPr>
            </w:pPr>
            <w:r w:rsidRPr="000F607E">
              <w:rPr>
                <w:sz w:val="20"/>
                <w:szCs w:val="20"/>
              </w:rPr>
              <w:t xml:space="preserve">La infraestructura para el soporte de redes de telecomunicaciones de torres </w:t>
            </w:r>
            <w:r w:rsidRPr="000F607E">
              <w:rPr>
                <w:b/>
                <w:bCs/>
                <w:sz w:val="20"/>
                <w:szCs w:val="20"/>
              </w:rPr>
              <w:t>no debe ser construida, o colocada adyacente</w:t>
            </w:r>
            <w:r w:rsidRPr="000F607E">
              <w:rPr>
                <w:sz w:val="20"/>
                <w:szCs w:val="20"/>
              </w:rPr>
              <w:t xml:space="preserve"> al predio o lote colindante.</w:t>
            </w:r>
          </w:p>
        </w:tc>
        <w:tc>
          <w:tcPr>
            <w:tcW w:w="1504" w:type="pct"/>
          </w:tcPr>
          <w:p w14:paraId="107F78F1" w14:textId="77777777" w:rsidR="006E299B" w:rsidRPr="000F607E" w:rsidRDefault="006E299B" w:rsidP="00120E9C">
            <w:pPr>
              <w:rPr>
                <w:sz w:val="20"/>
                <w:szCs w:val="20"/>
              </w:rPr>
            </w:pPr>
            <w:r w:rsidRPr="000F607E">
              <w:rPr>
                <w:sz w:val="20"/>
                <w:szCs w:val="20"/>
              </w:rPr>
              <w:t>ARTÍCULO 393. Instalación de torres en predios independientes</w:t>
            </w:r>
          </w:p>
        </w:tc>
      </w:tr>
      <w:tr w:rsidR="006E299B" w:rsidRPr="000F607E" w14:paraId="7D14E6E2" w14:textId="77777777" w:rsidTr="000F60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73" w:type="pct"/>
          </w:tcPr>
          <w:p w14:paraId="5379F7D5" w14:textId="77777777" w:rsidR="006E299B" w:rsidRPr="000F607E" w:rsidRDefault="006E299B" w:rsidP="000F607E">
            <w:pPr>
              <w:pStyle w:val="Prrafodelista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3" w:type="pct"/>
            <w:gridSpan w:val="2"/>
          </w:tcPr>
          <w:p w14:paraId="092594C0" w14:textId="77777777" w:rsidR="006E299B" w:rsidRPr="000F607E" w:rsidRDefault="006E299B" w:rsidP="003412FA">
            <w:pPr>
              <w:rPr>
                <w:sz w:val="20"/>
                <w:szCs w:val="20"/>
              </w:rPr>
            </w:pPr>
            <w:r w:rsidRPr="000F607E">
              <w:rPr>
                <w:b/>
                <w:bCs/>
                <w:sz w:val="20"/>
                <w:szCs w:val="20"/>
              </w:rPr>
              <w:t xml:space="preserve">Altura </w:t>
            </w:r>
            <w:r w:rsidRPr="000F607E">
              <w:rPr>
                <w:b/>
                <w:bCs/>
                <w:sz w:val="20"/>
                <w:szCs w:val="20"/>
                <w:u w:val="single"/>
              </w:rPr>
              <w:t>mínima</w:t>
            </w:r>
            <w:r w:rsidRPr="000F607E">
              <w:rPr>
                <w:sz w:val="20"/>
                <w:szCs w:val="20"/>
              </w:rPr>
              <w:t xml:space="preserve"> de la torre, debe ser 30 metros. Salvo que por razones técnicas sea necesario apartarse de este parámetro (Disposición de Aviación Civil, por ejemplo). </w:t>
            </w:r>
          </w:p>
        </w:tc>
        <w:tc>
          <w:tcPr>
            <w:tcW w:w="1504" w:type="pct"/>
          </w:tcPr>
          <w:p w14:paraId="01C85296" w14:textId="77777777" w:rsidR="006E299B" w:rsidRPr="000F607E" w:rsidRDefault="006E299B" w:rsidP="00120E9C">
            <w:pPr>
              <w:rPr>
                <w:sz w:val="20"/>
                <w:szCs w:val="20"/>
              </w:rPr>
            </w:pPr>
            <w:r w:rsidRPr="000F607E">
              <w:rPr>
                <w:sz w:val="20"/>
                <w:szCs w:val="20"/>
              </w:rPr>
              <w:t>ARTÍCULO 394. Condiciones para el diseño de torres</w:t>
            </w:r>
          </w:p>
        </w:tc>
      </w:tr>
      <w:tr w:rsidR="006E299B" w:rsidRPr="000F607E" w14:paraId="2EAF1E5C" w14:textId="77777777" w:rsidTr="000F607E">
        <w:tc>
          <w:tcPr>
            <w:tcW w:w="373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14:paraId="25EA5442" w14:textId="77777777" w:rsidR="006E299B" w:rsidRPr="000F607E" w:rsidRDefault="006E299B" w:rsidP="000F607E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123" w:type="pct"/>
            <w:gridSpan w:val="2"/>
          </w:tcPr>
          <w:p w14:paraId="29AF1E9A" w14:textId="77777777" w:rsidR="006E299B" w:rsidRPr="000F607E" w:rsidRDefault="006E299B" w:rsidP="00C352BA">
            <w:pPr>
              <w:rPr>
                <w:sz w:val="20"/>
                <w:szCs w:val="20"/>
              </w:rPr>
            </w:pPr>
            <w:r w:rsidRPr="000F607E">
              <w:rPr>
                <w:sz w:val="20"/>
                <w:szCs w:val="20"/>
              </w:rPr>
              <w:t xml:space="preserve">Las torres </w:t>
            </w:r>
            <w:r w:rsidRPr="000F607E">
              <w:rPr>
                <w:b/>
                <w:bCs/>
                <w:sz w:val="20"/>
                <w:szCs w:val="20"/>
              </w:rPr>
              <w:t>pueden ser mimetizadas o camufladas</w:t>
            </w:r>
            <w:r w:rsidRPr="000F607E">
              <w:rPr>
                <w:sz w:val="20"/>
                <w:szCs w:val="20"/>
              </w:rPr>
              <w:t xml:space="preserve"> para mermar el impacto visual, lo cual debe ser coordinado entre la municipalidad y los operadores, previa autorización de la Dirección General de Aviación Civil.</w:t>
            </w:r>
          </w:p>
        </w:tc>
        <w:tc>
          <w:tcPr>
            <w:tcW w:w="1504" w:type="pct"/>
          </w:tcPr>
          <w:p w14:paraId="3E35BD62" w14:textId="77777777" w:rsidR="006E299B" w:rsidRPr="000F607E" w:rsidRDefault="006E299B" w:rsidP="00C352BA">
            <w:pPr>
              <w:rPr>
                <w:sz w:val="20"/>
                <w:szCs w:val="20"/>
              </w:rPr>
            </w:pPr>
            <w:r w:rsidRPr="000F607E">
              <w:rPr>
                <w:sz w:val="20"/>
                <w:szCs w:val="20"/>
              </w:rPr>
              <w:t>ARTÍCULO 394. Condiciones para el diseño de torres</w:t>
            </w:r>
          </w:p>
        </w:tc>
      </w:tr>
      <w:tr w:rsidR="006E299B" w:rsidRPr="000F607E" w14:paraId="68E67D0F" w14:textId="77777777" w:rsidTr="000F60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73" w:type="pct"/>
          </w:tcPr>
          <w:p w14:paraId="0F2C8D63" w14:textId="77777777" w:rsidR="006E299B" w:rsidRPr="000F607E" w:rsidRDefault="006E299B" w:rsidP="000F607E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123" w:type="pct"/>
            <w:gridSpan w:val="2"/>
          </w:tcPr>
          <w:p w14:paraId="3B38B9E6" w14:textId="77777777" w:rsidR="006E299B" w:rsidRPr="000F607E" w:rsidRDefault="006E299B" w:rsidP="00701A9B">
            <w:pPr>
              <w:rPr>
                <w:sz w:val="20"/>
                <w:szCs w:val="20"/>
              </w:rPr>
            </w:pPr>
            <w:r w:rsidRPr="000F607E">
              <w:rPr>
                <w:sz w:val="20"/>
                <w:szCs w:val="20"/>
              </w:rPr>
              <w:t xml:space="preserve">La </w:t>
            </w:r>
            <w:r w:rsidRPr="000F607E">
              <w:rPr>
                <w:b/>
                <w:bCs/>
                <w:sz w:val="20"/>
                <w:szCs w:val="20"/>
              </w:rPr>
              <w:t>franja de amortiguamiento</w:t>
            </w:r>
            <w:r w:rsidRPr="000F607E">
              <w:rPr>
                <w:sz w:val="20"/>
                <w:szCs w:val="20"/>
              </w:rPr>
              <w:t xml:space="preserve"> debe ser del 10% de la altura de la torre, medida desde el centro de su base.</w:t>
            </w:r>
          </w:p>
        </w:tc>
        <w:tc>
          <w:tcPr>
            <w:tcW w:w="1504" w:type="pct"/>
          </w:tcPr>
          <w:p w14:paraId="0A408978" w14:textId="77777777" w:rsidR="006E299B" w:rsidRPr="000F607E" w:rsidRDefault="006E299B" w:rsidP="008269AD">
            <w:pPr>
              <w:rPr>
                <w:sz w:val="20"/>
                <w:szCs w:val="20"/>
              </w:rPr>
            </w:pPr>
            <w:r w:rsidRPr="000F607E">
              <w:rPr>
                <w:sz w:val="20"/>
                <w:szCs w:val="20"/>
              </w:rPr>
              <w:t>ARTÍCULO 395. Franja de amortiguamiento</w:t>
            </w:r>
          </w:p>
        </w:tc>
      </w:tr>
      <w:tr w:rsidR="006E299B" w:rsidRPr="000F607E" w14:paraId="53D4239E" w14:textId="77777777" w:rsidTr="000F607E">
        <w:tc>
          <w:tcPr>
            <w:tcW w:w="373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14:paraId="6D5898B0" w14:textId="77777777" w:rsidR="006E299B" w:rsidRPr="000F607E" w:rsidRDefault="006E299B" w:rsidP="000F607E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123" w:type="pct"/>
            <w:gridSpan w:val="2"/>
          </w:tcPr>
          <w:p w14:paraId="7AE69BE2" w14:textId="77777777" w:rsidR="006E299B" w:rsidRPr="000F607E" w:rsidRDefault="006E299B" w:rsidP="007224C7">
            <w:pPr>
              <w:rPr>
                <w:sz w:val="20"/>
                <w:szCs w:val="20"/>
              </w:rPr>
            </w:pPr>
            <w:r w:rsidRPr="000F607E">
              <w:rPr>
                <w:sz w:val="20"/>
                <w:szCs w:val="20"/>
              </w:rPr>
              <w:t xml:space="preserve">La </w:t>
            </w:r>
            <w:r w:rsidRPr="000F607E">
              <w:rPr>
                <w:b/>
                <w:bCs/>
                <w:sz w:val="20"/>
                <w:szCs w:val="20"/>
              </w:rPr>
              <w:t xml:space="preserve">altura </w:t>
            </w:r>
            <w:r w:rsidRPr="000F607E">
              <w:rPr>
                <w:b/>
                <w:bCs/>
                <w:sz w:val="20"/>
                <w:szCs w:val="20"/>
                <w:u w:val="single"/>
              </w:rPr>
              <w:t>máxima</w:t>
            </w:r>
            <w:r w:rsidRPr="000F607E">
              <w:rPr>
                <w:b/>
                <w:bCs/>
                <w:sz w:val="20"/>
                <w:szCs w:val="20"/>
              </w:rPr>
              <w:t xml:space="preserve"> del poste</w:t>
            </w:r>
            <w:r w:rsidRPr="000F607E">
              <w:rPr>
                <w:sz w:val="20"/>
                <w:szCs w:val="20"/>
              </w:rPr>
              <w:t xml:space="preserve"> es de 24 metros sin incluir el pararrayo (esta puede ser menor, cuando se encuentre en una zona de aproximación de un aeropuerto, y la Dirección General de Aviación Civil  así lo indique.).</w:t>
            </w:r>
          </w:p>
        </w:tc>
        <w:tc>
          <w:tcPr>
            <w:tcW w:w="1504" w:type="pct"/>
          </w:tcPr>
          <w:p w14:paraId="7BF7285B" w14:textId="77777777" w:rsidR="006E299B" w:rsidRPr="000F607E" w:rsidRDefault="006E299B" w:rsidP="008269AD">
            <w:pPr>
              <w:rPr>
                <w:sz w:val="20"/>
                <w:szCs w:val="20"/>
              </w:rPr>
            </w:pPr>
            <w:r w:rsidRPr="000F607E">
              <w:rPr>
                <w:sz w:val="20"/>
                <w:szCs w:val="20"/>
              </w:rPr>
              <w:t>ARTÍCULO 397. Características del poste de telecomunicaciones</w:t>
            </w:r>
          </w:p>
        </w:tc>
      </w:tr>
      <w:tr w:rsidR="006E299B" w:rsidRPr="000F607E" w14:paraId="1F0A160A" w14:textId="77777777" w:rsidTr="000F60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73" w:type="pct"/>
          </w:tcPr>
          <w:p w14:paraId="0C674848" w14:textId="77777777" w:rsidR="006E299B" w:rsidRPr="000F607E" w:rsidRDefault="006E299B" w:rsidP="000F607E">
            <w:pPr>
              <w:pStyle w:val="Prrafodelista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3" w:type="pct"/>
            <w:gridSpan w:val="2"/>
          </w:tcPr>
          <w:p w14:paraId="714CAA80" w14:textId="77777777" w:rsidR="006E299B" w:rsidRPr="000F607E" w:rsidRDefault="006E299B" w:rsidP="0092543A">
            <w:pPr>
              <w:rPr>
                <w:sz w:val="20"/>
                <w:szCs w:val="20"/>
              </w:rPr>
            </w:pPr>
            <w:r w:rsidRPr="000F607E">
              <w:rPr>
                <w:b/>
                <w:bCs/>
                <w:sz w:val="20"/>
                <w:szCs w:val="20"/>
              </w:rPr>
              <w:t>Se permite la instalación de soluciones portátiles temporales</w:t>
            </w:r>
            <w:r w:rsidRPr="000F607E">
              <w:rPr>
                <w:sz w:val="20"/>
                <w:szCs w:val="20"/>
              </w:rPr>
              <w:t xml:space="preserve"> (máximo 3 meses), cuando se trate de actividades de concentración masiva de personas o en situaciones de emergencia</w:t>
            </w:r>
          </w:p>
        </w:tc>
        <w:tc>
          <w:tcPr>
            <w:tcW w:w="1504" w:type="pct"/>
          </w:tcPr>
          <w:p w14:paraId="2535E11F" w14:textId="77777777" w:rsidR="006E299B" w:rsidRPr="000F607E" w:rsidRDefault="006E299B" w:rsidP="008269AD">
            <w:pPr>
              <w:rPr>
                <w:sz w:val="20"/>
                <w:szCs w:val="20"/>
              </w:rPr>
            </w:pPr>
            <w:r w:rsidRPr="000F607E">
              <w:rPr>
                <w:sz w:val="20"/>
                <w:szCs w:val="20"/>
              </w:rPr>
              <w:t>ARTÍCULO 399. Soluciones portátiles</w:t>
            </w:r>
          </w:p>
        </w:tc>
      </w:tr>
      <w:tr w:rsidR="006E299B" w:rsidRPr="000F607E" w14:paraId="523DBC58" w14:textId="77777777" w:rsidTr="000F607E">
        <w:tc>
          <w:tcPr>
            <w:tcW w:w="373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14:paraId="60FC44D0" w14:textId="77777777" w:rsidR="006E299B" w:rsidRPr="000F607E" w:rsidRDefault="006E299B" w:rsidP="000F607E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123" w:type="pct"/>
            <w:gridSpan w:val="2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14:paraId="48E8CED5" w14:textId="77777777" w:rsidR="006E299B" w:rsidRPr="000F607E" w:rsidRDefault="006E299B" w:rsidP="003671EB">
            <w:pPr>
              <w:rPr>
                <w:sz w:val="20"/>
                <w:szCs w:val="20"/>
              </w:rPr>
            </w:pPr>
            <w:r w:rsidRPr="000F607E">
              <w:rPr>
                <w:sz w:val="20"/>
                <w:szCs w:val="20"/>
              </w:rPr>
              <w:t xml:space="preserve">Toda instalación de infraestructura para el soporte de redes de telecomunicaciones debe </w:t>
            </w:r>
            <w:r w:rsidRPr="000F607E">
              <w:rPr>
                <w:b/>
                <w:bCs/>
                <w:sz w:val="20"/>
                <w:szCs w:val="20"/>
              </w:rPr>
              <w:t>garantizar el  cumplimiento de las medidas de seguridad humana y protección contra incendios</w:t>
            </w:r>
            <w:r w:rsidRPr="000F607E">
              <w:rPr>
                <w:sz w:val="20"/>
                <w:szCs w:val="20"/>
              </w:rPr>
              <w:t xml:space="preserve"> establecidos por el Cuerpo</w:t>
            </w:r>
          </w:p>
          <w:p w14:paraId="2653911B" w14:textId="77777777" w:rsidR="006E299B" w:rsidRPr="000F607E" w:rsidRDefault="006E299B" w:rsidP="003671EB">
            <w:pPr>
              <w:rPr>
                <w:sz w:val="20"/>
                <w:szCs w:val="20"/>
              </w:rPr>
            </w:pPr>
            <w:r w:rsidRPr="000F607E">
              <w:rPr>
                <w:sz w:val="20"/>
                <w:szCs w:val="20"/>
              </w:rPr>
              <w:t>de Bomberos.</w:t>
            </w:r>
          </w:p>
          <w:p w14:paraId="6EF27679" w14:textId="77777777" w:rsidR="006E299B" w:rsidRPr="000F607E" w:rsidRDefault="006E299B" w:rsidP="003671EB">
            <w:pPr>
              <w:rPr>
                <w:b/>
                <w:bCs/>
                <w:sz w:val="20"/>
                <w:szCs w:val="20"/>
              </w:rPr>
            </w:pPr>
            <w:r w:rsidRPr="000F607E">
              <w:rPr>
                <w:sz w:val="20"/>
                <w:szCs w:val="20"/>
              </w:rPr>
              <w:t>Por razones de seguridad ciudadana, y de la propia red de telecomunicaciones, todo predio donde se ubique una torre de telecomunicaciones, se debe delimitar de los predios vecinos con un muro o tapia de 2,50 m de altura y 0,12 m de espesor como mínimo. En la parte frontal, a fin de favorecer la vigilancia, se puede utilizar malla, verja o reja.</w:t>
            </w:r>
          </w:p>
        </w:tc>
        <w:tc>
          <w:tcPr>
            <w:tcW w:w="1504" w:type="pct"/>
          </w:tcPr>
          <w:p w14:paraId="66B7EC9A" w14:textId="77777777" w:rsidR="006E299B" w:rsidRPr="000F607E" w:rsidRDefault="006E299B" w:rsidP="003671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607E">
              <w:rPr>
                <w:sz w:val="20"/>
                <w:szCs w:val="20"/>
              </w:rPr>
              <w:t>ARTÍCULO 401. Seguridad humana y de protección contra</w:t>
            </w:r>
          </w:p>
          <w:p w14:paraId="38FCB879" w14:textId="77777777" w:rsidR="006E299B" w:rsidRPr="000F607E" w:rsidRDefault="006E299B" w:rsidP="003671EB">
            <w:pPr>
              <w:rPr>
                <w:sz w:val="20"/>
                <w:szCs w:val="20"/>
              </w:rPr>
            </w:pPr>
            <w:r w:rsidRPr="000F607E">
              <w:rPr>
                <w:sz w:val="20"/>
                <w:szCs w:val="20"/>
              </w:rPr>
              <w:t>incendios</w:t>
            </w:r>
          </w:p>
        </w:tc>
      </w:tr>
    </w:tbl>
    <w:p w14:paraId="256F5343" w14:textId="77777777" w:rsidR="00F0675D" w:rsidRDefault="00F0675D" w:rsidP="003B0019">
      <w:pPr>
        <w:pStyle w:val="Sinespaciado"/>
        <w:rPr>
          <w:b/>
        </w:rPr>
      </w:pPr>
    </w:p>
    <w:p w14:paraId="3AD9FC45" w14:textId="77777777" w:rsidR="000F607E" w:rsidRDefault="002160AA" w:rsidP="003B0019">
      <w:pPr>
        <w:pStyle w:val="Sinespaciado"/>
      </w:pPr>
      <w:r w:rsidRPr="003B0019">
        <w:rPr>
          <w:b/>
        </w:rPr>
        <w:t xml:space="preserve">Fuente: </w:t>
      </w:r>
      <w:r w:rsidR="003671EB">
        <w:rPr>
          <w:b/>
        </w:rPr>
        <w:t xml:space="preserve">Elaboración </w:t>
      </w:r>
      <w:r w:rsidR="00EE194B">
        <w:rPr>
          <w:b/>
        </w:rPr>
        <w:t xml:space="preserve">Ministerio de Ciencia, Tecnología y Telecomunicaciones, </w:t>
      </w:r>
      <w:r w:rsidR="003671EB">
        <w:rPr>
          <w:b/>
        </w:rPr>
        <w:t xml:space="preserve">tomando como insumo </w:t>
      </w:r>
      <w:r w:rsidRPr="003B0019">
        <w:t>La Gaceta</w:t>
      </w:r>
      <w:r w:rsidR="003B0019">
        <w:t xml:space="preserve"> </w:t>
      </w:r>
      <w:r w:rsidR="003B0019" w:rsidRPr="003B0019">
        <w:t>N°</w:t>
      </w:r>
      <w:r w:rsidRPr="003B0019">
        <w:t xml:space="preserve">148  del 16/08/2018 </w:t>
      </w:r>
      <w:r w:rsidR="00F0675D">
        <w:t xml:space="preserve">. </w:t>
      </w:r>
      <w:r w:rsidRPr="003B0019">
        <w:rPr>
          <w:b/>
        </w:rPr>
        <w:t xml:space="preserve">Reformado: </w:t>
      </w:r>
      <w:r w:rsidRPr="003B0019">
        <w:t>Alcance N°145 a La Gaceta N°148 del 16 de agosto del 2018)</w:t>
      </w:r>
      <w:r w:rsidR="00F0675D">
        <w:t xml:space="preserve">. </w:t>
      </w:r>
    </w:p>
    <w:p w14:paraId="57AFAF1E" w14:textId="77777777" w:rsidR="002160AA" w:rsidRPr="00F0675D" w:rsidRDefault="002160AA" w:rsidP="003B0019">
      <w:pPr>
        <w:pStyle w:val="Sinespaciado"/>
      </w:pPr>
      <w:r w:rsidRPr="003B0019">
        <w:rPr>
          <w:b/>
          <w:lang w:val="en-US"/>
        </w:rPr>
        <w:t xml:space="preserve">Enlace: </w:t>
      </w:r>
    </w:p>
    <w:p w14:paraId="09DDF9C1" w14:textId="77777777" w:rsidR="001219BE" w:rsidRPr="003B0019" w:rsidRDefault="00630FDB" w:rsidP="003B0019">
      <w:pPr>
        <w:pStyle w:val="Sinespaciado"/>
        <w:rPr>
          <w:rStyle w:val="Hipervnculo"/>
          <w:sz w:val="24"/>
          <w:lang w:val="en-US"/>
        </w:rPr>
      </w:pPr>
      <w:hyperlink r:id="rId8" w:history="1">
        <w:r w:rsidR="00E52661" w:rsidRPr="003B0019">
          <w:rPr>
            <w:rStyle w:val="Hipervnculo"/>
            <w:sz w:val="24"/>
            <w:lang w:val="en-US"/>
          </w:rPr>
          <w:t>http://www.pgrweb.go.cr/scij/Busqueda/Normativa/Normas/nrm_texto_completo.aspx?param1=NRTC&amp;nValor1=1&amp;nValor2=86209&amp;nValor3=113213&amp;strTipM=TC</w:t>
        </w:r>
      </w:hyperlink>
    </w:p>
    <w:p w14:paraId="23C30B26" w14:textId="77777777" w:rsidR="00E52661" w:rsidRPr="003B0019" w:rsidRDefault="00E52661" w:rsidP="002160AA">
      <w:pPr>
        <w:rPr>
          <w:sz w:val="20"/>
          <w:lang w:val="en-US"/>
        </w:rPr>
      </w:pPr>
    </w:p>
    <w:sectPr w:rsidR="00E52661" w:rsidRPr="003B0019" w:rsidSect="00E30217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EC8D1" w14:textId="77777777" w:rsidR="00EE194B" w:rsidRDefault="00EE194B" w:rsidP="00EE194B">
      <w:pPr>
        <w:spacing w:after="0" w:line="240" w:lineRule="auto"/>
      </w:pPr>
      <w:r>
        <w:separator/>
      </w:r>
    </w:p>
  </w:endnote>
  <w:endnote w:type="continuationSeparator" w:id="0">
    <w:p w14:paraId="74021727" w14:textId="77777777" w:rsidR="00EE194B" w:rsidRDefault="00EE194B" w:rsidP="00EE1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BC1E2" w14:textId="77777777" w:rsidR="00EE194B" w:rsidRDefault="00EE194B">
    <w:pPr>
      <w:pStyle w:val="Piedepgina"/>
    </w:pPr>
    <w:r>
      <w:rPr>
        <w:noProof/>
        <w:lang w:eastAsia="es-ES_tradnl"/>
      </w:rPr>
      <w:drawing>
        <wp:inline distT="0" distB="0" distL="0" distR="0" wp14:anchorId="079F7DE0" wp14:editId="0CAC9CC5">
          <wp:extent cx="5526726" cy="639595"/>
          <wp:effectExtent l="19050" t="0" r="0" b="0"/>
          <wp:docPr id="5" name="Imagen 7" descr="Imagen que contiene obje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2253" cy="6390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E9350" w14:textId="77777777" w:rsidR="00EE194B" w:rsidRDefault="00EE194B" w:rsidP="00EE194B">
      <w:pPr>
        <w:spacing w:after="0" w:line="240" w:lineRule="auto"/>
      </w:pPr>
      <w:r>
        <w:separator/>
      </w:r>
    </w:p>
  </w:footnote>
  <w:footnote w:type="continuationSeparator" w:id="0">
    <w:p w14:paraId="78120469" w14:textId="77777777" w:rsidR="00EE194B" w:rsidRDefault="00EE194B" w:rsidP="00EE1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87C92"/>
    <w:multiLevelType w:val="hybridMultilevel"/>
    <w:tmpl w:val="01625DC4"/>
    <w:lvl w:ilvl="0" w:tplc="4BD8158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F77FB"/>
    <w:multiLevelType w:val="hybridMultilevel"/>
    <w:tmpl w:val="1D941C8C"/>
    <w:lvl w:ilvl="0" w:tplc="E53CF010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6906A2"/>
    <w:multiLevelType w:val="hybridMultilevel"/>
    <w:tmpl w:val="C02A899A"/>
    <w:lvl w:ilvl="0" w:tplc="E146EFA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20"/>
        <w:szCs w:val="32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DA0"/>
    <w:rsid w:val="000212FA"/>
    <w:rsid w:val="00033619"/>
    <w:rsid w:val="00067E5E"/>
    <w:rsid w:val="00080D7C"/>
    <w:rsid w:val="000815C8"/>
    <w:rsid w:val="00082B7A"/>
    <w:rsid w:val="00086A13"/>
    <w:rsid w:val="00087E07"/>
    <w:rsid w:val="000A54B3"/>
    <w:rsid w:val="000F607E"/>
    <w:rsid w:val="00111751"/>
    <w:rsid w:val="00120E9C"/>
    <w:rsid w:val="001219BE"/>
    <w:rsid w:val="00135B66"/>
    <w:rsid w:val="0016123D"/>
    <w:rsid w:val="001B433D"/>
    <w:rsid w:val="001C796F"/>
    <w:rsid w:val="001D1A63"/>
    <w:rsid w:val="001D5044"/>
    <w:rsid w:val="002160AA"/>
    <w:rsid w:val="002443E0"/>
    <w:rsid w:val="00253C05"/>
    <w:rsid w:val="002647DA"/>
    <w:rsid w:val="002B03FF"/>
    <w:rsid w:val="002C4B20"/>
    <w:rsid w:val="002C7E98"/>
    <w:rsid w:val="002E6970"/>
    <w:rsid w:val="002E6A3B"/>
    <w:rsid w:val="003049E4"/>
    <w:rsid w:val="0031712B"/>
    <w:rsid w:val="00321468"/>
    <w:rsid w:val="00327AB0"/>
    <w:rsid w:val="00331B25"/>
    <w:rsid w:val="003412FA"/>
    <w:rsid w:val="0034497C"/>
    <w:rsid w:val="003671EB"/>
    <w:rsid w:val="00375502"/>
    <w:rsid w:val="00376E0D"/>
    <w:rsid w:val="003812FC"/>
    <w:rsid w:val="003A7808"/>
    <w:rsid w:val="003B0019"/>
    <w:rsid w:val="003B0165"/>
    <w:rsid w:val="003B104A"/>
    <w:rsid w:val="003D0B65"/>
    <w:rsid w:val="003D1A4B"/>
    <w:rsid w:val="003D4580"/>
    <w:rsid w:val="003D6DC2"/>
    <w:rsid w:val="003E7C78"/>
    <w:rsid w:val="00421B00"/>
    <w:rsid w:val="00441C02"/>
    <w:rsid w:val="00444DA2"/>
    <w:rsid w:val="00451A63"/>
    <w:rsid w:val="0047032B"/>
    <w:rsid w:val="004A110A"/>
    <w:rsid w:val="004A47D6"/>
    <w:rsid w:val="004C48F2"/>
    <w:rsid w:val="004F3528"/>
    <w:rsid w:val="004F49A9"/>
    <w:rsid w:val="00501269"/>
    <w:rsid w:val="00503304"/>
    <w:rsid w:val="00547A75"/>
    <w:rsid w:val="00550EFF"/>
    <w:rsid w:val="005665DB"/>
    <w:rsid w:val="0058340F"/>
    <w:rsid w:val="005A5162"/>
    <w:rsid w:val="005C3FD3"/>
    <w:rsid w:val="005F587F"/>
    <w:rsid w:val="00610624"/>
    <w:rsid w:val="00620A9F"/>
    <w:rsid w:val="00630FDB"/>
    <w:rsid w:val="00631667"/>
    <w:rsid w:val="00660EF2"/>
    <w:rsid w:val="006775B2"/>
    <w:rsid w:val="0069018A"/>
    <w:rsid w:val="0069606D"/>
    <w:rsid w:val="006D2021"/>
    <w:rsid w:val="006D300A"/>
    <w:rsid w:val="006E299B"/>
    <w:rsid w:val="006F705A"/>
    <w:rsid w:val="006F7474"/>
    <w:rsid w:val="00701A9B"/>
    <w:rsid w:val="00703F89"/>
    <w:rsid w:val="0070401F"/>
    <w:rsid w:val="007224C7"/>
    <w:rsid w:val="00730A7F"/>
    <w:rsid w:val="00735805"/>
    <w:rsid w:val="00742460"/>
    <w:rsid w:val="007B31D3"/>
    <w:rsid w:val="007E2F29"/>
    <w:rsid w:val="007F0322"/>
    <w:rsid w:val="007F674D"/>
    <w:rsid w:val="00820DC5"/>
    <w:rsid w:val="008269AD"/>
    <w:rsid w:val="0083339B"/>
    <w:rsid w:val="00836226"/>
    <w:rsid w:val="0085553A"/>
    <w:rsid w:val="00867C4B"/>
    <w:rsid w:val="00870784"/>
    <w:rsid w:val="0087097A"/>
    <w:rsid w:val="008904FD"/>
    <w:rsid w:val="00892DA0"/>
    <w:rsid w:val="0089385A"/>
    <w:rsid w:val="008A43DE"/>
    <w:rsid w:val="008E03F0"/>
    <w:rsid w:val="009134FB"/>
    <w:rsid w:val="0092543A"/>
    <w:rsid w:val="00943968"/>
    <w:rsid w:val="00980CA5"/>
    <w:rsid w:val="00987A0D"/>
    <w:rsid w:val="0099081D"/>
    <w:rsid w:val="009966EE"/>
    <w:rsid w:val="009A70A8"/>
    <w:rsid w:val="009C3146"/>
    <w:rsid w:val="009D4274"/>
    <w:rsid w:val="009E2F1F"/>
    <w:rsid w:val="009E54EC"/>
    <w:rsid w:val="009E5B8F"/>
    <w:rsid w:val="009F0639"/>
    <w:rsid w:val="009F1C04"/>
    <w:rsid w:val="00A03833"/>
    <w:rsid w:val="00A270BA"/>
    <w:rsid w:val="00A47E9B"/>
    <w:rsid w:val="00A56AEF"/>
    <w:rsid w:val="00A61F0F"/>
    <w:rsid w:val="00A87FAD"/>
    <w:rsid w:val="00A93EE2"/>
    <w:rsid w:val="00AB5D5D"/>
    <w:rsid w:val="00AC77C5"/>
    <w:rsid w:val="00AD2E80"/>
    <w:rsid w:val="00AE2174"/>
    <w:rsid w:val="00AE77E5"/>
    <w:rsid w:val="00B47EB4"/>
    <w:rsid w:val="00B72DF6"/>
    <w:rsid w:val="00B8428F"/>
    <w:rsid w:val="00B936AA"/>
    <w:rsid w:val="00B96DD7"/>
    <w:rsid w:val="00BA7C2E"/>
    <w:rsid w:val="00BB1B1D"/>
    <w:rsid w:val="00BC2CB3"/>
    <w:rsid w:val="00BC53D5"/>
    <w:rsid w:val="00C26183"/>
    <w:rsid w:val="00C27518"/>
    <w:rsid w:val="00C929CA"/>
    <w:rsid w:val="00CA5B10"/>
    <w:rsid w:val="00CB2448"/>
    <w:rsid w:val="00CB60CB"/>
    <w:rsid w:val="00CC31E2"/>
    <w:rsid w:val="00CD58E4"/>
    <w:rsid w:val="00D017B9"/>
    <w:rsid w:val="00D12128"/>
    <w:rsid w:val="00D257A7"/>
    <w:rsid w:val="00D42E58"/>
    <w:rsid w:val="00D467D5"/>
    <w:rsid w:val="00DA3D88"/>
    <w:rsid w:val="00DA640D"/>
    <w:rsid w:val="00DA6DFC"/>
    <w:rsid w:val="00DE7B17"/>
    <w:rsid w:val="00DF22F3"/>
    <w:rsid w:val="00E01D01"/>
    <w:rsid w:val="00E06F9F"/>
    <w:rsid w:val="00E1375E"/>
    <w:rsid w:val="00E14524"/>
    <w:rsid w:val="00E26BB7"/>
    <w:rsid w:val="00E30217"/>
    <w:rsid w:val="00E36746"/>
    <w:rsid w:val="00E36AEF"/>
    <w:rsid w:val="00E52661"/>
    <w:rsid w:val="00E84AA0"/>
    <w:rsid w:val="00EA53BD"/>
    <w:rsid w:val="00EA7759"/>
    <w:rsid w:val="00EB16FF"/>
    <w:rsid w:val="00EE02EC"/>
    <w:rsid w:val="00EE194B"/>
    <w:rsid w:val="00EE20A2"/>
    <w:rsid w:val="00EF0944"/>
    <w:rsid w:val="00EF7482"/>
    <w:rsid w:val="00F0675D"/>
    <w:rsid w:val="00F21052"/>
    <w:rsid w:val="00F32174"/>
    <w:rsid w:val="00F361AA"/>
    <w:rsid w:val="00F371E6"/>
    <w:rsid w:val="00F66BE0"/>
    <w:rsid w:val="00F751A9"/>
    <w:rsid w:val="00F91FEB"/>
    <w:rsid w:val="00F935E4"/>
    <w:rsid w:val="00FA1EFD"/>
    <w:rsid w:val="00FA2337"/>
    <w:rsid w:val="00FB02A0"/>
    <w:rsid w:val="00FB0467"/>
    <w:rsid w:val="00FB1BC9"/>
    <w:rsid w:val="00FB5CB9"/>
    <w:rsid w:val="00FE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B2AFF8"/>
  <w15:docId w15:val="{6492D72C-EA86-4043-9AF8-4810E4B68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92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medio2-nfasis1">
    <w:name w:val="Medium Shading 2 Accent 1"/>
    <w:basedOn w:val="Tablanormal"/>
    <w:uiPriority w:val="64"/>
    <w:rsid w:val="008A43D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331B25"/>
    <w:pPr>
      <w:ind w:left="720"/>
      <w:contextualSpacing/>
    </w:pPr>
  </w:style>
  <w:style w:type="table" w:customStyle="1" w:styleId="Tablaconcuadrcula2-nfasis11">
    <w:name w:val="Tabla con cuadrícula 2 - Énfasis 11"/>
    <w:basedOn w:val="Tablanormal"/>
    <w:uiPriority w:val="47"/>
    <w:rsid w:val="00C27518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concuadrcula4-nfasis11">
    <w:name w:val="Tabla con cuadrícula 4 - Énfasis 11"/>
    <w:basedOn w:val="Tablanormal"/>
    <w:uiPriority w:val="49"/>
    <w:rsid w:val="00C27518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C27518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2751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27518"/>
    <w:rPr>
      <w:color w:val="800080" w:themeColor="followedHyperlink"/>
      <w:u w:val="single"/>
    </w:rPr>
  </w:style>
  <w:style w:type="table" w:styleId="Listaclara-nfasis1">
    <w:name w:val="Light List Accent 1"/>
    <w:basedOn w:val="Tablanormal"/>
    <w:uiPriority w:val="61"/>
    <w:rsid w:val="009E54E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Sinespaciado">
    <w:name w:val="No Spacing"/>
    <w:uiPriority w:val="1"/>
    <w:qFormat/>
    <w:rsid w:val="003B0019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E19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194B"/>
  </w:style>
  <w:style w:type="paragraph" w:styleId="Piedepgina">
    <w:name w:val="footer"/>
    <w:basedOn w:val="Normal"/>
    <w:link w:val="PiedepginaCar"/>
    <w:uiPriority w:val="99"/>
    <w:unhideWhenUsed/>
    <w:rsid w:val="00EE19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1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8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rweb.go.cr/scij/Busqueda/Normativa/Normas/nrm_texto_completo.aspx?param1=NRTC&amp;nValor1=1&amp;nValor2=86209&amp;nValor3=113213&amp;strTipM=T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0943A7C-A17E-764F-9904-F1FC87197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796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Aberrocal</dc:creator>
  <cp:lastModifiedBy>Elidier Moya Rodríguez</cp:lastModifiedBy>
  <cp:revision>2</cp:revision>
  <dcterms:created xsi:type="dcterms:W3CDTF">2020-04-03T21:26:00Z</dcterms:created>
  <dcterms:modified xsi:type="dcterms:W3CDTF">2020-04-03T21:26:00Z</dcterms:modified>
</cp:coreProperties>
</file>