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1524CC4" w14:textId="41958BC3" w:rsidR="00A920E4" w:rsidRPr="00E4628E" w:rsidRDefault="001A2FEC" w:rsidP="00E4628E">
      <w:pPr>
        <w:spacing w:line="276" w:lineRule="auto"/>
        <w:rPr>
          <w:sz w:val="22"/>
          <w:szCs w:val="22"/>
        </w:rPr>
      </w:pPr>
      <w:r>
        <w:rPr>
          <w:noProof/>
        </w:rPr>
        <w:drawing>
          <wp:anchor distT="0" distB="0" distL="114300" distR="114300" simplePos="0" relativeHeight="251678720" behindDoc="1" locked="0" layoutInCell="1" allowOverlap="1" wp14:anchorId="1E943303" wp14:editId="04C836EF">
            <wp:simplePos x="0" y="0"/>
            <wp:positionH relativeFrom="page">
              <wp:posOffset>2181497</wp:posOffset>
            </wp:positionH>
            <wp:positionV relativeFrom="page">
              <wp:posOffset>1016000</wp:posOffset>
            </wp:positionV>
            <wp:extent cx="3564255" cy="160337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l="4472" t="24686" r="9454" b="20654"/>
                    <a:stretch>
                      <a:fillRect/>
                    </a:stretch>
                  </pic:blipFill>
                  <pic:spPr bwMode="auto">
                    <a:xfrm>
                      <a:off x="0" y="0"/>
                      <a:ext cx="356425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7EBF9" w14:textId="08D3D4C0" w:rsidR="00A920E4" w:rsidRPr="00E4628E" w:rsidRDefault="00A920E4" w:rsidP="00E4628E">
      <w:pPr>
        <w:spacing w:line="276" w:lineRule="auto"/>
        <w:rPr>
          <w:sz w:val="22"/>
          <w:szCs w:val="22"/>
        </w:rPr>
      </w:pPr>
    </w:p>
    <w:p w14:paraId="21047119" w14:textId="77777777" w:rsidR="00A920E4" w:rsidRPr="00E4628E" w:rsidRDefault="00A920E4" w:rsidP="00E4628E">
      <w:pPr>
        <w:spacing w:line="276" w:lineRule="auto"/>
        <w:rPr>
          <w:sz w:val="22"/>
          <w:szCs w:val="22"/>
        </w:rPr>
      </w:pPr>
    </w:p>
    <w:p w14:paraId="4273840E" w14:textId="77777777" w:rsidR="00A920E4" w:rsidRPr="00E4628E" w:rsidRDefault="00A920E4" w:rsidP="00E4628E">
      <w:pPr>
        <w:spacing w:line="276" w:lineRule="auto"/>
        <w:rPr>
          <w:sz w:val="22"/>
          <w:szCs w:val="22"/>
        </w:rPr>
      </w:pPr>
    </w:p>
    <w:p w14:paraId="649DDADC" w14:textId="77777777" w:rsidR="00A920E4" w:rsidRPr="00E4628E" w:rsidRDefault="00A920E4" w:rsidP="00E4628E">
      <w:pPr>
        <w:spacing w:line="276" w:lineRule="auto"/>
        <w:rPr>
          <w:sz w:val="22"/>
          <w:szCs w:val="22"/>
        </w:rPr>
      </w:pPr>
    </w:p>
    <w:p w14:paraId="16E21898" w14:textId="77777777" w:rsidR="00A920E4" w:rsidRPr="00E4628E" w:rsidRDefault="00A920E4" w:rsidP="00E4628E">
      <w:pPr>
        <w:spacing w:line="276" w:lineRule="auto"/>
        <w:rPr>
          <w:sz w:val="22"/>
          <w:szCs w:val="22"/>
        </w:rPr>
      </w:pPr>
    </w:p>
    <w:p w14:paraId="7AD63D8E" w14:textId="77777777" w:rsidR="00A920E4" w:rsidRPr="00E4628E" w:rsidRDefault="00A920E4" w:rsidP="00E4628E">
      <w:pPr>
        <w:spacing w:line="276" w:lineRule="auto"/>
        <w:rPr>
          <w:sz w:val="22"/>
          <w:szCs w:val="22"/>
        </w:rPr>
      </w:pPr>
    </w:p>
    <w:p w14:paraId="08047596" w14:textId="77777777" w:rsidR="00A920E4" w:rsidRPr="00E4628E" w:rsidRDefault="00A920E4" w:rsidP="00E4628E">
      <w:pPr>
        <w:spacing w:line="276" w:lineRule="auto"/>
        <w:rPr>
          <w:sz w:val="22"/>
          <w:szCs w:val="22"/>
        </w:rPr>
      </w:pPr>
    </w:p>
    <w:p w14:paraId="2E1FBEDB" w14:textId="77777777" w:rsidR="00A920E4" w:rsidRPr="00E4628E" w:rsidRDefault="00A920E4" w:rsidP="00E4628E">
      <w:pPr>
        <w:spacing w:line="276" w:lineRule="auto"/>
        <w:rPr>
          <w:sz w:val="22"/>
          <w:szCs w:val="22"/>
        </w:rPr>
      </w:pPr>
    </w:p>
    <w:p w14:paraId="12E9965A" w14:textId="49BF3C92" w:rsidR="00A920E4" w:rsidRPr="00E4628E" w:rsidRDefault="001A2FEC" w:rsidP="00E4628E">
      <w:pPr>
        <w:spacing w:line="276" w:lineRule="auto"/>
        <w:rPr>
          <w:sz w:val="22"/>
          <w:szCs w:val="22"/>
        </w:rPr>
      </w:pPr>
      <w:r>
        <w:rPr>
          <w:noProof/>
        </w:rPr>
        <w:drawing>
          <wp:anchor distT="0" distB="0" distL="114300" distR="114300" simplePos="0" relativeHeight="251676672" behindDoc="1" locked="0" layoutInCell="1" allowOverlap="1" wp14:anchorId="48838109" wp14:editId="77FA017F">
            <wp:simplePos x="0" y="0"/>
            <wp:positionH relativeFrom="column">
              <wp:posOffset>0</wp:posOffset>
            </wp:positionH>
            <wp:positionV relativeFrom="page">
              <wp:posOffset>2722880</wp:posOffset>
            </wp:positionV>
            <wp:extent cx="7461250" cy="7948930"/>
            <wp:effectExtent l="0" t="0" r="0" b="0"/>
            <wp:wrapNone/>
            <wp:docPr id="14" name="5 Imagen" descr="Título: Fondo de portada - Descripción: Fondo de página con artes de MICITT para portada. Logo superior en margen izquierdo de Ministerio de Ciencia, Tecnología y Telecomunicaciones; Viceministerio de Telecomunicaciones. Logo superior en margen derecho de Gobierno de Costa R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Título: Fondo de portada - Descripción: Fondo de página con artes de MICITT para portada. Logo superior en margen izquierdo de Ministerio de Ciencia, Tecnología y Telecomunicaciones; Viceministerio de Telecomunicaciones. Logo superior en margen derecho de Gobierno de Costa Ric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1250" cy="7948930"/>
                    </a:xfrm>
                    <a:prstGeom prst="rect">
                      <a:avLst/>
                    </a:prstGeom>
                    <a:noFill/>
                  </pic:spPr>
                </pic:pic>
              </a:graphicData>
            </a:graphic>
            <wp14:sizeRelH relativeFrom="page">
              <wp14:pctWidth>0</wp14:pctWidth>
            </wp14:sizeRelH>
            <wp14:sizeRelV relativeFrom="margin">
              <wp14:pctHeight>0</wp14:pctHeight>
            </wp14:sizeRelV>
          </wp:anchor>
        </w:drawing>
      </w:r>
    </w:p>
    <w:p w14:paraId="2639B66A" w14:textId="77777777" w:rsidR="00A920E4" w:rsidRPr="00E4628E" w:rsidRDefault="00A920E4" w:rsidP="00E4628E">
      <w:pPr>
        <w:spacing w:line="276" w:lineRule="auto"/>
        <w:rPr>
          <w:sz w:val="22"/>
          <w:szCs w:val="22"/>
        </w:rPr>
      </w:pPr>
    </w:p>
    <w:p w14:paraId="0F17D16F" w14:textId="77777777" w:rsidR="00A920E4" w:rsidRPr="00E4628E" w:rsidRDefault="00A920E4" w:rsidP="00E4628E">
      <w:pPr>
        <w:spacing w:line="276" w:lineRule="auto"/>
        <w:rPr>
          <w:sz w:val="22"/>
          <w:szCs w:val="22"/>
        </w:rPr>
      </w:pPr>
    </w:p>
    <w:p w14:paraId="1FCA4965" w14:textId="77777777" w:rsidR="00A920E4" w:rsidRPr="00E4628E" w:rsidRDefault="00A920E4" w:rsidP="00E4628E">
      <w:pPr>
        <w:spacing w:line="276" w:lineRule="auto"/>
        <w:rPr>
          <w:sz w:val="22"/>
          <w:szCs w:val="22"/>
        </w:rPr>
      </w:pPr>
    </w:p>
    <w:p w14:paraId="2E6E78C4" w14:textId="77777777" w:rsidR="00A920E4" w:rsidRPr="00E4628E" w:rsidRDefault="00A920E4" w:rsidP="00E4628E">
      <w:pPr>
        <w:spacing w:line="276" w:lineRule="auto"/>
        <w:rPr>
          <w:sz w:val="22"/>
          <w:szCs w:val="22"/>
        </w:rPr>
      </w:pPr>
    </w:p>
    <w:p w14:paraId="5F1BBF35" w14:textId="77777777" w:rsidR="00A920E4" w:rsidRPr="00E4628E" w:rsidRDefault="00A920E4" w:rsidP="00E4628E">
      <w:pPr>
        <w:spacing w:line="276" w:lineRule="auto"/>
        <w:rPr>
          <w:sz w:val="22"/>
          <w:szCs w:val="22"/>
        </w:rPr>
      </w:pPr>
    </w:p>
    <w:p w14:paraId="46834373" w14:textId="77777777" w:rsidR="00A920E4" w:rsidRPr="00E4628E" w:rsidRDefault="00A920E4" w:rsidP="00E4628E">
      <w:pPr>
        <w:spacing w:line="276" w:lineRule="auto"/>
        <w:rPr>
          <w:sz w:val="22"/>
          <w:szCs w:val="22"/>
        </w:rPr>
      </w:pPr>
      <w:r w:rsidRPr="00E4628E">
        <w:rPr>
          <w:noProof/>
          <w:sz w:val="22"/>
          <w:szCs w:val="22"/>
          <w:lang w:val="es-ES_tradnl" w:eastAsia="es-ES_tradnl"/>
        </w:rPr>
        <mc:AlternateContent>
          <mc:Choice Requires="wps">
            <w:drawing>
              <wp:anchor distT="45720" distB="45720" distL="114300" distR="114300" simplePos="0" relativeHeight="251674624" behindDoc="0" locked="0" layoutInCell="1" allowOverlap="1" wp14:anchorId="42A24020" wp14:editId="4D336F95">
                <wp:simplePos x="0" y="0"/>
                <wp:positionH relativeFrom="column">
                  <wp:posOffset>581025</wp:posOffset>
                </wp:positionH>
                <wp:positionV relativeFrom="paragraph">
                  <wp:posOffset>6985</wp:posOffset>
                </wp:positionV>
                <wp:extent cx="5991225" cy="3333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333750"/>
                        </a:xfrm>
                        <a:prstGeom prst="rect">
                          <a:avLst/>
                        </a:prstGeom>
                        <a:noFill/>
                        <a:ln w="9525">
                          <a:noFill/>
                          <a:miter lim="800000"/>
                          <a:headEnd/>
                          <a:tailEnd/>
                        </a:ln>
                      </wps:spPr>
                      <wps:txbx>
                        <w:txbxContent>
                          <w:p w14:paraId="61BE0211" w14:textId="7C30A01C" w:rsidR="001A2FEC" w:rsidRPr="00A920E4" w:rsidRDefault="001A2FEC" w:rsidP="00A920E4">
                            <w:pPr>
                              <w:pStyle w:val="Sinespaciado"/>
                              <w:jc w:val="center"/>
                              <w:rPr>
                                <w:rFonts w:ascii="Arial" w:eastAsia="Times New Roman" w:hAnsi="Arial" w:cs="Arial"/>
                                <w:b/>
                                <w:bCs/>
                                <w:sz w:val="48"/>
                                <w:szCs w:val="40"/>
                                <w:lang w:eastAsia="es-MX"/>
                              </w:rPr>
                            </w:pPr>
                            <w:r w:rsidRPr="00AE0B29">
                              <w:rPr>
                                <w:rFonts w:ascii="Arial" w:eastAsia="Times New Roman" w:hAnsi="Arial" w:cs="Arial"/>
                                <w:b/>
                                <w:bCs/>
                                <w:sz w:val="48"/>
                                <w:szCs w:val="40"/>
                                <w:lang w:eastAsia="es-MX"/>
                              </w:rPr>
                              <w:t>“</w:t>
                            </w:r>
                            <w:r w:rsidRPr="00A920E4">
                              <w:rPr>
                                <w:rFonts w:ascii="Arial" w:eastAsia="Times New Roman" w:hAnsi="Arial" w:cs="Arial"/>
                                <w:b/>
                                <w:bCs/>
                                <w:sz w:val="48"/>
                                <w:szCs w:val="40"/>
                                <w:lang w:eastAsia="es-MX"/>
                              </w:rPr>
                              <w:t xml:space="preserve">Informe técnico jurídico relativo </w:t>
                            </w:r>
                            <w:r>
                              <w:rPr>
                                <w:rFonts w:ascii="Arial" w:eastAsia="Times New Roman" w:hAnsi="Arial" w:cs="Arial"/>
                                <w:b/>
                                <w:bCs/>
                                <w:sz w:val="48"/>
                                <w:szCs w:val="40"/>
                                <w:lang w:eastAsia="es-MX"/>
                              </w:rPr>
                              <w:t>la solicitud del Departamento de Servicios Espaciales de la Oficina de Radiocomunicaciones de la UIT para incluir a Costa Rica en el área de servicio de la</w:t>
                            </w:r>
                            <w:r w:rsidR="002C46D1">
                              <w:rPr>
                                <w:rFonts w:ascii="Arial" w:eastAsia="Times New Roman" w:hAnsi="Arial" w:cs="Arial"/>
                                <w:b/>
                                <w:bCs/>
                                <w:sz w:val="48"/>
                                <w:szCs w:val="40"/>
                                <w:lang w:eastAsia="es-MX"/>
                              </w:rPr>
                              <w:t>s</w:t>
                            </w:r>
                            <w:r>
                              <w:rPr>
                                <w:rFonts w:ascii="Arial" w:eastAsia="Times New Roman" w:hAnsi="Arial" w:cs="Arial"/>
                                <w:b/>
                                <w:bCs/>
                                <w:sz w:val="48"/>
                                <w:szCs w:val="40"/>
                                <w:lang w:eastAsia="es-MX"/>
                              </w:rPr>
                              <w:t xml:space="preserve"> Red</w:t>
                            </w:r>
                            <w:r w:rsidR="002C46D1">
                              <w:rPr>
                                <w:rFonts w:ascii="Arial" w:eastAsia="Times New Roman" w:hAnsi="Arial" w:cs="Arial"/>
                                <w:b/>
                                <w:bCs/>
                                <w:sz w:val="48"/>
                                <w:szCs w:val="40"/>
                                <w:lang w:eastAsia="es-MX"/>
                              </w:rPr>
                              <w:t>es</w:t>
                            </w:r>
                            <w:r>
                              <w:rPr>
                                <w:rFonts w:ascii="Arial" w:eastAsia="Times New Roman" w:hAnsi="Arial" w:cs="Arial"/>
                                <w:b/>
                                <w:bCs/>
                                <w:sz w:val="48"/>
                                <w:szCs w:val="40"/>
                                <w:lang w:eastAsia="es-MX"/>
                              </w:rPr>
                              <w:t xml:space="preserve"> Satelital</w:t>
                            </w:r>
                            <w:r w:rsidR="002C46D1">
                              <w:rPr>
                                <w:rFonts w:ascii="Arial" w:eastAsia="Times New Roman" w:hAnsi="Arial" w:cs="Arial"/>
                                <w:b/>
                                <w:bCs/>
                                <w:sz w:val="48"/>
                                <w:szCs w:val="40"/>
                                <w:lang w:eastAsia="es-MX"/>
                              </w:rPr>
                              <w:t>es</w:t>
                            </w:r>
                            <w:r>
                              <w:rPr>
                                <w:rFonts w:ascii="Arial" w:eastAsia="Times New Roman" w:hAnsi="Arial" w:cs="Arial"/>
                                <w:b/>
                                <w:bCs/>
                                <w:sz w:val="48"/>
                                <w:szCs w:val="40"/>
                                <w:lang w:eastAsia="es-MX"/>
                              </w:rPr>
                              <w:t xml:space="preserve"> denominada</w:t>
                            </w:r>
                            <w:r w:rsidR="002C46D1">
                              <w:rPr>
                                <w:rFonts w:ascii="Arial" w:eastAsia="Times New Roman" w:hAnsi="Arial" w:cs="Arial"/>
                                <w:b/>
                                <w:bCs/>
                                <w:sz w:val="48"/>
                                <w:szCs w:val="40"/>
                                <w:lang w:eastAsia="es-MX"/>
                              </w:rPr>
                              <w:t>s</w:t>
                            </w:r>
                            <w:r>
                              <w:rPr>
                                <w:rFonts w:ascii="Arial" w:eastAsia="Times New Roman" w:hAnsi="Arial" w:cs="Arial"/>
                                <w:b/>
                                <w:bCs/>
                                <w:sz w:val="48"/>
                                <w:szCs w:val="40"/>
                                <w:lang w:eastAsia="es-MX"/>
                              </w:rPr>
                              <w:t xml:space="preserve"> </w:t>
                            </w:r>
                            <w:r w:rsidR="002C46D1">
                              <w:rPr>
                                <w:rFonts w:ascii="Arial" w:eastAsia="Times New Roman" w:hAnsi="Arial" w:cs="Arial"/>
                                <w:b/>
                                <w:bCs/>
                                <w:sz w:val="48"/>
                                <w:szCs w:val="40"/>
                                <w:lang w:eastAsia="es-MX"/>
                              </w:rPr>
                              <w:t xml:space="preserve">NSS-FSS-G3 22W, NSS-FSS-137W Y NSS-FSS-105 W-2 </w:t>
                            </w:r>
                          </w:p>
                          <w:p w14:paraId="51623A64" w14:textId="77777777" w:rsidR="001A2FEC" w:rsidRPr="00A920E4" w:rsidRDefault="001A2FEC">
                            <w:pPr>
                              <w:rPr>
                                <w:lang w:val="es-C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24020" id="_x0000_t202" coordsize="21600,21600" o:spt="202" path="m,l,21600r21600,l21600,xe">
                <v:stroke joinstyle="miter"/>
                <v:path gradientshapeok="t" o:connecttype="rect"/>
              </v:shapetype>
              <v:shape id="Cuadro de texto 2" o:spid="_x0000_s1026" type="#_x0000_t202" style="position:absolute;margin-left:45.75pt;margin-top:.55pt;width:471.75pt;height:2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" filled="f" stroked="f">
                <v:textbox>
                  <w:txbxContent>
                    <w:p w14:paraId="61BE0211" w14:textId="7C30A01C" w:rsidR="001A2FEC" w:rsidRPr="00A920E4" w:rsidRDefault="001A2FEC" w:rsidP="00A920E4">
                      <w:pPr>
                        <w:pStyle w:val="Sinespaciado"/>
                        <w:jc w:val="center"/>
                        <w:rPr>
                          <w:rFonts w:ascii="Arial" w:eastAsia="Times New Roman" w:hAnsi="Arial" w:cs="Arial"/>
                          <w:b/>
                          <w:bCs/>
                          <w:sz w:val="48"/>
                          <w:szCs w:val="40"/>
                          <w:lang w:eastAsia="es-MX"/>
                        </w:rPr>
                      </w:pPr>
                      <w:r w:rsidRPr="00AE0B29">
                        <w:rPr>
                          <w:rFonts w:ascii="Arial" w:eastAsia="Times New Roman" w:hAnsi="Arial" w:cs="Arial"/>
                          <w:b/>
                          <w:bCs/>
                          <w:sz w:val="48"/>
                          <w:szCs w:val="40"/>
                          <w:lang w:eastAsia="es-MX"/>
                        </w:rPr>
                        <w:t>“</w:t>
                      </w:r>
                      <w:r w:rsidRPr="00A920E4">
                        <w:rPr>
                          <w:rFonts w:ascii="Arial" w:eastAsia="Times New Roman" w:hAnsi="Arial" w:cs="Arial"/>
                          <w:b/>
                          <w:bCs/>
                          <w:sz w:val="48"/>
                          <w:szCs w:val="40"/>
                          <w:lang w:eastAsia="es-MX"/>
                        </w:rPr>
                        <w:t xml:space="preserve">Informe técnico jurídico relativo </w:t>
                      </w:r>
                      <w:r>
                        <w:rPr>
                          <w:rFonts w:ascii="Arial" w:eastAsia="Times New Roman" w:hAnsi="Arial" w:cs="Arial"/>
                          <w:b/>
                          <w:bCs/>
                          <w:sz w:val="48"/>
                          <w:szCs w:val="40"/>
                          <w:lang w:eastAsia="es-MX"/>
                        </w:rPr>
                        <w:t>la solicitud del Departamento de Servicios Espaciales de la Oficina de Radiocomunicaciones de la UIT para incluir a Costa Rica en el área de servicio de la</w:t>
                      </w:r>
                      <w:r w:rsidR="002C46D1">
                        <w:rPr>
                          <w:rFonts w:ascii="Arial" w:eastAsia="Times New Roman" w:hAnsi="Arial" w:cs="Arial"/>
                          <w:b/>
                          <w:bCs/>
                          <w:sz w:val="48"/>
                          <w:szCs w:val="40"/>
                          <w:lang w:eastAsia="es-MX"/>
                        </w:rPr>
                        <w:t>s</w:t>
                      </w:r>
                      <w:r>
                        <w:rPr>
                          <w:rFonts w:ascii="Arial" w:eastAsia="Times New Roman" w:hAnsi="Arial" w:cs="Arial"/>
                          <w:b/>
                          <w:bCs/>
                          <w:sz w:val="48"/>
                          <w:szCs w:val="40"/>
                          <w:lang w:eastAsia="es-MX"/>
                        </w:rPr>
                        <w:t xml:space="preserve"> Red</w:t>
                      </w:r>
                      <w:r w:rsidR="002C46D1">
                        <w:rPr>
                          <w:rFonts w:ascii="Arial" w:eastAsia="Times New Roman" w:hAnsi="Arial" w:cs="Arial"/>
                          <w:b/>
                          <w:bCs/>
                          <w:sz w:val="48"/>
                          <w:szCs w:val="40"/>
                          <w:lang w:eastAsia="es-MX"/>
                        </w:rPr>
                        <w:t>es</w:t>
                      </w:r>
                      <w:r>
                        <w:rPr>
                          <w:rFonts w:ascii="Arial" w:eastAsia="Times New Roman" w:hAnsi="Arial" w:cs="Arial"/>
                          <w:b/>
                          <w:bCs/>
                          <w:sz w:val="48"/>
                          <w:szCs w:val="40"/>
                          <w:lang w:eastAsia="es-MX"/>
                        </w:rPr>
                        <w:t xml:space="preserve"> Satelital</w:t>
                      </w:r>
                      <w:r w:rsidR="002C46D1">
                        <w:rPr>
                          <w:rFonts w:ascii="Arial" w:eastAsia="Times New Roman" w:hAnsi="Arial" w:cs="Arial"/>
                          <w:b/>
                          <w:bCs/>
                          <w:sz w:val="48"/>
                          <w:szCs w:val="40"/>
                          <w:lang w:eastAsia="es-MX"/>
                        </w:rPr>
                        <w:t>es</w:t>
                      </w:r>
                      <w:r>
                        <w:rPr>
                          <w:rFonts w:ascii="Arial" w:eastAsia="Times New Roman" w:hAnsi="Arial" w:cs="Arial"/>
                          <w:b/>
                          <w:bCs/>
                          <w:sz w:val="48"/>
                          <w:szCs w:val="40"/>
                          <w:lang w:eastAsia="es-MX"/>
                        </w:rPr>
                        <w:t xml:space="preserve"> denominada</w:t>
                      </w:r>
                      <w:r w:rsidR="002C46D1">
                        <w:rPr>
                          <w:rFonts w:ascii="Arial" w:eastAsia="Times New Roman" w:hAnsi="Arial" w:cs="Arial"/>
                          <w:b/>
                          <w:bCs/>
                          <w:sz w:val="48"/>
                          <w:szCs w:val="40"/>
                          <w:lang w:eastAsia="es-MX"/>
                        </w:rPr>
                        <w:t>s</w:t>
                      </w:r>
                      <w:r>
                        <w:rPr>
                          <w:rFonts w:ascii="Arial" w:eastAsia="Times New Roman" w:hAnsi="Arial" w:cs="Arial"/>
                          <w:b/>
                          <w:bCs/>
                          <w:sz w:val="48"/>
                          <w:szCs w:val="40"/>
                          <w:lang w:eastAsia="es-MX"/>
                        </w:rPr>
                        <w:t xml:space="preserve"> </w:t>
                      </w:r>
                      <w:r w:rsidR="002C46D1">
                        <w:rPr>
                          <w:rFonts w:ascii="Arial" w:eastAsia="Times New Roman" w:hAnsi="Arial" w:cs="Arial"/>
                          <w:b/>
                          <w:bCs/>
                          <w:sz w:val="48"/>
                          <w:szCs w:val="40"/>
                          <w:lang w:eastAsia="es-MX"/>
                        </w:rPr>
                        <w:t xml:space="preserve">NSS-FSS-G3 22W, NSS-FSS-137W Y NSS-FSS-105 W-2 </w:t>
                      </w:r>
                    </w:p>
                    <w:p w14:paraId="51623A64" w14:textId="77777777" w:rsidR="001A2FEC" w:rsidRPr="00A920E4" w:rsidRDefault="001A2FEC">
                      <w:pPr>
                        <w:rPr>
                          <w:lang w:val="es-CR"/>
                        </w:rPr>
                      </w:pPr>
                    </w:p>
                  </w:txbxContent>
                </v:textbox>
                <w10:wrap type="square"/>
              </v:shape>
            </w:pict>
          </mc:Fallback>
        </mc:AlternateContent>
      </w:r>
    </w:p>
    <w:p w14:paraId="34BF5B89" w14:textId="77777777" w:rsidR="00A920E4" w:rsidRPr="00E4628E" w:rsidRDefault="00A920E4" w:rsidP="00E4628E">
      <w:pPr>
        <w:spacing w:line="276" w:lineRule="auto"/>
        <w:rPr>
          <w:sz w:val="22"/>
          <w:szCs w:val="22"/>
        </w:rPr>
      </w:pPr>
    </w:p>
    <w:sdt>
      <w:sdtPr>
        <w:rPr>
          <w:sz w:val="22"/>
          <w:szCs w:val="22"/>
        </w:rPr>
        <w:id w:val="734509621"/>
        <w:docPartObj>
          <w:docPartGallery w:val="Cover Pages"/>
          <w:docPartUnique/>
        </w:docPartObj>
      </w:sdtPr>
      <w:sdtEndPr/>
      <w:sdtContent>
        <w:p w14:paraId="2C27588F" w14:textId="77777777" w:rsidR="00A82803" w:rsidRPr="00E4628E" w:rsidRDefault="00A82803" w:rsidP="00E4628E">
          <w:pPr>
            <w:spacing w:line="276" w:lineRule="auto"/>
            <w:rPr>
              <w:sz w:val="22"/>
              <w:szCs w:val="22"/>
            </w:rPr>
          </w:pPr>
        </w:p>
        <w:p w14:paraId="7C7D2BDB" w14:textId="77777777" w:rsidR="00A82803" w:rsidRPr="00E4628E" w:rsidRDefault="00A82803" w:rsidP="00E4628E">
          <w:pPr>
            <w:spacing w:line="276" w:lineRule="auto"/>
            <w:rPr>
              <w:sz w:val="22"/>
              <w:szCs w:val="22"/>
            </w:rPr>
          </w:pPr>
        </w:p>
        <w:p w14:paraId="69085C74" w14:textId="77777777" w:rsidR="00A920E4" w:rsidRPr="00E4628E" w:rsidRDefault="00A920E4" w:rsidP="00E4628E">
          <w:pPr>
            <w:autoSpaceDE/>
            <w:autoSpaceDN/>
            <w:spacing w:line="276" w:lineRule="auto"/>
            <w:rPr>
              <w:sz w:val="22"/>
              <w:szCs w:val="22"/>
            </w:rPr>
          </w:pPr>
          <w:r w:rsidRPr="00E4628E">
            <w:rPr>
              <w:sz w:val="22"/>
              <w:szCs w:val="22"/>
            </w:rPr>
            <w:br w:type="page"/>
          </w:r>
        </w:p>
        <w:p w14:paraId="00CFBD90" w14:textId="77777777" w:rsidR="000C781B" w:rsidRPr="00E4628E" w:rsidRDefault="001C4FC0" w:rsidP="00E4628E">
          <w:pPr>
            <w:spacing w:line="276" w:lineRule="auto"/>
            <w:jc w:val="both"/>
            <w:rPr>
              <w:sz w:val="22"/>
              <w:szCs w:val="22"/>
            </w:rPr>
          </w:pPr>
        </w:p>
      </w:sdtContent>
    </w:sdt>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070"/>
      </w:tblGrid>
      <w:tr w:rsidR="00AC75BA" w:rsidRPr="00F52C10" w14:paraId="125FE077" w14:textId="77777777" w:rsidTr="00113453">
        <w:trPr>
          <w:trHeight w:val="711"/>
          <w:jc w:val="center"/>
        </w:trPr>
        <w:tc>
          <w:tcPr>
            <w:tcW w:w="11016" w:type="dxa"/>
            <w:shd w:val="clear" w:color="auto" w:fill="F2F2F2" w:themeFill="background1" w:themeFillShade="F2"/>
            <w:vAlign w:val="center"/>
          </w:tcPr>
          <w:p w14:paraId="3CA7F49C" w14:textId="77777777" w:rsidR="00AC75BA" w:rsidRPr="00E4628E" w:rsidRDefault="00AC75BA" w:rsidP="00E4628E">
            <w:pPr>
              <w:spacing w:line="276" w:lineRule="auto"/>
              <w:rPr>
                <w:color w:val="595959" w:themeColor="text1" w:themeTint="A6"/>
                <w:sz w:val="22"/>
                <w:szCs w:val="22"/>
                <w:lang w:val="pt-BR"/>
              </w:rPr>
            </w:pPr>
            <w:r w:rsidRPr="00E4628E">
              <w:rPr>
                <w:b/>
                <w:color w:val="595959" w:themeColor="text1" w:themeTint="A6"/>
                <w:sz w:val="22"/>
                <w:szCs w:val="22"/>
                <w:lang w:val="pt-BR"/>
              </w:rPr>
              <w:t>TÍTULO</w:t>
            </w:r>
          </w:p>
        </w:tc>
      </w:tr>
      <w:tr w:rsidR="00AC75BA" w:rsidRPr="00FE6161" w14:paraId="1B85239B" w14:textId="77777777" w:rsidTr="005F5FDC">
        <w:trPr>
          <w:trHeight w:val="567"/>
          <w:jc w:val="center"/>
        </w:trPr>
        <w:tc>
          <w:tcPr>
            <w:tcW w:w="11016" w:type="dxa"/>
            <w:vAlign w:val="center"/>
          </w:tcPr>
          <w:p w14:paraId="31F19245" w14:textId="4F964FD2" w:rsidR="00AC75BA" w:rsidRPr="00E4628E" w:rsidRDefault="00996A99" w:rsidP="00E4628E">
            <w:pPr>
              <w:pStyle w:val="Sinespaciado"/>
              <w:spacing w:line="276" w:lineRule="auto"/>
              <w:jc w:val="center"/>
              <w:rPr>
                <w:rFonts w:ascii="Times New Roman" w:hAnsi="Times New Roman" w:cs="Times New Roman"/>
                <w:b/>
              </w:rPr>
            </w:pPr>
            <w:bookmarkStart w:id="0" w:name="_Hlk520186139"/>
            <w:r w:rsidRPr="00996A99">
              <w:rPr>
                <w:rFonts w:ascii="Times New Roman" w:hAnsi="Times New Roman" w:cs="Times New Roman"/>
                <w:b/>
                <w:bCs/>
                <w:sz w:val="24"/>
                <w:szCs w:val="24"/>
              </w:rPr>
              <w:t>“</w:t>
            </w:r>
            <w:r w:rsidRPr="00996A99">
              <w:rPr>
                <w:rFonts w:ascii="Times New Roman" w:eastAsia="Times New Roman" w:hAnsi="Times New Roman" w:cs="Times New Roman"/>
                <w:b/>
                <w:bCs/>
                <w:sz w:val="24"/>
                <w:szCs w:val="24"/>
                <w:lang w:eastAsia="es-MX"/>
              </w:rPr>
              <w:t>Informe técnico jurídico relativo la solicitud del Departamento de Servicios Espaciales de la</w:t>
            </w:r>
            <w:r w:rsidR="001A2FEC">
              <w:rPr>
                <w:rFonts w:ascii="Times New Roman" w:eastAsia="Times New Roman" w:hAnsi="Times New Roman" w:cs="Times New Roman"/>
                <w:b/>
                <w:bCs/>
                <w:sz w:val="24"/>
                <w:szCs w:val="24"/>
                <w:lang w:eastAsia="es-MX"/>
              </w:rPr>
              <w:t xml:space="preserve"> Oficina de Radiocomunicaciones de la</w:t>
            </w:r>
            <w:r w:rsidRPr="00996A99">
              <w:rPr>
                <w:rFonts w:ascii="Times New Roman" w:eastAsia="Times New Roman" w:hAnsi="Times New Roman" w:cs="Times New Roman"/>
                <w:b/>
                <w:bCs/>
                <w:sz w:val="24"/>
                <w:szCs w:val="24"/>
                <w:lang w:eastAsia="es-MX"/>
              </w:rPr>
              <w:t xml:space="preserve"> UIT para incluir a Costa Rica en el área de servicio de </w:t>
            </w:r>
            <w:r w:rsidR="00AB2684">
              <w:rPr>
                <w:rFonts w:ascii="Times New Roman" w:eastAsia="Times New Roman" w:hAnsi="Times New Roman" w:cs="Times New Roman"/>
                <w:b/>
                <w:bCs/>
                <w:sz w:val="24"/>
                <w:szCs w:val="24"/>
                <w:lang w:eastAsia="es-MX"/>
              </w:rPr>
              <w:t xml:space="preserve">la </w:t>
            </w:r>
            <w:r w:rsidR="00066041" w:rsidRPr="00066041">
              <w:rPr>
                <w:rFonts w:ascii="Times New Roman" w:eastAsia="Times New Roman" w:hAnsi="Times New Roman" w:cs="Times New Roman"/>
                <w:b/>
                <w:bCs/>
                <w:sz w:val="24"/>
                <w:szCs w:val="24"/>
                <w:lang w:eastAsia="es-MX"/>
              </w:rPr>
              <w:t xml:space="preserve">Red Satelital denominada </w:t>
            </w:r>
            <w:r w:rsidR="002C46D1">
              <w:rPr>
                <w:rFonts w:ascii="Times New Roman" w:eastAsia="Times New Roman" w:hAnsi="Times New Roman" w:cs="Times New Roman"/>
                <w:b/>
                <w:bCs/>
                <w:sz w:val="24"/>
                <w:szCs w:val="24"/>
                <w:lang w:eastAsia="es-MX"/>
              </w:rPr>
              <w:t xml:space="preserve">NSS-FSS-G3 22W, NSS-FSS-137W Y NSS-FSS-105 W-2 </w:t>
            </w:r>
            <w:r w:rsidR="00066041" w:rsidRPr="00066041">
              <w:rPr>
                <w:rFonts w:ascii="Times New Roman" w:eastAsia="Times New Roman" w:hAnsi="Times New Roman" w:cs="Times New Roman"/>
                <w:b/>
                <w:bCs/>
                <w:sz w:val="24"/>
                <w:szCs w:val="24"/>
                <w:lang w:eastAsia="es-MX"/>
              </w:rPr>
              <w:t>anexa a la BR IFIC N° 28</w:t>
            </w:r>
            <w:r w:rsidR="00AB2684">
              <w:rPr>
                <w:rFonts w:ascii="Times New Roman" w:eastAsia="Times New Roman" w:hAnsi="Times New Roman" w:cs="Times New Roman"/>
                <w:b/>
                <w:bCs/>
                <w:sz w:val="24"/>
                <w:szCs w:val="24"/>
                <w:lang w:eastAsia="es-MX"/>
              </w:rPr>
              <w:t>8</w:t>
            </w:r>
            <w:r w:rsidR="00FE6161">
              <w:rPr>
                <w:rFonts w:ascii="Times New Roman" w:eastAsia="Times New Roman" w:hAnsi="Times New Roman" w:cs="Times New Roman"/>
                <w:b/>
                <w:bCs/>
                <w:sz w:val="24"/>
                <w:szCs w:val="24"/>
                <w:lang w:eastAsia="es-MX"/>
              </w:rPr>
              <w:t>1</w:t>
            </w:r>
            <w:r w:rsidR="003D5B3F" w:rsidRPr="00E4628E">
              <w:rPr>
                <w:rFonts w:ascii="Times New Roman" w:eastAsia="Times New Roman" w:hAnsi="Times New Roman" w:cs="Times New Roman"/>
                <w:b/>
                <w:bCs/>
                <w:sz w:val="24"/>
                <w:szCs w:val="24"/>
                <w:lang w:eastAsia="es-MX"/>
              </w:rPr>
              <w:t>”</w:t>
            </w:r>
          </w:p>
        </w:tc>
      </w:tr>
      <w:bookmarkEnd w:id="0"/>
    </w:tbl>
    <w:p w14:paraId="5DB3B02C" w14:textId="2D024F04" w:rsidR="00AC75BA" w:rsidRPr="00E4628E" w:rsidRDefault="00AC75BA" w:rsidP="00E4628E">
      <w:pPr>
        <w:spacing w:line="276" w:lineRule="auto"/>
        <w:jc w:val="center"/>
        <w:rPr>
          <w:b/>
          <w:bCs/>
          <w:i/>
          <w:iCs/>
          <w:sz w:val="22"/>
          <w:szCs w:val="22"/>
        </w:rPr>
      </w:pPr>
    </w:p>
    <w:tbl>
      <w:tblPr>
        <w:tblW w:w="395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258"/>
        <w:gridCol w:w="2742"/>
        <w:gridCol w:w="2973"/>
      </w:tblGrid>
      <w:tr w:rsidR="00B27713" w:rsidRPr="00F52C10" w14:paraId="1004D8DE" w14:textId="77777777" w:rsidTr="00B27713">
        <w:trPr>
          <w:trHeight w:val="542"/>
          <w:jc w:val="center"/>
        </w:trPr>
        <w:tc>
          <w:tcPr>
            <w:tcW w:w="2258" w:type="dxa"/>
            <w:shd w:val="clear" w:color="auto" w:fill="F2F2F2" w:themeFill="background1" w:themeFillShade="F2"/>
            <w:vAlign w:val="center"/>
          </w:tcPr>
          <w:p w14:paraId="517A7108" w14:textId="77777777" w:rsidR="00B27713" w:rsidRPr="00E4628E" w:rsidRDefault="00B27713" w:rsidP="00E4628E">
            <w:pPr>
              <w:spacing w:line="276" w:lineRule="auto"/>
              <w:jc w:val="center"/>
              <w:rPr>
                <w:b/>
                <w:color w:val="595959" w:themeColor="text1" w:themeTint="A6"/>
                <w:sz w:val="22"/>
                <w:szCs w:val="22"/>
              </w:rPr>
            </w:pPr>
          </w:p>
          <w:p w14:paraId="614F3312" w14:textId="77777777" w:rsidR="00B27713" w:rsidRPr="00E4628E" w:rsidRDefault="00B27713" w:rsidP="00E4628E">
            <w:pPr>
              <w:spacing w:line="276" w:lineRule="auto"/>
              <w:jc w:val="center"/>
              <w:rPr>
                <w:b/>
                <w:color w:val="595959" w:themeColor="text1" w:themeTint="A6"/>
                <w:sz w:val="22"/>
                <w:szCs w:val="22"/>
              </w:rPr>
            </w:pPr>
          </w:p>
        </w:tc>
        <w:tc>
          <w:tcPr>
            <w:tcW w:w="2742" w:type="dxa"/>
            <w:shd w:val="clear" w:color="auto" w:fill="F2F2F2" w:themeFill="background1" w:themeFillShade="F2"/>
            <w:vAlign w:val="center"/>
          </w:tcPr>
          <w:p w14:paraId="36671A59" w14:textId="77777777" w:rsidR="00B27713" w:rsidRPr="00E4628E" w:rsidRDefault="00B27713" w:rsidP="00E4628E">
            <w:pPr>
              <w:spacing w:line="276" w:lineRule="auto"/>
              <w:jc w:val="center"/>
              <w:rPr>
                <w:b/>
                <w:color w:val="595959" w:themeColor="text1" w:themeTint="A6"/>
                <w:sz w:val="22"/>
                <w:szCs w:val="22"/>
              </w:rPr>
            </w:pPr>
            <w:r w:rsidRPr="00E4628E">
              <w:rPr>
                <w:b/>
                <w:color w:val="595959" w:themeColor="text1" w:themeTint="A6"/>
                <w:sz w:val="22"/>
                <w:szCs w:val="22"/>
              </w:rPr>
              <w:t>ELABORADO</w:t>
            </w:r>
          </w:p>
        </w:tc>
        <w:tc>
          <w:tcPr>
            <w:tcW w:w="2973" w:type="dxa"/>
            <w:shd w:val="clear" w:color="auto" w:fill="F2F2F2" w:themeFill="background1" w:themeFillShade="F2"/>
            <w:vAlign w:val="center"/>
          </w:tcPr>
          <w:p w14:paraId="2C6A95E2" w14:textId="330DEDF3" w:rsidR="00B27713" w:rsidRPr="00E4628E" w:rsidRDefault="00B27713" w:rsidP="00E4628E">
            <w:pPr>
              <w:spacing w:line="276" w:lineRule="auto"/>
              <w:jc w:val="center"/>
              <w:rPr>
                <w:b/>
                <w:color w:val="595959" w:themeColor="text1" w:themeTint="A6"/>
                <w:sz w:val="22"/>
                <w:szCs w:val="22"/>
              </w:rPr>
            </w:pPr>
            <w:r w:rsidRPr="00E4628E">
              <w:rPr>
                <w:b/>
                <w:color w:val="595959" w:themeColor="text1" w:themeTint="A6"/>
                <w:sz w:val="22"/>
                <w:szCs w:val="22"/>
              </w:rPr>
              <w:t>REVISADO Y AUTORIZADO</w:t>
            </w:r>
          </w:p>
        </w:tc>
      </w:tr>
      <w:tr w:rsidR="00B27713" w:rsidRPr="00F52C10" w14:paraId="4F918B15" w14:textId="77777777" w:rsidTr="00B27713">
        <w:trPr>
          <w:trHeight w:val="1197"/>
          <w:jc w:val="center"/>
        </w:trPr>
        <w:tc>
          <w:tcPr>
            <w:tcW w:w="2258" w:type="dxa"/>
            <w:shd w:val="clear" w:color="auto" w:fill="F2F2F2" w:themeFill="background1" w:themeFillShade="F2"/>
            <w:vAlign w:val="center"/>
          </w:tcPr>
          <w:p w14:paraId="2500875B" w14:textId="77777777" w:rsidR="00B27713" w:rsidRPr="00E4628E" w:rsidRDefault="00B27713" w:rsidP="00E4628E">
            <w:pPr>
              <w:spacing w:line="276" w:lineRule="auto"/>
              <w:jc w:val="center"/>
              <w:rPr>
                <w:b/>
                <w:color w:val="595959" w:themeColor="text1" w:themeTint="A6"/>
                <w:sz w:val="22"/>
                <w:szCs w:val="22"/>
              </w:rPr>
            </w:pPr>
            <w:r w:rsidRPr="00E4628E">
              <w:rPr>
                <w:b/>
                <w:color w:val="595959" w:themeColor="text1" w:themeTint="A6"/>
                <w:sz w:val="22"/>
                <w:szCs w:val="22"/>
              </w:rPr>
              <w:t>NOMBRE</w:t>
            </w:r>
          </w:p>
        </w:tc>
        <w:tc>
          <w:tcPr>
            <w:tcW w:w="2742" w:type="dxa"/>
            <w:vAlign w:val="center"/>
          </w:tcPr>
          <w:p w14:paraId="20556535" w14:textId="5BF2C79A" w:rsidR="00B27713" w:rsidRPr="00E4628E" w:rsidRDefault="00B27713" w:rsidP="00E4628E">
            <w:pPr>
              <w:spacing w:line="276" w:lineRule="auto"/>
              <w:jc w:val="center"/>
              <w:rPr>
                <w:sz w:val="22"/>
                <w:szCs w:val="22"/>
              </w:rPr>
            </w:pPr>
            <w:r>
              <w:rPr>
                <w:sz w:val="22"/>
                <w:szCs w:val="22"/>
              </w:rPr>
              <w:t>Karla María Vásquez Rojas</w:t>
            </w:r>
          </w:p>
        </w:tc>
        <w:tc>
          <w:tcPr>
            <w:tcW w:w="2973" w:type="dxa"/>
            <w:vAlign w:val="center"/>
          </w:tcPr>
          <w:p w14:paraId="0718701C" w14:textId="78E96841" w:rsidR="00B27713" w:rsidRPr="00E4628E" w:rsidRDefault="00B27713" w:rsidP="00E4628E">
            <w:pPr>
              <w:spacing w:line="276" w:lineRule="auto"/>
              <w:jc w:val="center"/>
              <w:rPr>
                <w:color w:val="000000"/>
                <w:sz w:val="22"/>
                <w:szCs w:val="22"/>
              </w:rPr>
            </w:pPr>
            <w:r w:rsidRPr="00E4628E">
              <w:rPr>
                <w:color w:val="000000"/>
                <w:sz w:val="22"/>
                <w:szCs w:val="22"/>
              </w:rPr>
              <w:t>Cynthia Morales Herra</w:t>
            </w:r>
          </w:p>
        </w:tc>
      </w:tr>
      <w:tr w:rsidR="00B27713" w:rsidRPr="00F52C10" w14:paraId="1A8EA645" w14:textId="77777777" w:rsidTr="00B27713">
        <w:trPr>
          <w:trHeight w:val="552"/>
          <w:jc w:val="center"/>
        </w:trPr>
        <w:tc>
          <w:tcPr>
            <w:tcW w:w="2258" w:type="dxa"/>
            <w:shd w:val="clear" w:color="auto" w:fill="F2F2F2" w:themeFill="background1" w:themeFillShade="F2"/>
            <w:vAlign w:val="center"/>
          </w:tcPr>
          <w:p w14:paraId="1D918537" w14:textId="77777777" w:rsidR="00B27713" w:rsidRPr="00E4628E" w:rsidRDefault="00B27713" w:rsidP="00E4628E">
            <w:pPr>
              <w:spacing w:line="276" w:lineRule="auto"/>
              <w:jc w:val="center"/>
              <w:rPr>
                <w:b/>
                <w:color w:val="595959" w:themeColor="text1" w:themeTint="A6"/>
                <w:sz w:val="22"/>
                <w:szCs w:val="22"/>
              </w:rPr>
            </w:pPr>
            <w:r w:rsidRPr="00E4628E">
              <w:rPr>
                <w:b/>
                <w:color w:val="595959" w:themeColor="text1" w:themeTint="A6"/>
                <w:sz w:val="22"/>
                <w:szCs w:val="22"/>
              </w:rPr>
              <w:t>PUESTO</w:t>
            </w:r>
          </w:p>
        </w:tc>
        <w:tc>
          <w:tcPr>
            <w:tcW w:w="2742" w:type="dxa"/>
            <w:vAlign w:val="center"/>
          </w:tcPr>
          <w:p w14:paraId="72B047A0" w14:textId="7735D1C0" w:rsidR="00B27713" w:rsidRPr="00E4628E" w:rsidRDefault="00B27713" w:rsidP="00E4628E">
            <w:pPr>
              <w:spacing w:line="276" w:lineRule="auto"/>
              <w:jc w:val="center"/>
              <w:rPr>
                <w:sz w:val="22"/>
                <w:szCs w:val="22"/>
                <w:lang w:val="es-CR"/>
              </w:rPr>
            </w:pPr>
            <w:r>
              <w:rPr>
                <w:sz w:val="22"/>
                <w:szCs w:val="22"/>
              </w:rPr>
              <w:t>Profesional de la Dirección de</w:t>
            </w:r>
            <w:r w:rsidRPr="00E4628E">
              <w:rPr>
                <w:sz w:val="22"/>
                <w:szCs w:val="22"/>
              </w:rPr>
              <w:t xml:space="preserve"> Concesiones y </w:t>
            </w:r>
            <w:r>
              <w:rPr>
                <w:sz w:val="22"/>
                <w:szCs w:val="22"/>
              </w:rPr>
              <w:t>No</w:t>
            </w:r>
            <w:r w:rsidRPr="00E4628E">
              <w:rPr>
                <w:sz w:val="22"/>
                <w:szCs w:val="22"/>
              </w:rPr>
              <w:t xml:space="preserve">rmas en Telecomunicaciones </w:t>
            </w:r>
          </w:p>
        </w:tc>
        <w:tc>
          <w:tcPr>
            <w:tcW w:w="2973" w:type="dxa"/>
            <w:vAlign w:val="center"/>
          </w:tcPr>
          <w:p w14:paraId="6FB8AB40" w14:textId="2A3163FD" w:rsidR="00B27713" w:rsidRPr="00E4628E" w:rsidRDefault="00B27713" w:rsidP="00E4628E">
            <w:pPr>
              <w:spacing w:line="276" w:lineRule="auto"/>
              <w:jc w:val="center"/>
              <w:rPr>
                <w:i/>
                <w:iCs/>
                <w:sz w:val="22"/>
                <w:szCs w:val="22"/>
                <w:lang w:val="es-ES_tradnl"/>
              </w:rPr>
            </w:pPr>
            <w:r w:rsidRPr="00E4628E">
              <w:rPr>
                <w:sz w:val="22"/>
                <w:szCs w:val="22"/>
              </w:rPr>
              <w:t>Directora de Concesiones y Normas en Telecomunicaciones</w:t>
            </w:r>
          </w:p>
        </w:tc>
      </w:tr>
      <w:tr w:rsidR="00B27713" w:rsidRPr="00F52C10" w14:paraId="538BB1C8" w14:textId="77777777" w:rsidTr="00B27713">
        <w:trPr>
          <w:trHeight w:val="1451"/>
          <w:jc w:val="center"/>
        </w:trPr>
        <w:tc>
          <w:tcPr>
            <w:tcW w:w="2258" w:type="dxa"/>
            <w:shd w:val="clear" w:color="auto" w:fill="F2F2F2" w:themeFill="background1" w:themeFillShade="F2"/>
            <w:vAlign w:val="center"/>
          </w:tcPr>
          <w:p w14:paraId="6D8D6DD2" w14:textId="77777777" w:rsidR="00B27713" w:rsidRPr="00E4628E" w:rsidRDefault="00B27713" w:rsidP="00E4628E">
            <w:pPr>
              <w:spacing w:line="276" w:lineRule="auto"/>
              <w:jc w:val="center"/>
              <w:rPr>
                <w:b/>
                <w:color w:val="595959" w:themeColor="text1" w:themeTint="A6"/>
                <w:sz w:val="22"/>
                <w:szCs w:val="22"/>
              </w:rPr>
            </w:pPr>
            <w:r w:rsidRPr="00E4628E">
              <w:rPr>
                <w:b/>
                <w:color w:val="595959" w:themeColor="text1" w:themeTint="A6"/>
                <w:sz w:val="22"/>
                <w:szCs w:val="22"/>
              </w:rPr>
              <w:t>FIRMA</w:t>
            </w:r>
            <w:bookmarkStart w:id="1" w:name="_GoBack"/>
            <w:bookmarkEnd w:id="1"/>
          </w:p>
        </w:tc>
        <w:tc>
          <w:tcPr>
            <w:tcW w:w="2742" w:type="dxa"/>
            <w:vAlign w:val="center"/>
          </w:tcPr>
          <w:p w14:paraId="65BAF970" w14:textId="77777777" w:rsidR="00B27713" w:rsidRPr="00E4628E" w:rsidRDefault="00B27713" w:rsidP="00E4628E">
            <w:pPr>
              <w:spacing w:line="276" w:lineRule="auto"/>
              <w:jc w:val="center"/>
              <w:rPr>
                <w:sz w:val="22"/>
                <w:szCs w:val="22"/>
              </w:rPr>
            </w:pPr>
          </w:p>
          <w:p w14:paraId="51002A1C" w14:textId="77777777" w:rsidR="00B27713" w:rsidRPr="00E4628E" w:rsidRDefault="00B27713" w:rsidP="00E4628E">
            <w:pPr>
              <w:spacing w:line="276" w:lineRule="auto"/>
              <w:jc w:val="center"/>
              <w:rPr>
                <w:sz w:val="22"/>
                <w:szCs w:val="22"/>
              </w:rPr>
            </w:pPr>
          </w:p>
          <w:p w14:paraId="0E5C47A5" w14:textId="77777777" w:rsidR="00B27713" w:rsidRPr="00E4628E" w:rsidRDefault="00B27713" w:rsidP="00E4628E">
            <w:pPr>
              <w:spacing w:line="276" w:lineRule="auto"/>
              <w:jc w:val="center"/>
              <w:rPr>
                <w:sz w:val="22"/>
                <w:szCs w:val="22"/>
              </w:rPr>
            </w:pPr>
          </w:p>
        </w:tc>
        <w:tc>
          <w:tcPr>
            <w:tcW w:w="2973" w:type="dxa"/>
            <w:vAlign w:val="center"/>
          </w:tcPr>
          <w:p w14:paraId="053545C2" w14:textId="7819D88D" w:rsidR="00B27713" w:rsidRPr="00E4628E" w:rsidRDefault="00B27713" w:rsidP="00E4628E">
            <w:pPr>
              <w:spacing w:line="276" w:lineRule="auto"/>
              <w:jc w:val="center"/>
              <w:rPr>
                <w:color w:val="000000"/>
                <w:sz w:val="22"/>
                <w:szCs w:val="22"/>
              </w:rPr>
            </w:pPr>
          </w:p>
          <w:p w14:paraId="67C1DB85" w14:textId="77777777" w:rsidR="00B27713" w:rsidRPr="00E4628E" w:rsidRDefault="00B27713" w:rsidP="00E4628E">
            <w:pPr>
              <w:spacing w:line="276" w:lineRule="auto"/>
              <w:jc w:val="center"/>
              <w:rPr>
                <w:color w:val="000000"/>
                <w:sz w:val="22"/>
                <w:szCs w:val="22"/>
              </w:rPr>
            </w:pPr>
          </w:p>
          <w:p w14:paraId="130F786D" w14:textId="77777777" w:rsidR="00B27713" w:rsidRPr="00E4628E" w:rsidRDefault="00B27713" w:rsidP="00E4628E">
            <w:pPr>
              <w:spacing w:line="276" w:lineRule="auto"/>
              <w:jc w:val="center"/>
              <w:rPr>
                <w:color w:val="000000"/>
                <w:sz w:val="22"/>
                <w:szCs w:val="22"/>
              </w:rPr>
            </w:pPr>
          </w:p>
        </w:tc>
      </w:tr>
    </w:tbl>
    <w:p w14:paraId="31302ABC" w14:textId="77777777" w:rsidR="00AC75BA" w:rsidRPr="00E4628E" w:rsidRDefault="00D64C46" w:rsidP="00E4628E">
      <w:pPr>
        <w:spacing w:line="276" w:lineRule="auto"/>
        <w:jc w:val="both"/>
        <w:rPr>
          <w:b/>
          <w:bCs/>
          <w:i/>
          <w:iCs/>
          <w:sz w:val="22"/>
          <w:szCs w:val="22"/>
        </w:rPr>
      </w:pPr>
      <w:r w:rsidRPr="00E4628E">
        <w:rPr>
          <w:b/>
          <w:bCs/>
          <w:i/>
          <w:iCs/>
          <w:sz w:val="22"/>
          <w:szCs w:val="22"/>
        </w:rPr>
        <w:t xml:space="preserve"> </w:t>
      </w:r>
    </w:p>
    <w:tbl>
      <w:tblPr>
        <w:tblStyle w:val="Tablaconcuadrcula"/>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10070"/>
      </w:tblGrid>
      <w:tr w:rsidR="00AC75BA" w:rsidRPr="00F52C10" w14:paraId="15EF034D" w14:textId="77777777" w:rsidTr="00DD66BB">
        <w:trPr>
          <w:trHeight w:val="567"/>
          <w:jc w:val="center"/>
        </w:trPr>
        <w:tc>
          <w:tcPr>
            <w:tcW w:w="11016" w:type="dxa"/>
            <w:shd w:val="clear" w:color="auto" w:fill="FFFFFF" w:themeFill="background1"/>
            <w:vAlign w:val="center"/>
          </w:tcPr>
          <w:p w14:paraId="1FE44969" w14:textId="77777777" w:rsidR="000B7343" w:rsidRPr="00E4628E" w:rsidRDefault="000B7343" w:rsidP="00E4628E">
            <w:pPr>
              <w:pStyle w:val="Prrafodelista"/>
              <w:autoSpaceDE/>
              <w:autoSpaceDN/>
              <w:spacing w:after="200" w:line="276" w:lineRule="auto"/>
              <w:ind w:left="1080"/>
              <w:contextualSpacing/>
              <w:rPr>
                <w:b/>
                <w:sz w:val="22"/>
                <w:szCs w:val="22"/>
              </w:rPr>
            </w:pPr>
          </w:p>
          <w:p w14:paraId="13E11631" w14:textId="7EB21CCF" w:rsidR="0090207C" w:rsidRPr="00E4628E" w:rsidRDefault="007B4E4A" w:rsidP="00E4628E">
            <w:pPr>
              <w:pStyle w:val="Prrafodelista"/>
              <w:numPr>
                <w:ilvl w:val="0"/>
                <w:numId w:val="1"/>
              </w:numPr>
              <w:autoSpaceDE/>
              <w:autoSpaceDN/>
              <w:spacing w:after="200" w:line="276" w:lineRule="auto"/>
              <w:contextualSpacing/>
              <w:rPr>
                <w:b/>
                <w:sz w:val="22"/>
                <w:szCs w:val="22"/>
              </w:rPr>
            </w:pPr>
            <w:r w:rsidRPr="00E4628E">
              <w:rPr>
                <w:b/>
                <w:sz w:val="22"/>
                <w:szCs w:val="22"/>
              </w:rPr>
              <w:t xml:space="preserve">JUSTIFICACIÓN </w:t>
            </w:r>
          </w:p>
          <w:p w14:paraId="3D1D0F7F" w14:textId="583517DA" w:rsidR="00AC75BA" w:rsidRPr="00E4628E" w:rsidRDefault="00E34500" w:rsidP="00E4628E">
            <w:pPr>
              <w:spacing w:line="276" w:lineRule="auto"/>
              <w:jc w:val="both"/>
              <w:rPr>
                <w:sz w:val="22"/>
                <w:szCs w:val="22"/>
              </w:rPr>
            </w:pPr>
            <w:r w:rsidRPr="00E4628E">
              <w:rPr>
                <w:sz w:val="22"/>
                <w:szCs w:val="22"/>
              </w:rPr>
              <w:t>La</w:t>
            </w:r>
            <w:r w:rsidR="0090207C" w:rsidRPr="00E4628E">
              <w:rPr>
                <w:sz w:val="22"/>
                <w:szCs w:val="22"/>
              </w:rPr>
              <w:t xml:space="preserve"> Dirección de</w:t>
            </w:r>
            <w:r w:rsidRPr="00E4628E">
              <w:rPr>
                <w:sz w:val="22"/>
                <w:szCs w:val="22"/>
              </w:rPr>
              <w:t xml:space="preserve"> Concesiones y</w:t>
            </w:r>
            <w:r w:rsidR="0090207C" w:rsidRPr="00E4628E">
              <w:rPr>
                <w:sz w:val="22"/>
                <w:szCs w:val="22"/>
              </w:rPr>
              <w:t xml:space="preserve"> Normas </w:t>
            </w:r>
            <w:r w:rsidRPr="00E4628E">
              <w:rPr>
                <w:sz w:val="22"/>
                <w:szCs w:val="22"/>
              </w:rPr>
              <w:t>en Telecomunicaciones</w:t>
            </w:r>
            <w:r w:rsidR="0090207C" w:rsidRPr="00E4628E">
              <w:rPr>
                <w:sz w:val="22"/>
                <w:szCs w:val="22"/>
              </w:rPr>
              <w:t xml:space="preserve"> </w:t>
            </w:r>
            <w:r w:rsidRPr="00E4628E">
              <w:rPr>
                <w:sz w:val="22"/>
                <w:szCs w:val="22"/>
              </w:rPr>
              <w:t>tiene como parte fundamental de sus competencias, a</w:t>
            </w:r>
            <w:r w:rsidR="0090207C" w:rsidRPr="00E4628E">
              <w:rPr>
                <w:sz w:val="22"/>
                <w:szCs w:val="22"/>
              </w:rPr>
              <w:t>ctuar en procura de la aplicabilidad y perfeccionamiento del ordenamiento jurídico relacionado con el Sector Telecomunicaciones, velando porque las actuaciones del Viceministerio de Telecomunicaciones y de sus Direcciones sean conformes con dicho ordenamiento, particularmente en los asuntos estratégicos relaciona</w:t>
            </w:r>
            <w:r w:rsidRPr="00E4628E">
              <w:rPr>
                <w:sz w:val="22"/>
                <w:szCs w:val="22"/>
              </w:rPr>
              <w:t xml:space="preserve">dos con la Rectoría del Sector.  </w:t>
            </w:r>
            <w:r w:rsidR="00A22907" w:rsidRPr="00E4628E">
              <w:rPr>
                <w:sz w:val="22"/>
                <w:szCs w:val="22"/>
              </w:rPr>
              <w:t>Debido a</w:t>
            </w:r>
            <w:r w:rsidRPr="00E4628E">
              <w:rPr>
                <w:sz w:val="22"/>
                <w:szCs w:val="22"/>
              </w:rPr>
              <w:t xml:space="preserve"> ello</w:t>
            </w:r>
            <w:r w:rsidR="0090207C" w:rsidRPr="00E4628E">
              <w:rPr>
                <w:sz w:val="22"/>
                <w:szCs w:val="22"/>
              </w:rPr>
              <w:t xml:space="preserve">, </w:t>
            </w:r>
            <w:r w:rsidR="00BF55FA" w:rsidRPr="00E4628E">
              <w:rPr>
                <w:sz w:val="22"/>
                <w:szCs w:val="22"/>
              </w:rPr>
              <w:t xml:space="preserve">y de conformidad con las competencias y funciones </w:t>
            </w:r>
            <w:r w:rsidR="00BF55FA" w:rsidRPr="00E4628E">
              <w:rPr>
                <w:sz w:val="22"/>
                <w:szCs w:val="22"/>
              </w:rPr>
              <w:lastRenderedPageBreak/>
              <w:t>asignadas en los artículos 2</w:t>
            </w:r>
            <w:r w:rsidR="00AA1AFB" w:rsidRPr="00E4628E">
              <w:rPr>
                <w:sz w:val="22"/>
                <w:szCs w:val="22"/>
              </w:rPr>
              <w:t>1, 22</w:t>
            </w:r>
            <w:r w:rsidR="00BF55FA" w:rsidRPr="00E4628E">
              <w:rPr>
                <w:sz w:val="22"/>
                <w:szCs w:val="22"/>
              </w:rPr>
              <w:t xml:space="preserve"> y 2</w:t>
            </w:r>
            <w:r w:rsidR="00AA1AFB" w:rsidRPr="00E4628E">
              <w:rPr>
                <w:sz w:val="22"/>
                <w:szCs w:val="22"/>
              </w:rPr>
              <w:t>3</w:t>
            </w:r>
            <w:r w:rsidR="00BF55FA" w:rsidRPr="00E4628E">
              <w:rPr>
                <w:sz w:val="22"/>
                <w:szCs w:val="22"/>
              </w:rPr>
              <w:t xml:space="preserve"> del Decreto Ejecutivo N° 38166-MICITT, </w:t>
            </w:r>
            <w:r w:rsidR="00BF55FA" w:rsidRPr="00E4628E">
              <w:rPr>
                <w:i/>
                <w:sz w:val="22"/>
                <w:szCs w:val="22"/>
              </w:rPr>
              <w:t>“Reglamento de organización de las áreas que dependen de Viceministro (a) de Telecomunicaciones del Ministerio de Ciencia, Tecnología y Telecomunicaciones”</w:t>
            </w:r>
            <w:r w:rsidR="00BF55FA" w:rsidRPr="00E4628E">
              <w:rPr>
                <w:sz w:val="22"/>
                <w:szCs w:val="22"/>
              </w:rPr>
              <w:t xml:space="preserve">, publicado en el Diario Oficial La Gaceta N° 29 de fecha 11 de febrero de 2014, </w:t>
            </w:r>
            <w:r w:rsidR="0090207C" w:rsidRPr="00E4628E">
              <w:rPr>
                <w:sz w:val="22"/>
                <w:szCs w:val="22"/>
              </w:rPr>
              <w:t>es que se procede a rendir el informe solicitado.</w:t>
            </w:r>
          </w:p>
          <w:p w14:paraId="1EE84FBC" w14:textId="77777777" w:rsidR="000B7343" w:rsidRPr="00E4628E" w:rsidRDefault="000B7343" w:rsidP="00E4628E">
            <w:pPr>
              <w:spacing w:line="276" w:lineRule="auto"/>
              <w:rPr>
                <w:sz w:val="22"/>
                <w:szCs w:val="22"/>
              </w:rPr>
            </w:pPr>
          </w:p>
          <w:p w14:paraId="5147958B" w14:textId="77777777" w:rsidR="0090207C" w:rsidRPr="00E4628E" w:rsidRDefault="0090207C" w:rsidP="00E4628E">
            <w:pPr>
              <w:pStyle w:val="Prrafodelista"/>
              <w:numPr>
                <w:ilvl w:val="0"/>
                <w:numId w:val="1"/>
              </w:numPr>
              <w:autoSpaceDE/>
              <w:autoSpaceDN/>
              <w:spacing w:after="200" w:line="276" w:lineRule="auto"/>
              <w:contextualSpacing/>
              <w:rPr>
                <w:b/>
                <w:sz w:val="22"/>
                <w:szCs w:val="22"/>
              </w:rPr>
            </w:pPr>
            <w:r w:rsidRPr="00E4628E">
              <w:rPr>
                <w:b/>
                <w:caps/>
                <w:sz w:val="22"/>
                <w:szCs w:val="22"/>
              </w:rPr>
              <w:t>Antecedentes.</w:t>
            </w:r>
          </w:p>
          <w:p w14:paraId="4240E2D1" w14:textId="4F2A7391" w:rsidR="0090207C" w:rsidRPr="00BC46F4" w:rsidRDefault="00464E5D" w:rsidP="00E4628E">
            <w:pPr>
              <w:autoSpaceDE/>
              <w:autoSpaceDN/>
              <w:spacing w:line="276" w:lineRule="auto"/>
              <w:jc w:val="both"/>
              <w:rPr>
                <w:sz w:val="22"/>
                <w:szCs w:val="22"/>
              </w:rPr>
            </w:pPr>
            <w:r w:rsidRPr="00E4628E">
              <w:rPr>
                <w:sz w:val="22"/>
                <w:szCs w:val="22"/>
                <w:lang w:val="es-CR" w:eastAsia="es-CR"/>
              </w:rPr>
              <w:t xml:space="preserve">De conformidad con la solicitud presentada por </w:t>
            </w:r>
            <w:r w:rsidR="00FC0156" w:rsidRPr="00E4628E">
              <w:rPr>
                <w:sz w:val="22"/>
                <w:szCs w:val="22"/>
                <w:lang w:val="es-CR" w:eastAsia="es-CR"/>
              </w:rPr>
              <w:t xml:space="preserve">el </w:t>
            </w:r>
            <w:r w:rsidR="00E50609" w:rsidRPr="00E4628E">
              <w:rPr>
                <w:sz w:val="22"/>
                <w:szCs w:val="22"/>
                <w:lang w:val="es-CR" w:eastAsia="es-CR"/>
              </w:rPr>
              <w:t xml:space="preserve">señor </w:t>
            </w:r>
            <w:r w:rsidR="00746F4F">
              <w:rPr>
                <w:sz w:val="22"/>
                <w:szCs w:val="22"/>
                <w:lang w:val="es-CR" w:eastAsia="es-CR"/>
              </w:rPr>
              <w:t>Jing Wang</w:t>
            </w:r>
            <w:r w:rsidR="00AA1AFB" w:rsidRPr="00E4628E">
              <w:rPr>
                <w:sz w:val="22"/>
                <w:szCs w:val="22"/>
                <w:lang w:val="es-CR" w:eastAsia="es-CR"/>
              </w:rPr>
              <w:t>,</w:t>
            </w:r>
            <w:r w:rsidR="00E50609" w:rsidRPr="00E4628E">
              <w:rPr>
                <w:sz w:val="22"/>
                <w:szCs w:val="22"/>
                <w:lang w:val="es-CR" w:eastAsia="es-CR"/>
              </w:rPr>
              <w:t xml:space="preserve"> </w:t>
            </w:r>
            <w:r w:rsidR="00CC6D77" w:rsidRPr="00E4628E">
              <w:rPr>
                <w:sz w:val="22"/>
                <w:szCs w:val="22"/>
                <w:lang w:val="es-CR" w:eastAsia="es-CR"/>
              </w:rPr>
              <w:t>Jefe</w:t>
            </w:r>
            <w:r w:rsidR="00066041">
              <w:rPr>
                <w:sz w:val="22"/>
                <w:szCs w:val="22"/>
                <w:lang w:val="es-CR" w:eastAsia="es-CR"/>
              </w:rPr>
              <w:t xml:space="preserve"> </w:t>
            </w:r>
            <w:r w:rsidR="00CC6D77" w:rsidRPr="00E4628E">
              <w:rPr>
                <w:sz w:val="22"/>
                <w:szCs w:val="22"/>
                <w:lang w:val="es-CR" w:eastAsia="es-CR"/>
              </w:rPr>
              <w:t xml:space="preserve">de la División de Notificación y Planes de </w:t>
            </w:r>
            <w:r w:rsidR="00E50609" w:rsidRPr="00E4628E">
              <w:rPr>
                <w:sz w:val="22"/>
                <w:szCs w:val="22"/>
                <w:lang w:val="es-CR" w:eastAsia="es-CR"/>
              </w:rPr>
              <w:t xml:space="preserve">Servicios Espaciales del </w:t>
            </w:r>
            <w:r w:rsidR="00FC0156" w:rsidRPr="00E4628E">
              <w:rPr>
                <w:sz w:val="22"/>
                <w:szCs w:val="22"/>
                <w:lang w:val="es-CR" w:eastAsia="es-CR"/>
              </w:rPr>
              <w:t>Departamento de Servicios Espaciales de la Unión Internacional de Telecomunicaciones (</w:t>
            </w:r>
            <w:r w:rsidR="00592605">
              <w:rPr>
                <w:sz w:val="22"/>
                <w:szCs w:val="22"/>
                <w:lang w:val="es-CR" w:eastAsia="es-CR"/>
              </w:rPr>
              <w:t xml:space="preserve">en adelante podrá abreviarse como </w:t>
            </w:r>
            <w:r w:rsidR="00FC0156" w:rsidRPr="00E4628E">
              <w:rPr>
                <w:sz w:val="22"/>
                <w:szCs w:val="22"/>
                <w:lang w:val="es-CR" w:eastAsia="es-CR"/>
              </w:rPr>
              <w:t>UIT)</w:t>
            </w:r>
            <w:r w:rsidR="00FA355A" w:rsidRPr="00E4628E">
              <w:rPr>
                <w:sz w:val="22"/>
                <w:szCs w:val="22"/>
                <w:lang w:val="es-CR" w:eastAsia="es-CR"/>
              </w:rPr>
              <w:t xml:space="preserve"> </w:t>
            </w:r>
            <w:bookmarkStart w:id="2" w:name="_Hlk515884228"/>
            <w:r w:rsidR="00FA355A" w:rsidRPr="00E4628E">
              <w:rPr>
                <w:sz w:val="22"/>
                <w:szCs w:val="22"/>
                <w:lang w:val="es-CR" w:eastAsia="es-CR"/>
              </w:rPr>
              <w:t>mediante oficio</w:t>
            </w:r>
            <w:r w:rsidR="00746F4F">
              <w:rPr>
                <w:sz w:val="22"/>
                <w:szCs w:val="22"/>
                <w:lang w:val="es-CR" w:eastAsia="es-CR"/>
              </w:rPr>
              <w:t xml:space="preserve"> </w:t>
            </w:r>
            <w:r w:rsidR="00FA355A" w:rsidRPr="00E4628E">
              <w:rPr>
                <w:sz w:val="22"/>
                <w:szCs w:val="22"/>
                <w:lang w:val="es-CR" w:eastAsia="es-CR"/>
              </w:rPr>
              <w:t>N° 30B (SNP) O-</w:t>
            </w:r>
            <w:r w:rsidR="00F820B7" w:rsidRPr="00E4628E">
              <w:rPr>
                <w:sz w:val="22"/>
                <w:szCs w:val="22"/>
                <w:lang w:val="es-CR" w:eastAsia="es-CR"/>
              </w:rPr>
              <w:t>2018-</w:t>
            </w:r>
            <w:r w:rsidR="00746F4F">
              <w:rPr>
                <w:sz w:val="22"/>
                <w:szCs w:val="22"/>
                <w:lang w:val="es-CR" w:eastAsia="es-CR"/>
              </w:rPr>
              <w:t>003</w:t>
            </w:r>
            <w:r w:rsidR="00FE6161">
              <w:rPr>
                <w:sz w:val="22"/>
                <w:szCs w:val="22"/>
                <w:lang w:val="es-CR" w:eastAsia="es-CR"/>
              </w:rPr>
              <w:t>90</w:t>
            </w:r>
            <w:r w:rsidR="00746F4F">
              <w:rPr>
                <w:sz w:val="22"/>
                <w:szCs w:val="22"/>
                <w:lang w:val="es-CR" w:eastAsia="es-CR"/>
              </w:rPr>
              <w:t>6</w:t>
            </w:r>
            <w:r w:rsidR="00066041">
              <w:rPr>
                <w:sz w:val="22"/>
                <w:szCs w:val="22"/>
                <w:lang w:val="es-CR" w:eastAsia="es-CR"/>
              </w:rPr>
              <w:t xml:space="preserve"> </w:t>
            </w:r>
            <w:r w:rsidR="00F820B7" w:rsidRPr="00BC46F4">
              <w:rPr>
                <w:sz w:val="22"/>
                <w:szCs w:val="22"/>
                <w:lang w:val="es-CR" w:eastAsia="es-CR"/>
              </w:rPr>
              <w:t>de</w:t>
            </w:r>
            <w:r w:rsidR="00FA355A" w:rsidRPr="00BC46F4">
              <w:rPr>
                <w:sz w:val="22"/>
                <w:szCs w:val="22"/>
                <w:lang w:val="es-CR" w:eastAsia="es-CR"/>
              </w:rPr>
              <w:t xml:space="preserve"> fecha </w:t>
            </w:r>
            <w:r w:rsidR="00FE6161">
              <w:rPr>
                <w:sz w:val="22"/>
                <w:szCs w:val="22"/>
                <w:lang w:val="es-CR" w:eastAsia="es-CR"/>
              </w:rPr>
              <w:t>16</w:t>
            </w:r>
            <w:r w:rsidR="00746F4F">
              <w:rPr>
                <w:sz w:val="22"/>
                <w:szCs w:val="22"/>
                <w:lang w:val="es-CR" w:eastAsia="es-CR"/>
              </w:rPr>
              <w:t xml:space="preserve"> de octubre</w:t>
            </w:r>
            <w:r w:rsidR="00066041">
              <w:rPr>
                <w:sz w:val="22"/>
                <w:szCs w:val="22"/>
                <w:lang w:val="es-CR" w:eastAsia="es-CR"/>
              </w:rPr>
              <w:t xml:space="preserve"> </w:t>
            </w:r>
            <w:r w:rsidR="00FA355A" w:rsidRPr="00BC46F4">
              <w:rPr>
                <w:sz w:val="22"/>
                <w:szCs w:val="22"/>
                <w:lang w:val="es-CR" w:eastAsia="es-CR"/>
              </w:rPr>
              <w:t>de 201</w:t>
            </w:r>
            <w:r w:rsidR="00F820B7" w:rsidRPr="00BC46F4">
              <w:rPr>
                <w:sz w:val="22"/>
                <w:szCs w:val="22"/>
                <w:lang w:val="es-CR" w:eastAsia="es-CR"/>
              </w:rPr>
              <w:t>8</w:t>
            </w:r>
            <w:bookmarkEnd w:id="2"/>
            <w:r w:rsidR="00B14600" w:rsidRPr="00BC46F4">
              <w:rPr>
                <w:sz w:val="22"/>
                <w:szCs w:val="22"/>
                <w:lang w:val="es-CR" w:eastAsia="es-CR"/>
              </w:rPr>
              <w:t>,</w:t>
            </w:r>
            <w:r w:rsidR="00DB553C" w:rsidRPr="00BC46F4">
              <w:rPr>
                <w:sz w:val="22"/>
                <w:szCs w:val="22"/>
                <w:lang w:val="es-CR" w:eastAsia="es-CR"/>
              </w:rPr>
              <w:t xml:space="preserve"> </w:t>
            </w:r>
            <w:r w:rsidR="00B14600" w:rsidRPr="00BC46F4">
              <w:rPr>
                <w:sz w:val="22"/>
                <w:szCs w:val="22"/>
                <w:lang w:val="es-CR" w:eastAsia="es-CR"/>
              </w:rPr>
              <w:t xml:space="preserve">la </w:t>
            </w:r>
            <w:r w:rsidRPr="00BC46F4">
              <w:rPr>
                <w:sz w:val="22"/>
                <w:szCs w:val="22"/>
                <w:lang w:val="es-CR" w:eastAsia="es-CR"/>
              </w:rPr>
              <w:t>Director</w:t>
            </w:r>
            <w:r w:rsidR="00B14600" w:rsidRPr="00BC46F4">
              <w:rPr>
                <w:sz w:val="22"/>
                <w:szCs w:val="22"/>
                <w:lang w:val="es-CR" w:eastAsia="es-CR"/>
              </w:rPr>
              <w:t>a</w:t>
            </w:r>
            <w:r w:rsidR="00DB553C" w:rsidRPr="00BC46F4">
              <w:rPr>
                <w:sz w:val="22"/>
                <w:szCs w:val="22"/>
                <w:lang w:val="es-CR" w:eastAsia="es-CR"/>
              </w:rPr>
              <w:t xml:space="preserve"> </w:t>
            </w:r>
            <w:r w:rsidR="00BD475D" w:rsidRPr="00BC46F4">
              <w:rPr>
                <w:sz w:val="22"/>
                <w:szCs w:val="22"/>
                <w:lang w:val="es-CR" w:eastAsia="es-CR"/>
              </w:rPr>
              <w:t xml:space="preserve">de </w:t>
            </w:r>
            <w:r w:rsidR="00DB553C" w:rsidRPr="00BC46F4">
              <w:rPr>
                <w:sz w:val="22"/>
                <w:szCs w:val="22"/>
                <w:lang w:val="es-CR" w:eastAsia="es-CR"/>
              </w:rPr>
              <w:t>Concesiones y Normas en Telecomunicaciones</w:t>
            </w:r>
            <w:r w:rsidRPr="00BC46F4">
              <w:rPr>
                <w:sz w:val="22"/>
                <w:szCs w:val="22"/>
                <w:lang w:val="es-CR" w:eastAsia="es-CR"/>
              </w:rPr>
              <w:t xml:space="preserve"> </w:t>
            </w:r>
            <w:r w:rsidR="00BF55FA" w:rsidRPr="00BC46F4">
              <w:rPr>
                <w:sz w:val="22"/>
                <w:szCs w:val="22"/>
                <w:lang w:val="es-CR" w:eastAsia="es-CR"/>
              </w:rPr>
              <w:t xml:space="preserve">(en adelante pudiendo abreviarse como DCNT), </w:t>
            </w:r>
            <w:r w:rsidRPr="00BC46F4">
              <w:rPr>
                <w:sz w:val="22"/>
                <w:szCs w:val="22"/>
                <w:lang w:val="es-CR" w:eastAsia="es-CR"/>
              </w:rPr>
              <w:t>solicitó la elaboración del correspondiente informe técnico legal sobre el tema</w:t>
            </w:r>
            <w:r w:rsidR="00302047" w:rsidRPr="00BC46F4">
              <w:rPr>
                <w:sz w:val="22"/>
                <w:szCs w:val="22"/>
                <w:lang w:val="es-CR" w:eastAsia="es-CR"/>
              </w:rPr>
              <w:t>,</w:t>
            </w:r>
            <w:r w:rsidR="00CE07F8" w:rsidRPr="00BC46F4">
              <w:rPr>
                <w:sz w:val="22"/>
                <w:szCs w:val="22"/>
                <w:lang w:val="es-CR" w:eastAsia="es-CR"/>
              </w:rPr>
              <w:t xml:space="preserve"> como parte del proceso </w:t>
            </w:r>
            <w:r w:rsidR="0090207C" w:rsidRPr="00BC46F4">
              <w:rPr>
                <w:sz w:val="22"/>
                <w:szCs w:val="22"/>
                <w:lang w:val="es-CR" w:eastAsia="es-CR"/>
              </w:rPr>
              <w:t>para pod</w:t>
            </w:r>
            <w:r w:rsidR="00BD475D" w:rsidRPr="00BC46F4">
              <w:rPr>
                <w:sz w:val="22"/>
                <w:szCs w:val="22"/>
                <w:lang w:val="es-CR" w:eastAsia="es-CR"/>
              </w:rPr>
              <w:t>er brindar la respuesta oficial a dicha solicitud</w:t>
            </w:r>
            <w:r w:rsidR="00DD160F" w:rsidRPr="00BC46F4">
              <w:rPr>
                <w:sz w:val="22"/>
                <w:szCs w:val="22"/>
                <w:lang w:val="es-CR" w:eastAsia="es-CR"/>
              </w:rPr>
              <w:t>.</w:t>
            </w:r>
            <w:r w:rsidR="00FE6161">
              <w:rPr>
                <w:sz w:val="22"/>
                <w:szCs w:val="22"/>
                <w:lang w:val="es-CR" w:eastAsia="es-CR"/>
              </w:rPr>
              <w:t xml:space="preserve"> </w:t>
            </w:r>
          </w:p>
          <w:p w14:paraId="4E4A464A" w14:textId="77777777" w:rsidR="0090207C" w:rsidRPr="00BC46F4" w:rsidRDefault="0090207C" w:rsidP="00E4628E">
            <w:pPr>
              <w:spacing w:line="276" w:lineRule="auto"/>
              <w:rPr>
                <w:sz w:val="22"/>
                <w:szCs w:val="22"/>
              </w:rPr>
            </w:pPr>
          </w:p>
          <w:p w14:paraId="127760F9" w14:textId="77777777" w:rsidR="0090207C" w:rsidRPr="00BC46F4" w:rsidRDefault="0090207C" w:rsidP="00E4628E">
            <w:pPr>
              <w:pStyle w:val="Prrafodelista"/>
              <w:numPr>
                <w:ilvl w:val="0"/>
                <w:numId w:val="1"/>
              </w:numPr>
              <w:autoSpaceDE/>
              <w:autoSpaceDN/>
              <w:spacing w:after="200" w:line="276" w:lineRule="auto"/>
              <w:contextualSpacing/>
              <w:rPr>
                <w:sz w:val="22"/>
                <w:szCs w:val="22"/>
              </w:rPr>
            </w:pPr>
            <w:r w:rsidRPr="00BC46F4">
              <w:rPr>
                <w:b/>
                <w:caps/>
                <w:sz w:val="22"/>
                <w:szCs w:val="22"/>
              </w:rPr>
              <w:t xml:space="preserve">ANÁLISIS de fondo. </w:t>
            </w:r>
          </w:p>
          <w:p w14:paraId="2BC3E9D9" w14:textId="23B7E58C" w:rsidR="0090207C" w:rsidRPr="00BC46F4" w:rsidRDefault="0090207C" w:rsidP="00E4628E">
            <w:pPr>
              <w:spacing w:line="276" w:lineRule="auto"/>
              <w:jc w:val="both"/>
              <w:rPr>
                <w:b/>
                <w:sz w:val="22"/>
                <w:szCs w:val="22"/>
              </w:rPr>
            </w:pPr>
            <w:r w:rsidRPr="00BC46F4">
              <w:rPr>
                <w:sz w:val="22"/>
                <w:szCs w:val="22"/>
              </w:rPr>
              <w:t>Para la elaboración</w:t>
            </w:r>
            <w:r w:rsidR="00DD160F" w:rsidRPr="00BC46F4">
              <w:rPr>
                <w:sz w:val="22"/>
                <w:szCs w:val="22"/>
              </w:rPr>
              <w:t xml:space="preserve"> del informe técnico solicitado</w:t>
            </w:r>
            <w:r w:rsidRPr="00BC46F4">
              <w:rPr>
                <w:sz w:val="22"/>
                <w:szCs w:val="22"/>
              </w:rPr>
              <w:t>, se anal</w:t>
            </w:r>
            <w:r w:rsidR="00BD475D" w:rsidRPr="00BC46F4">
              <w:rPr>
                <w:sz w:val="22"/>
                <w:szCs w:val="22"/>
              </w:rPr>
              <w:t>izará desde la óptica jurídica la solicitud de Acuerdo para incluir</w:t>
            </w:r>
            <w:r w:rsidR="005F0568">
              <w:rPr>
                <w:sz w:val="22"/>
                <w:szCs w:val="22"/>
              </w:rPr>
              <w:t xml:space="preserve"> a la Administración Costarricense</w:t>
            </w:r>
            <w:r w:rsidR="00BD475D" w:rsidRPr="00BC46F4">
              <w:rPr>
                <w:sz w:val="22"/>
                <w:szCs w:val="22"/>
              </w:rPr>
              <w:t xml:space="preserve"> en el área de servicio </w:t>
            </w:r>
            <w:r w:rsidR="00FC0156" w:rsidRPr="00BC46F4">
              <w:rPr>
                <w:sz w:val="22"/>
                <w:szCs w:val="22"/>
              </w:rPr>
              <w:t>de l</w:t>
            </w:r>
            <w:r w:rsidR="008B1717">
              <w:rPr>
                <w:sz w:val="22"/>
                <w:szCs w:val="22"/>
              </w:rPr>
              <w:t>a</w:t>
            </w:r>
            <w:r w:rsidR="00FC0156" w:rsidRPr="00BC46F4">
              <w:rPr>
                <w:sz w:val="22"/>
                <w:szCs w:val="22"/>
              </w:rPr>
              <w:t xml:space="preserve"> Red</w:t>
            </w:r>
            <w:r w:rsidR="008B1717">
              <w:rPr>
                <w:sz w:val="22"/>
                <w:szCs w:val="22"/>
              </w:rPr>
              <w:t xml:space="preserve"> </w:t>
            </w:r>
            <w:r w:rsidR="00BD475D" w:rsidRPr="00BC46F4">
              <w:rPr>
                <w:sz w:val="22"/>
                <w:szCs w:val="22"/>
              </w:rPr>
              <w:t>Satelita</w:t>
            </w:r>
            <w:bookmarkStart w:id="3" w:name="_Hlk515884267"/>
            <w:r w:rsidR="008B1717">
              <w:rPr>
                <w:sz w:val="22"/>
                <w:szCs w:val="22"/>
              </w:rPr>
              <w:t xml:space="preserve">l denominada </w:t>
            </w:r>
            <w:bookmarkEnd w:id="3"/>
            <w:r w:rsidR="002C46D1">
              <w:rPr>
                <w:sz w:val="22"/>
                <w:szCs w:val="22"/>
              </w:rPr>
              <w:t>NSS-FSS-G3 22W, NSS-FSS-137W Y NSS-FSS-105 W-2</w:t>
            </w:r>
            <w:r w:rsidR="008B1717">
              <w:rPr>
                <w:sz w:val="22"/>
                <w:szCs w:val="22"/>
              </w:rPr>
              <w:t>anexa a la BR IFIC N°</w:t>
            </w:r>
            <w:r w:rsidR="00B27713">
              <w:rPr>
                <w:sz w:val="22"/>
                <w:szCs w:val="22"/>
              </w:rPr>
              <w:t xml:space="preserve"> 288</w:t>
            </w:r>
            <w:r w:rsidR="00FE6161">
              <w:rPr>
                <w:sz w:val="22"/>
                <w:szCs w:val="22"/>
              </w:rPr>
              <w:t>1</w:t>
            </w:r>
            <w:r w:rsidR="00B27713">
              <w:rPr>
                <w:sz w:val="22"/>
                <w:szCs w:val="22"/>
              </w:rPr>
              <w:t xml:space="preserve"> de fecha </w:t>
            </w:r>
            <w:r w:rsidR="00FE6161">
              <w:rPr>
                <w:sz w:val="22"/>
                <w:szCs w:val="22"/>
              </w:rPr>
              <w:t>16</w:t>
            </w:r>
            <w:r w:rsidR="00B27713">
              <w:rPr>
                <w:sz w:val="22"/>
                <w:szCs w:val="22"/>
              </w:rPr>
              <w:t xml:space="preserve"> de octubre de 2018</w:t>
            </w:r>
            <w:r w:rsidR="005F0568">
              <w:rPr>
                <w:sz w:val="22"/>
                <w:szCs w:val="22"/>
              </w:rPr>
              <w:t>,</w:t>
            </w:r>
            <w:r w:rsidRPr="00BC46F4">
              <w:rPr>
                <w:sz w:val="22"/>
                <w:szCs w:val="22"/>
              </w:rPr>
              <w:t xml:space="preserve"> así como el </w:t>
            </w:r>
            <w:r w:rsidR="00BD475D" w:rsidRPr="00BC46F4">
              <w:rPr>
                <w:sz w:val="22"/>
                <w:szCs w:val="22"/>
              </w:rPr>
              <w:t>memorándum</w:t>
            </w:r>
            <w:r w:rsidR="000D07F9" w:rsidRPr="00BC46F4">
              <w:rPr>
                <w:sz w:val="22"/>
                <w:szCs w:val="22"/>
              </w:rPr>
              <w:t xml:space="preserve"> </w:t>
            </w:r>
            <w:r w:rsidR="0011506F" w:rsidRPr="00BC46F4">
              <w:rPr>
                <w:sz w:val="22"/>
                <w:szCs w:val="22"/>
              </w:rPr>
              <w:t xml:space="preserve">Nº </w:t>
            </w:r>
            <w:r w:rsidR="006B0B4D" w:rsidRPr="00BC46F4">
              <w:rPr>
                <w:sz w:val="22"/>
                <w:szCs w:val="22"/>
              </w:rPr>
              <w:t>MICITT-</w:t>
            </w:r>
            <w:r w:rsidR="00DD160F" w:rsidRPr="00BC46F4">
              <w:rPr>
                <w:sz w:val="22"/>
                <w:szCs w:val="22"/>
              </w:rPr>
              <w:t>DERRT-</w:t>
            </w:r>
            <w:r w:rsidR="00AA1AFB" w:rsidRPr="00BC46F4">
              <w:rPr>
                <w:sz w:val="22"/>
                <w:szCs w:val="22"/>
              </w:rPr>
              <w:t>DAER-</w:t>
            </w:r>
            <w:r w:rsidR="008D3D21" w:rsidRPr="00BC46F4">
              <w:rPr>
                <w:sz w:val="22"/>
                <w:szCs w:val="22"/>
              </w:rPr>
              <w:t>MEMO-</w:t>
            </w:r>
            <w:r w:rsidR="00B27713">
              <w:rPr>
                <w:sz w:val="22"/>
                <w:szCs w:val="22"/>
              </w:rPr>
              <w:t>1</w:t>
            </w:r>
            <w:r w:rsidR="00FE6161">
              <w:rPr>
                <w:sz w:val="22"/>
                <w:szCs w:val="22"/>
              </w:rPr>
              <w:t>83</w:t>
            </w:r>
            <w:r w:rsidR="006B0B4D" w:rsidRPr="00BC46F4">
              <w:rPr>
                <w:sz w:val="22"/>
                <w:szCs w:val="22"/>
              </w:rPr>
              <w:t>-201</w:t>
            </w:r>
            <w:r w:rsidR="002B113B" w:rsidRPr="00BC46F4">
              <w:rPr>
                <w:sz w:val="22"/>
                <w:szCs w:val="22"/>
              </w:rPr>
              <w:t>8</w:t>
            </w:r>
            <w:r w:rsidR="00BD475D" w:rsidRPr="00BC46F4">
              <w:rPr>
                <w:sz w:val="22"/>
                <w:szCs w:val="22"/>
              </w:rPr>
              <w:t xml:space="preserve">, </w:t>
            </w:r>
            <w:r w:rsidR="00BF55FA" w:rsidRPr="00BC46F4">
              <w:rPr>
                <w:sz w:val="22"/>
                <w:szCs w:val="22"/>
              </w:rPr>
              <w:t xml:space="preserve">de fecha </w:t>
            </w:r>
            <w:r w:rsidR="005F0568">
              <w:rPr>
                <w:sz w:val="22"/>
                <w:szCs w:val="22"/>
              </w:rPr>
              <w:t>1</w:t>
            </w:r>
            <w:r w:rsidR="00FE6161">
              <w:rPr>
                <w:sz w:val="22"/>
                <w:szCs w:val="22"/>
              </w:rPr>
              <w:t>9</w:t>
            </w:r>
            <w:r w:rsidR="005F0568">
              <w:rPr>
                <w:sz w:val="22"/>
                <w:szCs w:val="22"/>
              </w:rPr>
              <w:t xml:space="preserve"> </w:t>
            </w:r>
            <w:r w:rsidR="002130A6" w:rsidRPr="00BC46F4">
              <w:rPr>
                <w:sz w:val="22"/>
                <w:szCs w:val="22"/>
              </w:rPr>
              <w:t xml:space="preserve">de </w:t>
            </w:r>
            <w:r w:rsidR="00B27713">
              <w:rPr>
                <w:sz w:val="22"/>
                <w:szCs w:val="22"/>
              </w:rPr>
              <w:t>octubre</w:t>
            </w:r>
            <w:r w:rsidR="00AD79EC" w:rsidRPr="00BC46F4">
              <w:rPr>
                <w:sz w:val="22"/>
                <w:szCs w:val="22"/>
              </w:rPr>
              <w:t xml:space="preserve"> </w:t>
            </w:r>
            <w:r w:rsidR="002130A6" w:rsidRPr="00BC46F4">
              <w:rPr>
                <w:sz w:val="22"/>
                <w:szCs w:val="22"/>
              </w:rPr>
              <w:t>de 2018</w:t>
            </w:r>
            <w:r w:rsidR="00BF55FA" w:rsidRPr="00BC46F4">
              <w:rPr>
                <w:sz w:val="22"/>
                <w:szCs w:val="22"/>
              </w:rPr>
              <w:t xml:space="preserve"> </w:t>
            </w:r>
            <w:r w:rsidRPr="00BC46F4">
              <w:rPr>
                <w:sz w:val="22"/>
                <w:szCs w:val="22"/>
              </w:rPr>
              <w:t>de</w:t>
            </w:r>
            <w:r w:rsidR="00AA1AFB" w:rsidRPr="00BC46F4">
              <w:rPr>
                <w:sz w:val="22"/>
                <w:szCs w:val="22"/>
              </w:rPr>
              <w:t>l Departamento de Administración del Espectro Radioeléctrico (en adelante podrá abreviarse como DAER) de</w:t>
            </w:r>
            <w:r w:rsidRPr="00BC46F4">
              <w:rPr>
                <w:sz w:val="22"/>
                <w:szCs w:val="22"/>
              </w:rPr>
              <w:t xml:space="preserve"> la </w:t>
            </w:r>
            <w:r w:rsidR="00DD160F" w:rsidRPr="00BC46F4">
              <w:rPr>
                <w:sz w:val="22"/>
                <w:szCs w:val="22"/>
              </w:rPr>
              <w:t>Dirección de E</w:t>
            </w:r>
            <w:r w:rsidRPr="00BC46F4">
              <w:rPr>
                <w:sz w:val="22"/>
                <w:szCs w:val="22"/>
              </w:rPr>
              <w:t>spectro Radioeléctrico</w:t>
            </w:r>
            <w:r w:rsidR="009D33DF" w:rsidRPr="00BC46F4">
              <w:rPr>
                <w:sz w:val="22"/>
                <w:szCs w:val="22"/>
              </w:rPr>
              <w:t xml:space="preserve"> y Redes de Telecomunicaciones</w:t>
            </w:r>
            <w:r w:rsidR="00BF55FA" w:rsidRPr="00BC46F4">
              <w:rPr>
                <w:sz w:val="22"/>
                <w:szCs w:val="22"/>
              </w:rPr>
              <w:t xml:space="preserve"> (en adelante podrá abreviarse como DERRT)</w:t>
            </w:r>
            <w:r w:rsidRPr="00BC46F4">
              <w:rPr>
                <w:sz w:val="22"/>
                <w:szCs w:val="22"/>
              </w:rPr>
              <w:t>, con el fin de determin</w:t>
            </w:r>
            <w:r w:rsidR="006B0B4D" w:rsidRPr="00BC46F4">
              <w:rPr>
                <w:sz w:val="22"/>
                <w:szCs w:val="22"/>
              </w:rPr>
              <w:t xml:space="preserve">ar la viabilidad de la petición </w:t>
            </w:r>
            <w:r w:rsidR="00DD160F" w:rsidRPr="00BC46F4">
              <w:rPr>
                <w:sz w:val="22"/>
                <w:szCs w:val="22"/>
              </w:rPr>
              <w:t xml:space="preserve">de la </w:t>
            </w:r>
            <w:r w:rsidR="00BF55FA" w:rsidRPr="00BC46F4">
              <w:rPr>
                <w:sz w:val="22"/>
                <w:szCs w:val="22"/>
              </w:rPr>
              <w:t>UIT</w:t>
            </w:r>
            <w:r w:rsidR="00F52C10">
              <w:rPr>
                <w:sz w:val="22"/>
                <w:szCs w:val="22"/>
              </w:rPr>
              <w:t>.</w:t>
            </w:r>
          </w:p>
        </w:tc>
      </w:tr>
    </w:tbl>
    <w:p w14:paraId="54B96AEB" w14:textId="5C715390" w:rsidR="00AD79EC" w:rsidRPr="00E4628E" w:rsidRDefault="00AD79EC" w:rsidP="00E4628E">
      <w:pPr>
        <w:autoSpaceDE/>
        <w:autoSpaceDN/>
        <w:spacing w:line="276" w:lineRule="auto"/>
        <w:ind w:left="360"/>
        <w:jc w:val="both"/>
        <w:rPr>
          <w:b/>
          <w:sz w:val="24"/>
          <w:szCs w:val="24"/>
        </w:rPr>
      </w:pPr>
    </w:p>
    <w:p w14:paraId="029FA57D" w14:textId="5A13A102" w:rsidR="00F32EEC" w:rsidRDefault="00F32EEC">
      <w:pPr>
        <w:autoSpaceDE/>
        <w:autoSpaceDN/>
        <w:rPr>
          <w:b/>
          <w:sz w:val="24"/>
          <w:szCs w:val="24"/>
        </w:rPr>
      </w:pPr>
      <w:r>
        <w:rPr>
          <w:b/>
          <w:sz w:val="24"/>
          <w:szCs w:val="24"/>
        </w:rPr>
        <w:br w:type="page"/>
      </w:r>
    </w:p>
    <w:p w14:paraId="04FD1CF3" w14:textId="7F34D3BD" w:rsidR="002A47CF" w:rsidRPr="00E4628E" w:rsidRDefault="0011506F" w:rsidP="00E4628E">
      <w:pPr>
        <w:pStyle w:val="Prrafodelista"/>
        <w:numPr>
          <w:ilvl w:val="0"/>
          <w:numId w:val="15"/>
        </w:numPr>
        <w:autoSpaceDE/>
        <w:autoSpaceDN/>
        <w:spacing w:line="276" w:lineRule="auto"/>
        <w:jc w:val="both"/>
        <w:rPr>
          <w:sz w:val="24"/>
          <w:szCs w:val="24"/>
        </w:rPr>
      </w:pPr>
      <w:r w:rsidRPr="00E4628E">
        <w:rPr>
          <w:b/>
          <w:sz w:val="24"/>
          <w:szCs w:val="24"/>
        </w:rPr>
        <w:lastRenderedPageBreak/>
        <w:t>D</w:t>
      </w:r>
      <w:r w:rsidR="00FC0156" w:rsidRPr="00E4628E">
        <w:rPr>
          <w:b/>
          <w:sz w:val="24"/>
          <w:szCs w:val="24"/>
        </w:rPr>
        <w:t>E</w:t>
      </w:r>
      <w:r w:rsidR="002C46D1">
        <w:rPr>
          <w:b/>
          <w:sz w:val="24"/>
          <w:szCs w:val="24"/>
        </w:rPr>
        <w:t xml:space="preserve"> </w:t>
      </w:r>
      <w:r w:rsidR="00592605">
        <w:rPr>
          <w:b/>
          <w:sz w:val="24"/>
          <w:szCs w:val="24"/>
        </w:rPr>
        <w:t>L</w:t>
      </w:r>
      <w:r w:rsidR="002C46D1">
        <w:rPr>
          <w:b/>
          <w:sz w:val="24"/>
          <w:szCs w:val="24"/>
        </w:rPr>
        <w:t>OS</w:t>
      </w:r>
      <w:r w:rsidR="00F32EEC">
        <w:rPr>
          <w:b/>
          <w:sz w:val="24"/>
          <w:szCs w:val="24"/>
        </w:rPr>
        <w:t xml:space="preserve"> </w:t>
      </w:r>
      <w:r w:rsidR="00FC0156" w:rsidRPr="00E4628E">
        <w:rPr>
          <w:b/>
          <w:sz w:val="24"/>
          <w:szCs w:val="24"/>
        </w:rPr>
        <w:t>OFICIO</w:t>
      </w:r>
      <w:r w:rsidR="002C46D1">
        <w:rPr>
          <w:b/>
          <w:sz w:val="24"/>
          <w:szCs w:val="24"/>
        </w:rPr>
        <w:t>S</w:t>
      </w:r>
      <w:r w:rsidR="00FC0156" w:rsidRPr="00E4628E">
        <w:rPr>
          <w:b/>
          <w:sz w:val="24"/>
          <w:szCs w:val="24"/>
        </w:rPr>
        <w:t xml:space="preserve"> N° </w:t>
      </w:r>
      <w:r w:rsidR="00C54379" w:rsidRPr="00E4628E">
        <w:rPr>
          <w:b/>
          <w:sz w:val="24"/>
          <w:szCs w:val="24"/>
        </w:rPr>
        <w:t>30B (SNP) O-201</w:t>
      </w:r>
      <w:r w:rsidR="00AD79EC" w:rsidRPr="00E4628E">
        <w:rPr>
          <w:b/>
          <w:sz w:val="24"/>
          <w:szCs w:val="24"/>
        </w:rPr>
        <w:t>8</w:t>
      </w:r>
      <w:r w:rsidR="00C54379" w:rsidRPr="00E4628E">
        <w:rPr>
          <w:b/>
          <w:sz w:val="24"/>
          <w:szCs w:val="24"/>
        </w:rPr>
        <w:t>-</w:t>
      </w:r>
      <w:r w:rsidR="00746F4F">
        <w:rPr>
          <w:b/>
          <w:sz w:val="24"/>
          <w:szCs w:val="24"/>
        </w:rPr>
        <w:t>003</w:t>
      </w:r>
      <w:r w:rsidR="00B03514">
        <w:rPr>
          <w:b/>
          <w:sz w:val="24"/>
          <w:szCs w:val="24"/>
        </w:rPr>
        <w:t>90</w:t>
      </w:r>
      <w:r w:rsidR="00746F4F">
        <w:rPr>
          <w:b/>
          <w:sz w:val="24"/>
          <w:szCs w:val="24"/>
        </w:rPr>
        <w:t>6</w:t>
      </w:r>
      <w:r w:rsidR="002C46D1">
        <w:rPr>
          <w:b/>
          <w:sz w:val="24"/>
          <w:szCs w:val="24"/>
        </w:rPr>
        <w:t xml:space="preserve">, </w:t>
      </w:r>
      <w:r w:rsidR="002C46D1" w:rsidRPr="00E4628E">
        <w:rPr>
          <w:b/>
          <w:sz w:val="24"/>
          <w:szCs w:val="24"/>
        </w:rPr>
        <w:t>30B (SNP) O-2018-</w:t>
      </w:r>
      <w:r w:rsidR="002C46D1">
        <w:rPr>
          <w:b/>
          <w:sz w:val="24"/>
          <w:szCs w:val="24"/>
        </w:rPr>
        <w:t xml:space="preserve">003891 Y </w:t>
      </w:r>
      <w:r w:rsidR="002C46D1" w:rsidRPr="00E4628E">
        <w:rPr>
          <w:b/>
          <w:sz w:val="24"/>
          <w:szCs w:val="24"/>
        </w:rPr>
        <w:t>30B (SNP) O-2018-</w:t>
      </w:r>
      <w:r w:rsidR="002C46D1">
        <w:rPr>
          <w:b/>
          <w:sz w:val="24"/>
          <w:szCs w:val="24"/>
        </w:rPr>
        <w:t>003890</w:t>
      </w:r>
      <w:r w:rsidR="00F32EEC">
        <w:rPr>
          <w:b/>
          <w:sz w:val="24"/>
          <w:szCs w:val="24"/>
        </w:rPr>
        <w:t xml:space="preserve"> </w:t>
      </w:r>
      <w:r w:rsidR="00FC0156" w:rsidRPr="00E4628E">
        <w:rPr>
          <w:b/>
          <w:sz w:val="24"/>
          <w:szCs w:val="24"/>
        </w:rPr>
        <w:t>DE</w:t>
      </w:r>
      <w:r w:rsidR="00C54379" w:rsidRPr="00E4628E">
        <w:rPr>
          <w:b/>
          <w:sz w:val="24"/>
          <w:szCs w:val="24"/>
        </w:rPr>
        <w:t xml:space="preserve"> </w:t>
      </w:r>
      <w:r w:rsidR="00FC0156" w:rsidRPr="00E4628E">
        <w:rPr>
          <w:b/>
          <w:sz w:val="24"/>
          <w:szCs w:val="24"/>
        </w:rPr>
        <w:t>L</w:t>
      </w:r>
      <w:r w:rsidR="00C54379" w:rsidRPr="00E4628E">
        <w:rPr>
          <w:b/>
          <w:sz w:val="24"/>
          <w:szCs w:val="24"/>
        </w:rPr>
        <w:t>A</w:t>
      </w:r>
      <w:r w:rsidR="00FC0156" w:rsidRPr="00E4628E">
        <w:rPr>
          <w:b/>
          <w:sz w:val="24"/>
          <w:szCs w:val="24"/>
        </w:rPr>
        <w:t xml:space="preserve"> </w:t>
      </w:r>
      <w:r w:rsidR="00B27713">
        <w:rPr>
          <w:b/>
          <w:sz w:val="24"/>
          <w:szCs w:val="24"/>
        </w:rPr>
        <w:t>OFICINA DE RADIOCOMUNICACIONES (BR)</w:t>
      </w:r>
      <w:r w:rsidR="00FC0156" w:rsidRPr="00E4628E">
        <w:rPr>
          <w:b/>
          <w:sz w:val="24"/>
          <w:szCs w:val="24"/>
        </w:rPr>
        <w:t xml:space="preserve"> DE LA UIT DE FECHA </w:t>
      </w:r>
      <w:r w:rsidR="00B03514">
        <w:rPr>
          <w:b/>
          <w:sz w:val="24"/>
          <w:szCs w:val="24"/>
        </w:rPr>
        <w:t>16</w:t>
      </w:r>
      <w:r w:rsidR="00F32EEC">
        <w:rPr>
          <w:b/>
          <w:sz w:val="24"/>
          <w:szCs w:val="24"/>
        </w:rPr>
        <w:t xml:space="preserve"> </w:t>
      </w:r>
      <w:r w:rsidR="00AD79EC" w:rsidRPr="00E4628E">
        <w:rPr>
          <w:b/>
          <w:sz w:val="24"/>
          <w:szCs w:val="24"/>
        </w:rPr>
        <w:t xml:space="preserve">DE </w:t>
      </w:r>
      <w:r w:rsidR="00B27713">
        <w:rPr>
          <w:b/>
          <w:sz w:val="24"/>
          <w:szCs w:val="24"/>
        </w:rPr>
        <w:t>OCTUBRE</w:t>
      </w:r>
      <w:r w:rsidR="00F32EEC">
        <w:rPr>
          <w:b/>
          <w:sz w:val="24"/>
          <w:szCs w:val="24"/>
        </w:rPr>
        <w:t xml:space="preserve"> </w:t>
      </w:r>
      <w:r w:rsidR="00AD79EC" w:rsidRPr="00E4628E">
        <w:rPr>
          <w:b/>
          <w:sz w:val="24"/>
          <w:szCs w:val="24"/>
        </w:rPr>
        <w:t>DE 2018.</w:t>
      </w:r>
    </w:p>
    <w:p w14:paraId="62184A60" w14:textId="77777777" w:rsidR="00411784" w:rsidRPr="00E4628E" w:rsidRDefault="00411784" w:rsidP="00E4628E">
      <w:pPr>
        <w:pStyle w:val="Prrafodelista"/>
        <w:autoSpaceDE/>
        <w:autoSpaceDN/>
        <w:spacing w:line="276" w:lineRule="auto"/>
        <w:ind w:left="720"/>
        <w:jc w:val="both"/>
        <w:rPr>
          <w:sz w:val="24"/>
          <w:szCs w:val="24"/>
        </w:rPr>
      </w:pPr>
    </w:p>
    <w:p w14:paraId="44CB0123" w14:textId="316616F9" w:rsidR="002A505F" w:rsidRPr="00E4628E" w:rsidRDefault="005F0568" w:rsidP="00E4628E">
      <w:pPr>
        <w:autoSpaceDE/>
        <w:autoSpaceDN/>
        <w:spacing w:after="200" w:line="276" w:lineRule="auto"/>
        <w:contextualSpacing/>
        <w:jc w:val="both"/>
        <w:rPr>
          <w:sz w:val="24"/>
          <w:szCs w:val="24"/>
        </w:rPr>
      </w:pPr>
      <w:r>
        <w:rPr>
          <w:sz w:val="24"/>
          <w:szCs w:val="24"/>
        </w:rPr>
        <w:t xml:space="preserve">En </w:t>
      </w:r>
      <w:r w:rsidR="002C46D1">
        <w:rPr>
          <w:sz w:val="24"/>
          <w:szCs w:val="24"/>
        </w:rPr>
        <w:t>los referidos oficios</w:t>
      </w:r>
      <w:r w:rsidR="009C35B8" w:rsidRPr="00E4628E">
        <w:rPr>
          <w:sz w:val="24"/>
          <w:szCs w:val="24"/>
        </w:rPr>
        <w:t xml:space="preserve">, </w:t>
      </w:r>
      <w:r w:rsidR="00D17F0D" w:rsidRPr="00E4628E">
        <w:rPr>
          <w:sz w:val="24"/>
          <w:szCs w:val="24"/>
        </w:rPr>
        <w:t xml:space="preserve">se indicó </w:t>
      </w:r>
      <w:r w:rsidR="00626A48" w:rsidRPr="00E4628E">
        <w:rPr>
          <w:sz w:val="24"/>
          <w:szCs w:val="24"/>
        </w:rPr>
        <w:t xml:space="preserve">que en relación con </w:t>
      </w:r>
      <w:r w:rsidR="00FC0156" w:rsidRPr="00E4628E">
        <w:rPr>
          <w:sz w:val="24"/>
          <w:szCs w:val="24"/>
        </w:rPr>
        <w:t>la</w:t>
      </w:r>
      <w:r w:rsidR="002C46D1">
        <w:rPr>
          <w:sz w:val="24"/>
          <w:szCs w:val="24"/>
        </w:rPr>
        <w:t>s</w:t>
      </w:r>
      <w:r w:rsidR="00441A3B">
        <w:rPr>
          <w:sz w:val="24"/>
          <w:szCs w:val="24"/>
        </w:rPr>
        <w:t xml:space="preserve"> </w:t>
      </w:r>
      <w:r w:rsidR="00FC0156" w:rsidRPr="00E4628E">
        <w:rPr>
          <w:sz w:val="24"/>
          <w:szCs w:val="24"/>
        </w:rPr>
        <w:t>Red</w:t>
      </w:r>
      <w:r w:rsidR="002C46D1">
        <w:rPr>
          <w:sz w:val="24"/>
          <w:szCs w:val="24"/>
        </w:rPr>
        <w:t>es</w:t>
      </w:r>
      <w:r w:rsidR="00441A3B">
        <w:rPr>
          <w:sz w:val="24"/>
          <w:szCs w:val="24"/>
        </w:rPr>
        <w:t xml:space="preserve"> </w:t>
      </w:r>
      <w:r w:rsidR="00FC0156" w:rsidRPr="00E4628E">
        <w:rPr>
          <w:sz w:val="24"/>
          <w:szCs w:val="24"/>
        </w:rPr>
        <w:t>Satelital</w:t>
      </w:r>
      <w:r w:rsidR="002C46D1">
        <w:rPr>
          <w:sz w:val="24"/>
          <w:szCs w:val="24"/>
        </w:rPr>
        <w:t>es</w:t>
      </w:r>
      <w:r w:rsidR="00441A3B">
        <w:rPr>
          <w:sz w:val="24"/>
          <w:szCs w:val="24"/>
        </w:rPr>
        <w:t xml:space="preserve"> denominada</w:t>
      </w:r>
      <w:r w:rsidR="002C46D1">
        <w:rPr>
          <w:sz w:val="24"/>
          <w:szCs w:val="24"/>
        </w:rPr>
        <w:t>s</w:t>
      </w:r>
      <w:r w:rsidR="004A0EAB" w:rsidRPr="00E4628E">
        <w:rPr>
          <w:sz w:val="24"/>
          <w:szCs w:val="24"/>
        </w:rPr>
        <w:t xml:space="preserve"> </w:t>
      </w:r>
      <w:r w:rsidR="002C46D1" w:rsidRPr="002C46D1">
        <w:rPr>
          <w:sz w:val="22"/>
          <w:szCs w:val="22"/>
        </w:rPr>
        <w:t>NSS-FSS-G3 22W, NSS-FSS-137W y NSS-FSS-105 W-2</w:t>
      </w:r>
      <w:r w:rsidR="00FC0156" w:rsidRPr="00E4628E">
        <w:rPr>
          <w:sz w:val="24"/>
          <w:szCs w:val="24"/>
        </w:rPr>
        <w:t xml:space="preserve">, </w:t>
      </w:r>
      <w:r w:rsidR="00A22907" w:rsidRPr="00E4628E">
        <w:rPr>
          <w:sz w:val="24"/>
          <w:szCs w:val="24"/>
        </w:rPr>
        <w:t>de acuerdo con</w:t>
      </w:r>
      <w:r w:rsidR="00FC0156" w:rsidRPr="00E4628E">
        <w:rPr>
          <w:sz w:val="24"/>
          <w:szCs w:val="24"/>
        </w:rPr>
        <w:t xml:space="preserve"> los resultados de los cálculos de la Oficina de Radiocomunicaciones mencionados en </w:t>
      </w:r>
      <w:r w:rsidR="00BF55FA" w:rsidRPr="00E4628E">
        <w:rPr>
          <w:sz w:val="24"/>
          <w:szCs w:val="24"/>
        </w:rPr>
        <w:t xml:space="preserve">los puntos </w:t>
      </w:r>
      <w:r w:rsidR="00FC0156" w:rsidRPr="00E4628E">
        <w:rPr>
          <w:sz w:val="24"/>
          <w:szCs w:val="24"/>
        </w:rPr>
        <w:t xml:space="preserve">6.5. y 6.6. del </w:t>
      </w:r>
      <w:r w:rsidR="00592605">
        <w:rPr>
          <w:sz w:val="24"/>
          <w:szCs w:val="24"/>
        </w:rPr>
        <w:t xml:space="preserve">artículo 6 del </w:t>
      </w:r>
      <w:r w:rsidR="00FC0156" w:rsidRPr="00E4628E">
        <w:rPr>
          <w:sz w:val="24"/>
          <w:szCs w:val="24"/>
        </w:rPr>
        <w:t xml:space="preserve">Apéndice 30B la Administración costarricense se encuentra identificada. Por lo que como </w:t>
      </w:r>
      <w:r w:rsidR="00AA1AFB" w:rsidRPr="00E4628E">
        <w:rPr>
          <w:sz w:val="24"/>
          <w:szCs w:val="24"/>
        </w:rPr>
        <w:t xml:space="preserve">está </w:t>
      </w:r>
      <w:r w:rsidR="00FC0156" w:rsidRPr="00E4628E">
        <w:rPr>
          <w:sz w:val="24"/>
          <w:szCs w:val="24"/>
        </w:rPr>
        <w:t>afectada</w:t>
      </w:r>
      <w:r w:rsidR="00BF55FA" w:rsidRPr="00E4628E">
        <w:rPr>
          <w:sz w:val="24"/>
          <w:szCs w:val="24"/>
        </w:rPr>
        <w:t xml:space="preserve"> por la irradiación de </w:t>
      </w:r>
      <w:r w:rsidR="00592605">
        <w:rPr>
          <w:sz w:val="24"/>
          <w:szCs w:val="24"/>
        </w:rPr>
        <w:t>é</w:t>
      </w:r>
      <w:r w:rsidR="003A4FC3">
        <w:rPr>
          <w:sz w:val="24"/>
          <w:szCs w:val="24"/>
        </w:rPr>
        <w:t>stos</w:t>
      </w:r>
      <w:r w:rsidR="00FC0156" w:rsidRPr="00E4628E">
        <w:rPr>
          <w:sz w:val="24"/>
          <w:szCs w:val="24"/>
        </w:rPr>
        <w:t>, con arreglo al punto 6.5. del Apéndice 30B</w:t>
      </w:r>
      <w:r w:rsidR="00AA1AFB" w:rsidRPr="00E4628E">
        <w:rPr>
          <w:sz w:val="24"/>
          <w:szCs w:val="24"/>
        </w:rPr>
        <w:t>,</w:t>
      </w:r>
      <w:r w:rsidR="00FC0156" w:rsidRPr="00E4628E">
        <w:rPr>
          <w:sz w:val="24"/>
          <w:szCs w:val="24"/>
        </w:rPr>
        <w:t xml:space="preserve"> se solicit</w:t>
      </w:r>
      <w:r w:rsidR="00F52C10">
        <w:rPr>
          <w:sz w:val="24"/>
          <w:szCs w:val="24"/>
        </w:rPr>
        <w:t>ó</w:t>
      </w:r>
      <w:r w:rsidR="00FC0156" w:rsidRPr="00E4628E">
        <w:rPr>
          <w:sz w:val="24"/>
          <w:szCs w:val="24"/>
        </w:rPr>
        <w:t xml:space="preserve"> a la Administración costarricense enviar los comentarios a la Oficina</w:t>
      </w:r>
      <w:r w:rsidR="002A505F" w:rsidRPr="00E4628E">
        <w:rPr>
          <w:sz w:val="24"/>
          <w:szCs w:val="24"/>
        </w:rPr>
        <w:t xml:space="preserve"> de </w:t>
      </w:r>
      <w:r w:rsidR="00BF55FA" w:rsidRPr="00E4628E">
        <w:rPr>
          <w:sz w:val="24"/>
          <w:szCs w:val="24"/>
        </w:rPr>
        <w:t>R</w:t>
      </w:r>
      <w:r w:rsidR="002A505F" w:rsidRPr="00E4628E">
        <w:rPr>
          <w:sz w:val="24"/>
          <w:szCs w:val="24"/>
        </w:rPr>
        <w:t>adiocomunicaciones y a la A</w:t>
      </w:r>
      <w:r w:rsidR="00FC0156" w:rsidRPr="00E4628E">
        <w:rPr>
          <w:sz w:val="24"/>
          <w:szCs w:val="24"/>
        </w:rPr>
        <w:t>dministración notificante</w:t>
      </w:r>
      <w:r w:rsidR="002A505F" w:rsidRPr="00E4628E">
        <w:rPr>
          <w:sz w:val="24"/>
          <w:szCs w:val="24"/>
        </w:rPr>
        <w:t xml:space="preserve"> (</w:t>
      </w:r>
      <w:r w:rsidR="00B03514">
        <w:rPr>
          <w:sz w:val="24"/>
          <w:szCs w:val="24"/>
        </w:rPr>
        <w:t>Holanda</w:t>
      </w:r>
      <w:r w:rsidR="002A505F" w:rsidRPr="00E4628E">
        <w:rPr>
          <w:sz w:val="24"/>
          <w:szCs w:val="24"/>
        </w:rPr>
        <w:t>)</w:t>
      </w:r>
      <w:r w:rsidR="00FC0156" w:rsidRPr="00E4628E">
        <w:rPr>
          <w:sz w:val="24"/>
          <w:szCs w:val="24"/>
        </w:rPr>
        <w:t xml:space="preserve"> en un plazo de cuatro meses</w:t>
      </w:r>
      <w:r w:rsidR="00626A48" w:rsidRPr="00E4628E">
        <w:rPr>
          <w:sz w:val="24"/>
          <w:szCs w:val="24"/>
        </w:rPr>
        <w:t xml:space="preserve">. </w:t>
      </w:r>
    </w:p>
    <w:p w14:paraId="69A5BF31" w14:textId="77777777" w:rsidR="002A505F" w:rsidRPr="00E4628E" w:rsidRDefault="002A505F" w:rsidP="00E4628E">
      <w:pPr>
        <w:autoSpaceDE/>
        <w:autoSpaceDN/>
        <w:spacing w:after="200" w:line="276" w:lineRule="auto"/>
        <w:contextualSpacing/>
        <w:jc w:val="both"/>
        <w:rPr>
          <w:sz w:val="24"/>
          <w:szCs w:val="24"/>
        </w:rPr>
      </w:pPr>
    </w:p>
    <w:p w14:paraId="73403C93" w14:textId="44F1A987" w:rsidR="00DD11F7" w:rsidRPr="00E4628E" w:rsidRDefault="000F4E1A" w:rsidP="00E4628E">
      <w:pPr>
        <w:autoSpaceDE/>
        <w:autoSpaceDN/>
        <w:spacing w:after="200" w:line="276" w:lineRule="auto"/>
        <w:contextualSpacing/>
        <w:jc w:val="both"/>
        <w:rPr>
          <w:sz w:val="24"/>
          <w:szCs w:val="24"/>
        </w:rPr>
      </w:pPr>
      <w:r w:rsidRPr="00E4628E">
        <w:rPr>
          <w:sz w:val="24"/>
          <w:szCs w:val="24"/>
        </w:rPr>
        <w:t>La Red Satelital</w:t>
      </w:r>
      <w:r w:rsidR="00BA2BEB">
        <w:rPr>
          <w:sz w:val="24"/>
          <w:szCs w:val="24"/>
        </w:rPr>
        <w:t xml:space="preserve"> </w:t>
      </w:r>
      <w:r w:rsidR="007F7FD4" w:rsidRPr="00E4628E">
        <w:rPr>
          <w:sz w:val="24"/>
          <w:szCs w:val="24"/>
        </w:rPr>
        <w:t xml:space="preserve">denominada </w:t>
      </w:r>
      <w:r w:rsidR="00FE6161">
        <w:rPr>
          <w:sz w:val="22"/>
          <w:szCs w:val="22"/>
        </w:rPr>
        <w:t>NSS-FSS-G3 22W</w:t>
      </w:r>
      <w:r w:rsidR="002A505F" w:rsidRPr="00E4628E">
        <w:rPr>
          <w:sz w:val="24"/>
          <w:szCs w:val="24"/>
        </w:rPr>
        <w:t>,</w:t>
      </w:r>
      <w:r w:rsidR="00626A48" w:rsidRPr="00E4628E">
        <w:rPr>
          <w:sz w:val="24"/>
          <w:szCs w:val="24"/>
        </w:rPr>
        <w:t xml:space="preserve"> fue</w:t>
      </w:r>
      <w:r w:rsidRPr="00E4628E">
        <w:rPr>
          <w:sz w:val="24"/>
          <w:szCs w:val="24"/>
        </w:rPr>
        <w:t>ron</w:t>
      </w:r>
      <w:r w:rsidR="00F40F8A" w:rsidRPr="00E4628E">
        <w:rPr>
          <w:sz w:val="24"/>
          <w:szCs w:val="24"/>
        </w:rPr>
        <w:t xml:space="preserve"> </w:t>
      </w:r>
      <w:r w:rsidR="00FC47EF" w:rsidRPr="00E4628E">
        <w:rPr>
          <w:sz w:val="24"/>
          <w:szCs w:val="24"/>
        </w:rPr>
        <w:t>publicada</w:t>
      </w:r>
      <w:r w:rsidRPr="00E4628E">
        <w:rPr>
          <w:sz w:val="24"/>
          <w:szCs w:val="24"/>
        </w:rPr>
        <w:t>s</w:t>
      </w:r>
      <w:r w:rsidR="00626A48" w:rsidRPr="00E4628E">
        <w:rPr>
          <w:sz w:val="24"/>
          <w:szCs w:val="24"/>
        </w:rPr>
        <w:t xml:space="preserve"> por la UIT en la </w:t>
      </w:r>
      <w:r w:rsidR="00AA1AFB" w:rsidRPr="00E4628E">
        <w:rPr>
          <w:sz w:val="24"/>
          <w:szCs w:val="24"/>
        </w:rPr>
        <w:t xml:space="preserve">Circular N° </w:t>
      </w:r>
      <w:r w:rsidR="00626A48" w:rsidRPr="00E4628E">
        <w:rPr>
          <w:sz w:val="24"/>
          <w:szCs w:val="24"/>
        </w:rPr>
        <w:t>BR</w:t>
      </w:r>
      <w:r w:rsidR="003F4AD8" w:rsidRPr="00E4628E">
        <w:rPr>
          <w:sz w:val="24"/>
          <w:szCs w:val="24"/>
        </w:rPr>
        <w:t xml:space="preserve"> IFIC</w:t>
      </w:r>
      <w:r w:rsidR="003F4AD8" w:rsidRPr="00E4628E">
        <w:rPr>
          <w:rStyle w:val="Refdenotaalpie"/>
          <w:sz w:val="24"/>
          <w:szCs w:val="24"/>
        </w:rPr>
        <w:footnoteReference w:id="1"/>
      </w:r>
      <w:r w:rsidR="00626A48" w:rsidRPr="00E4628E">
        <w:rPr>
          <w:sz w:val="24"/>
          <w:szCs w:val="24"/>
        </w:rPr>
        <w:t xml:space="preserve"> </w:t>
      </w:r>
      <w:r w:rsidRPr="00E4628E">
        <w:rPr>
          <w:sz w:val="24"/>
          <w:szCs w:val="24"/>
        </w:rPr>
        <w:t xml:space="preserve">N° </w:t>
      </w:r>
      <w:r w:rsidR="00B27713">
        <w:rPr>
          <w:sz w:val="24"/>
          <w:szCs w:val="24"/>
        </w:rPr>
        <w:t>288</w:t>
      </w:r>
      <w:r w:rsidR="00B03514">
        <w:rPr>
          <w:sz w:val="24"/>
          <w:szCs w:val="24"/>
        </w:rPr>
        <w:t>1</w:t>
      </w:r>
      <w:r w:rsidR="00B27713">
        <w:rPr>
          <w:sz w:val="24"/>
          <w:szCs w:val="24"/>
        </w:rPr>
        <w:t xml:space="preserve"> de fecha </w:t>
      </w:r>
      <w:r w:rsidR="00B03514">
        <w:rPr>
          <w:sz w:val="24"/>
          <w:szCs w:val="24"/>
        </w:rPr>
        <w:t>16</w:t>
      </w:r>
      <w:r w:rsidR="00B27713">
        <w:rPr>
          <w:sz w:val="24"/>
          <w:szCs w:val="24"/>
        </w:rPr>
        <w:t xml:space="preserve"> de octubre de 2018</w:t>
      </w:r>
      <w:r w:rsidR="00626A48" w:rsidRPr="00E4628E">
        <w:rPr>
          <w:sz w:val="24"/>
          <w:szCs w:val="24"/>
        </w:rPr>
        <w:t xml:space="preserve">, por lo que </w:t>
      </w:r>
      <w:r w:rsidR="00F40F8A" w:rsidRPr="00E4628E">
        <w:rPr>
          <w:sz w:val="24"/>
          <w:szCs w:val="24"/>
        </w:rPr>
        <w:t xml:space="preserve">la </w:t>
      </w:r>
      <w:r w:rsidR="000A4EF4">
        <w:rPr>
          <w:sz w:val="24"/>
          <w:szCs w:val="24"/>
        </w:rPr>
        <w:t>Oficina de Radiocomunicaciones</w:t>
      </w:r>
      <w:r w:rsidR="00F40F8A" w:rsidRPr="00E4628E">
        <w:rPr>
          <w:sz w:val="24"/>
          <w:szCs w:val="24"/>
        </w:rPr>
        <w:t xml:space="preserve"> de la UIT</w:t>
      </w:r>
      <w:r w:rsidR="00C20E06" w:rsidRPr="00E4628E">
        <w:rPr>
          <w:sz w:val="24"/>
          <w:szCs w:val="24"/>
        </w:rPr>
        <w:t>, solicitó</w:t>
      </w:r>
      <w:r w:rsidR="006B28BB" w:rsidRPr="00E4628E">
        <w:rPr>
          <w:sz w:val="24"/>
          <w:szCs w:val="24"/>
        </w:rPr>
        <w:t xml:space="preserve"> a la </w:t>
      </w:r>
      <w:r w:rsidR="00C20E06" w:rsidRPr="00E4628E">
        <w:rPr>
          <w:sz w:val="24"/>
          <w:szCs w:val="24"/>
        </w:rPr>
        <w:t xml:space="preserve">Administración </w:t>
      </w:r>
      <w:r w:rsidR="006B28BB" w:rsidRPr="00E4628E">
        <w:rPr>
          <w:sz w:val="24"/>
          <w:szCs w:val="24"/>
        </w:rPr>
        <w:t>Costarricense informar su conformidad con la provisión 6.</w:t>
      </w:r>
      <w:r w:rsidR="00C20E06" w:rsidRPr="00E4628E">
        <w:rPr>
          <w:sz w:val="24"/>
          <w:szCs w:val="24"/>
        </w:rPr>
        <w:t>5</w:t>
      </w:r>
      <w:r w:rsidR="006B28BB" w:rsidRPr="00E4628E">
        <w:rPr>
          <w:sz w:val="24"/>
          <w:szCs w:val="24"/>
        </w:rPr>
        <w:t xml:space="preserve"> del Apéndice 30 B respeto de la</w:t>
      </w:r>
      <w:r w:rsidR="00C20E06" w:rsidRPr="00E4628E">
        <w:rPr>
          <w:sz w:val="24"/>
          <w:szCs w:val="24"/>
        </w:rPr>
        <w:t>s</w:t>
      </w:r>
      <w:r w:rsidR="006B28BB" w:rsidRPr="00E4628E">
        <w:rPr>
          <w:sz w:val="24"/>
          <w:szCs w:val="24"/>
        </w:rPr>
        <w:t xml:space="preserve"> red</w:t>
      </w:r>
      <w:r w:rsidR="00C20E06" w:rsidRPr="00E4628E">
        <w:rPr>
          <w:sz w:val="24"/>
          <w:szCs w:val="24"/>
        </w:rPr>
        <w:t>es</w:t>
      </w:r>
      <w:r w:rsidR="006B28BB" w:rsidRPr="00E4628E">
        <w:rPr>
          <w:sz w:val="24"/>
          <w:szCs w:val="24"/>
        </w:rPr>
        <w:t xml:space="preserve"> </w:t>
      </w:r>
      <w:r w:rsidR="00C20E06" w:rsidRPr="00E4628E">
        <w:rPr>
          <w:sz w:val="24"/>
          <w:szCs w:val="24"/>
        </w:rPr>
        <w:t>indicadas, teniendo en cuenta lo dispuesto en el punto 6.10 del Artículo 6 del Apéndice 30B</w:t>
      </w:r>
      <w:r w:rsidR="007246E5" w:rsidRPr="00E4628E">
        <w:rPr>
          <w:rStyle w:val="Refdenotaalpie"/>
          <w:sz w:val="24"/>
          <w:szCs w:val="24"/>
        </w:rPr>
        <w:footnoteReference w:id="2"/>
      </w:r>
      <w:r w:rsidR="006B28BB" w:rsidRPr="00E4628E">
        <w:rPr>
          <w:sz w:val="24"/>
          <w:szCs w:val="24"/>
        </w:rPr>
        <w:t>.</w:t>
      </w:r>
    </w:p>
    <w:p w14:paraId="3A6A7052" w14:textId="77777777" w:rsidR="000F4E1A" w:rsidRPr="00E4628E" w:rsidRDefault="000F4E1A" w:rsidP="00E4628E">
      <w:pPr>
        <w:autoSpaceDE/>
        <w:autoSpaceDN/>
        <w:spacing w:line="276" w:lineRule="auto"/>
        <w:rPr>
          <w:b/>
          <w:sz w:val="24"/>
          <w:szCs w:val="24"/>
        </w:rPr>
      </w:pPr>
    </w:p>
    <w:p w14:paraId="0260CD51" w14:textId="2DE1FD09" w:rsidR="00DD11F7" w:rsidRPr="00E4628E" w:rsidRDefault="00DD11F7" w:rsidP="00E4628E">
      <w:pPr>
        <w:pStyle w:val="Prrafodelista"/>
        <w:numPr>
          <w:ilvl w:val="0"/>
          <w:numId w:val="15"/>
        </w:numPr>
        <w:autoSpaceDE/>
        <w:autoSpaceDN/>
        <w:spacing w:line="276" w:lineRule="auto"/>
        <w:rPr>
          <w:b/>
          <w:sz w:val="24"/>
          <w:szCs w:val="24"/>
        </w:rPr>
      </w:pPr>
      <w:r w:rsidRPr="00E4628E">
        <w:rPr>
          <w:b/>
          <w:sz w:val="24"/>
          <w:szCs w:val="24"/>
        </w:rPr>
        <w:t xml:space="preserve">DEL </w:t>
      </w:r>
      <w:r w:rsidR="00B8531B" w:rsidRPr="00E4628E">
        <w:rPr>
          <w:b/>
          <w:sz w:val="24"/>
          <w:szCs w:val="24"/>
        </w:rPr>
        <w:t>MEMORANDO</w:t>
      </w:r>
      <w:r w:rsidRPr="00E4628E">
        <w:rPr>
          <w:b/>
          <w:sz w:val="24"/>
          <w:szCs w:val="24"/>
        </w:rPr>
        <w:t xml:space="preserve"> </w:t>
      </w:r>
      <w:r w:rsidR="0011506F" w:rsidRPr="00E4628E">
        <w:rPr>
          <w:b/>
          <w:sz w:val="24"/>
          <w:szCs w:val="24"/>
        </w:rPr>
        <w:t xml:space="preserve">Nº </w:t>
      </w:r>
      <w:r w:rsidR="00D17F0D" w:rsidRPr="00E4628E">
        <w:rPr>
          <w:b/>
          <w:sz w:val="24"/>
          <w:szCs w:val="24"/>
        </w:rPr>
        <w:t>MICITT-DERRT</w:t>
      </w:r>
      <w:r w:rsidR="00B8531B" w:rsidRPr="00E4628E">
        <w:rPr>
          <w:b/>
          <w:sz w:val="24"/>
          <w:szCs w:val="24"/>
        </w:rPr>
        <w:t>-</w:t>
      </w:r>
      <w:r w:rsidR="00AA1AFB" w:rsidRPr="00E4628E">
        <w:rPr>
          <w:b/>
          <w:sz w:val="24"/>
          <w:szCs w:val="24"/>
        </w:rPr>
        <w:t>DAER-</w:t>
      </w:r>
      <w:r w:rsidR="00B8531B" w:rsidRPr="00E4628E">
        <w:rPr>
          <w:b/>
          <w:sz w:val="24"/>
          <w:szCs w:val="24"/>
        </w:rPr>
        <w:t>ME</w:t>
      </w:r>
      <w:r w:rsidR="004720A1" w:rsidRPr="00E4628E">
        <w:rPr>
          <w:b/>
          <w:sz w:val="24"/>
          <w:szCs w:val="24"/>
        </w:rPr>
        <w:t>MO</w:t>
      </w:r>
      <w:r w:rsidR="009A7ACD" w:rsidRPr="00E4628E">
        <w:rPr>
          <w:b/>
          <w:sz w:val="24"/>
          <w:szCs w:val="24"/>
        </w:rPr>
        <w:t>-</w:t>
      </w:r>
      <w:r w:rsidR="00B03514">
        <w:rPr>
          <w:b/>
          <w:sz w:val="24"/>
          <w:szCs w:val="24"/>
        </w:rPr>
        <w:t>183</w:t>
      </w:r>
      <w:r w:rsidR="000F4E1A" w:rsidRPr="00E4628E">
        <w:rPr>
          <w:b/>
          <w:sz w:val="24"/>
          <w:szCs w:val="24"/>
        </w:rPr>
        <w:t>-</w:t>
      </w:r>
      <w:r w:rsidR="003767A7" w:rsidRPr="00E4628E">
        <w:rPr>
          <w:b/>
          <w:sz w:val="24"/>
          <w:szCs w:val="24"/>
        </w:rPr>
        <w:t>201</w:t>
      </w:r>
      <w:r w:rsidR="0001473F" w:rsidRPr="00E4628E">
        <w:rPr>
          <w:b/>
          <w:sz w:val="24"/>
          <w:szCs w:val="24"/>
        </w:rPr>
        <w:t>8</w:t>
      </w:r>
    </w:p>
    <w:p w14:paraId="56B13DEB" w14:textId="77777777" w:rsidR="00FE7312" w:rsidRPr="00E4628E" w:rsidRDefault="00FE7312" w:rsidP="00E4628E">
      <w:pPr>
        <w:pStyle w:val="Prrafodelista"/>
        <w:autoSpaceDE/>
        <w:autoSpaceDN/>
        <w:spacing w:after="200" w:line="276" w:lineRule="auto"/>
        <w:ind w:left="720"/>
        <w:contextualSpacing/>
        <w:jc w:val="both"/>
        <w:rPr>
          <w:b/>
          <w:sz w:val="24"/>
          <w:szCs w:val="24"/>
        </w:rPr>
      </w:pPr>
    </w:p>
    <w:p w14:paraId="68A141A1" w14:textId="0E2653A8" w:rsidR="00663849" w:rsidRPr="00E4628E" w:rsidRDefault="00C92784" w:rsidP="00E4628E">
      <w:pPr>
        <w:adjustRightInd w:val="0"/>
        <w:spacing w:line="276" w:lineRule="auto"/>
        <w:jc w:val="both"/>
        <w:rPr>
          <w:sz w:val="24"/>
          <w:szCs w:val="24"/>
          <w:lang w:val="es-CR" w:eastAsia="es-CR"/>
        </w:rPr>
      </w:pPr>
      <w:r w:rsidRPr="00E4628E">
        <w:rPr>
          <w:sz w:val="24"/>
          <w:szCs w:val="24"/>
        </w:rPr>
        <w:t>En el referido memorando</w:t>
      </w:r>
      <w:r w:rsidR="004720A1" w:rsidRPr="00E4628E">
        <w:rPr>
          <w:sz w:val="24"/>
          <w:szCs w:val="24"/>
        </w:rPr>
        <w:t xml:space="preserve"> se manifiesta que</w:t>
      </w:r>
      <w:r w:rsidRPr="00E4628E">
        <w:rPr>
          <w:sz w:val="24"/>
          <w:szCs w:val="24"/>
        </w:rPr>
        <w:t>,</w:t>
      </w:r>
      <w:r w:rsidR="004720A1" w:rsidRPr="00E4628E">
        <w:rPr>
          <w:sz w:val="24"/>
          <w:szCs w:val="24"/>
        </w:rPr>
        <w:t xml:space="preserve"> en reiteradas ocasiones, mediante informes técnicos </w:t>
      </w:r>
      <w:r w:rsidR="0011506F" w:rsidRPr="00E4628E">
        <w:rPr>
          <w:sz w:val="24"/>
          <w:szCs w:val="24"/>
        </w:rPr>
        <w:t xml:space="preserve">Nº </w:t>
      </w:r>
      <w:r w:rsidR="004720A1" w:rsidRPr="00E4628E">
        <w:rPr>
          <w:sz w:val="24"/>
          <w:szCs w:val="24"/>
        </w:rPr>
        <w:t>IT-GAER-2013-035</w:t>
      </w:r>
      <w:r w:rsidR="00A334BD" w:rsidRPr="00E4628E">
        <w:rPr>
          <w:rStyle w:val="Refdenotaalpie"/>
          <w:sz w:val="24"/>
          <w:szCs w:val="24"/>
        </w:rPr>
        <w:footnoteReference w:id="3"/>
      </w:r>
      <w:r w:rsidR="00A334BD" w:rsidRPr="00E4628E">
        <w:rPr>
          <w:sz w:val="24"/>
          <w:szCs w:val="24"/>
        </w:rPr>
        <w:t xml:space="preserve"> de fecha 26 de febrero de 2013</w:t>
      </w:r>
      <w:r w:rsidR="004720A1" w:rsidRPr="00E4628E">
        <w:rPr>
          <w:sz w:val="24"/>
          <w:szCs w:val="24"/>
        </w:rPr>
        <w:t xml:space="preserve"> y </w:t>
      </w:r>
      <w:r w:rsidR="00662F05" w:rsidRPr="00E4628E">
        <w:rPr>
          <w:sz w:val="24"/>
          <w:szCs w:val="24"/>
        </w:rPr>
        <w:t>N°</w:t>
      </w:r>
      <w:r w:rsidR="0011506F" w:rsidRPr="00E4628E">
        <w:rPr>
          <w:sz w:val="24"/>
          <w:szCs w:val="24"/>
        </w:rPr>
        <w:t xml:space="preserve"> </w:t>
      </w:r>
      <w:r w:rsidR="004720A1" w:rsidRPr="00E4628E">
        <w:rPr>
          <w:sz w:val="24"/>
          <w:szCs w:val="24"/>
        </w:rPr>
        <w:t>MICITT-GAER-IT-100-2013</w:t>
      </w:r>
      <w:r w:rsidR="00FA7B73" w:rsidRPr="00E4628E">
        <w:rPr>
          <w:rStyle w:val="Refdenotaalpie"/>
          <w:sz w:val="24"/>
          <w:szCs w:val="24"/>
        </w:rPr>
        <w:footnoteReference w:id="4"/>
      </w:r>
      <w:r w:rsidR="00A334BD" w:rsidRPr="00E4628E">
        <w:rPr>
          <w:sz w:val="24"/>
          <w:szCs w:val="24"/>
        </w:rPr>
        <w:t>, de fecha 05 de junio de 2013</w:t>
      </w:r>
      <w:r w:rsidR="004720A1" w:rsidRPr="00E4628E">
        <w:rPr>
          <w:sz w:val="24"/>
          <w:szCs w:val="24"/>
        </w:rPr>
        <w:t xml:space="preserve"> para los casos de las solicitudes de inclusión en la zona de servicio de redes satelitales de las administraciones de España y Holanda respectivamente,</w:t>
      </w:r>
      <w:r w:rsidR="00F52C10">
        <w:rPr>
          <w:sz w:val="24"/>
          <w:szCs w:val="24"/>
        </w:rPr>
        <w:t xml:space="preserve"> los cuales resultan aplicable al caso concreto,</w:t>
      </w:r>
      <w:r w:rsidR="004720A1" w:rsidRPr="00E4628E">
        <w:rPr>
          <w:sz w:val="24"/>
          <w:szCs w:val="24"/>
        </w:rPr>
        <w:t xml:space="preserve"> </w:t>
      </w:r>
      <w:r w:rsidR="00AA1AFB" w:rsidRPr="00E4628E">
        <w:rPr>
          <w:sz w:val="24"/>
          <w:szCs w:val="24"/>
        </w:rPr>
        <w:lastRenderedPageBreak/>
        <w:t xml:space="preserve">se indicó que </w:t>
      </w:r>
      <w:r w:rsidR="004720A1" w:rsidRPr="00E4628E">
        <w:rPr>
          <w:i/>
          <w:sz w:val="24"/>
          <w:szCs w:val="24"/>
        </w:rPr>
        <w:t>“</w:t>
      </w:r>
      <w:r w:rsidR="0011506F" w:rsidRPr="00E4628E">
        <w:rPr>
          <w:i/>
          <w:sz w:val="24"/>
          <w:szCs w:val="24"/>
        </w:rPr>
        <w:t>(</w:t>
      </w:r>
      <w:r w:rsidR="004720A1" w:rsidRPr="00E4628E">
        <w:rPr>
          <w:i/>
          <w:sz w:val="24"/>
          <w:szCs w:val="24"/>
        </w:rPr>
        <w:t>…</w:t>
      </w:r>
      <w:r w:rsidR="0011506F" w:rsidRPr="00E4628E">
        <w:rPr>
          <w:i/>
          <w:sz w:val="24"/>
          <w:szCs w:val="24"/>
        </w:rPr>
        <w:t>) ‘</w:t>
      </w:r>
      <w:r w:rsidR="004720A1" w:rsidRPr="00E4628E">
        <w:rPr>
          <w:i/>
          <w:sz w:val="24"/>
          <w:szCs w:val="24"/>
        </w:rPr>
        <w:t xml:space="preserve">las zonas de servicio corresponden entonces </w:t>
      </w:r>
      <w:r w:rsidR="006B28BB" w:rsidRPr="00E4628E">
        <w:rPr>
          <w:i/>
          <w:sz w:val="24"/>
          <w:szCs w:val="24"/>
        </w:rPr>
        <w:t xml:space="preserve">a </w:t>
      </w:r>
      <w:r w:rsidR="004720A1" w:rsidRPr="00E4628E">
        <w:rPr>
          <w:i/>
          <w:sz w:val="24"/>
          <w:szCs w:val="24"/>
        </w:rPr>
        <w:t>zonas de cobertura a las que se le añaden aspectos administrativos. Estos</w:t>
      </w:r>
      <w:r w:rsidR="004720A1" w:rsidRPr="00E4628E">
        <w:rPr>
          <w:sz w:val="24"/>
          <w:szCs w:val="24"/>
        </w:rPr>
        <w:t xml:space="preserve"> </w:t>
      </w:r>
      <w:r w:rsidR="004720A1" w:rsidRPr="00E4628E">
        <w:rPr>
          <w:i/>
          <w:iCs/>
          <w:sz w:val="24"/>
          <w:szCs w:val="24"/>
          <w:lang w:val="es-CR" w:eastAsia="es-CR"/>
        </w:rPr>
        <w:t xml:space="preserve">aspectos administrativos incluyen el cumplimiento y protección que ha sido fijado por un plan de asignación o adjudicación de frecuencias, o por cualquier otro acuerdo entre las partes interesadas. Es decir, para el caso en análisis resultan aplicables las disposiciones establecidas en el Reglamento de </w:t>
      </w:r>
      <w:r w:rsidR="00743FAB" w:rsidRPr="00E4628E">
        <w:rPr>
          <w:i/>
          <w:iCs/>
          <w:sz w:val="24"/>
          <w:szCs w:val="24"/>
          <w:lang w:val="es-CR" w:eastAsia="es-CR"/>
        </w:rPr>
        <w:t>Radiocomunicaciones, así como la</w:t>
      </w:r>
      <w:r w:rsidR="004720A1" w:rsidRPr="00E4628E">
        <w:rPr>
          <w:i/>
          <w:iCs/>
          <w:sz w:val="24"/>
          <w:szCs w:val="24"/>
          <w:lang w:val="es-CR" w:eastAsia="es-CR"/>
        </w:rPr>
        <w:t>s designaciones presentes en el “Cuadro de</w:t>
      </w:r>
      <w:r w:rsidR="00663849" w:rsidRPr="00E4628E">
        <w:rPr>
          <w:i/>
          <w:iCs/>
          <w:sz w:val="24"/>
          <w:szCs w:val="24"/>
          <w:lang w:val="es-CR" w:eastAsia="es-CR"/>
        </w:rPr>
        <w:t xml:space="preserve"> </w:t>
      </w:r>
      <w:r w:rsidR="004720A1" w:rsidRPr="00E4628E">
        <w:rPr>
          <w:i/>
          <w:iCs/>
          <w:sz w:val="24"/>
          <w:szCs w:val="24"/>
          <w:lang w:val="es-CR" w:eastAsia="es-CR"/>
        </w:rPr>
        <w:t>Atribución de Bandas de Frecuencias</w:t>
      </w:r>
      <w:r w:rsidR="0011506F" w:rsidRPr="00E4628E">
        <w:rPr>
          <w:i/>
          <w:iCs/>
          <w:sz w:val="24"/>
          <w:szCs w:val="24"/>
          <w:lang w:val="es-CR" w:eastAsia="es-CR"/>
        </w:rPr>
        <w:t>’</w:t>
      </w:r>
      <w:r w:rsidR="004720A1" w:rsidRPr="00E4628E">
        <w:rPr>
          <w:i/>
          <w:iCs/>
          <w:sz w:val="24"/>
          <w:szCs w:val="24"/>
          <w:lang w:val="es-CR" w:eastAsia="es-CR"/>
        </w:rPr>
        <w:t xml:space="preserve"> (Art.N°5 RR) y las </w:t>
      </w:r>
      <w:r w:rsidR="0011506F" w:rsidRPr="00E4628E">
        <w:rPr>
          <w:i/>
          <w:iCs/>
          <w:sz w:val="24"/>
          <w:szCs w:val="24"/>
          <w:lang w:val="es-CR" w:eastAsia="es-CR"/>
        </w:rPr>
        <w:t>‘</w:t>
      </w:r>
      <w:r w:rsidR="004720A1" w:rsidRPr="00E4628E">
        <w:rPr>
          <w:i/>
          <w:iCs/>
          <w:sz w:val="24"/>
          <w:szCs w:val="24"/>
          <w:lang w:val="es-CR" w:eastAsia="es-CR"/>
        </w:rPr>
        <w:t>Disposiciones y Plan</w:t>
      </w:r>
      <w:r w:rsidR="00663849" w:rsidRPr="00E4628E">
        <w:rPr>
          <w:i/>
          <w:iCs/>
          <w:sz w:val="24"/>
          <w:szCs w:val="24"/>
          <w:lang w:val="es-CR" w:eastAsia="es-CR"/>
        </w:rPr>
        <w:t xml:space="preserve"> </w:t>
      </w:r>
      <w:r w:rsidR="004720A1" w:rsidRPr="00E4628E">
        <w:rPr>
          <w:i/>
          <w:iCs/>
          <w:sz w:val="24"/>
          <w:szCs w:val="24"/>
          <w:lang w:val="es-CR" w:eastAsia="es-CR"/>
        </w:rPr>
        <w:t>asociado para el servicio fijo por satélite en las bandas de frecuencias 4 500-4</w:t>
      </w:r>
      <w:r w:rsidR="003767A7" w:rsidRPr="00E4628E">
        <w:rPr>
          <w:i/>
          <w:iCs/>
          <w:sz w:val="24"/>
          <w:szCs w:val="24"/>
          <w:lang w:val="es-CR" w:eastAsia="es-CR"/>
        </w:rPr>
        <w:t xml:space="preserve"> </w:t>
      </w:r>
      <w:r w:rsidR="004720A1" w:rsidRPr="00E4628E">
        <w:rPr>
          <w:i/>
          <w:iCs/>
          <w:sz w:val="24"/>
          <w:szCs w:val="24"/>
          <w:lang w:val="es-CR" w:eastAsia="es-CR"/>
        </w:rPr>
        <w:t>800 MHz, 6 725-7 025 MHz, 10,70-10,95 GHz, 11,20-11,45 GHz y 12,75-13,25</w:t>
      </w:r>
      <w:r w:rsidR="00663849" w:rsidRPr="00E4628E">
        <w:rPr>
          <w:i/>
          <w:iCs/>
          <w:sz w:val="24"/>
          <w:szCs w:val="24"/>
          <w:lang w:val="es-CR" w:eastAsia="es-CR"/>
        </w:rPr>
        <w:t xml:space="preserve"> </w:t>
      </w:r>
      <w:r w:rsidR="004720A1" w:rsidRPr="00E4628E">
        <w:rPr>
          <w:i/>
          <w:iCs/>
          <w:sz w:val="24"/>
          <w:szCs w:val="24"/>
          <w:lang w:val="es-CR" w:eastAsia="es-CR"/>
        </w:rPr>
        <w:t>GHz</w:t>
      </w:r>
      <w:r w:rsidR="0011506F" w:rsidRPr="00E4628E">
        <w:rPr>
          <w:i/>
          <w:iCs/>
          <w:sz w:val="24"/>
          <w:szCs w:val="24"/>
          <w:lang w:val="es-CR" w:eastAsia="es-CR"/>
        </w:rPr>
        <w:t>’</w:t>
      </w:r>
      <w:r w:rsidR="004720A1" w:rsidRPr="00E4628E">
        <w:rPr>
          <w:i/>
          <w:iCs/>
          <w:sz w:val="24"/>
          <w:szCs w:val="24"/>
          <w:lang w:val="es-CR" w:eastAsia="es-CR"/>
        </w:rPr>
        <w:t xml:space="preserve"> (Apéndice 30B, RR)</w:t>
      </w:r>
      <w:r w:rsidR="004720A1" w:rsidRPr="00E4628E">
        <w:rPr>
          <w:sz w:val="24"/>
          <w:szCs w:val="24"/>
          <w:lang w:val="es-CR" w:eastAsia="es-CR"/>
        </w:rPr>
        <w:t>”</w:t>
      </w:r>
      <w:r w:rsidR="00A40E4C" w:rsidRPr="00E4628E">
        <w:rPr>
          <w:sz w:val="24"/>
          <w:szCs w:val="24"/>
          <w:lang w:val="es-CR" w:eastAsia="es-CR"/>
        </w:rPr>
        <w:t>.</w:t>
      </w:r>
    </w:p>
    <w:p w14:paraId="0D5FA57E" w14:textId="77777777" w:rsidR="005E2091" w:rsidRPr="00E4628E" w:rsidRDefault="005E2091" w:rsidP="00E4628E">
      <w:pPr>
        <w:adjustRightInd w:val="0"/>
        <w:spacing w:line="276" w:lineRule="auto"/>
        <w:jc w:val="both"/>
        <w:rPr>
          <w:sz w:val="24"/>
          <w:szCs w:val="24"/>
          <w:lang w:val="es-CR" w:eastAsia="es-CR"/>
        </w:rPr>
      </w:pPr>
    </w:p>
    <w:p w14:paraId="295C8ABF" w14:textId="2F1733CE" w:rsidR="005E2091" w:rsidRPr="00E4628E" w:rsidRDefault="005E2091" w:rsidP="00E4628E">
      <w:pPr>
        <w:adjustRightInd w:val="0"/>
        <w:spacing w:line="276" w:lineRule="auto"/>
        <w:jc w:val="both"/>
        <w:rPr>
          <w:sz w:val="24"/>
          <w:szCs w:val="24"/>
        </w:rPr>
      </w:pPr>
      <w:r w:rsidRPr="00E4628E">
        <w:rPr>
          <w:sz w:val="24"/>
          <w:szCs w:val="24"/>
          <w:lang w:val="es-CR" w:eastAsia="es-CR"/>
        </w:rPr>
        <w:t xml:space="preserve">Ahora bien, tomando en consideración </w:t>
      </w:r>
      <w:r w:rsidR="00DD11F7" w:rsidRPr="00E4628E">
        <w:rPr>
          <w:sz w:val="24"/>
          <w:szCs w:val="24"/>
        </w:rPr>
        <w:t>que</w:t>
      </w:r>
      <w:r w:rsidRPr="00E4628E">
        <w:rPr>
          <w:sz w:val="24"/>
          <w:szCs w:val="24"/>
        </w:rPr>
        <w:t xml:space="preserve"> el país no cuenta con asignaciones satelitales a la fecha, las cuales pudieren verse afectadas por interferencias debido al funcionamiento de la</w:t>
      </w:r>
      <w:r w:rsidR="001858A2">
        <w:rPr>
          <w:sz w:val="24"/>
          <w:szCs w:val="24"/>
        </w:rPr>
        <w:t>s</w:t>
      </w:r>
      <w:r w:rsidRPr="00E4628E">
        <w:rPr>
          <w:sz w:val="24"/>
          <w:szCs w:val="24"/>
        </w:rPr>
        <w:t xml:space="preserve"> </w:t>
      </w:r>
      <w:r w:rsidR="00D923AC" w:rsidRPr="00E4628E">
        <w:rPr>
          <w:sz w:val="24"/>
          <w:szCs w:val="24"/>
        </w:rPr>
        <w:t>Red</w:t>
      </w:r>
      <w:r w:rsidR="001858A2">
        <w:rPr>
          <w:sz w:val="24"/>
          <w:szCs w:val="24"/>
        </w:rPr>
        <w:t>es</w:t>
      </w:r>
      <w:r w:rsidR="00B74BFD">
        <w:rPr>
          <w:sz w:val="24"/>
          <w:szCs w:val="24"/>
        </w:rPr>
        <w:t xml:space="preserve"> </w:t>
      </w:r>
      <w:r w:rsidR="00D923AC" w:rsidRPr="00E4628E">
        <w:rPr>
          <w:sz w:val="24"/>
          <w:szCs w:val="24"/>
        </w:rPr>
        <w:t>Satelital</w:t>
      </w:r>
      <w:r w:rsidR="001858A2">
        <w:rPr>
          <w:sz w:val="24"/>
          <w:szCs w:val="24"/>
        </w:rPr>
        <w:t>es</w:t>
      </w:r>
      <w:r w:rsidR="00B74BFD">
        <w:rPr>
          <w:sz w:val="24"/>
          <w:szCs w:val="24"/>
        </w:rPr>
        <w:t xml:space="preserve"> </w:t>
      </w:r>
      <w:r w:rsidR="001858A2" w:rsidRPr="00E4628E">
        <w:rPr>
          <w:sz w:val="24"/>
          <w:szCs w:val="24"/>
        </w:rPr>
        <w:t>Red</w:t>
      </w:r>
      <w:r w:rsidR="001858A2">
        <w:rPr>
          <w:sz w:val="24"/>
          <w:szCs w:val="24"/>
        </w:rPr>
        <w:t>es denominadas</w:t>
      </w:r>
      <w:r w:rsidR="001858A2" w:rsidRPr="00E4628E">
        <w:rPr>
          <w:sz w:val="24"/>
          <w:szCs w:val="24"/>
        </w:rPr>
        <w:t xml:space="preserve"> </w:t>
      </w:r>
      <w:r w:rsidR="00FE6161">
        <w:rPr>
          <w:sz w:val="22"/>
          <w:szCs w:val="22"/>
        </w:rPr>
        <w:t>NSS-FSS-G3 22W</w:t>
      </w:r>
      <w:r w:rsidRPr="00E4628E">
        <w:rPr>
          <w:sz w:val="24"/>
          <w:szCs w:val="24"/>
        </w:rPr>
        <w:t>, no se encontró inconveniente técnico para incluir a Costa Rica dentro del área de servicios de la asignaci</w:t>
      </w:r>
      <w:r w:rsidR="00754210">
        <w:rPr>
          <w:sz w:val="24"/>
          <w:szCs w:val="24"/>
        </w:rPr>
        <w:t xml:space="preserve">ón </w:t>
      </w:r>
      <w:r w:rsidRPr="00E4628E">
        <w:rPr>
          <w:sz w:val="24"/>
          <w:szCs w:val="24"/>
        </w:rPr>
        <w:t xml:space="preserve">satelital en </w:t>
      </w:r>
      <w:r w:rsidR="009F0FC3" w:rsidRPr="00E4628E">
        <w:rPr>
          <w:sz w:val="24"/>
          <w:szCs w:val="24"/>
        </w:rPr>
        <w:t>trámite</w:t>
      </w:r>
      <w:r w:rsidR="00DA0E24" w:rsidRPr="00E4628E">
        <w:rPr>
          <w:sz w:val="24"/>
          <w:szCs w:val="24"/>
        </w:rPr>
        <w:t>.  Igualmente se verificó la</w:t>
      </w:r>
      <w:r w:rsidR="00BF55FA" w:rsidRPr="00E4628E">
        <w:rPr>
          <w:sz w:val="24"/>
          <w:szCs w:val="24"/>
        </w:rPr>
        <w:t xml:space="preserve"> circular internacional Nº</w:t>
      </w:r>
      <w:r w:rsidR="00DA0E24" w:rsidRPr="00E4628E">
        <w:rPr>
          <w:sz w:val="24"/>
          <w:szCs w:val="24"/>
        </w:rPr>
        <w:t xml:space="preserve"> </w:t>
      </w:r>
      <w:r w:rsidR="00DA0E24" w:rsidRPr="00E4628E">
        <w:rPr>
          <w:rStyle w:val="tl8wme"/>
          <w:sz w:val="24"/>
          <w:szCs w:val="24"/>
        </w:rPr>
        <w:t xml:space="preserve">BR IFIC </w:t>
      </w:r>
      <w:r w:rsidR="00B27713">
        <w:rPr>
          <w:rStyle w:val="tl8wme"/>
          <w:sz w:val="24"/>
          <w:szCs w:val="24"/>
        </w:rPr>
        <w:t>288</w:t>
      </w:r>
      <w:r w:rsidR="00B03514">
        <w:rPr>
          <w:rStyle w:val="tl8wme"/>
          <w:sz w:val="24"/>
          <w:szCs w:val="24"/>
        </w:rPr>
        <w:t>1</w:t>
      </w:r>
      <w:r w:rsidR="00B27713">
        <w:rPr>
          <w:rStyle w:val="tl8wme"/>
          <w:sz w:val="24"/>
          <w:szCs w:val="24"/>
        </w:rPr>
        <w:t xml:space="preserve"> de fecha </w:t>
      </w:r>
      <w:r w:rsidR="00B03514">
        <w:rPr>
          <w:rStyle w:val="tl8wme"/>
          <w:sz w:val="24"/>
          <w:szCs w:val="24"/>
        </w:rPr>
        <w:t>16</w:t>
      </w:r>
      <w:r w:rsidR="00B27713">
        <w:rPr>
          <w:rStyle w:val="tl8wme"/>
          <w:sz w:val="24"/>
          <w:szCs w:val="24"/>
        </w:rPr>
        <w:t xml:space="preserve"> de octubre</w:t>
      </w:r>
      <w:r w:rsidR="00DA0E24" w:rsidRPr="00E4628E">
        <w:rPr>
          <w:rStyle w:val="tl8wme"/>
          <w:sz w:val="24"/>
          <w:szCs w:val="24"/>
        </w:rPr>
        <w:t xml:space="preserve"> y se constató que efectivamente Costa Rica se encuentra dentro del área de cobertura de</w:t>
      </w:r>
      <w:r w:rsidR="003261DE" w:rsidRPr="00E4628E">
        <w:rPr>
          <w:rStyle w:val="tl8wme"/>
          <w:sz w:val="24"/>
          <w:szCs w:val="24"/>
        </w:rPr>
        <w:t xml:space="preserve"> </w:t>
      </w:r>
      <w:r w:rsidR="00C553F8">
        <w:rPr>
          <w:rStyle w:val="tl8wme"/>
          <w:sz w:val="24"/>
          <w:szCs w:val="24"/>
        </w:rPr>
        <w:t>la</w:t>
      </w:r>
      <w:r w:rsidR="001858A2">
        <w:rPr>
          <w:rStyle w:val="tl8wme"/>
          <w:sz w:val="24"/>
          <w:szCs w:val="24"/>
        </w:rPr>
        <w:t>s</w:t>
      </w:r>
      <w:r w:rsidR="00C553F8">
        <w:rPr>
          <w:rStyle w:val="tl8wme"/>
          <w:sz w:val="24"/>
          <w:szCs w:val="24"/>
        </w:rPr>
        <w:t xml:space="preserve"> Red</w:t>
      </w:r>
      <w:r w:rsidR="001858A2">
        <w:rPr>
          <w:rStyle w:val="tl8wme"/>
          <w:sz w:val="24"/>
          <w:szCs w:val="24"/>
        </w:rPr>
        <w:t>es</w:t>
      </w:r>
      <w:r w:rsidR="00C553F8">
        <w:rPr>
          <w:rStyle w:val="tl8wme"/>
          <w:sz w:val="24"/>
          <w:szCs w:val="24"/>
        </w:rPr>
        <w:t xml:space="preserve"> Satelital</w:t>
      </w:r>
      <w:r w:rsidR="001858A2">
        <w:rPr>
          <w:rStyle w:val="tl8wme"/>
          <w:sz w:val="24"/>
          <w:szCs w:val="24"/>
        </w:rPr>
        <w:t>es</w:t>
      </w:r>
      <w:r w:rsidR="00C553F8">
        <w:rPr>
          <w:rStyle w:val="tl8wme"/>
          <w:sz w:val="24"/>
          <w:szCs w:val="24"/>
        </w:rPr>
        <w:t xml:space="preserve"> objeto del presente informe.</w:t>
      </w:r>
    </w:p>
    <w:p w14:paraId="5E438F29" w14:textId="77777777" w:rsidR="005E2091" w:rsidRPr="00E4628E" w:rsidRDefault="005E2091" w:rsidP="00E4628E">
      <w:pPr>
        <w:spacing w:line="276" w:lineRule="auto"/>
        <w:jc w:val="both"/>
        <w:rPr>
          <w:sz w:val="24"/>
          <w:szCs w:val="24"/>
        </w:rPr>
      </w:pPr>
    </w:p>
    <w:p w14:paraId="60D80690" w14:textId="77777777" w:rsidR="009F429A" w:rsidRPr="00E4628E" w:rsidRDefault="009F429A" w:rsidP="00E4628E">
      <w:pPr>
        <w:spacing w:line="276" w:lineRule="auto"/>
        <w:jc w:val="both"/>
        <w:rPr>
          <w:sz w:val="24"/>
          <w:szCs w:val="24"/>
          <w:lang w:val="es-ES_tradnl"/>
        </w:rPr>
      </w:pPr>
      <w:r w:rsidRPr="00E4628E">
        <w:rPr>
          <w:sz w:val="24"/>
          <w:szCs w:val="24"/>
          <w:lang w:val="es-ES_tradnl"/>
        </w:rPr>
        <w:t>Así las cosas, se procede ahora con el análisis jurídico.</w:t>
      </w:r>
    </w:p>
    <w:p w14:paraId="5A80A704" w14:textId="3771B4C2" w:rsidR="009F429A" w:rsidRPr="00E4628E" w:rsidRDefault="009F429A" w:rsidP="00E4628E">
      <w:pPr>
        <w:spacing w:line="276" w:lineRule="auto"/>
        <w:jc w:val="both"/>
        <w:rPr>
          <w:sz w:val="24"/>
          <w:szCs w:val="24"/>
          <w:lang w:val="es-ES_tradnl"/>
        </w:rPr>
      </w:pPr>
    </w:p>
    <w:p w14:paraId="20303605" w14:textId="77777777" w:rsidR="003B5942" w:rsidRPr="00E4628E" w:rsidRDefault="003B5942" w:rsidP="00E4628E">
      <w:pPr>
        <w:spacing w:line="276" w:lineRule="auto"/>
        <w:jc w:val="both"/>
        <w:rPr>
          <w:sz w:val="24"/>
          <w:szCs w:val="24"/>
          <w:lang w:val="es-ES_tradnl"/>
        </w:rPr>
      </w:pPr>
    </w:p>
    <w:p w14:paraId="14942317" w14:textId="77777777" w:rsidR="00DD11F7" w:rsidRPr="00E4628E" w:rsidRDefault="00DD11F7" w:rsidP="00E4628E">
      <w:pPr>
        <w:pStyle w:val="Prrafodelista"/>
        <w:numPr>
          <w:ilvl w:val="0"/>
          <w:numId w:val="15"/>
        </w:numPr>
        <w:autoSpaceDE/>
        <w:autoSpaceDN/>
        <w:spacing w:after="200" w:line="276" w:lineRule="auto"/>
        <w:contextualSpacing/>
        <w:jc w:val="both"/>
        <w:rPr>
          <w:b/>
          <w:sz w:val="24"/>
          <w:szCs w:val="24"/>
        </w:rPr>
      </w:pPr>
      <w:r w:rsidRPr="00E4628E">
        <w:rPr>
          <w:b/>
          <w:sz w:val="24"/>
          <w:szCs w:val="24"/>
        </w:rPr>
        <w:t>DE LA NORMATIVA VIGENTE RELACIONADA CON LA MATERIA SATELITAL</w:t>
      </w:r>
    </w:p>
    <w:p w14:paraId="1212ECA5" w14:textId="77777777" w:rsidR="00DD11F7" w:rsidRPr="00E4628E" w:rsidRDefault="00DD11F7" w:rsidP="00E4628E">
      <w:pPr>
        <w:pStyle w:val="Prrafodelista"/>
        <w:spacing w:line="276" w:lineRule="auto"/>
        <w:jc w:val="both"/>
        <w:rPr>
          <w:b/>
          <w:sz w:val="24"/>
          <w:szCs w:val="24"/>
        </w:rPr>
      </w:pPr>
    </w:p>
    <w:p w14:paraId="7B0D2DC2" w14:textId="77777777" w:rsidR="00DD11F7" w:rsidRPr="00E4628E" w:rsidRDefault="00DD11F7" w:rsidP="00E4628E">
      <w:pPr>
        <w:pStyle w:val="Prrafodelista"/>
        <w:numPr>
          <w:ilvl w:val="0"/>
          <w:numId w:val="6"/>
        </w:numPr>
        <w:autoSpaceDE/>
        <w:autoSpaceDN/>
        <w:spacing w:after="200" w:line="276" w:lineRule="auto"/>
        <w:contextualSpacing/>
        <w:jc w:val="both"/>
        <w:rPr>
          <w:b/>
          <w:sz w:val="24"/>
          <w:szCs w:val="24"/>
        </w:rPr>
      </w:pPr>
      <w:r w:rsidRPr="00E4628E">
        <w:rPr>
          <w:b/>
          <w:sz w:val="24"/>
          <w:szCs w:val="24"/>
        </w:rPr>
        <w:t>Naturaleza jurídica del espectro radioeléctrico y requerimiento de concesión para su uso y explotación</w:t>
      </w:r>
    </w:p>
    <w:p w14:paraId="43A1780B" w14:textId="77777777" w:rsidR="00DD11F7" w:rsidRPr="00E4628E" w:rsidRDefault="00DD11F7" w:rsidP="00E4628E">
      <w:pPr>
        <w:spacing w:line="276" w:lineRule="auto"/>
        <w:jc w:val="both"/>
        <w:rPr>
          <w:b/>
          <w:sz w:val="24"/>
          <w:szCs w:val="24"/>
        </w:rPr>
      </w:pPr>
    </w:p>
    <w:p w14:paraId="24870E8C" w14:textId="348C1F3B" w:rsidR="00DD11F7" w:rsidRPr="00E4628E" w:rsidRDefault="00DD11F7" w:rsidP="00E4628E">
      <w:pPr>
        <w:spacing w:line="276" w:lineRule="auto"/>
        <w:jc w:val="both"/>
        <w:rPr>
          <w:bCs/>
          <w:iCs/>
          <w:sz w:val="24"/>
          <w:szCs w:val="24"/>
          <w:lang w:eastAsia="es-ES"/>
        </w:rPr>
      </w:pPr>
      <w:r w:rsidRPr="00E4628E">
        <w:rPr>
          <w:bCs/>
          <w:iCs/>
          <w:sz w:val="24"/>
          <w:szCs w:val="24"/>
          <w:lang w:eastAsia="es-ES"/>
        </w:rPr>
        <w:t>El artícul</w:t>
      </w:r>
      <w:r w:rsidR="00927B50" w:rsidRPr="00E4628E">
        <w:rPr>
          <w:bCs/>
          <w:iCs/>
          <w:sz w:val="24"/>
          <w:szCs w:val="24"/>
          <w:lang w:eastAsia="es-ES"/>
        </w:rPr>
        <w:t>o 44 de la Ley N°</w:t>
      </w:r>
      <w:r w:rsidR="00F52C10">
        <w:rPr>
          <w:bCs/>
          <w:iCs/>
          <w:sz w:val="24"/>
          <w:szCs w:val="24"/>
          <w:lang w:eastAsia="es-ES"/>
        </w:rPr>
        <w:t xml:space="preserve"> </w:t>
      </w:r>
      <w:r w:rsidR="003335DC" w:rsidRPr="00E4628E">
        <w:rPr>
          <w:bCs/>
          <w:iCs/>
          <w:sz w:val="24"/>
          <w:szCs w:val="24"/>
          <w:lang w:eastAsia="es-ES"/>
        </w:rPr>
        <w:t xml:space="preserve">8100, </w:t>
      </w:r>
      <w:r w:rsidR="003335DC" w:rsidRPr="00E4628E">
        <w:rPr>
          <w:bCs/>
          <w:i/>
          <w:iCs/>
          <w:sz w:val="24"/>
          <w:szCs w:val="24"/>
          <w:lang w:eastAsia="es-ES"/>
        </w:rPr>
        <w:t>“Ley de</w:t>
      </w:r>
      <w:r w:rsidRPr="00E4628E">
        <w:rPr>
          <w:bCs/>
          <w:i/>
          <w:iCs/>
          <w:sz w:val="24"/>
          <w:szCs w:val="24"/>
          <w:lang w:eastAsia="es-ES"/>
        </w:rPr>
        <w:t xml:space="preserve"> aprobación de la constitución y conv</w:t>
      </w:r>
      <w:r w:rsidR="00170E64" w:rsidRPr="00E4628E">
        <w:rPr>
          <w:bCs/>
          <w:i/>
          <w:iCs/>
          <w:sz w:val="24"/>
          <w:szCs w:val="24"/>
          <w:lang w:eastAsia="es-ES"/>
        </w:rPr>
        <w:t xml:space="preserve">enio de la Unión Internacional </w:t>
      </w:r>
      <w:r w:rsidRPr="00E4628E">
        <w:rPr>
          <w:bCs/>
          <w:i/>
          <w:iCs/>
          <w:sz w:val="24"/>
          <w:szCs w:val="24"/>
          <w:lang w:eastAsia="es-ES"/>
        </w:rPr>
        <w:t>de Telecomunicaciones”</w:t>
      </w:r>
      <w:r w:rsidRPr="00E4628E">
        <w:rPr>
          <w:bCs/>
          <w:iCs/>
          <w:sz w:val="24"/>
          <w:szCs w:val="24"/>
          <w:lang w:eastAsia="es-ES"/>
        </w:rPr>
        <w:t xml:space="preserve">, </w:t>
      </w:r>
      <w:r w:rsidR="00D76EB4" w:rsidRPr="00E4628E">
        <w:rPr>
          <w:bCs/>
          <w:iCs/>
          <w:sz w:val="24"/>
          <w:szCs w:val="24"/>
          <w:lang w:eastAsia="es-ES"/>
        </w:rPr>
        <w:t>(</w:t>
      </w:r>
      <w:r w:rsidR="0011506F" w:rsidRPr="00E4628E">
        <w:rPr>
          <w:bCs/>
          <w:iCs/>
          <w:sz w:val="24"/>
          <w:szCs w:val="24"/>
          <w:lang w:eastAsia="es-ES"/>
        </w:rPr>
        <w:t xml:space="preserve">Convenio </w:t>
      </w:r>
      <w:r w:rsidRPr="00E4628E">
        <w:rPr>
          <w:bCs/>
          <w:iCs/>
          <w:sz w:val="24"/>
          <w:szCs w:val="24"/>
          <w:lang w:eastAsia="es-ES"/>
        </w:rPr>
        <w:t>firmado en Ginebra e</w:t>
      </w:r>
      <w:r w:rsidR="00FB3CB4">
        <w:rPr>
          <w:bCs/>
          <w:iCs/>
          <w:sz w:val="24"/>
          <w:szCs w:val="24"/>
          <w:lang w:eastAsia="es-ES"/>
        </w:rPr>
        <w:t>n fecha</w:t>
      </w:r>
      <w:r w:rsidRPr="00E4628E">
        <w:rPr>
          <w:bCs/>
          <w:iCs/>
          <w:sz w:val="24"/>
          <w:szCs w:val="24"/>
          <w:lang w:eastAsia="es-ES"/>
        </w:rPr>
        <w:t xml:space="preserve"> 22 de diciembre de 1992) y el instrumento de enmienda a la constitución y al convenio de la Unión Internacional de Telecomunicaciones (Kioto, 1994) determina que el espectro radioeléctrico es un </w:t>
      </w:r>
      <w:r w:rsidRPr="00E4628E">
        <w:rPr>
          <w:bCs/>
          <w:i/>
          <w:iCs/>
          <w:sz w:val="24"/>
          <w:szCs w:val="24"/>
          <w:lang w:eastAsia="es-ES"/>
        </w:rPr>
        <w:t>“recurso natural”.</w:t>
      </w:r>
      <w:r w:rsidRPr="00E4628E">
        <w:rPr>
          <w:bCs/>
          <w:iCs/>
          <w:sz w:val="24"/>
          <w:szCs w:val="24"/>
          <w:lang w:eastAsia="es-ES"/>
        </w:rPr>
        <w:t xml:space="preserve"> </w:t>
      </w:r>
      <w:r w:rsidRPr="00E4628E">
        <w:rPr>
          <w:bCs/>
          <w:iCs/>
          <w:sz w:val="24"/>
          <w:szCs w:val="24"/>
          <w:lang w:eastAsia="es-ES"/>
        </w:rPr>
        <w:lastRenderedPageBreak/>
        <w:t xml:space="preserve">Como tal, la Constitución Política determinó en el inciso 14) del artículo 121 que los </w:t>
      </w:r>
      <w:r w:rsidRPr="00E4628E">
        <w:rPr>
          <w:bCs/>
          <w:i/>
          <w:iCs/>
          <w:sz w:val="24"/>
          <w:szCs w:val="24"/>
          <w:lang w:eastAsia="es-ES"/>
        </w:rPr>
        <w:t>“servicios inalámbricos”</w:t>
      </w:r>
      <w:r w:rsidRPr="00E4628E">
        <w:rPr>
          <w:bCs/>
          <w:iCs/>
          <w:sz w:val="24"/>
          <w:szCs w:val="24"/>
          <w:lang w:eastAsia="es-ES"/>
        </w:rPr>
        <w:t xml:space="preserve"> no podrán salir del dominio del Estado.</w:t>
      </w:r>
    </w:p>
    <w:p w14:paraId="6C45CE73" w14:textId="7E96ECED" w:rsidR="00DD11F7" w:rsidRPr="00E4628E" w:rsidRDefault="00DD11F7" w:rsidP="00E4628E">
      <w:pPr>
        <w:spacing w:before="100" w:beforeAutospacing="1" w:after="100" w:afterAutospacing="1" w:line="276" w:lineRule="auto"/>
        <w:jc w:val="both"/>
        <w:rPr>
          <w:sz w:val="24"/>
          <w:szCs w:val="24"/>
          <w:lang w:eastAsia="es-ES"/>
        </w:rPr>
      </w:pPr>
      <w:r w:rsidRPr="00E4628E">
        <w:rPr>
          <w:sz w:val="24"/>
          <w:szCs w:val="24"/>
          <w:lang w:eastAsia="es-ES"/>
        </w:rPr>
        <w:t>Como recurso natural que es, el espectro radioeléctrico constituye un bien de dominio público, tal y como lo prescribe el artículo 7 de la Ley General de Telecomunicaciones</w:t>
      </w:r>
      <w:r w:rsidR="006B28BB" w:rsidRPr="00E4628E">
        <w:rPr>
          <w:sz w:val="24"/>
          <w:szCs w:val="24"/>
          <w:lang w:eastAsia="es-ES"/>
        </w:rPr>
        <w:t xml:space="preserve">, </w:t>
      </w:r>
      <w:r w:rsidRPr="00E4628E">
        <w:rPr>
          <w:sz w:val="24"/>
          <w:szCs w:val="24"/>
          <w:lang w:eastAsia="es-ES"/>
        </w:rPr>
        <w:t>Ley N</w:t>
      </w:r>
      <w:r w:rsidR="0011506F" w:rsidRPr="00E4628E">
        <w:rPr>
          <w:sz w:val="24"/>
          <w:szCs w:val="24"/>
          <w:lang w:eastAsia="es-ES"/>
        </w:rPr>
        <w:t>º</w:t>
      </w:r>
      <w:r w:rsidR="006B28BB" w:rsidRPr="00E4628E">
        <w:rPr>
          <w:sz w:val="24"/>
          <w:szCs w:val="24"/>
          <w:lang w:eastAsia="es-ES"/>
        </w:rPr>
        <w:t xml:space="preserve"> 8642</w:t>
      </w:r>
      <w:r w:rsidRPr="00E4628E">
        <w:rPr>
          <w:sz w:val="24"/>
          <w:szCs w:val="24"/>
          <w:lang w:eastAsia="es-ES"/>
        </w:rPr>
        <w:t xml:space="preserve">. </w:t>
      </w:r>
      <w:r w:rsidR="00A114DC" w:rsidRPr="00E4628E">
        <w:rPr>
          <w:sz w:val="24"/>
          <w:szCs w:val="24"/>
          <w:lang w:eastAsia="es-ES"/>
        </w:rPr>
        <w:t>Debido a</w:t>
      </w:r>
      <w:r w:rsidRPr="00E4628E">
        <w:rPr>
          <w:sz w:val="24"/>
          <w:szCs w:val="24"/>
          <w:lang w:eastAsia="es-ES"/>
        </w:rPr>
        <w:t xml:space="preserve"> este carácter, posee las características de los bienes demaniales, es decir, son aquellos que por su naturaleza o por decisión de la Asamblea Legislativa, por una votación de al menos dos terceras partes de sus miembros, están afectados a un uso público; por lo que son inalienables, imprescriptibles y están fuera del comercio de los hombres. Sobre los mismos, la Sala Constitucional mediante su voto Nº 02408 de las 16:13 </w:t>
      </w:r>
      <w:r w:rsidR="00A114DC" w:rsidRPr="00E4628E">
        <w:rPr>
          <w:sz w:val="24"/>
          <w:szCs w:val="24"/>
          <w:lang w:eastAsia="es-ES"/>
        </w:rPr>
        <w:t>horas</w:t>
      </w:r>
      <w:r w:rsidRPr="00E4628E">
        <w:rPr>
          <w:sz w:val="24"/>
          <w:szCs w:val="24"/>
          <w:lang w:eastAsia="es-ES"/>
        </w:rPr>
        <w:t xml:space="preserve"> de</w:t>
      </w:r>
      <w:r w:rsidR="007B4E4A">
        <w:rPr>
          <w:sz w:val="24"/>
          <w:szCs w:val="24"/>
          <w:lang w:eastAsia="es-ES"/>
        </w:rPr>
        <w:t xml:space="preserve"> fecha</w:t>
      </w:r>
      <w:r w:rsidRPr="00E4628E">
        <w:rPr>
          <w:sz w:val="24"/>
          <w:szCs w:val="24"/>
          <w:lang w:eastAsia="es-ES"/>
        </w:rPr>
        <w:t xml:space="preserve"> 21 de febrero de 2007, ha indicado:</w:t>
      </w:r>
    </w:p>
    <w:p w14:paraId="4D0DF774" w14:textId="7F0C3FC6" w:rsidR="00DD11F7" w:rsidRPr="00E4628E" w:rsidRDefault="00DD11F7" w:rsidP="00E4628E">
      <w:pPr>
        <w:spacing w:before="100" w:beforeAutospacing="1" w:after="100" w:afterAutospacing="1" w:line="276" w:lineRule="auto"/>
        <w:ind w:left="1418" w:right="1183"/>
        <w:jc w:val="both"/>
        <w:rPr>
          <w:i/>
          <w:sz w:val="24"/>
          <w:szCs w:val="24"/>
          <w:lang w:eastAsia="es-ES"/>
        </w:rPr>
      </w:pPr>
      <w:r w:rsidRPr="00E4628E">
        <w:rPr>
          <w:i/>
          <w:sz w:val="24"/>
          <w:szCs w:val="24"/>
          <w:lang w:eastAsia="es-ES"/>
        </w:rPr>
        <w:t>“</w:t>
      </w:r>
      <w:r w:rsidR="0011506F" w:rsidRPr="00E4628E">
        <w:rPr>
          <w:i/>
          <w:sz w:val="24"/>
          <w:szCs w:val="24"/>
          <w:lang w:eastAsia="es-ES"/>
        </w:rPr>
        <w:t xml:space="preserve">(…) </w:t>
      </w:r>
      <w:r w:rsidRPr="00E4628E">
        <w:rPr>
          <w:i/>
          <w:sz w:val="24"/>
          <w:szCs w:val="24"/>
          <w:lang w:eastAsia="es-ES"/>
        </w:rPr>
        <w:t>son aquellos que tienen una naturaleza y régimen jurídico diverso de los bienes privados –los cuales se rigen por el derecho de propiedad en los términos del artículo 45 de la Constitución Política–, en tanto, por expresa voluntad del legislador se encuentran afectos a un destino especial de servir a la comunidad, sea al interés público, y que por ello, no pueden ser objeto de propiedad privada, de modo que están fuera del comercio de los hombres, por lo cual, no pueden pertenecer individualmente a los particulares, ni al Estado, en sentido estricto, por cuanto éste se limita a su administración y tutela</w:t>
      </w:r>
      <w:r w:rsidR="0011506F" w:rsidRPr="00E4628E">
        <w:rPr>
          <w:i/>
          <w:sz w:val="24"/>
          <w:szCs w:val="24"/>
          <w:lang w:eastAsia="es-ES"/>
        </w:rPr>
        <w:t>.(</w:t>
      </w:r>
      <w:r w:rsidRPr="00E4628E">
        <w:rPr>
          <w:i/>
          <w:sz w:val="24"/>
          <w:szCs w:val="24"/>
          <w:lang w:eastAsia="es-ES"/>
        </w:rPr>
        <w:t>…</w:t>
      </w:r>
      <w:r w:rsidR="0011506F" w:rsidRPr="00E4628E">
        <w:rPr>
          <w:i/>
          <w:sz w:val="24"/>
          <w:szCs w:val="24"/>
          <w:lang w:eastAsia="es-ES"/>
        </w:rPr>
        <w:t>)</w:t>
      </w:r>
      <w:r w:rsidRPr="00E4628E">
        <w:rPr>
          <w:i/>
          <w:sz w:val="24"/>
          <w:szCs w:val="24"/>
          <w:lang w:eastAsia="es-ES"/>
        </w:rPr>
        <w:t>”</w:t>
      </w:r>
    </w:p>
    <w:p w14:paraId="2BDB09B7" w14:textId="17580392" w:rsidR="00DD11F7" w:rsidRPr="00E4628E" w:rsidRDefault="002B30AD" w:rsidP="00E4628E">
      <w:pPr>
        <w:spacing w:before="100" w:beforeAutospacing="1" w:after="100" w:afterAutospacing="1" w:line="276" w:lineRule="auto"/>
        <w:jc w:val="both"/>
        <w:rPr>
          <w:sz w:val="24"/>
          <w:szCs w:val="24"/>
          <w:lang w:eastAsia="es-ES"/>
        </w:rPr>
      </w:pPr>
      <w:r w:rsidRPr="00E4628E">
        <w:rPr>
          <w:sz w:val="24"/>
          <w:szCs w:val="24"/>
          <w:lang w:eastAsia="es-ES"/>
        </w:rPr>
        <w:t>De tal manera,</w:t>
      </w:r>
      <w:r w:rsidR="00DD11F7" w:rsidRPr="00E4628E">
        <w:rPr>
          <w:sz w:val="24"/>
          <w:szCs w:val="24"/>
          <w:lang w:eastAsia="es-ES"/>
        </w:rPr>
        <w:t xml:space="preserve"> se encuentra comprometido el interés público</w:t>
      </w:r>
      <w:r w:rsidR="00BF55FA" w:rsidRPr="00E4628E">
        <w:rPr>
          <w:sz w:val="24"/>
          <w:szCs w:val="24"/>
          <w:lang w:eastAsia="es-ES"/>
        </w:rPr>
        <w:t>, por lo que</w:t>
      </w:r>
      <w:r w:rsidR="00DD11F7" w:rsidRPr="00E4628E">
        <w:rPr>
          <w:sz w:val="24"/>
          <w:szCs w:val="24"/>
          <w:lang w:eastAsia="es-ES"/>
        </w:rPr>
        <w:t xml:space="preserve"> se les aplica lo dispuesto en el artículo 261 del Código Civil y que reza:</w:t>
      </w:r>
    </w:p>
    <w:p w14:paraId="0D106C87" w14:textId="6C6F6D29" w:rsidR="00DD11F7" w:rsidRPr="00E4628E" w:rsidRDefault="0011506F" w:rsidP="00E4628E">
      <w:pPr>
        <w:spacing w:before="100" w:beforeAutospacing="1" w:after="100" w:afterAutospacing="1" w:line="276" w:lineRule="auto"/>
        <w:ind w:left="1418" w:right="1183"/>
        <w:jc w:val="both"/>
        <w:rPr>
          <w:i/>
          <w:sz w:val="24"/>
          <w:szCs w:val="24"/>
          <w:lang w:eastAsia="es-ES"/>
        </w:rPr>
      </w:pPr>
      <w:r w:rsidRPr="00E4628E">
        <w:rPr>
          <w:i/>
          <w:sz w:val="24"/>
          <w:szCs w:val="24"/>
          <w:lang w:eastAsia="es-ES"/>
        </w:rPr>
        <w:t>“</w:t>
      </w:r>
      <w:r w:rsidR="00DD11F7" w:rsidRPr="00E4628E">
        <w:rPr>
          <w:i/>
          <w:sz w:val="24"/>
          <w:szCs w:val="24"/>
          <w:lang w:eastAsia="es-ES"/>
        </w:rPr>
        <w:t>Artículo 261</w:t>
      </w:r>
      <w:r w:rsidR="00F52C10">
        <w:rPr>
          <w:i/>
          <w:sz w:val="24"/>
          <w:szCs w:val="24"/>
          <w:lang w:eastAsia="es-ES"/>
        </w:rPr>
        <w:t>.</w:t>
      </w:r>
    </w:p>
    <w:p w14:paraId="4A202F9D" w14:textId="5AE33F4A" w:rsidR="00DD11F7" w:rsidRPr="00E4628E" w:rsidRDefault="00DD11F7" w:rsidP="00E4628E">
      <w:pPr>
        <w:spacing w:before="100" w:beforeAutospacing="1" w:after="100" w:afterAutospacing="1" w:line="276" w:lineRule="auto"/>
        <w:ind w:left="1418" w:right="1183"/>
        <w:jc w:val="both"/>
        <w:rPr>
          <w:i/>
          <w:sz w:val="24"/>
          <w:szCs w:val="24"/>
          <w:lang w:eastAsia="es-ES"/>
        </w:rPr>
      </w:pPr>
      <w:r w:rsidRPr="00E4628E">
        <w:rPr>
          <w:i/>
          <w:sz w:val="24"/>
          <w:szCs w:val="24"/>
          <w:lang w:eastAsia="es-ES"/>
        </w:rPr>
        <w:t>Son cosas públicas, las que por ley, están destinadas de un modo permanente a cualquier servicio de utilidad general, y aquéllas de que todos pueden aprovecharse por estar entregadas a uso público</w:t>
      </w:r>
      <w:r w:rsidR="007B4E4A">
        <w:rPr>
          <w:i/>
          <w:sz w:val="24"/>
          <w:szCs w:val="24"/>
          <w:lang w:eastAsia="es-ES"/>
        </w:rPr>
        <w:t xml:space="preserve"> (</w:t>
      </w:r>
      <w:r w:rsidRPr="00E4628E">
        <w:rPr>
          <w:i/>
          <w:sz w:val="24"/>
          <w:szCs w:val="24"/>
          <w:lang w:eastAsia="es-ES"/>
        </w:rPr>
        <w:t>…</w:t>
      </w:r>
      <w:r w:rsidR="007B4E4A">
        <w:rPr>
          <w:i/>
          <w:sz w:val="24"/>
          <w:szCs w:val="24"/>
          <w:lang w:eastAsia="es-ES"/>
        </w:rPr>
        <w:t>)</w:t>
      </w:r>
      <w:r w:rsidRPr="00E4628E">
        <w:rPr>
          <w:i/>
          <w:sz w:val="24"/>
          <w:szCs w:val="24"/>
          <w:lang w:eastAsia="es-ES"/>
        </w:rPr>
        <w:t>”</w:t>
      </w:r>
      <w:r w:rsidR="0011506F" w:rsidRPr="00E4628E">
        <w:rPr>
          <w:i/>
          <w:sz w:val="24"/>
          <w:szCs w:val="24"/>
          <w:lang w:eastAsia="es-ES"/>
        </w:rPr>
        <w:t>.</w:t>
      </w:r>
    </w:p>
    <w:p w14:paraId="4FCF7932" w14:textId="08BF6106" w:rsidR="00DD11F7" w:rsidRPr="00E4628E" w:rsidRDefault="00DD11F7" w:rsidP="00E4628E">
      <w:pPr>
        <w:spacing w:before="100" w:beforeAutospacing="1" w:after="100" w:afterAutospacing="1" w:line="276" w:lineRule="auto"/>
        <w:jc w:val="both"/>
        <w:rPr>
          <w:sz w:val="24"/>
          <w:szCs w:val="24"/>
          <w:lang w:eastAsia="es-ES"/>
        </w:rPr>
      </w:pPr>
      <w:r w:rsidRPr="00E4628E">
        <w:rPr>
          <w:sz w:val="24"/>
          <w:szCs w:val="24"/>
          <w:lang w:eastAsia="es-ES"/>
        </w:rPr>
        <w:lastRenderedPageBreak/>
        <w:t xml:space="preserve">En </w:t>
      </w:r>
      <w:r w:rsidR="0011506F" w:rsidRPr="00E4628E">
        <w:rPr>
          <w:sz w:val="24"/>
          <w:szCs w:val="24"/>
          <w:lang w:eastAsia="es-ES"/>
        </w:rPr>
        <w:t>virtud de lo anterior</w:t>
      </w:r>
      <w:r w:rsidRPr="00E4628E">
        <w:rPr>
          <w:sz w:val="24"/>
          <w:szCs w:val="24"/>
          <w:lang w:eastAsia="es-ES"/>
        </w:rPr>
        <w:t>, resulta ev</w:t>
      </w:r>
      <w:r w:rsidR="00C54DF0" w:rsidRPr="00E4628E">
        <w:rPr>
          <w:sz w:val="24"/>
          <w:szCs w:val="24"/>
          <w:lang w:eastAsia="es-ES"/>
        </w:rPr>
        <w:t xml:space="preserve">idente que los bienes públicos </w:t>
      </w:r>
      <w:r w:rsidRPr="00E4628E">
        <w:rPr>
          <w:sz w:val="24"/>
          <w:szCs w:val="24"/>
          <w:lang w:eastAsia="es-ES"/>
        </w:rPr>
        <w:t xml:space="preserve">y con ellos el espectro radioeléctrico, tienen un destino diferente, por estar afectados a un uso común tal y como lo indicó la Sala Constitucional, mediante sentencia </w:t>
      </w:r>
      <w:r w:rsidR="00972725" w:rsidRPr="00E4628E">
        <w:rPr>
          <w:sz w:val="24"/>
          <w:szCs w:val="24"/>
          <w:lang w:eastAsia="es-ES"/>
        </w:rPr>
        <w:t>Nº</w:t>
      </w:r>
      <w:r w:rsidR="0011506F" w:rsidRPr="00E4628E">
        <w:rPr>
          <w:sz w:val="24"/>
          <w:szCs w:val="24"/>
          <w:lang w:eastAsia="es-ES"/>
        </w:rPr>
        <w:t xml:space="preserve"> </w:t>
      </w:r>
      <w:bookmarkStart w:id="4" w:name="_Hlk493511487"/>
      <w:r w:rsidRPr="00E4628E">
        <w:rPr>
          <w:sz w:val="24"/>
          <w:szCs w:val="24"/>
          <w:lang w:eastAsia="es-ES"/>
        </w:rPr>
        <w:t xml:space="preserve">2301-91, </w:t>
      </w:r>
      <w:bookmarkEnd w:id="4"/>
      <w:r w:rsidRPr="00E4628E">
        <w:rPr>
          <w:sz w:val="24"/>
          <w:szCs w:val="24"/>
          <w:lang w:eastAsia="es-ES"/>
        </w:rPr>
        <w:t>de</w:t>
      </w:r>
      <w:r w:rsidR="00BF55FA" w:rsidRPr="00E4628E">
        <w:rPr>
          <w:sz w:val="24"/>
          <w:szCs w:val="24"/>
          <w:lang w:eastAsia="es-ES"/>
        </w:rPr>
        <w:t xml:space="preserve"> fecha</w:t>
      </w:r>
      <w:r w:rsidRPr="00E4628E">
        <w:rPr>
          <w:sz w:val="24"/>
          <w:szCs w:val="24"/>
          <w:lang w:eastAsia="es-ES"/>
        </w:rPr>
        <w:t xml:space="preserve"> 6 de noviembre de 1991, al señalar que: </w:t>
      </w:r>
    </w:p>
    <w:p w14:paraId="656940DD" w14:textId="77777777" w:rsidR="00DD11F7" w:rsidRPr="00E4628E" w:rsidRDefault="00DD11F7" w:rsidP="00E4628E">
      <w:pPr>
        <w:spacing w:before="100" w:beforeAutospacing="1" w:after="100" w:afterAutospacing="1" w:line="276" w:lineRule="auto"/>
        <w:ind w:left="1418" w:right="1183"/>
        <w:jc w:val="both"/>
        <w:rPr>
          <w:i/>
          <w:sz w:val="24"/>
          <w:szCs w:val="24"/>
          <w:lang w:eastAsia="es-ES"/>
        </w:rPr>
      </w:pPr>
      <w:r w:rsidRPr="00E4628E">
        <w:rPr>
          <w:i/>
          <w:sz w:val="24"/>
          <w:szCs w:val="24"/>
          <w:lang w:eastAsia="es-ES"/>
        </w:rPr>
        <w:t>“El dominio público se encuentra integrado por bienes que manifiestan, por voluntad expresa del legislador, un destino especial de servir a la comunidad, al interés público.  Son los llamados bienes dominicales, bienes demaniales, bienes o cosas públicas o bienes públicos, que no pertenecen individualmente a los particulares y que están destinados a un uso público y sometidos a un régimen especial, fuera del comercio de los hombres. Es decir, afectados por su propia naturaleza y vocación. En consecuencia, esos bienes pertenecen al Estado en el sentido más amplio del concepto, están afectados al servicio que prestan y que invariablemente es esencial en virtud norma expresa.”</w:t>
      </w:r>
    </w:p>
    <w:p w14:paraId="11EA45FD" w14:textId="42E2EF56" w:rsidR="00DD11F7" w:rsidRPr="00E4628E" w:rsidRDefault="00DD11F7" w:rsidP="00E4628E">
      <w:pPr>
        <w:spacing w:before="100" w:beforeAutospacing="1" w:after="100" w:afterAutospacing="1" w:line="276" w:lineRule="auto"/>
        <w:jc w:val="both"/>
        <w:rPr>
          <w:sz w:val="24"/>
          <w:szCs w:val="24"/>
          <w:lang w:eastAsia="es-ES"/>
        </w:rPr>
      </w:pPr>
      <w:r w:rsidRPr="00E4628E">
        <w:rPr>
          <w:sz w:val="24"/>
          <w:szCs w:val="24"/>
          <w:lang w:eastAsia="es-ES"/>
        </w:rPr>
        <w:t xml:space="preserve">Particularmente, respecto a los servicios inalámbricos, específicamente estableció la jurisprudencia constitucional mediante el voto Nº 06053-2002 de las 14:38 </w:t>
      </w:r>
      <w:r w:rsidR="00A114DC" w:rsidRPr="00E4628E">
        <w:rPr>
          <w:sz w:val="24"/>
          <w:szCs w:val="24"/>
          <w:lang w:eastAsia="es-ES"/>
        </w:rPr>
        <w:t>horas</w:t>
      </w:r>
      <w:r w:rsidRPr="00E4628E">
        <w:rPr>
          <w:sz w:val="24"/>
          <w:szCs w:val="24"/>
          <w:lang w:eastAsia="es-ES"/>
        </w:rPr>
        <w:t xml:space="preserve"> de</w:t>
      </w:r>
      <w:r w:rsidR="00F52C10">
        <w:rPr>
          <w:sz w:val="24"/>
          <w:szCs w:val="24"/>
          <w:lang w:eastAsia="es-ES"/>
        </w:rPr>
        <w:t xml:space="preserve"> fecha</w:t>
      </w:r>
      <w:r w:rsidRPr="00E4628E">
        <w:rPr>
          <w:sz w:val="24"/>
          <w:szCs w:val="24"/>
          <w:lang w:eastAsia="es-ES"/>
        </w:rPr>
        <w:t xml:space="preserve"> 19 de junio de 2002, lo siguiente:</w:t>
      </w:r>
    </w:p>
    <w:p w14:paraId="638BBD5F" w14:textId="77777777" w:rsidR="00DD11F7" w:rsidRPr="00E4628E" w:rsidRDefault="00DD11F7" w:rsidP="00E4628E">
      <w:pPr>
        <w:spacing w:before="100" w:beforeAutospacing="1" w:after="100" w:afterAutospacing="1" w:line="276" w:lineRule="auto"/>
        <w:ind w:left="1418" w:right="1183"/>
        <w:jc w:val="both"/>
        <w:rPr>
          <w:i/>
          <w:sz w:val="24"/>
          <w:szCs w:val="24"/>
          <w:lang w:eastAsia="es-ES"/>
        </w:rPr>
      </w:pPr>
      <w:r w:rsidRPr="00E4628E">
        <w:rPr>
          <w:i/>
          <w:sz w:val="24"/>
          <w:szCs w:val="24"/>
          <w:lang w:eastAsia="es-ES"/>
        </w:rPr>
        <w:t>“Los servicios inalámbricos no constituyen un bien que el particular tenga el derecho innato a usarlo o que ejerza sobre el mismo algún tipo de derechos o que el Estado tenga la obligación de ponerlo a disposición del particular, lo que ocurre es que si el Estado a bien lo tiene y estima que puede disponer de ese bien para que sea explotado por el particular o bien por la misma Administración lo realice mediante la correspondiente concesión administrativa o legislativa otorgada en forma temporal, según el caso, en virtud que las ondas etéreas forman parte del espectro el cual es un bien demanial perteneciente a la Nación.”</w:t>
      </w:r>
    </w:p>
    <w:p w14:paraId="02ECC3C7" w14:textId="77777777" w:rsidR="00DD11F7" w:rsidRPr="00E4628E" w:rsidRDefault="00DD11F7" w:rsidP="00E4628E">
      <w:pPr>
        <w:spacing w:before="100" w:beforeAutospacing="1" w:after="100" w:afterAutospacing="1" w:line="276" w:lineRule="auto"/>
        <w:jc w:val="both"/>
        <w:rPr>
          <w:sz w:val="24"/>
          <w:szCs w:val="24"/>
          <w:lang w:eastAsia="es-ES"/>
        </w:rPr>
      </w:pPr>
      <w:r w:rsidRPr="00E4628E">
        <w:rPr>
          <w:sz w:val="24"/>
          <w:szCs w:val="24"/>
          <w:lang w:eastAsia="es-ES"/>
        </w:rPr>
        <w:lastRenderedPageBreak/>
        <w:t>Como lo indica la jurisprudencia</w:t>
      </w:r>
      <w:r w:rsidR="004C546F" w:rsidRPr="00E4628E">
        <w:rPr>
          <w:sz w:val="24"/>
          <w:szCs w:val="24"/>
          <w:lang w:eastAsia="es-ES"/>
        </w:rPr>
        <w:t>,</w:t>
      </w:r>
      <w:r w:rsidRPr="00E4628E">
        <w:rPr>
          <w:sz w:val="24"/>
          <w:szCs w:val="24"/>
          <w:lang w:eastAsia="es-ES"/>
        </w:rPr>
        <w:t xml:space="preserve"> los servicios inalámbricos solo pueden ser explotados mediante concesión, la cual según el autor Ernesto Jinesta Lobo, en su Tratado Derecho Administrativo, se define como: </w:t>
      </w:r>
    </w:p>
    <w:p w14:paraId="501F49BC" w14:textId="0F8583DB" w:rsidR="00DD11F7" w:rsidRPr="00E4628E" w:rsidRDefault="00DD11F7" w:rsidP="00E4628E">
      <w:pPr>
        <w:spacing w:before="100" w:beforeAutospacing="1" w:after="100" w:afterAutospacing="1" w:line="276" w:lineRule="auto"/>
        <w:ind w:left="1418" w:right="1183"/>
        <w:jc w:val="both"/>
        <w:rPr>
          <w:i/>
          <w:sz w:val="24"/>
          <w:szCs w:val="24"/>
          <w:lang w:eastAsia="es-ES"/>
        </w:rPr>
      </w:pPr>
      <w:r w:rsidRPr="00E4628E">
        <w:rPr>
          <w:i/>
          <w:sz w:val="24"/>
          <w:szCs w:val="24"/>
          <w:lang w:eastAsia="es-ES"/>
        </w:rPr>
        <w:t>“</w:t>
      </w:r>
      <w:r w:rsidR="00DE0A7D" w:rsidRPr="00E4628E">
        <w:rPr>
          <w:i/>
          <w:sz w:val="24"/>
          <w:szCs w:val="24"/>
          <w:lang w:eastAsia="es-ES"/>
        </w:rPr>
        <w:t>(…)</w:t>
      </w:r>
      <w:r w:rsidR="002B30AD" w:rsidRPr="00E4628E">
        <w:rPr>
          <w:i/>
          <w:sz w:val="24"/>
          <w:szCs w:val="24"/>
          <w:lang w:eastAsia="es-ES"/>
        </w:rPr>
        <w:t xml:space="preserve"> </w:t>
      </w:r>
      <w:r w:rsidRPr="00E4628E">
        <w:rPr>
          <w:i/>
          <w:sz w:val="24"/>
          <w:szCs w:val="24"/>
          <w:lang w:eastAsia="es-ES"/>
        </w:rPr>
        <w:t xml:space="preserve">el acto por el cual la administración pública le transfiere a otro sujeto de derecho normalmente, un sujeto de derecho </w:t>
      </w:r>
      <w:r w:rsidR="00D42375" w:rsidRPr="00E4628E">
        <w:rPr>
          <w:i/>
          <w:sz w:val="24"/>
          <w:szCs w:val="24"/>
          <w:lang w:eastAsia="es-ES"/>
        </w:rPr>
        <w:t>privado</w:t>
      </w:r>
      <w:r w:rsidRPr="00E4628E">
        <w:rPr>
          <w:i/>
          <w:sz w:val="24"/>
          <w:szCs w:val="24"/>
          <w:lang w:eastAsia="es-ES"/>
        </w:rPr>
        <w:t xml:space="preserve"> sea persona física o jurídica un poder o derecho propio o no que el segundo no tenía antes.  La concesión confiere un estatus jurídico, una situación jurídica o un derecho, precisamente, su característica esencial estriba en caracterizarse por ser un acto administrativo creador de derechos.” </w:t>
      </w:r>
      <w:r w:rsidRPr="002C46D1">
        <w:rPr>
          <w:sz w:val="24"/>
          <w:szCs w:val="24"/>
          <w:lang w:eastAsia="es-ES"/>
        </w:rPr>
        <w:t>(Ernesto Jinesta Lobo, Tratado de Derecho Administrativo, Tomo I, Editorial Biblioteca Jurídica, pág. 451</w:t>
      </w:r>
      <w:r w:rsidR="00DE0A7D" w:rsidRPr="002C46D1">
        <w:rPr>
          <w:sz w:val="24"/>
          <w:szCs w:val="24"/>
          <w:lang w:eastAsia="es-ES"/>
        </w:rPr>
        <w:t>)</w:t>
      </w:r>
    </w:p>
    <w:p w14:paraId="5B5CA417" w14:textId="6BB08BD8" w:rsidR="00DD11F7" w:rsidRPr="00E4628E" w:rsidRDefault="00DD11F7" w:rsidP="00E4628E">
      <w:pPr>
        <w:spacing w:before="100" w:beforeAutospacing="1" w:after="100" w:afterAutospacing="1" w:line="276" w:lineRule="auto"/>
        <w:jc w:val="both"/>
        <w:rPr>
          <w:sz w:val="24"/>
          <w:szCs w:val="24"/>
          <w:lang w:eastAsia="es-ES"/>
        </w:rPr>
      </w:pPr>
      <w:r w:rsidRPr="00E4628E">
        <w:rPr>
          <w:sz w:val="24"/>
          <w:szCs w:val="24"/>
          <w:lang w:eastAsia="es-ES"/>
        </w:rPr>
        <w:t xml:space="preserve">Así las cosas, esta Dirección concuerda con lo establecido por la Procuraduría General de la República en el Dictamen Jurídico </w:t>
      </w:r>
      <w:r w:rsidR="001F3CF7">
        <w:rPr>
          <w:sz w:val="24"/>
          <w:szCs w:val="24"/>
          <w:lang w:eastAsia="es-ES"/>
        </w:rPr>
        <w:t xml:space="preserve">vinculante </w:t>
      </w:r>
      <w:r w:rsidR="00DE0A7D" w:rsidRPr="00E4628E">
        <w:rPr>
          <w:sz w:val="24"/>
          <w:szCs w:val="24"/>
          <w:lang w:eastAsia="es-ES"/>
        </w:rPr>
        <w:t xml:space="preserve">Nº </w:t>
      </w:r>
      <w:r w:rsidRPr="00E4628E">
        <w:rPr>
          <w:sz w:val="24"/>
          <w:szCs w:val="24"/>
          <w:lang w:eastAsia="es-ES"/>
        </w:rPr>
        <w:t>C-017-2000, de</w:t>
      </w:r>
      <w:r w:rsidR="00F52C10">
        <w:rPr>
          <w:sz w:val="24"/>
          <w:szCs w:val="24"/>
          <w:lang w:eastAsia="es-ES"/>
        </w:rPr>
        <w:t xml:space="preserve"> fecha</w:t>
      </w:r>
      <w:r w:rsidRPr="00E4628E">
        <w:rPr>
          <w:sz w:val="24"/>
          <w:szCs w:val="24"/>
          <w:lang w:eastAsia="es-ES"/>
        </w:rPr>
        <w:t xml:space="preserve"> 31 de enero de 2000</w:t>
      </w:r>
      <w:r w:rsidR="00F52C10">
        <w:rPr>
          <w:sz w:val="24"/>
          <w:szCs w:val="24"/>
          <w:lang w:eastAsia="es-ES"/>
        </w:rPr>
        <w:t>,</w:t>
      </w:r>
      <w:r w:rsidRPr="00E4628E">
        <w:rPr>
          <w:sz w:val="24"/>
          <w:szCs w:val="24"/>
          <w:lang w:eastAsia="es-ES"/>
        </w:rPr>
        <w:t xml:space="preserve"> al indicar que: </w:t>
      </w:r>
    </w:p>
    <w:p w14:paraId="0C0FDB54" w14:textId="4CDC21BB" w:rsidR="00DD11F7" w:rsidRPr="00E4628E" w:rsidRDefault="00DD11F7" w:rsidP="00E4628E">
      <w:pPr>
        <w:spacing w:before="100" w:beforeAutospacing="1" w:after="100" w:afterAutospacing="1" w:line="276" w:lineRule="auto"/>
        <w:ind w:left="1418" w:right="1183"/>
        <w:jc w:val="both"/>
        <w:rPr>
          <w:i/>
          <w:sz w:val="24"/>
          <w:szCs w:val="24"/>
          <w:lang w:eastAsia="es-ES"/>
        </w:rPr>
      </w:pPr>
      <w:r w:rsidRPr="00E4628E">
        <w:rPr>
          <w:i/>
          <w:sz w:val="24"/>
          <w:szCs w:val="24"/>
          <w:lang w:eastAsia="es-ES"/>
        </w:rPr>
        <w:t>“Conforme lo dispuesto en el artículo 121, inciso 14 de la Constitución Política y lo ha desarrollado la jurisprudencia constitucional y administrativa, el espectro electromagnético constituye un bien del Estado. Como tal es un bien demanial, que no puede salir del dominio del Estado</w:t>
      </w:r>
      <w:r w:rsidR="007B4E4A">
        <w:rPr>
          <w:i/>
          <w:sz w:val="24"/>
          <w:szCs w:val="24"/>
          <w:lang w:eastAsia="es-ES"/>
        </w:rPr>
        <w:t xml:space="preserve"> (</w:t>
      </w:r>
      <w:r w:rsidRPr="00E4628E">
        <w:rPr>
          <w:i/>
          <w:sz w:val="24"/>
          <w:szCs w:val="24"/>
          <w:lang w:eastAsia="es-ES"/>
        </w:rPr>
        <w:t>…</w:t>
      </w:r>
      <w:r w:rsidR="007B4E4A">
        <w:rPr>
          <w:i/>
          <w:sz w:val="24"/>
          <w:szCs w:val="24"/>
          <w:lang w:eastAsia="es-ES"/>
        </w:rPr>
        <w:t>).</w:t>
      </w:r>
      <w:r w:rsidRPr="00E4628E">
        <w:rPr>
          <w:i/>
          <w:sz w:val="24"/>
          <w:szCs w:val="24"/>
          <w:lang w:eastAsia="es-ES"/>
        </w:rPr>
        <w:t xml:space="preserve">” </w:t>
      </w:r>
    </w:p>
    <w:p w14:paraId="575DD83E" w14:textId="77777777" w:rsidR="00DD11F7" w:rsidRPr="00E4628E" w:rsidRDefault="004C546F" w:rsidP="00E4628E">
      <w:pPr>
        <w:spacing w:before="100" w:beforeAutospacing="1" w:after="100" w:afterAutospacing="1" w:line="276" w:lineRule="auto"/>
        <w:jc w:val="both"/>
        <w:rPr>
          <w:sz w:val="24"/>
          <w:szCs w:val="24"/>
          <w:lang w:eastAsia="es-ES"/>
        </w:rPr>
      </w:pPr>
      <w:r w:rsidRPr="00E4628E">
        <w:rPr>
          <w:sz w:val="24"/>
          <w:szCs w:val="24"/>
          <w:lang w:eastAsia="es-ES"/>
        </w:rPr>
        <w:t>En el</w:t>
      </w:r>
      <w:r w:rsidR="00DD11F7" w:rsidRPr="00E4628E">
        <w:rPr>
          <w:sz w:val="24"/>
          <w:szCs w:val="24"/>
          <w:lang w:eastAsia="es-ES"/>
        </w:rPr>
        <w:t xml:space="preserve"> mismo informe citado, la Procuraduría determinó que las empresas extranjeras que se dedican a la venta de señal vía satélite hacia el territorio nacional requieren de una concesión aprobada para usar el espectro radioeléctrico y vender la señal en el país. De este modo, señaló que: </w:t>
      </w:r>
    </w:p>
    <w:p w14:paraId="463D9B3D" w14:textId="77777777" w:rsidR="00DD11F7" w:rsidRPr="00E4628E" w:rsidRDefault="00DE0A7D" w:rsidP="00E4628E">
      <w:pPr>
        <w:spacing w:before="100" w:beforeAutospacing="1" w:after="100" w:afterAutospacing="1" w:line="276" w:lineRule="auto"/>
        <w:ind w:left="1418" w:right="1183"/>
        <w:jc w:val="both"/>
        <w:rPr>
          <w:i/>
          <w:sz w:val="24"/>
          <w:szCs w:val="24"/>
          <w:lang w:eastAsia="es-ES"/>
        </w:rPr>
      </w:pPr>
      <w:r w:rsidRPr="00E4628E">
        <w:rPr>
          <w:i/>
          <w:sz w:val="24"/>
          <w:szCs w:val="24"/>
          <w:lang w:eastAsia="es-ES"/>
        </w:rPr>
        <w:t>“</w:t>
      </w:r>
      <w:r w:rsidR="00DD11F7" w:rsidRPr="00E4628E">
        <w:rPr>
          <w:i/>
          <w:sz w:val="24"/>
          <w:szCs w:val="24"/>
          <w:lang w:eastAsia="es-ES"/>
        </w:rPr>
        <w:t xml:space="preserve">La señal del satélite en su enlace descendente ocupa parte del espacio costarricense. La utilización del citado bien no se produce sólo con la recepción de la señal por la empresa instalada en el país, sino que tiene lugar desde que se envía o emite con destino hacia Costa Rica (entre otros destinos), utilizando el espectro que corresponde al Estado. Utilización del espectro que </w:t>
      </w:r>
      <w:r w:rsidR="00DD11F7" w:rsidRPr="00E4628E">
        <w:rPr>
          <w:i/>
          <w:sz w:val="24"/>
          <w:szCs w:val="24"/>
          <w:lang w:eastAsia="es-ES"/>
        </w:rPr>
        <w:lastRenderedPageBreak/>
        <w:t>produce, como necesaria consecuencia, la necesidad de una concesión en los términos dispuestos en el artículo 121, inciso 14 constitucional.”</w:t>
      </w:r>
    </w:p>
    <w:p w14:paraId="44794F66" w14:textId="3739E861" w:rsidR="00DD11F7" w:rsidRPr="00E4628E" w:rsidRDefault="006F306A" w:rsidP="00E4628E">
      <w:pPr>
        <w:pStyle w:val="Prrafodelista"/>
        <w:numPr>
          <w:ilvl w:val="0"/>
          <w:numId w:val="6"/>
        </w:numPr>
        <w:autoSpaceDE/>
        <w:autoSpaceDN/>
        <w:spacing w:line="276" w:lineRule="auto"/>
        <w:contextualSpacing/>
        <w:jc w:val="both"/>
        <w:rPr>
          <w:b/>
          <w:sz w:val="24"/>
          <w:szCs w:val="24"/>
        </w:rPr>
      </w:pPr>
      <w:r w:rsidRPr="00E4628E">
        <w:rPr>
          <w:b/>
          <w:sz w:val="24"/>
          <w:szCs w:val="24"/>
        </w:rPr>
        <w:t xml:space="preserve"> Ley Nº </w:t>
      </w:r>
      <w:r w:rsidR="00DD11F7" w:rsidRPr="00E4628E">
        <w:rPr>
          <w:b/>
          <w:sz w:val="24"/>
          <w:szCs w:val="24"/>
        </w:rPr>
        <w:t xml:space="preserve">7261 sobre la </w:t>
      </w:r>
      <w:r w:rsidR="00DD11F7" w:rsidRPr="00E4628E">
        <w:rPr>
          <w:b/>
          <w:sz w:val="24"/>
          <w:szCs w:val="24"/>
          <w:lang w:val="es-ES_tradnl"/>
        </w:rPr>
        <w:t>Aprobación al Convenio relativo a la Organización Internacional de Telecomunicaciones vía Satélite “INTELSAT”</w:t>
      </w:r>
    </w:p>
    <w:p w14:paraId="7CE7C688" w14:textId="77777777" w:rsidR="00DD11F7" w:rsidRPr="00E4628E" w:rsidRDefault="00DD11F7" w:rsidP="00E4628E">
      <w:pPr>
        <w:tabs>
          <w:tab w:val="left" w:pos="-720"/>
          <w:tab w:val="left" w:pos="0"/>
        </w:tabs>
        <w:spacing w:line="276" w:lineRule="auto"/>
        <w:ind w:right="51"/>
        <w:jc w:val="both"/>
        <w:rPr>
          <w:b/>
          <w:sz w:val="24"/>
          <w:szCs w:val="24"/>
        </w:rPr>
      </w:pPr>
    </w:p>
    <w:p w14:paraId="62B83E60" w14:textId="77777777" w:rsidR="00BA7792" w:rsidRPr="00E4628E" w:rsidRDefault="00BA7792" w:rsidP="00E4628E">
      <w:pPr>
        <w:tabs>
          <w:tab w:val="left" w:pos="-720"/>
          <w:tab w:val="left" w:pos="0"/>
        </w:tabs>
        <w:spacing w:line="276" w:lineRule="auto"/>
        <w:ind w:right="51"/>
        <w:jc w:val="both"/>
        <w:rPr>
          <w:sz w:val="24"/>
          <w:szCs w:val="24"/>
        </w:rPr>
      </w:pPr>
      <w:r w:rsidRPr="00E4628E">
        <w:rPr>
          <w:sz w:val="24"/>
          <w:szCs w:val="24"/>
        </w:rPr>
        <w:t xml:space="preserve">Habiendo realizado el análisis anterior, corresponde ahora conocer la normativa satelital vigente en nuestro ordenamiento jurídico.  </w:t>
      </w:r>
    </w:p>
    <w:p w14:paraId="513DC32A" w14:textId="77777777" w:rsidR="00BA7792" w:rsidRPr="00E4628E" w:rsidRDefault="00BA7792" w:rsidP="00E4628E">
      <w:pPr>
        <w:tabs>
          <w:tab w:val="left" w:pos="-720"/>
          <w:tab w:val="left" w:pos="0"/>
        </w:tabs>
        <w:spacing w:line="276" w:lineRule="auto"/>
        <w:ind w:right="51"/>
        <w:jc w:val="both"/>
        <w:rPr>
          <w:sz w:val="24"/>
          <w:szCs w:val="24"/>
        </w:rPr>
      </w:pPr>
    </w:p>
    <w:p w14:paraId="4974F760" w14:textId="24888DC5" w:rsidR="00DD11F7" w:rsidRPr="00E4628E" w:rsidRDefault="00FE66E2" w:rsidP="00E4628E">
      <w:pPr>
        <w:tabs>
          <w:tab w:val="left" w:pos="-720"/>
          <w:tab w:val="left" w:pos="0"/>
        </w:tabs>
        <w:spacing w:line="276" w:lineRule="auto"/>
        <w:ind w:right="51"/>
        <w:jc w:val="both"/>
        <w:rPr>
          <w:sz w:val="24"/>
          <w:szCs w:val="24"/>
        </w:rPr>
      </w:pPr>
      <w:r w:rsidRPr="00E4628E">
        <w:rPr>
          <w:sz w:val="24"/>
          <w:szCs w:val="24"/>
        </w:rPr>
        <w:t xml:space="preserve"> </w:t>
      </w:r>
      <w:r w:rsidR="00BA7792" w:rsidRPr="00E4628E">
        <w:rPr>
          <w:sz w:val="24"/>
          <w:szCs w:val="24"/>
        </w:rPr>
        <w:t>S</w:t>
      </w:r>
      <w:r w:rsidR="00DD11F7" w:rsidRPr="00E4628E">
        <w:rPr>
          <w:sz w:val="24"/>
          <w:szCs w:val="24"/>
        </w:rPr>
        <w:t xml:space="preserve">e encuentra como única regulación internacional específicamente relativa a servicios de telecomunicaciones vía satelital la Ley N° 7261, </w:t>
      </w:r>
      <w:r w:rsidR="00F52C10" w:rsidRPr="00BC46F4">
        <w:rPr>
          <w:i/>
          <w:sz w:val="24"/>
          <w:szCs w:val="24"/>
        </w:rPr>
        <w:t>“</w:t>
      </w:r>
      <w:r w:rsidR="00DD11F7" w:rsidRPr="00E4628E">
        <w:rPr>
          <w:i/>
          <w:sz w:val="24"/>
          <w:szCs w:val="24"/>
        </w:rPr>
        <w:t>Ley de Aprobación al Convenio relativo a la Organización Internacional de Telecomunicaciones vía Satélite, INTELSAT”</w:t>
      </w:r>
      <w:r w:rsidR="00DD11F7" w:rsidRPr="00E4628E">
        <w:rPr>
          <w:sz w:val="24"/>
          <w:szCs w:val="24"/>
        </w:rPr>
        <w:t xml:space="preserve">, </w:t>
      </w:r>
      <w:r w:rsidR="00DE0A7D" w:rsidRPr="00E4628E">
        <w:rPr>
          <w:sz w:val="24"/>
          <w:szCs w:val="24"/>
        </w:rPr>
        <w:t>de</w:t>
      </w:r>
      <w:r w:rsidR="00BF55FA" w:rsidRPr="00E4628E">
        <w:rPr>
          <w:sz w:val="24"/>
          <w:szCs w:val="24"/>
        </w:rPr>
        <w:t xml:space="preserve"> fecha</w:t>
      </w:r>
      <w:r w:rsidR="00DE0A7D" w:rsidRPr="00E4628E">
        <w:rPr>
          <w:sz w:val="24"/>
          <w:szCs w:val="24"/>
        </w:rPr>
        <w:t xml:space="preserve"> </w:t>
      </w:r>
      <w:r w:rsidR="00662F05" w:rsidRPr="00E4628E">
        <w:rPr>
          <w:sz w:val="24"/>
          <w:szCs w:val="24"/>
        </w:rPr>
        <w:t>23 de octubre de 1991</w:t>
      </w:r>
      <w:r w:rsidR="00DE0A7D" w:rsidRPr="00E4628E">
        <w:rPr>
          <w:sz w:val="24"/>
          <w:szCs w:val="24"/>
        </w:rPr>
        <w:t xml:space="preserve">, </w:t>
      </w:r>
      <w:r w:rsidR="00DD11F7" w:rsidRPr="00E4628E">
        <w:rPr>
          <w:sz w:val="24"/>
          <w:szCs w:val="24"/>
        </w:rPr>
        <w:t>publicada en la Gaceta N° 216, Alcance 31 de fecha 12 de diciembre de 1991, la cual hasta la fecha se encuentra vigente.</w:t>
      </w:r>
    </w:p>
    <w:p w14:paraId="274304E7" w14:textId="77777777" w:rsidR="00DD11F7" w:rsidRPr="00E4628E" w:rsidRDefault="00DD11F7" w:rsidP="00E4628E">
      <w:pPr>
        <w:tabs>
          <w:tab w:val="left" w:pos="-720"/>
          <w:tab w:val="left" w:pos="0"/>
        </w:tabs>
        <w:spacing w:line="276" w:lineRule="auto"/>
        <w:ind w:right="51"/>
        <w:jc w:val="both"/>
        <w:rPr>
          <w:sz w:val="24"/>
          <w:szCs w:val="24"/>
        </w:rPr>
      </w:pPr>
    </w:p>
    <w:p w14:paraId="511FE264" w14:textId="77777777" w:rsidR="00DE0A7D" w:rsidRPr="00E4628E" w:rsidRDefault="00DD11F7" w:rsidP="00E4628E">
      <w:pPr>
        <w:tabs>
          <w:tab w:val="left" w:pos="-720"/>
          <w:tab w:val="left" w:pos="0"/>
        </w:tabs>
        <w:spacing w:line="276" w:lineRule="auto"/>
        <w:ind w:right="51"/>
        <w:jc w:val="both"/>
        <w:rPr>
          <w:sz w:val="24"/>
          <w:szCs w:val="24"/>
        </w:rPr>
      </w:pPr>
      <w:r w:rsidRPr="00E4628E">
        <w:rPr>
          <w:sz w:val="24"/>
          <w:szCs w:val="24"/>
        </w:rPr>
        <w:t xml:space="preserve">La Organización Internacional de Telecomunicaciones por Satélite (en adelante INTELSAT), se creó como una estructura internacional que pretendió visualizarse como un sistema comercial mundial de telecomunicaciones por satélite. Su objetivo fue perfeccionar sobre una base definitiva la concepción, desarrollo, construcción, establecimiento, mantenimiento y explotación del segmento espacial del sistema comercial mundial de telecomunicaciones por satélite, establecido conforme a las disposiciones del Acuerdo Provisional y del Acuerdo Especial. </w:t>
      </w:r>
    </w:p>
    <w:p w14:paraId="4F3CF350" w14:textId="77777777" w:rsidR="00DE0A7D" w:rsidRPr="00E4628E" w:rsidRDefault="00DE0A7D" w:rsidP="00E4628E">
      <w:pPr>
        <w:tabs>
          <w:tab w:val="left" w:pos="-720"/>
          <w:tab w:val="left" w:pos="0"/>
        </w:tabs>
        <w:spacing w:line="276" w:lineRule="auto"/>
        <w:ind w:right="51"/>
        <w:jc w:val="both"/>
        <w:rPr>
          <w:sz w:val="24"/>
          <w:szCs w:val="24"/>
        </w:rPr>
      </w:pPr>
    </w:p>
    <w:p w14:paraId="704F2DDC" w14:textId="2DC8036D" w:rsidR="00DD11F7" w:rsidRPr="00E4628E" w:rsidRDefault="00DD11F7" w:rsidP="00E4628E">
      <w:pPr>
        <w:tabs>
          <w:tab w:val="left" w:pos="-720"/>
          <w:tab w:val="left" w:pos="0"/>
        </w:tabs>
        <w:spacing w:line="276" w:lineRule="auto"/>
        <w:ind w:right="51"/>
        <w:jc w:val="both"/>
        <w:rPr>
          <w:sz w:val="24"/>
          <w:szCs w:val="24"/>
        </w:rPr>
      </w:pPr>
      <w:r w:rsidRPr="00E4628E">
        <w:rPr>
          <w:sz w:val="24"/>
          <w:szCs w:val="24"/>
        </w:rPr>
        <w:t xml:space="preserve">Sus principios fundamentales fueron: universalidad e igualdad. Los dos bajo un precepto de que la totalidad de Estados tengan acceso a los beneficios que brinda las telecomunicaciones por satélite. INTELSAT gozó de personalidad jurídica, que le permitió contar con la capacidad necesaria para el ejercicio de sus funciones y el logro de sus objetivos. Asimismo, reguló los servicios nacionales públicos en diversas zonas o aéreas, además de los servicios especializados de telecomunicaciones nacionales o internacionales, no destinados a fines militares. </w:t>
      </w:r>
    </w:p>
    <w:p w14:paraId="289F3D0C" w14:textId="77777777" w:rsidR="00DD11F7" w:rsidRPr="00E4628E" w:rsidRDefault="00DD11F7" w:rsidP="00E4628E">
      <w:pPr>
        <w:pStyle w:val="Prrafodelista"/>
        <w:spacing w:line="276" w:lineRule="auto"/>
        <w:ind w:left="0"/>
        <w:rPr>
          <w:sz w:val="24"/>
          <w:szCs w:val="24"/>
        </w:rPr>
      </w:pPr>
    </w:p>
    <w:p w14:paraId="7FF5AD07" w14:textId="400CE25E" w:rsidR="00DD11F7" w:rsidRPr="00E4628E" w:rsidRDefault="006D70BA" w:rsidP="00E4628E">
      <w:pPr>
        <w:tabs>
          <w:tab w:val="left" w:pos="-720"/>
          <w:tab w:val="left" w:pos="0"/>
        </w:tabs>
        <w:spacing w:line="276" w:lineRule="auto"/>
        <w:ind w:right="51"/>
        <w:jc w:val="both"/>
        <w:rPr>
          <w:sz w:val="24"/>
          <w:szCs w:val="24"/>
        </w:rPr>
      </w:pPr>
      <w:r w:rsidRPr="00E4628E">
        <w:rPr>
          <w:sz w:val="24"/>
          <w:szCs w:val="24"/>
        </w:rPr>
        <w:lastRenderedPageBreak/>
        <w:t>E</w:t>
      </w:r>
      <w:r w:rsidR="00DD11F7" w:rsidRPr="00E4628E">
        <w:rPr>
          <w:sz w:val="24"/>
          <w:szCs w:val="24"/>
        </w:rPr>
        <w:t xml:space="preserve">ste Convenio fue modificado mediante el Acuerdo ITSO relativo a la Organización Internacional de Telecomunicaciones por Satélite del año 2000 (en adelante Acuerdo ITSO 2000), el cual surgió mediante la enmienda aprobada por la Vigésima Quinta Asamblea Extraordinaria de Partes en Washington D.C. el 17 de noviembre del año 2000. </w:t>
      </w:r>
    </w:p>
    <w:p w14:paraId="0EFBE42D" w14:textId="77777777" w:rsidR="00DD11F7" w:rsidRPr="00E4628E" w:rsidRDefault="00DD11F7" w:rsidP="00E4628E">
      <w:pPr>
        <w:tabs>
          <w:tab w:val="left" w:pos="-720"/>
          <w:tab w:val="left" w:pos="0"/>
        </w:tabs>
        <w:spacing w:line="276" w:lineRule="auto"/>
        <w:ind w:left="284" w:right="51"/>
        <w:jc w:val="both"/>
        <w:rPr>
          <w:sz w:val="24"/>
          <w:szCs w:val="24"/>
        </w:rPr>
      </w:pPr>
    </w:p>
    <w:p w14:paraId="706D44EC" w14:textId="71A05772" w:rsidR="00DE0A7D" w:rsidRPr="00E4628E" w:rsidRDefault="00255F55" w:rsidP="00E4628E">
      <w:pPr>
        <w:tabs>
          <w:tab w:val="left" w:pos="-720"/>
          <w:tab w:val="left" w:pos="0"/>
        </w:tabs>
        <w:spacing w:line="276" w:lineRule="auto"/>
        <w:ind w:right="51"/>
        <w:jc w:val="both"/>
        <w:rPr>
          <w:sz w:val="24"/>
          <w:szCs w:val="24"/>
        </w:rPr>
      </w:pPr>
      <w:r w:rsidRPr="00E4628E">
        <w:rPr>
          <w:sz w:val="24"/>
          <w:szCs w:val="24"/>
        </w:rPr>
        <w:t>Dicha</w:t>
      </w:r>
      <w:r w:rsidR="004C546F" w:rsidRPr="00E4628E">
        <w:rPr>
          <w:sz w:val="24"/>
          <w:szCs w:val="24"/>
        </w:rPr>
        <w:t xml:space="preserve"> modificación varió</w:t>
      </w:r>
      <w:r w:rsidR="00DD11F7" w:rsidRPr="00E4628E">
        <w:rPr>
          <w:sz w:val="24"/>
          <w:szCs w:val="24"/>
        </w:rPr>
        <w:t xml:space="preserve"> de forma sustancial </w:t>
      </w:r>
      <w:r w:rsidR="004C546F" w:rsidRPr="00E4628E">
        <w:rPr>
          <w:sz w:val="24"/>
          <w:szCs w:val="24"/>
        </w:rPr>
        <w:t xml:space="preserve">el Acuerdo originario de </w:t>
      </w:r>
      <w:r w:rsidR="00DD11F7" w:rsidRPr="00E4628E">
        <w:rPr>
          <w:sz w:val="24"/>
          <w:szCs w:val="24"/>
        </w:rPr>
        <w:t>INTELSAT, siendo una entidad privada, denominada como ITSO, a la que se le transfirió el sistema espacial de INTELSAT, todo según lo establecido por al inciso a) del artículo 3</w:t>
      </w:r>
      <w:r w:rsidR="00DE0A7D" w:rsidRPr="00E4628E">
        <w:rPr>
          <w:sz w:val="24"/>
          <w:szCs w:val="24"/>
        </w:rPr>
        <w:t xml:space="preserve"> del citado Acuerdo.</w:t>
      </w:r>
      <w:r w:rsidR="00DD11F7" w:rsidRPr="00E4628E">
        <w:rPr>
          <w:sz w:val="24"/>
          <w:szCs w:val="24"/>
        </w:rPr>
        <w:t xml:space="preserve"> </w:t>
      </w:r>
    </w:p>
    <w:p w14:paraId="2AFA02E1" w14:textId="77777777" w:rsidR="00DE0A7D" w:rsidRPr="00E4628E" w:rsidRDefault="00DE0A7D" w:rsidP="00E4628E">
      <w:pPr>
        <w:tabs>
          <w:tab w:val="left" w:pos="-720"/>
          <w:tab w:val="left" w:pos="0"/>
        </w:tabs>
        <w:spacing w:line="276" w:lineRule="auto"/>
        <w:ind w:right="51"/>
        <w:jc w:val="both"/>
        <w:rPr>
          <w:sz w:val="24"/>
          <w:szCs w:val="24"/>
        </w:rPr>
      </w:pPr>
    </w:p>
    <w:p w14:paraId="544D3001" w14:textId="583F65EA" w:rsidR="00DD11F7" w:rsidRPr="00E4628E" w:rsidRDefault="00DD11F7" w:rsidP="00E4628E">
      <w:pPr>
        <w:tabs>
          <w:tab w:val="left" w:pos="-720"/>
          <w:tab w:val="left" w:pos="0"/>
        </w:tabs>
        <w:spacing w:line="276" w:lineRule="auto"/>
        <w:ind w:right="51"/>
        <w:jc w:val="both"/>
        <w:rPr>
          <w:sz w:val="24"/>
          <w:szCs w:val="24"/>
        </w:rPr>
      </w:pPr>
      <w:r w:rsidRPr="00E4628E">
        <w:rPr>
          <w:sz w:val="24"/>
          <w:szCs w:val="24"/>
        </w:rPr>
        <w:t xml:space="preserve">Se le </w:t>
      </w:r>
      <w:r w:rsidR="006F27BF" w:rsidRPr="00E4628E">
        <w:rPr>
          <w:sz w:val="24"/>
          <w:szCs w:val="24"/>
        </w:rPr>
        <w:t>otorgó,</w:t>
      </w:r>
      <w:r w:rsidRPr="00E4628E">
        <w:rPr>
          <w:sz w:val="24"/>
          <w:szCs w:val="24"/>
        </w:rPr>
        <w:t xml:space="preserve"> además, a la ITSO personalidad jurídica de manera que puede disponer de capacidad para el ejercicio de su fin principal, que es suministrar sobre una base comercial, servicios internacionales de telecomunicaciones, con el objeto de vigilar que se cumplan los principios fundamentales como son: mantener una conectividad mundial y una cobertura global, atender a los clientes con conectividad vital y ofrecer acceso no discriminatorio al sistema de la Sociedad.</w:t>
      </w:r>
    </w:p>
    <w:p w14:paraId="30376E08" w14:textId="77777777" w:rsidR="00DD11F7" w:rsidRPr="00E4628E" w:rsidRDefault="00DD11F7" w:rsidP="00E4628E">
      <w:pPr>
        <w:tabs>
          <w:tab w:val="left" w:pos="-720"/>
          <w:tab w:val="left" w:pos="0"/>
        </w:tabs>
        <w:spacing w:line="276" w:lineRule="auto"/>
        <w:ind w:right="51"/>
        <w:jc w:val="both"/>
        <w:rPr>
          <w:sz w:val="24"/>
          <w:szCs w:val="24"/>
        </w:rPr>
      </w:pPr>
    </w:p>
    <w:p w14:paraId="5984F050" w14:textId="28186B63" w:rsidR="00DD11F7" w:rsidRPr="00E4628E" w:rsidRDefault="00DD11F7" w:rsidP="00E4628E">
      <w:pPr>
        <w:tabs>
          <w:tab w:val="left" w:pos="-720"/>
          <w:tab w:val="left" w:pos="0"/>
        </w:tabs>
        <w:spacing w:line="276" w:lineRule="auto"/>
        <w:ind w:right="51"/>
        <w:jc w:val="both"/>
        <w:rPr>
          <w:sz w:val="24"/>
          <w:szCs w:val="24"/>
        </w:rPr>
      </w:pPr>
      <w:r w:rsidRPr="00E4628E">
        <w:rPr>
          <w:sz w:val="24"/>
          <w:szCs w:val="24"/>
        </w:rPr>
        <w:t>Sin embargo, dicha modificación al Acuerdo original de INTELSAT no ha sido aprobada por la Asamblea Legislativa</w:t>
      </w:r>
      <w:r w:rsidR="000D07F9" w:rsidRPr="00E4628E">
        <w:rPr>
          <w:sz w:val="24"/>
          <w:szCs w:val="24"/>
        </w:rPr>
        <w:t xml:space="preserve"> de Costa Rica</w:t>
      </w:r>
      <w:r w:rsidRPr="00E4628E">
        <w:rPr>
          <w:sz w:val="24"/>
          <w:szCs w:val="24"/>
        </w:rPr>
        <w:t xml:space="preserve">. Lo cual impide a nuestro país tener como existente esa variación (ITSO), puesto que, al existir de previo Ley al efecto que dispuso la aprobación del acuerdo de creación de INTELSAT, por así disponerlo el artículo 119 constitucional, solamente otra </w:t>
      </w:r>
      <w:r w:rsidR="000D07F9" w:rsidRPr="00E4628E">
        <w:rPr>
          <w:sz w:val="24"/>
          <w:szCs w:val="24"/>
        </w:rPr>
        <w:t>norma de igual rango (</w:t>
      </w:r>
      <w:r w:rsidRPr="00E4628E">
        <w:rPr>
          <w:sz w:val="24"/>
          <w:szCs w:val="24"/>
        </w:rPr>
        <w:t>ley</w:t>
      </w:r>
      <w:r w:rsidR="000D07F9" w:rsidRPr="00E4628E">
        <w:rPr>
          <w:sz w:val="24"/>
          <w:szCs w:val="24"/>
        </w:rPr>
        <w:t>)</w:t>
      </w:r>
      <w:r w:rsidRPr="00E4628E">
        <w:rPr>
          <w:sz w:val="24"/>
          <w:szCs w:val="24"/>
        </w:rPr>
        <w:t xml:space="preserve"> puede reformar su contenido. Así las cosas, en esta materia, lo vigente para Costa Rica es la Ley N</w:t>
      </w:r>
      <w:r w:rsidR="00DE0A7D" w:rsidRPr="00E4628E">
        <w:rPr>
          <w:sz w:val="24"/>
          <w:szCs w:val="24"/>
        </w:rPr>
        <w:t>º</w:t>
      </w:r>
      <w:r w:rsidRPr="00E4628E">
        <w:rPr>
          <w:sz w:val="24"/>
          <w:szCs w:val="24"/>
        </w:rPr>
        <w:t xml:space="preserve"> 7261 (creación de INTELSAT), a</w:t>
      </w:r>
      <w:r w:rsidR="000D07F9" w:rsidRPr="00E4628E">
        <w:rPr>
          <w:sz w:val="24"/>
          <w:szCs w:val="24"/>
        </w:rPr>
        <w:t>ú</w:t>
      </w:r>
      <w:r w:rsidRPr="00E4628E">
        <w:rPr>
          <w:sz w:val="24"/>
          <w:szCs w:val="24"/>
        </w:rPr>
        <w:t>n y cuando en la realidad dicho Acuerdo no tiene aplicación práctica por el desfase indicado.</w:t>
      </w:r>
    </w:p>
    <w:p w14:paraId="0107B755" w14:textId="77777777" w:rsidR="00385886" w:rsidRPr="00E4628E" w:rsidRDefault="00385886" w:rsidP="00E4628E">
      <w:pPr>
        <w:spacing w:line="276" w:lineRule="auto"/>
        <w:jc w:val="both"/>
        <w:rPr>
          <w:bCs/>
          <w:iCs/>
          <w:sz w:val="24"/>
          <w:szCs w:val="24"/>
          <w:lang w:eastAsia="es-ES"/>
        </w:rPr>
      </w:pPr>
    </w:p>
    <w:p w14:paraId="2010E669" w14:textId="4799F7CF" w:rsidR="00DD11F7" w:rsidRPr="00E4628E" w:rsidRDefault="00DD11F7" w:rsidP="00E4628E">
      <w:pPr>
        <w:pStyle w:val="Prrafodelista"/>
        <w:numPr>
          <w:ilvl w:val="0"/>
          <w:numId w:val="6"/>
        </w:numPr>
        <w:autoSpaceDE/>
        <w:autoSpaceDN/>
        <w:spacing w:after="200" w:line="276" w:lineRule="auto"/>
        <w:contextualSpacing/>
        <w:jc w:val="both"/>
        <w:rPr>
          <w:b/>
          <w:bCs/>
          <w:iCs/>
          <w:sz w:val="24"/>
          <w:szCs w:val="24"/>
          <w:lang w:eastAsia="es-ES"/>
        </w:rPr>
      </w:pPr>
      <w:r w:rsidRPr="00E4628E">
        <w:rPr>
          <w:b/>
          <w:bCs/>
          <w:iCs/>
          <w:sz w:val="24"/>
          <w:szCs w:val="24"/>
          <w:lang w:eastAsia="es-ES"/>
        </w:rPr>
        <w:t xml:space="preserve">Ley </w:t>
      </w:r>
      <w:r w:rsidR="00DE0A7D" w:rsidRPr="00E4628E">
        <w:rPr>
          <w:b/>
          <w:bCs/>
          <w:iCs/>
          <w:sz w:val="24"/>
          <w:szCs w:val="24"/>
          <w:lang w:eastAsia="es-ES"/>
        </w:rPr>
        <w:t xml:space="preserve">Nº 8642, </w:t>
      </w:r>
      <w:r w:rsidR="006E56F9" w:rsidRPr="00E4628E">
        <w:rPr>
          <w:b/>
          <w:bCs/>
          <w:iCs/>
          <w:sz w:val="24"/>
          <w:szCs w:val="24"/>
          <w:lang w:eastAsia="es-ES"/>
        </w:rPr>
        <w:t xml:space="preserve">Ley </w:t>
      </w:r>
      <w:r w:rsidRPr="00E4628E">
        <w:rPr>
          <w:b/>
          <w:bCs/>
          <w:iCs/>
          <w:sz w:val="24"/>
          <w:szCs w:val="24"/>
          <w:lang w:eastAsia="es-ES"/>
        </w:rPr>
        <w:t>General de Telecomunicaciones</w:t>
      </w:r>
    </w:p>
    <w:p w14:paraId="43641C44" w14:textId="77777777" w:rsidR="004C546F" w:rsidRPr="00E4628E" w:rsidRDefault="004C546F" w:rsidP="00E4628E">
      <w:pPr>
        <w:pStyle w:val="Prrafodelista"/>
        <w:autoSpaceDE/>
        <w:autoSpaceDN/>
        <w:spacing w:after="200" w:line="276" w:lineRule="auto"/>
        <w:ind w:left="1637"/>
        <w:contextualSpacing/>
        <w:jc w:val="both"/>
        <w:rPr>
          <w:b/>
          <w:bCs/>
          <w:iCs/>
          <w:sz w:val="24"/>
          <w:szCs w:val="24"/>
          <w:lang w:eastAsia="es-ES"/>
        </w:rPr>
      </w:pPr>
    </w:p>
    <w:p w14:paraId="729D450A" w14:textId="13F77C8E" w:rsidR="00DD11F7" w:rsidRDefault="00BB3904" w:rsidP="00E4628E">
      <w:pPr>
        <w:spacing w:line="276" w:lineRule="auto"/>
        <w:jc w:val="both"/>
        <w:rPr>
          <w:bCs/>
          <w:sz w:val="24"/>
          <w:szCs w:val="24"/>
          <w:lang w:eastAsia="es-CR"/>
        </w:rPr>
      </w:pPr>
      <w:r w:rsidRPr="00E4628E">
        <w:rPr>
          <w:bCs/>
          <w:sz w:val="24"/>
          <w:szCs w:val="24"/>
          <w:lang w:eastAsia="es-CR"/>
        </w:rPr>
        <w:t>Ahora bien</w:t>
      </w:r>
      <w:r w:rsidR="00B63796" w:rsidRPr="00E4628E">
        <w:rPr>
          <w:bCs/>
          <w:sz w:val="24"/>
          <w:szCs w:val="24"/>
          <w:lang w:eastAsia="es-CR"/>
        </w:rPr>
        <w:t>,</w:t>
      </w:r>
      <w:r w:rsidR="00D76EB4" w:rsidRPr="00E4628E">
        <w:rPr>
          <w:bCs/>
          <w:sz w:val="24"/>
          <w:szCs w:val="24"/>
          <w:lang w:eastAsia="es-CR"/>
        </w:rPr>
        <w:t xml:space="preserve"> es</w:t>
      </w:r>
      <w:r w:rsidR="00DD11F7" w:rsidRPr="00E4628E">
        <w:rPr>
          <w:bCs/>
          <w:sz w:val="24"/>
          <w:szCs w:val="24"/>
          <w:lang w:eastAsia="es-CR"/>
        </w:rPr>
        <w:t xml:space="preserve"> necesario conceptualizar el término de servicios satelitales. Para ello la Ley General de Telecomunicaciones Ley N°</w:t>
      </w:r>
      <w:r w:rsidR="000D07F9" w:rsidRPr="00E4628E">
        <w:rPr>
          <w:bCs/>
          <w:sz w:val="24"/>
          <w:szCs w:val="24"/>
          <w:lang w:eastAsia="es-CR"/>
        </w:rPr>
        <w:t xml:space="preserve"> </w:t>
      </w:r>
      <w:r w:rsidR="00DD11F7" w:rsidRPr="00E4628E">
        <w:rPr>
          <w:bCs/>
          <w:sz w:val="24"/>
          <w:szCs w:val="24"/>
          <w:lang w:eastAsia="es-CR"/>
        </w:rPr>
        <w:t xml:space="preserve">8642, </w:t>
      </w:r>
      <w:r w:rsidR="00F24963" w:rsidRPr="00E4628E">
        <w:rPr>
          <w:bCs/>
          <w:sz w:val="24"/>
          <w:szCs w:val="24"/>
          <w:lang w:eastAsia="es-CR"/>
        </w:rPr>
        <w:t>emitida e</w:t>
      </w:r>
      <w:r w:rsidR="00F52C10">
        <w:rPr>
          <w:bCs/>
          <w:sz w:val="24"/>
          <w:szCs w:val="24"/>
          <w:lang w:eastAsia="es-CR"/>
        </w:rPr>
        <w:t>n fecha</w:t>
      </w:r>
      <w:r w:rsidR="00F24963" w:rsidRPr="00E4628E">
        <w:rPr>
          <w:bCs/>
          <w:sz w:val="24"/>
          <w:szCs w:val="24"/>
          <w:lang w:eastAsia="es-CR"/>
        </w:rPr>
        <w:t xml:space="preserve"> </w:t>
      </w:r>
      <w:r w:rsidRPr="00E4628E">
        <w:rPr>
          <w:bCs/>
          <w:sz w:val="24"/>
          <w:szCs w:val="24"/>
          <w:lang w:eastAsia="es-CR"/>
        </w:rPr>
        <w:t>04 de junio de 2008</w:t>
      </w:r>
      <w:r w:rsidR="00DE0A7D" w:rsidRPr="00E4628E">
        <w:rPr>
          <w:bCs/>
          <w:sz w:val="24"/>
          <w:szCs w:val="24"/>
          <w:lang w:eastAsia="es-CR"/>
        </w:rPr>
        <w:t xml:space="preserve"> </w:t>
      </w:r>
      <w:r w:rsidR="00DD11F7" w:rsidRPr="00E4628E">
        <w:rPr>
          <w:bCs/>
          <w:sz w:val="24"/>
          <w:szCs w:val="24"/>
          <w:lang w:eastAsia="es-CR"/>
        </w:rPr>
        <w:t>publicada en</w:t>
      </w:r>
      <w:r w:rsidR="007B4E4A">
        <w:rPr>
          <w:bCs/>
          <w:sz w:val="24"/>
          <w:szCs w:val="24"/>
          <w:lang w:eastAsia="es-CR"/>
        </w:rPr>
        <w:t xml:space="preserve"> el Diario Oficial</w:t>
      </w:r>
      <w:r w:rsidR="00DD11F7" w:rsidRPr="00E4628E">
        <w:rPr>
          <w:bCs/>
          <w:sz w:val="24"/>
          <w:szCs w:val="24"/>
          <w:lang w:eastAsia="es-CR"/>
        </w:rPr>
        <w:t xml:space="preserve"> La </w:t>
      </w:r>
      <w:r w:rsidR="00DD11F7" w:rsidRPr="00E4628E">
        <w:rPr>
          <w:bCs/>
          <w:sz w:val="24"/>
          <w:szCs w:val="24"/>
          <w:lang w:eastAsia="es-CR"/>
        </w:rPr>
        <w:lastRenderedPageBreak/>
        <w:t xml:space="preserve">Gaceta </w:t>
      </w:r>
      <w:r w:rsidR="00DE0A7D" w:rsidRPr="00E4628E">
        <w:rPr>
          <w:bCs/>
          <w:sz w:val="24"/>
          <w:szCs w:val="24"/>
          <w:lang w:eastAsia="es-CR"/>
        </w:rPr>
        <w:t xml:space="preserve">Nº </w:t>
      </w:r>
      <w:r w:rsidR="00DD11F7" w:rsidRPr="00E4628E">
        <w:rPr>
          <w:bCs/>
          <w:sz w:val="24"/>
          <w:szCs w:val="24"/>
          <w:lang w:eastAsia="es-CR"/>
        </w:rPr>
        <w:t>125 de</w:t>
      </w:r>
      <w:r w:rsidR="007B4E4A">
        <w:rPr>
          <w:bCs/>
          <w:sz w:val="24"/>
          <w:szCs w:val="24"/>
          <w:lang w:eastAsia="es-CR"/>
        </w:rPr>
        <w:t xml:space="preserve"> fecha</w:t>
      </w:r>
      <w:r w:rsidR="00DD11F7" w:rsidRPr="00E4628E">
        <w:rPr>
          <w:bCs/>
          <w:sz w:val="24"/>
          <w:szCs w:val="24"/>
          <w:lang w:eastAsia="es-CR"/>
        </w:rPr>
        <w:t xml:space="preserve"> 30 de junio de 2008 (en adelante LGT) dispone en su numeral 6 algunas aproximaciones que permiten que nos acerquemos al término dich</w:t>
      </w:r>
      <w:r w:rsidR="00EA64C4" w:rsidRPr="00E4628E">
        <w:rPr>
          <w:bCs/>
          <w:sz w:val="24"/>
          <w:szCs w:val="24"/>
          <w:lang w:eastAsia="es-CR"/>
        </w:rPr>
        <w:t>o</w:t>
      </w:r>
      <w:r w:rsidR="00DD11F7" w:rsidRPr="00E4628E">
        <w:rPr>
          <w:bCs/>
          <w:sz w:val="24"/>
          <w:szCs w:val="24"/>
          <w:lang w:eastAsia="es-CR"/>
        </w:rPr>
        <w:t>.</w:t>
      </w:r>
    </w:p>
    <w:p w14:paraId="08A92E93" w14:textId="77777777" w:rsidR="007B4E4A" w:rsidRPr="00E4628E" w:rsidRDefault="007B4E4A" w:rsidP="00E4628E">
      <w:pPr>
        <w:spacing w:line="276" w:lineRule="auto"/>
        <w:jc w:val="both"/>
        <w:rPr>
          <w:bCs/>
          <w:sz w:val="24"/>
          <w:szCs w:val="24"/>
          <w:lang w:eastAsia="es-CR"/>
        </w:rPr>
      </w:pPr>
    </w:p>
    <w:p w14:paraId="277878F1" w14:textId="77777777" w:rsidR="00DD11F7" w:rsidRPr="00E4628E" w:rsidRDefault="00DD11F7" w:rsidP="00E4628E">
      <w:pPr>
        <w:spacing w:line="276" w:lineRule="auto"/>
        <w:jc w:val="both"/>
        <w:rPr>
          <w:bCs/>
          <w:sz w:val="24"/>
          <w:szCs w:val="24"/>
          <w:lang w:eastAsia="es-CR"/>
        </w:rPr>
      </w:pPr>
      <w:r w:rsidRPr="00E4628E">
        <w:rPr>
          <w:bCs/>
          <w:sz w:val="24"/>
          <w:szCs w:val="24"/>
          <w:lang w:eastAsia="es-CR"/>
        </w:rPr>
        <w:t>Así las cosas, los incisos 19) y 23) del artículo de cita respectivamente señalan:</w:t>
      </w:r>
    </w:p>
    <w:p w14:paraId="53C4783C" w14:textId="77777777" w:rsidR="00385886" w:rsidRPr="00E4628E" w:rsidRDefault="00385886" w:rsidP="00E4628E">
      <w:pPr>
        <w:spacing w:line="276" w:lineRule="auto"/>
        <w:jc w:val="both"/>
        <w:rPr>
          <w:bCs/>
          <w:sz w:val="24"/>
          <w:szCs w:val="24"/>
          <w:lang w:eastAsia="es-CR"/>
        </w:rPr>
      </w:pPr>
    </w:p>
    <w:p w14:paraId="334588F6" w14:textId="77777777" w:rsidR="00DD11F7" w:rsidRPr="00E4628E" w:rsidRDefault="00DD11F7" w:rsidP="00E4628E">
      <w:pPr>
        <w:spacing w:line="276" w:lineRule="auto"/>
        <w:ind w:left="567" w:right="616"/>
        <w:jc w:val="both"/>
        <w:rPr>
          <w:bCs/>
          <w:i/>
          <w:iCs/>
          <w:sz w:val="24"/>
          <w:szCs w:val="24"/>
          <w:lang w:eastAsia="es-ES"/>
        </w:rPr>
      </w:pPr>
      <w:r w:rsidRPr="00E4628E">
        <w:rPr>
          <w:bCs/>
          <w:i/>
          <w:iCs/>
          <w:sz w:val="24"/>
          <w:szCs w:val="24"/>
          <w:lang w:eastAsia="es-ES"/>
        </w:rPr>
        <w:t>“ (…)</w:t>
      </w:r>
    </w:p>
    <w:p w14:paraId="0DA4262E" w14:textId="680A538E" w:rsidR="00DD11F7" w:rsidRPr="00E4628E" w:rsidRDefault="00DD11F7" w:rsidP="00E4628E">
      <w:pPr>
        <w:spacing w:line="276" w:lineRule="auto"/>
        <w:ind w:left="567" w:right="616"/>
        <w:jc w:val="both"/>
        <w:rPr>
          <w:bCs/>
          <w:i/>
          <w:iCs/>
          <w:sz w:val="24"/>
          <w:szCs w:val="24"/>
          <w:lang w:eastAsia="es-ES"/>
        </w:rPr>
      </w:pPr>
      <w:r w:rsidRPr="00E4628E">
        <w:rPr>
          <w:bCs/>
          <w:i/>
          <w:iCs/>
          <w:sz w:val="24"/>
          <w:szCs w:val="24"/>
          <w:lang w:eastAsia="es-ES"/>
        </w:rPr>
        <w:t>19) Red de telecomunicaciones:</w:t>
      </w:r>
      <w:r w:rsidR="007B4E4A">
        <w:rPr>
          <w:bCs/>
          <w:i/>
          <w:iCs/>
          <w:sz w:val="24"/>
          <w:szCs w:val="24"/>
          <w:lang w:eastAsia="es-ES"/>
        </w:rPr>
        <w:t xml:space="preserve"> </w:t>
      </w:r>
      <w:r w:rsidRPr="00E4628E">
        <w:rPr>
          <w:bCs/>
          <w:i/>
          <w:iCs/>
          <w:sz w:val="24"/>
          <w:szCs w:val="24"/>
          <w:lang w:eastAsia="es-ES"/>
        </w:rPr>
        <w:t>sistemas de transmisión y demás recursos que permiten la transmisión de señales entre puntos de terminación definidos mediante cables, ondas hertzianas, medios ópticos u otros medios radioeléctricos, con inclusión de las redes satelitales, redes terrestres fijas (de conmutación de circuitos o de paquetes, incluida Internet) y móviles, sistemas de tendido eléctrico, utilizadas para la transmisión de señales, redes utilizadas para la radiodifusión sonora y televisiva y redes de televisión por cable, con independencia del tipo de información transportada</w:t>
      </w:r>
      <w:r w:rsidR="007B4E4A">
        <w:rPr>
          <w:bCs/>
          <w:i/>
          <w:iCs/>
          <w:sz w:val="24"/>
          <w:szCs w:val="24"/>
          <w:lang w:eastAsia="es-ES"/>
        </w:rPr>
        <w:t>.</w:t>
      </w:r>
      <w:r w:rsidRPr="00E4628E">
        <w:rPr>
          <w:bCs/>
          <w:i/>
          <w:iCs/>
          <w:sz w:val="24"/>
          <w:szCs w:val="24"/>
          <w:lang w:eastAsia="es-ES"/>
        </w:rPr>
        <w:t xml:space="preserve"> </w:t>
      </w:r>
    </w:p>
    <w:p w14:paraId="6D5959E5" w14:textId="77777777" w:rsidR="00DD11F7" w:rsidRPr="00E4628E" w:rsidRDefault="00DD11F7" w:rsidP="00E4628E">
      <w:pPr>
        <w:spacing w:line="276" w:lineRule="auto"/>
        <w:ind w:left="567" w:right="616"/>
        <w:jc w:val="both"/>
        <w:rPr>
          <w:bCs/>
          <w:i/>
          <w:iCs/>
          <w:sz w:val="24"/>
          <w:szCs w:val="24"/>
          <w:lang w:eastAsia="es-ES"/>
        </w:rPr>
      </w:pPr>
      <w:r w:rsidRPr="00E4628E">
        <w:rPr>
          <w:bCs/>
          <w:i/>
          <w:iCs/>
          <w:sz w:val="24"/>
          <w:szCs w:val="24"/>
          <w:lang w:eastAsia="es-ES"/>
        </w:rPr>
        <w:t>(…)</w:t>
      </w:r>
    </w:p>
    <w:p w14:paraId="17DAA652" w14:textId="44C28426" w:rsidR="00DD11F7" w:rsidRPr="00E4628E" w:rsidRDefault="00DD11F7" w:rsidP="00E4628E">
      <w:pPr>
        <w:spacing w:line="276" w:lineRule="auto"/>
        <w:ind w:left="567" w:right="616"/>
        <w:jc w:val="both"/>
        <w:rPr>
          <w:bCs/>
          <w:i/>
          <w:iCs/>
          <w:sz w:val="24"/>
          <w:szCs w:val="24"/>
          <w:lang w:eastAsia="es-ES"/>
        </w:rPr>
      </w:pPr>
      <w:r w:rsidRPr="00E4628E">
        <w:rPr>
          <w:bCs/>
          <w:i/>
          <w:iCs/>
          <w:sz w:val="24"/>
          <w:szCs w:val="24"/>
          <w:lang w:eastAsia="es-ES"/>
        </w:rPr>
        <w:t>23) Servicios de telecomunicaciones:</w:t>
      </w:r>
      <w:r w:rsidR="007B4E4A">
        <w:rPr>
          <w:bCs/>
          <w:i/>
          <w:iCs/>
          <w:sz w:val="24"/>
          <w:szCs w:val="24"/>
          <w:lang w:eastAsia="es-ES"/>
        </w:rPr>
        <w:t xml:space="preserve"> </w:t>
      </w:r>
      <w:r w:rsidRPr="00E4628E">
        <w:rPr>
          <w:bCs/>
          <w:i/>
          <w:iCs/>
          <w:sz w:val="24"/>
          <w:szCs w:val="24"/>
          <w:lang w:eastAsia="es-ES"/>
        </w:rPr>
        <w:t xml:space="preserve">servicios que consisten, en su totalidad o principalmente, en el transporte de señales a través de redes de telecomunicaciones. Incluyen los servicios de telecomunicaciones que se prestan por las redes utilizadas para la radiodifusión sonora o televisiva. </w:t>
      </w:r>
    </w:p>
    <w:p w14:paraId="3A2B62A5" w14:textId="77777777" w:rsidR="00DD11F7" w:rsidRPr="00E4628E" w:rsidRDefault="00DD11F7" w:rsidP="00E4628E">
      <w:pPr>
        <w:spacing w:line="276" w:lineRule="auto"/>
        <w:ind w:left="567" w:right="616"/>
        <w:jc w:val="both"/>
        <w:rPr>
          <w:bCs/>
          <w:i/>
          <w:iCs/>
          <w:sz w:val="24"/>
          <w:szCs w:val="24"/>
          <w:lang w:eastAsia="es-ES"/>
        </w:rPr>
      </w:pPr>
      <w:r w:rsidRPr="00E4628E">
        <w:rPr>
          <w:bCs/>
          <w:i/>
          <w:iCs/>
          <w:sz w:val="24"/>
          <w:szCs w:val="24"/>
          <w:lang w:eastAsia="es-ES"/>
        </w:rPr>
        <w:t>(…)”</w:t>
      </w:r>
    </w:p>
    <w:p w14:paraId="2D741907" w14:textId="77777777" w:rsidR="00385886" w:rsidRPr="00E4628E" w:rsidRDefault="00385886" w:rsidP="00BC46F4">
      <w:pPr>
        <w:spacing w:line="276" w:lineRule="auto"/>
        <w:jc w:val="both"/>
        <w:rPr>
          <w:bCs/>
          <w:sz w:val="24"/>
          <w:szCs w:val="24"/>
          <w:lang w:eastAsia="es-CR"/>
        </w:rPr>
      </w:pPr>
    </w:p>
    <w:p w14:paraId="59F0E726" w14:textId="46F8CE61" w:rsidR="00DD11F7" w:rsidRPr="00E4628E" w:rsidRDefault="00DD11F7" w:rsidP="00E4628E">
      <w:pPr>
        <w:spacing w:line="276" w:lineRule="auto"/>
        <w:jc w:val="both"/>
        <w:rPr>
          <w:bCs/>
          <w:sz w:val="24"/>
          <w:szCs w:val="24"/>
          <w:lang w:eastAsia="es-CR"/>
        </w:rPr>
      </w:pPr>
      <w:r w:rsidRPr="00E4628E">
        <w:rPr>
          <w:bCs/>
          <w:sz w:val="24"/>
          <w:szCs w:val="24"/>
          <w:lang w:eastAsia="es-CR"/>
        </w:rPr>
        <w:t>En ese sentido, el señor Carlos Rosado dice:</w:t>
      </w:r>
    </w:p>
    <w:p w14:paraId="09E09332" w14:textId="77777777" w:rsidR="00385886" w:rsidRPr="00E4628E" w:rsidRDefault="00385886" w:rsidP="00E4628E">
      <w:pPr>
        <w:spacing w:line="276" w:lineRule="auto"/>
        <w:jc w:val="both"/>
        <w:rPr>
          <w:bCs/>
          <w:sz w:val="24"/>
          <w:szCs w:val="24"/>
          <w:lang w:eastAsia="es-CR"/>
        </w:rPr>
      </w:pPr>
    </w:p>
    <w:p w14:paraId="077B9858" w14:textId="77777777" w:rsidR="00DD11F7" w:rsidRPr="00E4628E" w:rsidRDefault="00DD11F7" w:rsidP="00E4628E">
      <w:pPr>
        <w:spacing w:line="276" w:lineRule="auto"/>
        <w:ind w:left="567" w:right="616"/>
        <w:jc w:val="both"/>
        <w:rPr>
          <w:bCs/>
          <w:i/>
          <w:iCs/>
          <w:sz w:val="24"/>
          <w:szCs w:val="24"/>
          <w:lang w:eastAsia="es-ES"/>
        </w:rPr>
      </w:pPr>
      <w:r w:rsidRPr="00E4628E">
        <w:rPr>
          <w:bCs/>
          <w:i/>
          <w:iCs/>
          <w:sz w:val="24"/>
          <w:szCs w:val="24"/>
          <w:lang w:eastAsia="es-ES"/>
        </w:rPr>
        <w:t>“Una red de telecomunicación se establece con el propósito de transmitir y recibir señales de características específicas ente un conjunto determinado de estaciones, generalmente distantes entre sí. Un sistema de satélites o un satélite único puede emplearse para permitir que se establezca a través de él una sola red o número indeterminado de redes de telecomunicaciones independientes.”</w:t>
      </w:r>
      <w:r w:rsidRPr="00F52C10">
        <w:rPr>
          <w:iCs/>
          <w:vertAlign w:val="superscript"/>
          <w:lang w:eastAsia="es-ES"/>
        </w:rPr>
        <w:footnoteReference w:id="5"/>
      </w:r>
    </w:p>
    <w:p w14:paraId="2B901DC5" w14:textId="77777777" w:rsidR="00385886" w:rsidRPr="00E4628E" w:rsidRDefault="00385886" w:rsidP="00E4628E">
      <w:pPr>
        <w:spacing w:line="276" w:lineRule="auto"/>
        <w:jc w:val="both"/>
        <w:rPr>
          <w:bCs/>
          <w:i/>
          <w:sz w:val="24"/>
          <w:szCs w:val="24"/>
          <w:lang w:eastAsia="es-CR"/>
        </w:rPr>
      </w:pPr>
    </w:p>
    <w:p w14:paraId="52D2D213" w14:textId="33C5EEAA" w:rsidR="00DD11F7" w:rsidRPr="00E4628E" w:rsidRDefault="00E94EA7" w:rsidP="00E4628E">
      <w:pPr>
        <w:spacing w:line="276" w:lineRule="auto"/>
        <w:jc w:val="both"/>
        <w:rPr>
          <w:bCs/>
          <w:sz w:val="24"/>
          <w:szCs w:val="24"/>
          <w:lang w:eastAsia="es-CR"/>
        </w:rPr>
      </w:pPr>
      <w:r w:rsidRPr="00E4628E">
        <w:rPr>
          <w:bCs/>
          <w:sz w:val="24"/>
          <w:szCs w:val="24"/>
          <w:lang w:eastAsia="es-CR"/>
        </w:rPr>
        <w:t xml:space="preserve">Por </w:t>
      </w:r>
      <w:r w:rsidR="00DD11F7" w:rsidRPr="00E4628E">
        <w:rPr>
          <w:bCs/>
          <w:sz w:val="24"/>
          <w:szCs w:val="24"/>
          <w:lang w:eastAsia="es-CR"/>
        </w:rPr>
        <w:t xml:space="preserve">lo anterior, las redes satelitales son consideradas redes de telecomunicaciones, consecuencia de ello, pueden proporcionarse servicios de telecomunicaciones a través de estos sistemas satelitales. Cuando los servicios de telecomunicaciones son ofrecidos al público en general a cambio de una contraprestación económica, estos se denominan </w:t>
      </w:r>
      <w:r w:rsidR="00DD11F7" w:rsidRPr="00E4628E">
        <w:rPr>
          <w:bCs/>
          <w:i/>
          <w:sz w:val="24"/>
          <w:szCs w:val="24"/>
          <w:lang w:eastAsia="es-CR"/>
        </w:rPr>
        <w:t>“servicios de telecomunicaciones disponibles al público”</w:t>
      </w:r>
      <w:r w:rsidR="00DD11F7" w:rsidRPr="00E4628E">
        <w:rPr>
          <w:bCs/>
          <w:sz w:val="24"/>
          <w:szCs w:val="24"/>
          <w:lang w:eastAsia="es-CR"/>
        </w:rPr>
        <w:t>, tal y como lo estipula el inciso 24</w:t>
      </w:r>
      <w:r w:rsidR="00F52C10">
        <w:rPr>
          <w:bCs/>
          <w:sz w:val="24"/>
          <w:szCs w:val="24"/>
          <w:lang w:eastAsia="es-CR"/>
        </w:rPr>
        <w:t>)</w:t>
      </w:r>
      <w:r w:rsidR="00DD11F7" w:rsidRPr="00E4628E">
        <w:rPr>
          <w:bCs/>
          <w:sz w:val="24"/>
          <w:szCs w:val="24"/>
          <w:lang w:eastAsia="es-CR"/>
        </w:rPr>
        <w:t xml:space="preserve"> del artículo 6 de cita.</w:t>
      </w:r>
    </w:p>
    <w:p w14:paraId="7CD215FD" w14:textId="77777777" w:rsidR="00385886" w:rsidRPr="00E4628E" w:rsidRDefault="00385886" w:rsidP="00E4628E">
      <w:pPr>
        <w:spacing w:line="276" w:lineRule="auto"/>
        <w:jc w:val="both"/>
        <w:rPr>
          <w:bCs/>
          <w:sz w:val="24"/>
          <w:szCs w:val="24"/>
          <w:lang w:eastAsia="es-CR"/>
        </w:rPr>
      </w:pPr>
    </w:p>
    <w:p w14:paraId="22A28B1D" w14:textId="77777777" w:rsidR="00DD11F7" w:rsidRPr="00E4628E" w:rsidRDefault="00DD11F7" w:rsidP="00E4628E">
      <w:pPr>
        <w:spacing w:line="276" w:lineRule="auto"/>
        <w:ind w:left="567" w:right="616"/>
        <w:jc w:val="both"/>
        <w:rPr>
          <w:i/>
          <w:sz w:val="24"/>
          <w:szCs w:val="24"/>
        </w:rPr>
      </w:pPr>
      <w:r w:rsidRPr="00E4628E">
        <w:rPr>
          <w:i/>
          <w:sz w:val="24"/>
          <w:szCs w:val="24"/>
        </w:rPr>
        <w:t>“(…)</w:t>
      </w:r>
    </w:p>
    <w:p w14:paraId="50BFA948" w14:textId="77777777" w:rsidR="00DD11F7" w:rsidRPr="00E4628E" w:rsidRDefault="00DD11F7" w:rsidP="00E4628E">
      <w:pPr>
        <w:spacing w:line="276" w:lineRule="auto"/>
        <w:ind w:left="567" w:right="616"/>
        <w:jc w:val="both"/>
        <w:rPr>
          <w:i/>
          <w:sz w:val="24"/>
          <w:szCs w:val="24"/>
        </w:rPr>
      </w:pPr>
      <w:r w:rsidRPr="00E4628E">
        <w:rPr>
          <w:i/>
          <w:sz w:val="24"/>
          <w:szCs w:val="24"/>
        </w:rPr>
        <w:t>24)  Servicios de telecomunicaciones disponibles al público: servicios que se ofrecen al público en general, a cambio de una contraprestación económica.</w:t>
      </w:r>
    </w:p>
    <w:p w14:paraId="63CE0F83" w14:textId="77777777" w:rsidR="00DD11F7" w:rsidRPr="00E4628E" w:rsidRDefault="00DD11F7" w:rsidP="00E4628E">
      <w:pPr>
        <w:spacing w:line="276" w:lineRule="auto"/>
        <w:ind w:left="567" w:right="616"/>
        <w:jc w:val="both"/>
        <w:rPr>
          <w:i/>
          <w:sz w:val="24"/>
          <w:szCs w:val="24"/>
        </w:rPr>
      </w:pPr>
      <w:r w:rsidRPr="00E4628E">
        <w:rPr>
          <w:i/>
          <w:sz w:val="24"/>
          <w:szCs w:val="24"/>
        </w:rPr>
        <w:t>(…)”</w:t>
      </w:r>
    </w:p>
    <w:p w14:paraId="7336050E" w14:textId="4F6FB4C7" w:rsidR="00DD11F7" w:rsidRPr="00E4628E" w:rsidRDefault="00DD11F7" w:rsidP="00E4628E">
      <w:pPr>
        <w:spacing w:before="100" w:beforeAutospacing="1" w:after="100" w:afterAutospacing="1" w:line="276" w:lineRule="auto"/>
        <w:jc w:val="both"/>
        <w:rPr>
          <w:bCs/>
          <w:i/>
          <w:sz w:val="24"/>
          <w:szCs w:val="24"/>
          <w:lang w:eastAsia="es-CR"/>
        </w:rPr>
      </w:pPr>
      <w:r w:rsidRPr="00E4628E">
        <w:rPr>
          <w:bCs/>
          <w:sz w:val="24"/>
          <w:szCs w:val="24"/>
          <w:lang w:eastAsia="es-CR"/>
        </w:rPr>
        <w:t>Como se observa, por medio de los sistemas satelitales pueden establecerse servicios que</w:t>
      </w:r>
      <w:r w:rsidR="002D1EF5" w:rsidRPr="00E4628E">
        <w:rPr>
          <w:bCs/>
          <w:sz w:val="24"/>
          <w:szCs w:val="24"/>
          <w:lang w:eastAsia="es-CR"/>
        </w:rPr>
        <w:t xml:space="preserve">, </w:t>
      </w:r>
      <w:r w:rsidRPr="00E4628E">
        <w:rPr>
          <w:bCs/>
          <w:sz w:val="24"/>
          <w:szCs w:val="24"/>
          <w:lang w:eastAsia="es-CR"/>
        </w:rPr>
        <w:t xml:space="preserve">de acuerdo con el autor </w:t>
      </w:r>
      <w:r w:rsidRPr="00E4628E">
        <w:rPr>
          <w:bCs/>
          <w:i/>
          <w:sz w:val="24"/>
          <w:szCs w:val="24"/>
          <w:lang w:eastAsia="es-CR"/>
        </w:rPr>
        <w:t>supra</w:t>
      </w:r>
      <w:r w:rsidR="00C16E82" w:rsidRPr="00E4628E">
        <w:rPr>
          <w:bCs/>
          <w:sz w:val="24"/>
          <w:szCs w:val="24"/>
          <w:lang w:eastAsia="es-CR"/>
        </w:rPr>
        <w:t xml:space="preserve"> </w:t>
      </w:r>
      <w:r w:rsidRPr="00E4628E">
        <w:rPr>
          <w:bCs/>
          <w:sz w:val="24"/>
          <w:szCs w:val="24"/>
          <w:lang w:eastAsia="es-CR"/>
        </w:rPr>
        <w:t xml:space="preserve">citado, </w:t>
      </w:r>
      <w:r w:rsidRPr="00E4628E">
        <w:rPr>
          <w:bCs/>
          <w:i/>
          <w:sz w:val="24"/>
          <w:szCs w:val="24"/>
          <w:lang w:eastAsia="es-CR"/>
        </w:rPr>
        <w:t>“entre las características de flexibilidad de los satélites destaca su capacidad de poder usarse para una amplia diversidad de servicios”</w:t>
      </w:r>
      <w:r w:rsidRPr="00E4628E">
        <w:rPr>
          <w:rStyle w:val="Refdenotaalpie"/>
          <w:bCs/>
          <w:i/>
          <w:sz w:val="24"/>
          <w:szCs w:val="24"/>
          <w:lang w:eastAsia="es-CR"/>
        </w:rPr>
        <w:footnoteReference w:id="6"/>
      </w:r>
      <w:r w:rsidRPr="00E4628E">
        <w:rPr>
          <w:bCs/>
          <w:i/>
          <w:sz w:val="24"/>
          <w:szCs w:val="24"/>
          <w:lang w:eastAsia="es-CR"/>
        </w:rPr>
        <w:t xml:space="preserve">. </w:t>
      </w:r>
    </w:p>
    <w:p w14:paraId="7A6CDC93" w14:textId="723BC9DF" w:rsidR="00DD11F7" w:rsidRPr="00E4628E" w:rsidRDefault="003B1D57" w:rsidP="00E4628E">
      <w:pPr>
        <w:spacing w:before="100" w:beforeAutospacing="1" w:after="100" w:afterAutospacing="1" w:line="276" w:lineRule="auto"/>
        <w:jc w:val="both"/>
        <w:rPr>
          <w:bCs/>
          <w:sz w:val="24"/>
          <w:szCs w:val="24"/>
          <w:lang w:eastAsia="es-CR"/>
        </w:rPr>
      </w:pPr>
      <w:r w:rsidRPr="00E4628E">
        <w:rPr>
          <w:bCs/>
          <w:sz w:val="24"/>
          <w:szCs w:val="24"/>
          <w:lang w:eastAsia="es-CR"/>
        </w:rPr>
        <w:t>Debido a</w:t>
      </w:r>
      <w:r w:rsidR="00DD11F7" w:rsidRPr="00E4628E">
        <w:rPr>
          <w:bCs/>
          <w:sz w:val="24"/>
          <w:szCs w:val="24"/>
          <w:lang w:eastAsia="es-CR"/>
        </w:rPr>
        <w:t xml:space="preserve"> lo dispuesto en la normativa citada, es que el Plan Nacional de Atribución de Frecuen</w:t>
      </w:r>
      <w:r w:rsidR="00E206E9" w:rsidRPr="00E4628E">
        <w:rPr>
          <w:bCs/>
          <w:sz w:val="24"/>
          <w:szCs w:val="24"/>
          <w:lang w:eastAsia="es-CR"/>
        </w:rPr>
        <w:t xml:space="preserve">cias, que es Decreto Ejecutivo </w:t>
      </w:r>
      <w:r w:rsidR="00DD11F7" w:rsidRPr="00E4628E">
        <w:rPr>
          <w:bCs/>
          <w:sz w:val="24"/>
          <w:szCs w:val="24"/>
          <w:lang w:eastAsia="es-CR"/>
        </w:rPr>
        <w:t>Nº 35257-MINAET, de</w:t>
      </w:r>
      <w:r w:rsidR="00F52C10">
        <w:rPr>
          <w:bCs/>
          <w:sz w:val="24"/>
          <w:szCs w:val="24"/>
          <w:lang w:eastAsia="es-CR"/>
        </w:rPr>
        <w:t xml:space="preserve"> fecha</w:t>
      </w:r>
      <w:r w:rsidR="00DD11F7" w:rsidRPr="00E4628E">
        <w:rPr>
          <w:bCs/>
          <w:sz w:val="24"/>
          <w:szCs w:val="24"/>
          <w:lang w:eastAsia="es-CR"/>
        </w:rPr>
        <w:t xml:space="preserve"> 16 de abril de 2009 (en adelante PNAF) en su Adendum I, </w:t>
      </w:r>
      <w:r w:rsidRPr="00E4628E">
        <w:rPr>
          <w:bCs/>
          <w:sz w:val="24"/>
          <w:szCs w:val="24"/>
          <w:lang w:eastAsia="es-CR"/>
        </w:rPr>
        <w:t>regula</w:t>
      </w:r>
      <w:r w:rsidR="00DD11F7" w:rsidRPr="00E4628E">
        <w:rPr>
          <w:bCs/>
          <w:sz w:val="24"/>
          <w:szCs w:val="24"/>
          <w:lang w:eastAsia="es-CR"/>
        </w:rPr>
        <w:t xml:space="preserve"> una serie de definiciones que permiten conocer la versatilidad de los servicios satelitales. Se observa del PNAF, que regula a los servicios radioeléctricos, los cuales están integrados por distintos tipos de servicios entre estos los satelitales, que han sido previstos en el ordenamiento jurídico costarricense para que se brinden en cualquiera de las siguientes maneras:</w:t>
      </w:r>
    </w:p>
    <w:p w14:paraId="3D56E239" w14:textId="3A78F491"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i/>
          <w:sz w:val="24"/>
          <w:szCs w:val="24"/>
          <w:lang w:val="es-ES_tradnl" w:eastAsia="es-CR"/>
        </w:rPr>
        <w:t>“</w:t>
      </w:r>
      <w:r w:rsidRPr="00E4628E">
        <w:rPr>
          <w:b/>
          <w:i/>
          <w:sz w:val="24"/>
          <w:szCs w:val="24"/>
          <w:lang w:val="es-ES_tradnl" w:eastAsia="es-CR"/>
        </w:rPr>
        <w:t>Servicio fijo por satélite:</w:t>
      </w:r>
      <w:r w:rsidR="00C16E82" w:rsidRPr="00E4628E">
        <w:rPr>
          <w:i/>
          <w:sz w:val="24"/>
          <w:szCs w:val="24"/>
          <w:lang w:val="es-ES_tradnl" w:eastAsia="es-CR"/>
        </w:rPr>
        <w:t xml:space="preserve"> </w:t>
      </w:r>
      <w:r w:rsidRPr="00E4628E">
        <w:rPr>
          <w:i/>
          <w:sz w:val="24"/>
          <w:szCs w:val="24"/>
          <w:lang w:val="es-ES_tradnl" w:eastAsia="es-CR"/>
        </w:rPr>
        <w:t xml:space="preserve">Servicio de radiocomunicación entre estaciones terrenas situadas en emplazamientos dados cuando se utilizan uno o más satélites; el emplazamiento dado puede ser un punto fijo determinado o cualquier punto fijo situado en una zona determinada; en algunos casos, este servicio incluye enlaces entre satélites que pueden realizarse también </w:t>
      </w:r>
      <w:r w:rsidRPr="00E4628E">
        <w:rPr>
          <w:i/>
          <w:sz w:val="24"/>
          <w:szCs w:val="24"/>
          <w:lang w:val="es-ES_tradnl" w:eastAsia="es-CR"/>
        </w:rPr>
        <w:lastRenderedPageBreak/>
        <w:t>dentro del servicio entre satélites; el servicio fijo por satélite puede también incluir enlaces de conexión para otros servicios de radiocomunicación espacial.”</w:t>
      </w:r>
    </w:p>
    <w:p w14:paraId="4931710F" w14:textId="5E5C6A54"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entre satélites:</w:t>
      </w:r>
      <w:r w:rsidR="00C16E82" w:rsidRPr="00E4628E">
        <w:rPr>
          <w:i/>
          <w:sz w:val="24"/>
          <w:szCs w:val="24"/>
          <w:lang w:val="es-ES_tradnl" w:eastAsia="es-CR"/>
        </w:rPr>
        <w:t xml:space="preserve"> </w:t>
      </w:r>
      <w:r w:rsidRPr="00E4628E">
        <w:rPr>
          <w:i/>
          <w:sz w:val="24"/>
          <w:szCs w:val="24"/>
          <w:lang w:val="es-ES_tradnl" w:eastAsia="es-CR"/>
        </w:rPr>
        <w:t>Servicio de radiocomunicación que establece enlaces entre satélites artificiales.</w:t>
      </w:r>
    </w:p>
    <w:p w14:paraId="08CB29D0" w14:textId="5A829A52"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de operaciones espaciales:</w:t>
      </w:r>
      <w:r w:rsidR="00C16E82" w:rsidRPr="00E4628E">
        <w:rPr>
          <w:i/>
          <w:sz w:val="24"/>
          <w:szCs w:val="24"/>
          <w:lang w:val="es-ES_tradnl" w:eastAsia="es-CR"/>
        </w:rPr>
        <w:t xml:space="preserve"> </w:t>
      </w:r>
      <w:r w:rsidRPr="00E4628E">
        <w:rPr>
          <w:i/>
          <w:sz w:val="24"/>
          <w:szCs w:val="24"/>
          <w:lang w:val="es-ES_tradnl" w:eastAsia="es-CR"/>
        </w:rPr>
        <w:t>Servicio de radiocomunicación que concierne exclusivamente al funcionamiento de los vehículos espaciales, en particular el seguimiento espacial, la telemedida espacial y el telemando espacial. Estas funciones serán normalmente realizadas dentro del servicio en el que funcione la estación espacial.</w:t>
      </w:r>
    </w:p>
    <w:p w14:paraId="750FD079" w14:textId="5543F61E"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móvil por satélite:</w:t>
      </w:r>
      <w:r w:rsidR="00C16E82" w:rsidRPr="00E4628E">
        <w:rPr>
          <w:i/>
          <w:sz w:val="24"/>
          <w:szCs w:val="24"/>
          <w:lang w:val="es-ES_tradnl" w:eastAsia="es-CR"/>
        </w:rPr>
        <w:t xml:space="preserve"> </w:t>
      </w:r>
      <w:r w:rsidRPr="00E4628E">
        <w:rPr>
          <w:i/>
          <w:sz w:val="24"/>
          <w:szCs w:val="24"/>
          <w:lang w:val="es-ES_tradnl" w:eastAsia="es-CR"/>
        </w:rPr>
        <w:t>Servicio de radiocomunicación:</w:t>
      </w:r>
    </w:p>
    <w:p w14:paraId="7ABDAFD5" w14:textId="7554760D" w:rsidR="00DD11F7" w:rsidRPr="00E4628E" w:rsidRDefault="00DD11F7" w:rsidP="00F52C10">
      <w:pPr>
        <w:pStyle w:val="Prrafodelista"/>
        <w:numPr>
          <w:ilvl w:val="0"/>
          <w:numId w:val="8"/>
        </w:numPr>
        <w:autoSpaceDE/>
        <w:autoSpaceDN/>
        <w:spacing w:before="100" w:beforeAutospacing="1" w:after="100" w:afterAutospacing="1" w:line="276" w:lineRule="auto"/>
        <w:ind w:right="616"/>
        <w:contextualSpacing/>
        <w:jc w:val="both"/>
        <w:rPr>
          <w:i/>
          <w:sz w:val="24"/>
          <w:szCs w:val="24"/>
          <w:lang w:val="es-ES_tradnl" w:eastAsia="es-CR"/>
        </w:rPr>
      </w:pPr>
      <w:r w:rsidRPr="00E4628E">
        <w:rPr>
          <w:i/>
          <w:sz w:val="24"/>
          <w:szCs w:val="24"/>
          <w:lang w:val="es-ES_tradnl" w:eastAsia="es-CR"/>
        </w:rPr>
        <w:t>Entre estaciones terrenas móviles y una o varias estaciones espaciales o entre estaciones espaciales utilizadas por este servicio;</w:t>
      </w:r>
      <w:r w:rsidR="007B4E4A">
        <w:rPr>
          <w:i/>
          <w:sz w:val="24"/>
          <w:szCs w:val="24"/>
          <w:lang w:val="es-ES_tradnl" w:eastAsia="es-CR"/>
        </w:rPr>
        <w:t xml:space="preserve"> </w:t>
      </w:r>
      <w:r w:rsidRPr="00E4628E">
        <w:rPr>
          <w:i/>
          <w:sz w:val="24"/>
          <w:szCs w:val="24"/>
          <w:lang w:val="es-ES_tradnl" w:eastAsia="es-CR"/>
        </w:rPr>
        <w:t>o</w:t>
      </w:r>
    </w:p>
    <w:p w14:paraId="5A0F8493" w14:textId="77777777" w:rsidR="00DD11F7" w:rsidRPr="00E4628E" w:rsidRDefault="00DD11F7" w:rsidP="00215C51">
      <w:pPr>
        <w:pStyle w:val="Prrafodelista"/>
        <w:numPr>
          <w:ilvl w:val="0"/>
          <w:numId w:val="8"/>
        </w:numPr>
        <w:autoSpaceDE/>
        <w:autoSpaceDN/>
        <w:spacing w:before="100" w:beforeAutospacing="1" w:after="100" w:afterAutospacing="1" w:line="276" w:lineRule="auto"/>
        <w:ind w:right="616"/>
        <w:contextualSpacing/>
        <w:jc w:val="both"/>
        <w:rPr>
          <w:i/>
          <w:sz w:val="24"/>
          <w:szCs w:val="24"/>
          <w:lang w:val="es-ES_tradnl" w:eastAsia="es-CR"/>
        </w:rPr>
      </w:pPr>
      <w:r w:rsidRPr="00E4628E">
        <w:rPr>
          <w:i/>
          <w:sz w:val="24"/>
          <w:szCs w:val="24"/>
          <w:lang w:val="es-ES_tradnl" w:eastAsia="es-CR"/>
        </w:rPr>
        <w:t>Entre estaciones terrenas móviles por intermedio de una o varias estaciones espaciales.</w:t>
      </w:r>
    </w:p>
    <w:p w14:paraId="205DE188" w14:textId="294C58EF"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i/>
          <w:sz w:val="24"/>
          <w:szCs w:val="24"/>
          <w:lang w:val="es-ES_tradnl" w:eastAsia="es-CR"/>
        </w:rPr>
        <w:t>También pueden considerarse incluidos en este servicio los enlaces de conexión necesarios para su explotación.</w:t>
      </w:r>
    </w:p>
    <w:p w14:paraId="4CA1E7FC" w14:textId="6B3ED332"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móvil terrestre por satélite:</w:t>
      </w:r>
      <w:r w:rsidR="00C16E82" w:rsidRPr="00E4628E">
        <w:rPr>
          <w:i/>
          <w:sz w:val="24"/>
          <w:szCs w:val="24"/>
          <w:lang w:val="es-ES_tradnl" w:eastAsia="es-CR"/>
        </w:rPr>
        <w:t xml:space="preserve"> </w:t>
      </w:r>
      <w:r w:rsidRPr="00E4628E">
        <w:rPr>
          <w:i/>
          <w:sz w:val="24"/>
          <w:szCs w:val="24"/>
          <w:lang w:val="es-ES_tradnl" w:eastAsia="es-CR"/>
        </w:rPr>
        <w:t>Servicio móvil por satélite en el que las estaciones terrenas móviles están situadas en tierra.</w:t>
      </w:r>
    </w:p>
    <w:p w14:paraId="7A4D969E" w14:textId="32A6A4D1"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móvil marítimo por satélite:</w:t>
      </w:r>
      <w:r w:rsidR="00C16E82" w:rsidRPr="00E4628E">
        <w:rPr>
          <w:i/>
          <w:sz w:val="24"/>
          <w:szCs w:val="24"/>
          <w:lang w:val="es-ES_tradnl" w:eastAsia="es-CR"/>
        </w:rPr>
        <w:t xml:space="preserve"> </w:t>
      </w:r>
      <w:r w:rsidRPr="00E4628E">
        <w:rPr>
          <w:i/>
          <w:sz w:val="24"/>
          <w:szCs w:val="24"/>
          <w:lang w:val="es-ES_tradnl" w:eastAsia="es-CR"/>
        </w:rPr>
        <w:t>Servicio móvil por satélite en el que las estaciones terrenas móviles están situadas a bordo de barcos; también pueden considerarse incluidas en este servicio las estaciones de embarcación o dispositivo de salvamento y las estaciones de radiobaliza de localización de siniestros.</w:t>
      </w:r>
    </w:p>
    <w:p w14:paraId="0D983711" w14:textId="2CADCC6E"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lastRenderedPageBreak/>
        <w:t>Servicio móvil aeronáutico por satélite:</w:t>
      </w:r>
      <w:r w:rsidR="00C16E82" w:rsidRPr="00E4628E">
        <w:rPr>
          <w:i/>
          <w:sz w:val="24"/>
          <w:szCs w:val="24"/>
          <w:lang w:val="es-ES_tradnl" w:eastAsia="es-CR"/>
        </w:rPr>
        <w:t xml:space="preserve"> </w:t>
      </w:r>
      <w:r w:rsidRPr="00E4628E">
        <w:rPr>
          <w:i/>
          <w:sz w:val="24"/>
          <w:szCs w:val="24"/>
          <w:lang w:val="es-ES_tradnl" w:eastAsia="es-CR"/>
        </w:rPr>
        <w:t>Servicio móvil por satélite en el que las estaciones terrenas móviles están situadas a bordo de aeronaves; también pueden considerarse incluidas en este servicio las estaciones de embarcación o dispositivo de salvamento y las estaciones de radiobaliza de localización de siniestros.</w:t>
      </w:r>
    </w:p>
    <w:p w14:paraId="238550D5" w14:textId="1D8A824C"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móvil aeronáutico (R)* por satélite:</w:t>
      </w:r>
      <w:r w:rsidR="00C16E82" w:rsidRPr="00E4628E">
        <w:rPr>
          <w:i/>
          <w:sz w:val="24"/>
          <w:szCs w:val="24"/>
          <w:lang w:val="es-ES_tradnl" w:eastAsia="es-CR"/>
        </w:rPr>
        <w:t xml:space="preserve"> </w:t>
      </w:r>
      <w:r w:rsidRPr="00E4628E">
        <w:rPr>
          <w:i/>
          <w:sz w:val="24"/>
          <w:szCs w:val="24"/>
          <w:lang w:val="es-ES_tradnl" w:eastAsia="es-CR"/>
        </w:rPr>
        <w:t>Servicio móvil aeronáutico por satélite reservado a las comunicaciones relativas a la seguridad y regularidad de los vuelos, principalmente en las rutas nacionales o internacionales de la aviación civil.</w:t>
      </w:r>
    </w:p>
    <w:p w14:paraId="4C7AC40F" w14:textId="067DAB53"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móvil aeronáutico (OR)**</w:t>
      </w:r>
      <w:r w:rsidRPr="00E4628E">
        <w:rPr>
          <w:i/>
          <w:sz w:val="24"/>
          <w:szCs w:val="24"/>
          <w:lang w:val="es-ES_tradnl" w:eastAsia="es-CR"/>
        </w:rPr>
        <w:t xml:space="preserve"> </w:t>
      </w:r>
      <w:r w:rsidRPr="00E4628E">
        <w:rPr>
          <w:b/>
          <w:i/>
          <w:sz w:val="24"/>
          <w:szCs w:val="24"/>
          <w:lang w:val="es-ES_tradnl" w:eastAsia="es-CR"/>
        </w:rPr>
        <w:t>por satélite:</w:t>
      </w:r>
      <w:r w:rsidR="00C16E82" w:rsidRPr="00E4628E">
        <w:rPr>
          <w:i/>
          <w:sz w:val="24"/>
          <w:szCs w:val="24"/>
          <w:lang w:val="es-ES_tradnl" w:eastAsia="es-CR"/>
        </w:rPr>
        <w:t xml:space="preserve"> </w:t>
      </w:r>
      <w:r w:rsidRPr="00E4628E">
        <w:rPr>
          <w:i/>
          <w:sz w:val="24"/>
          <w:szCs w:val="24"/>
          <w:lang w:val="es-ES_tradnl" w:eastAsia="es-CR"/>
        </w:rPr>
        <w:t>Servicio móvil aeronáutico por satélite destinado a asegurar las comunicaciones, incluyendo las relativas a la coordinación de los vuelos, principalmente fuera de las rutas nacionales e internacionales de la aviación civil.</w:t>
      </w:r>
    </w:p>
    <w:p w14:paraId="1CC054A2" w14:textId="4441BF2B"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de radiodifusión</w:t>
      </w:r>
      <w:r w:rsidR="00C16E82" w:rsidRPr="00E4628E">
        <w:rPr>
          <w:b/>
          <w:i/>
          <w:sz w:val="24"/>
          <w:szCs w:val="24"/>
          <w:lang w:val="es-ES_tradnl" w:eastAsia="es-CR"/>
        </w:rPr>
        <w:t>:</w:t>
      </w:r>
      <w:r w:rsidR="00C16E82" w:rsidRPr="00E4628E">
        <w:rPr>
          <w:i/>
          <w:sz w:val="24"/>
          <w:szCs w:val="24"/>
          <w:lang w:val="es-ES_tradnl" w:eastAsia="es-CR"/>
        </w:rPr>
        <w:t xml:space="preserve"> </w:t>
      </w:r>
      <w:r w:rsidRPr="00E4628E">
        <w:rPr>
          <w:i/>
          <w:sz w:val="24"/>
          <w:szCs w:val="24"/>
          <w:lang w:val="es-ES_tradnl" w:eastAsia="es-CR"/>
        </w:rPr>
        <w:t>Servicio de radiocomunicación cuyas emisiones se destinan a ser recibidas directamente por el público en general. Dicho servicio abarca emisiones sonoras, de televisión o de otro género</w:t>
      </w:r>
      <w:r w:rsidR="007B4E4A">
        <w:rPr>
          <w:i/>
          <w:sz w:val="24"/>
          <w:szCs w:val="24"/>
          <w:lang w:val="es-ES_tradnl" w:eastAsia="es-CR"/>
        </w:rPr>
        <w:t xml:space="preserve"> </w:t>
      </w:r>
      <w:r w:rsidRPr="00E4628E">
        <w:rPr>
          <w:i/>
          <w:sz w:val="24"/>
          <w:szCs w:val="24"/>
          <w:lang w:val="es-ES_tradnl" w:eastAsia="es-CR"/>
        </w:rPr>
        <w:t>(CS).</w:t>
      </w:r>
    </w:p>
    <w:p w14:paraId="197B94E2" w14:textId="66F0E092"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de radiodifusión por satélite:</w:t>
      </w:r>
      <w:r w:rsidR="00C16E82" w:rsidRPr="00E4628E">
        <w:rPr>
          <w:i/>
          <w:sz w:val="24"/>
          <w:szCs w:val="24"/>
          <w:lang w:val="es-ES_tradnl" w:eastAsia="es-CR"/>
        </w:rPr>
        <w:t xml:space="preserve"> </w:t>
      </w:r>
      <w:r w:rsidRPr="00E4628E">
        <w:rPr>
          <w:i/>
          <w:sz w:val="24"/>
          <w:szCs w:val="24"/>
          <w:lang w:val="es-ES_tradnl" w:eastAsia="es-CR"/>
        </w:rPr>
        <w:t>Servicio de radiocomunicación en el cual las señales emitidas o retransmitidas por estaciones espaciales están destinadas a la recepción directa por el público en general. En el servicio de radiodifusión por satélite la expresión «recepción directa» abarca tanto la recepción individual como la recepción comunal.</w:t>
      </w:r>
    </w:p>
    <w:p w14:paraId="350B6743" w14:textId="20069241"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de radiodeterminación por satélite:</w:t>
      </w:r>
      <w:r w:rsidR="00C16E82" w:rsidRPr="00E4628E">
        <w:rPr>
          <w:i/>
          <w:sz w:val="24"/>
          <w:szCs w:val="24"/>
          <w:lang w:val="es-ES_tradnl" w:eastAsia="es-CR"/>
        </w:rPr>
        <w:t xml:space="preserve"> </w:t>
      </w:r>
      <w:r w:rsidRPr="00E4628E">
        <w:rPr>
          <w:i/>
          <w:sz w:val="24"/>
          <w:szCs w:val="24"/>
          <w:lang w:val="es-ES_tradnl" w:eastAsia="es-CR"/>
        </w:rPr>
        <w:t>Servicio de radiocomunicación para fines de radiodeterminación, y que implica la utilización de una o más estaciones espaciales. Este servicio puede incluir también los enlaces de conexión necesarios para su funcionamiento.</w:t>
      </w:r>
    </w:p>
    <w:p w14:paraId="118541EB" w14:textId="772FD089"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de radionavegación:</w:t>
      </w:r>
      <w:r w:rsidR="00C16E82" w:rsidRPr="00E4628E">
        <w:rPr>
          <w:i/>
          <w:sz w:val="24"/>
          <w:szCs w:val="24"/>
          <w:lang w:val="es-ES_tradnl" w:eastAsia="es-CR"/>
        </w:rPr>
        <w:t xml:space="preserve"> </w:t>
      </w:r>
      <w:r w:rsidRPr="00E4628E">
        <w:rPr>
          <w:i/>
          <w:sz w:val="24"/>
          <w:szCs w:val="24"/>
          <w:lang w:val="es-ES_tradnl" w:eastAsia="es-CR"/>
        </w:rPr>
        <w:t>Servicio de radiodeterminación para fines de radionavegación.</w:t>
      </w:r>
    </w:p>
    <w:p w14:paraId="403EA046" w14:textId="7ABC5264"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lastRenderedPageBreak/>
        <w:t>Servicio de radionavegación por satélite:</w:t>
      </w:r>
      <w:r w:rsidR="00F52C10">
        <w:rPr>
          <w:i/>
          <w:sz w:val="24"/>
          <w:szCs w:val="24"/>
          <w:lang w:val="es-ES_tradnl" w:eastAsia="es-CR"/>
        </w:rPr>
        <w:t xml:space="preserve"> </w:t>
      </w:r>
      <w:r w:rsidRPr="00E4628E">
        <w:rPr>
          <w:i/>
          <w:sz w:val="24"/>
          <w:szCs w:val="24"/>
          <w:lang w:val="es-ES_tradnl" w:eastAsia="es-CR"/>
        </w:rPr>
        <w:t>Servicio de radiodeterminación por satélite para fines de radionavegación. También pueden considerarse incluidos en este servicio los enlaces de conexión necesarios para su explotación.</w:t>
      </w:r>
    </w:p>
    <w:p w14:paraId="3D977758" w14:textId="25B1B333"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de radionavegación marítima por satélite:</w:t>
      </w:r>
      <w:r w:rsidR="00F52C10">
        <w:rPr>
          <w:i/>
          <w:sz w:val="24"/>
          <w:szCs w:val="24"/>
          <w:lang w:val="es-ES_tradnl" w:eastAsia="es-CR"/>
        </w:rPr>
        <w:t xml:space="preserve"> </w:t>
      </w:r>
      <w:r w:rsidRPr="00E4628E">
        <w:rPr>
          <w:i/>
          <w:sz w:val="24"/>
          <w:szCs w:val="24"/>
          <w:lang w:val="es-ES_tradnl" w:eastAsia="es-CR"/>
        </w:rPr>
        <w:t>Servicio de radionavegación por satélite en el que las estaciones terrenas están situadas a bordo de barcos.</w:t>
      </w:r>
    </w:p>
    <w:p w14:paraId="76CA439B" w14:textId="5302C3BD"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de radionavegación aeronáutica por satélite:</w:t>
      </w:r>
      <w:r w:rsidR="00C16E82" w:rsidRPr="00E4628E">
        <w:rPr>
          <w:i/>
          <w:sz w:val="24"/>
          <w:szCs w:val="24"/>
          <w:lang w:val="es-ES_tradnl" w:eastAsia="es-CR"/>
        </w:rPr>
        <w:t xml:space="preserve"> </w:t>
      </w:r>
      <w:r w:rsidRPr="00E4628E">
        <w:rPr>
          <w:i/>
          <w:sz w:val="24"/>
          <w:szCs w:val="24"/>
          <w:lang w:val="es-ES_tradnl" w:eastAsia="es-CR"/>
        </w:rPr>
        <w:t>Servicio de radionavegación por satélite en el que las estaciones terrenas están situadas a bordo de aeronaves.</w:t>
      </w:r>
    </w:p>
    <w:p w14:paraId="48908CF1" w14:textId="329476DE"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de radiolocalización por satélite:</w:t>
      </w:r>
      <w:r w:rsidR="00C16E82" w:rsidRPr="00E4628E">
        <w:rPr>
          <w:i/>
          <w:sz w:val="24"/>
          <w:szCs w:val="24"/>
          <w:lang w:val="es-ES_tradnl" w:eastAsia="es-CR"/>
        </w:rPr>
        <w:t xml:space="preserve"> </w:t>
      </w:r>
      <w:r w:rsidRPr="00E4628E">
        <w:rPr>
          <w:i/>
          <w:sz w:val="24"/>
          <w:szCs w:val="24"/>
          <w:lang w:val="es-ES_tradnl" w:eastAsia="es-CR"/>
        </w:rPr>
        <w:t>Servicio de radiodeterminación por satélite utilizado para la radiolocalización. Este servicio puede incluir asimismo los enlaces de conexión necesarios para su explotación.</w:t>
      </w:r>
    </w:p>
    <w:p w14:paraId="6C7BC84C" w14:textId="34ED0BF5"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de exploración de la Tierra por satélite:</w:t>
      </w:r>
      <w:r w:rsidR="00C16E82" w:rsidRPr="00E4628E">
        <w:rPr>
          <w:i/>
          <w:sz w:val="24"/>
          <w:szCs w:val="24"/>
          <w:lang w:val="es-ES_tradnl" w:eastAsia="es-CR"/>
        </w:rPr>
        <w:t xml:space="preserve"> </w:t>
      </w:r>
      <w:r w:rsidRPr="00E4628E">
        <w:rPr>
          <w:i/>
          <w:sz w:val="24"/>
          <w:szCs w:val="24"/>
          <w:lang w:val="es-ES_tradnl" w:eastAsia="es-CR"/>
        </w:rPr>
        <w:t>Servicio de radiocomunicación entre estaciones terrenas y una o varias estaciones espaciales que puede incluir enlaces entre estaciones espaciales y en el que:</w:t>
      </w:r>
    </w:p>
    <w:p w14:paraId="63C00823" w14:textId="1649DF3C" w:rsidR="00DD11F7" w:rsidRPr="00E4628E" w:rsidRDefault="00F5480E" w:rsidP="00F52C10">
      <w:pPr>
        <w:pStyle w:val="Prrafodelista"/>
        <w:numPr>
          <w:ilvl w:val="0"/>
          <w:numId w:val="9"/>
        </w:numPr>
        <w:autoSpaceDE/>
        <w:autoSpaceDN/>
        <w:spacing w:before="100" w:beforeAutospacing="1" w:after="100" w:afterAutospacing="1" w:line="276" w:lineRule="auto"/>
        <w:ind w:right="616"/>
        <w:contextualSpacing/>
        <w:jc w:val="both"/>
        <w:rPr>
          <w:i/>
          <w:sz w:val="24"/>
          <w:szCs w:val="24"/>
          <w:lang w:val="es-ES_tradnl" w:eastAsia="es-CR"/>
        </w:rPr>
      </w:pPr>
      <w:r>
        <w:rPr>
          <w:i/>
          <w:sz w:val="24"/>
          <w:szCs w:val="24"/>
          <w:lang w:val="es-ES_tradnl" w:eastAsia="es-CR"/>
        </w:rPr>
        <w:t>S</w:t>
      </w:r>
      <w:r w:rsidR="00DD11F7" w:rsidRPr="00E4628E">
        <w:rPr>
          <w:i/>
          <w:sz w:val="24"/>
          <w:szCs w:val="24"/>
          <w:lang w:val="es-ES_tradnl" w:eastAsia="es-CR"/>
        </w:rPr>
        <w:t>e obtiene información sobre las características de la Tierra y sus fenómenos naturales, incluidos datos relativos al estado del medio ambiente, por medio de sensores activos o de sensores pasivos a bordo de satélites de la Tierra.</w:t>
      </w:r>
    </w:p>
    <w:p w14:paraId="590522B8" w14:textId="77777777" w:rsidR="00DD11F7" w:rsidRPr="00E4628E" w:rsidRDefault="00DD11F7" w:rsidP="00215C51">
      <w:pPr>
        <w:pStyle w:val="Prrafodelista"/>
        <w:numPr>
          <w:ilvl w:val="0"/>
          <w:numId w:val="9"/>
        </w:numPr>
        <w:autoSpaceDE/>
        <w:autoSpaceDN/>
        <w:spacing w:before="100" w:beforeAutospacing="1" w:after="100" w:afterAutospacing="1" w:line="276" w:lineRule="auto"/>
        <w:ind w:right="616"/>
        <w:contextualSpacing/>
        <w:jc w:val="both"/>
        <w:rPr>
          <w:i/>
          <w:sz w:val="24"/>
          <w:szCs w:val="24"/>
          <w:lang w:val="es-ES_tradnl" w:eastAsia="es-CR"/>
        </w:rPr>
      </w:pPr>
      <w:r w:rsidRPr="00E4628E">
        <w:rPr>
          <w:i/>
          <w:sz w:val="24"/>
          <w:szCs w:val="24"/>
          <w:lang w:val="es-ES_tradnl" w:eastAsia="es-CR"/>
        </w:rPr>
        <w:t>Se reúne información análoga por medio de plataformas situadas en el aire o sobre la superficie de la Tierra;</w:t>
      </w:r>
    </w:p>
    <w:p w14:paraId="3511DE49" w14:textId="77777777" w:rsidR="00DD11F7" w:rsidRPr="00E4628E" w:rsidRDefault="00DD11F7" w:rsidP="00215C51">
      <w:pPr>
        <w:pStyle w:val="Prrafodelista"/>
        <w:numPr>
          <w:ilvl w:val="0"/>
          <w:numId w:val="9"/>
        </w:numPr>
        <w:autoSpaceDE/>
        <w:autoSpaceDN/>
        <w:spacing w:before="100" w:beforeAutospacing="1" w:after="100" w:afterAutospacing="1" w:line="276" w:lineRule="auto"/>
        <w:ind w:right="616"/>
        <w:contextualSpacing/>
        <w:jc w:val="both"/>
        <w:rPr>
          <w:i/>
          <w:sz w:val="24"/>
          <w:szCs w:val="24"/>
          <w:lang w:val="es-ES_tradnl" w:eastAsia="es-CR"/>
        </w:rPr>
      </w:pPr>
      <w:r w:rsidRPr="00E4628E">
        <w:rPr>
          <w:i/>
          <w:sz w:val="24"/>
          <w:szCs w:val="24"/>
          <w:lang w:val="es-ES_tradnl" w:eastAsia="es-CR"/>
        </w:rPr>
        <w:t>Dichas informaciones pueden ser distribuidas a estaciones terrenas dentro de un mismo sistema;</w:t>
      </w:r>
    </w:p>
    <w:p w14:paraId="09897083" w14:textId="77777777" w:rsidR="00DD11F7" w:rsidRPr="00E4628E" w:rsidRDefault="00DD11F7" w:rsidP="00215C51">
      <w:pPr>
        <w:pStyle w:val="Prrafodelista"/>
        <w:numPr>
          <w:ilvl w:val="0"/>
          <w:numId w:val="9"/>
        </w:numPr>
        <w:autoSpaceDE/>
        <w:autoSpaceDN/>
        <w:spacing w:before="100" w:beforeAutospacing="1" w:after="100" w:afterAutospacing="1" w:line="276" w:lineRule="auto"/>
        <w:ind w:right="616"/>
        <w:contextualSpacing/>
        <w:jc w:val="both"/>
        <w:rPr>
          <w:i/>
          <w:sz w:val="24"/>
          <w:szCs w:val="24"/>
          <w:lang w:val="es-ES_tradnl" w:eastAsia="es-CR"/>
        </w:rPr>
      </w:pPr>
      <w:r w:rsidRPr="00E4628E">
        <w:rPr>
          <w:i/>
          <w:sz w:val="24"/>
          <w:szCs w:val="24"/>
          <w:lang w:val="es-ES_tradnl" w:eastAsia="es-CR"/>
        </w:rPr>
        <w:t>Puede incluirse asimismo la interrogación a las plataformas.</w:t>
      </w:r>
    </w:p>
    <w:p w14:paraId="78AE0AD5" w14:textId="648B314E"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i/>
          <w:sz w:val="24"/>
          <w:szCs w:val="24"/>
          <w:lang w:val="es-ES_tradnl" w:eastAsia="es-CR"/>
        </w:rPr>
        <w:t>Este servicio puede incluir también los enlaces de conexión necesarios para su explotación.</w:t>
      </w:r>
    </w:p>
    <w:p w14:paraId="47E284E4" w14:textId="13CA720D"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lastRenderedPageBreak/>
        <w:t>Servicio de meteorología por satélite:</w:t>
      </w:r>
      <w:r w:rsidR="00C16E82" w:rsidRPr="00E4628E">
        <w:rPr>
          <w:i/>
          <w:sz w:val="24"/>
          <w:szCs w:val="24"/>
          <w:lang w:val="es-ES_tradnl" w:eastAsia="es-CR"/>
        </w:rPr>
        <w:t xml:space="preserve"> </w:t>
      </w:r>
      <w:r w:rsidRPr="00E4628E">
        <w:rPr>
          <w:i/>
          <w:sz w:val="24"/>
          <w:szCs w:val="24"/>
          <w:lang w:val="es-ES_tradnl" w:eastAsia="es-CR"/>
        </w:rPr>
        <w:t>Servicio de exploración de la Tierra por satélite con fines meteorológicos.</w:t>
      </w:r>
    </w:p>
    <w:p w14:paraId="5810EDE0" w14:textId="470832AF" w:rsidR="00DD11F7" w:rsidRPr="00E4628E" w:rsidRDefault="00DD11F7" w:rsidP="00E4628E">
      <w:pPr>
        <w:spacing w:before="100" w:beforeAutospacing="1" w:after="100" w:afterAutospacing="1" w:line="276" w:lineRule="auto"/>
        <w:ind w:left="567" w:right="616"/>
        <w:jc w:val="both"/>
        <w:rPr>
          <w:i/>
          <w:sz w:val="24"/>
          <w:szCs w:val="24"/>
          <w:lang w:val="es-ES_tradnl" w:eastAsia="es-CR"/>
        </w:rPr>
      </w:pPr>
      <w:r w:rsidRPr="00E4628E">
        <w:rPr>
          <w:b/>
          <w:i/>
          <w:sz w:val="24"/>
          <w:szCs w:val="24"/>
          <w:lang w:val="es-ES_tradnl" w:eastAsia="es-CR"/>
        </w:rPr>
        <w:t>Servicio de frecuencias patrón y de señales horarias por satélite:</w:t>
      </w:r>
      <w:r w:rsidR="00C16E82" w:rsidRPr="00E4628E">
        <w:rPr>
          <w:i/>
          <w:sz w:val="24"/>
          <w:szCs w:val="24"/>
          <w:lang w:val="es-ES_tradnl" w:eastAsia="es-CR"/>
        </w:rPr>
        <w:t xml:space="preserve"> </w:t>
      </w:r>
      <w:r w:rsidRPr="00E4628E">
        <w:rPr>
          <w:i/>
          <w:sz w:val="24"/>
          <w:szCs w:val="24"/>
          <w:lang w:val="es-ES_tradnl" w:eastAsia="es-CR"/>
        </w:rPr>
        <w:t>Servicio de radiocomunicación que utiliza estaciones espaciales situadas en satélites de la Tierra para los mismos fines que el servicio de frecuencias patrón y de señales horarias. Este servicio puede incluir también los enlaces de conexión necesarios para su explotación.</w:t>
      </w:r>
    </w:p>
    <w:p w14:paraId="1C829C6B" w14:textId="0F9AE92A" w:rsidR="00DD11F7" w:rsidRPr="00E4628E" w:rsidRDefault="00DD11F7" w:rsidP="00E4628E">
      <w:pPr>
        <w:spacing w:before="100" w:beforeAutospacing="1" w:after="100" w:afterAutospacing="1" w:line="276" w:lineRule="auto"/>
        <w:ind w:left="567" w:right="616"/>
        <w:jc w:val="both"/>
        <w:rPr>
          <w:sz w:val="24"/>
          <w:szCs w:val="24"/>
          <w:lang w:val="es-ES_tradnl" w:eastAsia="es-CR"/>
        </w:rPr>
      </w:pPr>
      <w:r w:rsidRPr="00E4628E">
        <w:rPr>
          <w:i/>
          <w:sz w:val="24"/>
          <w:szCs w:val="24"/>
          <w:lang w:val="es-ES_tradnl" w:eastAsia="es-CR"/>
        </w:rPr>
        <w:t> </w:t>
      </w:r>
      <w:r w:rsidRPr="00E4628E">
        <w:rPr>
          <w:b/>
          <w:i/>
          <w:sz w:val="24"/>
          <w:szCs w:val="24"/>
          <w:lang w:val="es-ES_tradnl" w:eastAsia="es-CR"/>
        </w:rPr>
        <w:t>Servicio de aficionados por satélite:</w:t>
      </w:r>
      <w:r w:rsidR="00C16E82" w:rsidRPr="00E4628E">
        <w:rPr>
          <w:i/>
          <w:sz w:val="24"/>
          <w:szCs w:val="24"/>
          <w:lang w:val="es-ES_tradnl" w:eastAsia="es-CR"/>
        </w:rPr>
        <w:t xml:space="preserve"> </w:t>
      </w:r>
      <w:r w:rsidRPr="00E4628E">
        <w:rPr>
          <w:i/>
          <w:sz w:val="24"/>
          <w:szCs w:val="24"/>
          <w:lang w:val="es-ES_tradnl" w:eastAsia="es-CR"/>
        </w:rPr>
        <w:t xml:space="preserve">Servicio de radiocomunicación que utiliza estaciones espaciales </w:t>
      </w:r>
      <w:r w:rsidRPr="00E4628E">
        <w:rPr>
          <w:sz w:val="24"/>
          <w:szCs w:val="24"/>
          <w:lang w:val="es-ES_tradnl" w:eastAsia="es-CR"/>
        </w:rPr>
        <w:t xml:space="preserve">situadas en </w:t>
      </w:r>
      <w:r w:rsidRPr="00E4628E">
        <w:rPr>
          <w:i/>
          <w:sz w:val="24"/>
          <w:szCs w:val="24"/>
          <w:lang w:val="es-ES_tradnl" w:eastAsia="es-CR"/>
        </w:rPr>
        <w:t>satélites</w:t>
      </w:r>
      <w:r w:rsidRPr="00E4628E">
        <w:rPr>
          <w:sz w:val="24"/>
          <w:szCs w:val="24"/>
          <w:lang w:val="es-ES_tradnl" w:eastAsia="es-CR"/>
        </w:rPr>
        <w:t xml:space="preserve"> de la Tierra para los mismos fines que el </w:t>
      </w:r>
      <w:r w:rsidRPr="00E4628E">
        <w:rPr>
          <w:i/>
          <w:sz w:val="24"/>
          <w:szCs w:val="24"/>
          <w:lang w:val="es-ES_tradnl" w:eastAsia="es-CR"/>
        </w:rPr>
        <w:t>servicio de aficionados.”</w:t>
      </w:r>
      <w:r w:rsidRPr="00E4628E">
        <w:rPr>
          <w:rStyle w:val="Refdenotaalpie"/>
          <w:sz w:val="24"/>
          <w:szCs w:val="24"/>
          <w:lang w:val="es-ES_tradnl" w:eastAsia="es-CR"/>
        </w:rPr>
        <w:footnoteReference w:id="7"/>
      </w:r>
    </w:p>
    <w:p w14:paraId="22718E59" w14:textId="77777777" w:rsidR="001F6A3F" w:rsidRPr="00E4628E" w:rsidRDefault="001F6A3F" w:rsidP="00E4628E">
      <w:pPr>
        <w:pStyle w:val="Prrafodelista"/>
        <w:autoSpaceDE/>
        <w:autoSpaceDN/>
        <w:spacing w:line="276" w:lineRule="auto"/>
        <w:ind w:left="1637"/>
        <w:contextualSpacing/>
        <w:jc w:val="both"/>
        <w:rPr>
          <w:b/>
          <w:sz w:val="24"/>
          <w:szCs w:val="24"/>
        </w:rPr>
      </w:pPr>
    </w:p>
    <w:p w14:paraId="1B0EEFC8" w14:textId="4DF7730A" w:rsidR="001F6A3F" w:rsidRPr="00E4628E" w:rsidRDefault="001F6A3F" w:rsidP="00E4628E">
      <w:pPr>
        <w:tabs>
          <w:tab w:val="left" w:pos="-720"/>
          <w:tab w:val="left" w:pos="0"/>
        </w:tabs>
        <w:spacing w:line="276" w:lineRule="auto"/>
        <w:ind w:right="51"/>
        <w:jc w:val="both"/>
        <w:rPr>
          <w:sz w:val="24"/>
          <w:szCs w:val="24"/>
        </w:rPr>
      </w:pPr>
      <w:r w:rsidRPr="00E4628E">
        <w:rPr>
          <w:sz w:val="24"/>
          <w:szCs w:val="24"/>
        </w:rPr>
        <w:t>Es importante indicar además que</w:t>
      </w:r>
      <w:r w:rsidR="00873958" w:rsidRPr="00E4628E">
        <w:rPr>
          <w:sz w:val="24"/>
          <w:szCs w:val="24"/>
        </w:rPr>
        <w:t>,</w:t>
      </w:r>
      <w:r w:rsidRPr="00E4628E">
        <w:rPr>
          <w:sz w:val="24"/>
          <w:szCs w:val="24"/>
        </w:rPr>
        <w:t xml:space="preserve"> el Reglamento de Radio</w:t>
      </w:r>
      <w:r w:rsidR="00C16E82" w:rsidRPr="00E4628E">
        <w:rPr>
          <w:sz w:val="24"/>
          <w:szCs w:val="24"/>
        </w:rPr>
        <w:t>c</w:t>
      </w:r>
      <w:r w:rsidRPr="00E4628E">
        <w:rPr>
          <w:sz w:val="24"/>
          <w:szCs w:val="24"/>
        </w:rPr>
        <w:t>omunicaciones de la Unión Internacional de Telecomunicaciones (UIT) tiene entre sus objetivos facilitar el funcionamiento efectivo y eficaz de todos los servicios de radiocomunicaciones.  Para ello, la Sección III del Capítulo S.1., dispone lo relacionado con los servicios radioeléctricos, siendo estas regulaciones contestes con el ordenamiento jurídico nacional.</w:t>
      </w:r>
    </w:p>
    <w:p w14:paraId="5FA30978" w14:textId="5723FF88" w:rsidR="001F6A3F" w:rsidRPr="00E4628E" w:rsidRDefault="001F6A3F" w:rsidP="00E4628E">
      <w:pPr>
        <w:tabs>
          <w:tab w:val="left" w:pos="-720"/>
          <w:tab w:val="left" w:pos="0"/>
        </w:tabs>
        <w:spacing w:line="276" w:lineRule="auto"/>
        <w:ind w:right="51"/>
        <w:jc w:val="both"/>
        <w:rPr>
          <w:bCs/>
          <w:sz w:val="24"/>
          <w:szCs w:val="24"/>
          <w:lang w:eastAsia="es-CR"/>
        </w:rPr>
      </w:pPr>
      <w:r w:rsidRPr="00E4628E">
        <w:rPr>
          <w:sz w:val="24"/>
          <w:szCs w:val="24"/>
        </w:rPr>
        <w:t xml:space="preserve">  </w:t>
      </w:r>
    </w:p>
    <w:p w14:paraId="59B779E1" w14:textId="40AD9E69" w:rsidR="00DD11F7" w:rsidRPr="00E4628E" w:rsidRDefault="00DD11F7" w:rsidP="00E4628E">
      <w:pPr>
        <w:spacing w:line="276" w:lineRule="auto"/>
        <w:jc w:val="both"/>
        <w:rPr>
          <w:bCs/>
          <w:sz w:val="24"/>
          <w:szCs w:val="24"/>
          <w:lang w:eastAsia="es-CR"/>
        </w:rPr>
      </w:pPr>
      <w:r w:rsidRPr="00E4628E">
        <w:rPr>
          <w:bCs/>
          <w:sz w:val="24"/>
          <w:szCs w:val="24"/>
          <w:lang w:eastAsia="es-CR"/>
        </w:rPr>
        <w:t xml:space="preserve">En relación con lo anterior, el artículo 30 de la LGT que dispone de manera general, lo relativo a los sistemas satelitales: </w:t>
      </w:r>
    </w:p>
    <w:p w14:paraId="6ECB91BD" w14:textId="77777777" w:rsidR="00385886" w:rsidRPr="00E4628E" w:rsidRDefault="00385886" w:rsidP="00E4628E">
      <w:pPr>
        <w:spacing w:line="276" w:lineRule="auto"/>
        <w:jc w:val="both"/>
        <w:rPr>
          <w:bCs/>
          <w:sz w:val="24"/>
          <w:szCs w:val="24"/>
          <w:lang w:eastAsia="es-CR"/>
        </w:rPr>
      </w:pPr>
    </w:p>
    <w:p w14:paraId="12A2FA2C" w14:textId="2D348285" w:rsidR="00DD11F7" w:rsidRPr="00E4628E" w:rsidRDefault="00DD11F7" w:rsidP="00E4628E">
      <w:pPr>
        <w:spacing w:line="276" w:lineRule="auto"/>
        <w:ind w:left="567" w:right="616"/>
        <w:jc w:val="both"/>
        <w:rPr>
          <w:bCs/>
          <w:i/>
          <w:sz w:val="24"/>
          <w:szCs w:val="24"/>
          <w:lang w:eastAsia="es-CR"/>
        </w:rPr>
      </w:pPr>
      <w:r w:rsidRPr="00E4628E">
        <w:rPr>
          <w:bCs/>
          <w:i/>
          <w:sz w:val="24"/>
          <w:szCs w:val="24"/>
          <w:lang w:eastAsia="es-CR"/>
        </w:rPr>
        <w:t>“ARTÍCULO 30.- Sistemas satelitales</w:t>
      </w:r>
    </w:p>
    <w:p w14:paraId="11641CDD" w14:textId="77777777" w:rsidR="00DD11F7" w:rsidRPr="00E4628E" w:rsidRDefault="00DD11F7" w:rsidP="00E4628E">
      <w:pPr>
        <w:spacing w:line="276" w:lineRule="auto"/>
        <w:ind w:left="567" w:right="616"/>
        <w:jc w:val="both"/>
        <w:rPr>
          <w:bCs/>
          <w:i/>
          <w:sz w:val="24"/>
          <w:szCs w:val="24"/>
          <w:lang w:eastAsia="es-CR"/>
        </w:rPr>
      </w:pPr>
      <w:r w:rsidRPr="00E4628E">
        <w:rPr>
          <w:bCs/>
          <w:i/>
          <w:sz w:val="24"/>
          <w:szCs w:val="24"/>
          <w:lang w:eastAsia="es-CR"/>
        </w:rPr>
        <w:t>La operación de sistemas satelitales, así como la asignación y explotación de posiciones orbitales asignadas al país, estará sometida a la Constitución Política, el Derecho internacional y lo dispuesto en esta Ley.</w:t>
      </w:r>
    </w:p>
    <w:p w14:paraId="48B40A93" w14:textId="77777777" w:rsidR="00DD11F7" w:rsidRPr="00E4628E" w:rsidRDefault="00DD11F7" w:rsidP="00E4628E">
      <w:pPr>
        <w:spacing w:line="276" w:lineRule="auto"/>
        <w:ind w:left="567" w:right="616"/>
        <w:jc w:val="both"/>
        <w:rPr>
          <w:bCs/>
          <w:i/>
          <w:sz w:val="24"/>
          <w:szCs w:val="24"/>
          <w:lang w:eastAsia="es-CR"/>
        </w:rPr>
      </w:pPr>
      <w:r w:rsidRPr="00E4628E">
        <w:rPr>
          <w:bCs/>
          <w:i/>
          <w:sz w:val="24"/>
          <w:szCs w:val="24"/>
          <w:lang w:eastAsia="es-CR"/>
        </w:rPr>
        <w:t xml:space="preserve">Todos los operadores de sistemas satelitales que, por medio de un enlace permanente, transmitan o reciban señales radioeléctricas hacia el territorio nacional o desde él, para la </w:t>
      </w:r>
      <w:r w:rsidRPr="00E4628E">
        <w:rPr>
          <w:bCs/>
          <w:i/>
          <w:sz w:val="24"/>
          <w:szCs w:val="24"/>
          <w:lang w:eastAsia="es-CR"/>
        </w:rPr>
        <w:lastRenderedPageBreak/>
        <w:t>explotación comercial o reventa de servicios, deberán cumplir las obligaciones que defina la respectiva concesión, así como los siguientes requisitos:</w:t>
      </w:r>
    </w:p>
    <w:p w14:paraId="3E067D66" w14:textId="77777777" w:rsidR="00DD11F7" w:rsidRPr="00E4628E" w:rsidRDefault="00DD11F7" w:rsidP="00E4628E">
      <w:pPr>
        <w:pStyle w:val="Prrafodelista"/>
        <w:numPr>
          <w:ilvl w:val="0"/>
          <w:numId w:val="7"/>
        </w:numPr>
        <w:autoSpaceDE/>
        <w:autoSpaceDN/>
        <w:spacing w:after="200" w:line="276" w:lineRule="auto"/>
        <w:ind w:left="1134" w:right="616" w:firstLine="0"/>
        <w:contextualSpacing/>
        <w:jc w:val="both"/>
        <w:rPr>
          <w:bCs/>
          <w:i/>
          <w:sz w:val="24"/>
          <w:szCs w:val="24"/>
          <w:lang w:eastAsia="es-CR"/>
        </w:rPr>
      </w:pPr>
      <w:r w:rsidRPr="00E4628E">
        <w:rPr>
          <w:bCs/>
          <w:i/>
          <w:sz w:val="24"/>
          <w:szCs w:val="24"/>
          <w:lang w:eastAsia="es-CR"/>
        </w:rPr>
        <w:t>Conformar sus transmisiones a los estándares especificados por la UIT para las frecuencias de uso satelital.</w:t>
      </w:r>
    </w:p>
    <w:p w14:paraId="1A057D49" w14:textId="77777777" w:rsidR="00DD11F7" w:rsidRPr="00E4628E" w:rsidRDefault="00DD11F7" w:rsidP="00E4628E">
      <w:pPr>
        <w:pStyle w:val="Prrafodelista"/>
        <w:numPr>
          <w:ilvl w:val="0"/>
          <w:numId w:val="7"/>
        </w:numPr>
        <w:autoSpaceDE/>
        <w:autoSpaceDN/>
        <w:spacing w:after="200" w:line="276" w:lineRule="auto"/>
        <w:ind w:left="1134" w:right="616" w:firstLine="0"/>
        <w:contextualSpacing/>
        <w:jc w:val="both"/>
        <w:rPr>
          <w:bCs/>
          <w:i/>
          <w:sz w:val="24"/>
          <w:szCs w:val="24"/>
          <w:lang w:eastAsia="es-CR"/>
        </w:rPr>
      </w:pPr>
      <w:r w:rsidRPr="00E4628E">
        <w:rPr>
          <w:bCs/>
          <w:i/>
          <w:sz w:val="24"/>
          <w:szCs w:val="24"/>
          <w:lang w:eastAsia="es-CR"/>
        </w:rPr>
        <w:t>Contar con los derechos internacionales de posiciones orbitales.</w:t>
      </w:r>
    </w:p>
    <w:p w14:paraId="5FA41B15" w14:textId="77777777" w:rsidR="00DD11F7" w:rsidRPr="00E4628E" w:rsidRDefault="00DD11F7" w:rsidP="00E4628E">
      <w:pPr>
        <w:pStyle w:val="Prrafodelista"/>
        <w:numPr>
          <w:ilvl w:val="0"/>
          <w:numId w:val="7"/>
        </w:numPr>
        <w:autoSpaceDE/>
        <w:autoSpaceDN/>
        <w:spacing w:after="200" w:line="276" w:lineRule="auto"/>
        <w:ind w:left="1134" w:right="616" w:firstLine="0"/>
        <w:contextualSpacing/>
        <w:jc w:val="both"/>
        <w:rPr>
          <w:bCs/>
          <w:i/>
          <w:sz w:val="24"/>
          <w:szCs w:val="24"/>
          <w:lang w:eastAsia="es-CR"/>
        </w:rPr>
      </w:pPr>
      <w:r w:rsidRPr="00E4628E">
        <w:rPr>
          <w:bCs/>
          <w:i/>
          <w:sz w:val="24"/>
          <w:szCs w:val="24"/>
          <w:lang w:eastAsia="es-CR"/>
        </w:rPr>
        <w:t>Registrar sus equipos transmisores, según lo que se establezca reglamentariamente.”</w:t>
      </w:r>
    </w:p>
    <w:p w14:paraId="1FDC5594" w14:textId="77777777" w:rsidR="000E3FA6" w:rsidRPr="00E4628E" w:rsidRDefault="000E3FA6" w:rsidP="00E4628E">
      <w:pPr>
        <w:spacing w:line="276" w:lineRule="auto"/>
        <w:ind w:right="616"/>
        <w:jc w:val="both"/>
        <w:rPr>
          <w:bCs/>
          <w:sz w:val="24"/>
          <w:szCs w:val="24"/>
          <w:lang w:eastAsia="es-CR"/>
        </w:rPr>
      </w:pPr>
    </w:p>
    <w:p w14:paraId="35AFCBFF" w14:textId="13D9A6AF" w:rsidR="00DD11F7" w:rsidRPr="00E4628E" w:rsidRDefault="00DD11F7" w:rsidP="00E4628E">
      <w:pPr>
        <w:spacing w:line="276" w:lineRule="auto"/>
        <w:ind w:right="616"/>
        <w:jc w:val="both"/>
        <w:rPr>
          <w:bCs/>
          <w:sz w:val="24"/>
          <w:szCs w:val="24"/>
          <w:lang w:eastAsia="es-CR"/>
        </w:rPr>
      </w:pPr>
      <w:r w:rsidRPr="00E4628E">
        <w:rPr>
          <w:bCs/>
          <w:sz w:val="24"/>
          <w:szCs w:val="24"/>
          <w:lang w:eastAsia="es-CR"/>
        </w:rPr>
        <w:t>Continuando con el análisis, del artículo transcrito se desprende lo siguiente:</w:t>
      </w:r>
    </w:p>
    <w:p w14:paraId="3431C789" w14:textId="77777777" w:rsidR="004C546F" w:rsidRPr="00E4628E" w:rsidRDefault="004C546F" w:rsidP="00E4628E">
      <w:pPr>
        <w:spacing w:line="276" w:lineRule="auto"/>
        <w:ind w:right="616"/>
        <w:jc w:val="both"/>
        <w:rPr>
          <w:bCs/>
          <w:sz w:val="24"/>
          <w:szCs w:val="24"/>
          <w:lang w:eastAsia="es-CR"/>
        </w:rPr>
      </w:pPr>
    </w:p>
    <w:p w14:paraId="74C09AB3" w14:textId="392D7970" w:rsidR="00DD11F7" w:rsidRPr="00E4628E" w:rsidRDefault="00DD11F7" w:rsidP="00E4628E">
      <w:pPr>
        <w:pStyle w:val="Prrafodelista"/>
        <w:numPr>
          <w:ilvl w:val="0"/>
          <w:numId w:val="10"/>
        </w:numPr>
        <w:autoSpaceDE/>
        <w:autoSpaceDN/>
        <w:spacing w:line="276" w:lineRule="auto"/>
        <w:contextualSpacing/>
        <w:jc w:val="both"/>
        <w:rPr>
          <w:bCs/>
          <w:sz w:val="24"/>
          <w:szCs w:val="24"/>
          <w:lang w:eastAsia="es-CR"/>
        </w:rPr>
      </w:pPr>
      <w:r w:rsidRPr="00E4628E">
        <w:rPr>
          <w:bCs/>
          <w:sz w:val="24"/>
          <w:szCs w:val="24"/>
          <w:lang w:eastAsia="es-CR"/>
        </w:rPr>
        <w:t xml:space="preserve">El numeral refiere exclusivamente a los operadores de sistemas satelitales, entendidos </w:t>
      </w:r>
      <w:r w:rsidR="00DE0A7D" w:rsidRPr="00E4628E">
        <w:rPr>
          <w:bCs/>
          <w:sz w:val="24"/>
          <w:szCs w:val="24"/>
          <w:lang w:eastAsia="es-CR"/>
        </w:rPr>
        <w:t>é</w:t>
      </w:r>
      <w:r w:rsidRPr="00E4628E">
        <w:rPr>
          <w:bCs/>
          <w:sz w:val="24"/>
          <w:szCs w:val="24"/>
          <w:lang w:eastAsia="es-CR"/>
        </w:rPr>
        <w:t>stos como los que por medio de enlaces permanentes transmitan o reciban señales radioeléctricas, para la explotación comercial o reventa de servicios.</w:t>
      </w:r>
    </w:p>
    <w:p w14:paraId="1BFBAD41" w14:textId="77777777" w:rsidR="00DD11F7" w:rsidRPr="00E4628E" w:rsidRDefault="00DD11F7" w:rsidP="00E4628E">
      <w:pPr>
        <w:pStyle w:val="Prrafodelista"/>
        <w:spacing w:line="276" w:lineRule="auto"/>
        <w:ind w:left="1080"/>
        <w:jc w:val="both"/>
        <w:rPr>
          <w:bCs/>
          <w:sz w:val="24"/>
          <w:szCs w:val="24"/>
          <w:lang w:eastAsia="es-CR"/>
        </w:rPr>
      </w:pPr>
    </w:p>
    <w:p w14:paraId="21326391" w14:textId="759E7151" w:rsidR="00DD11F7" w:rsidRPr="00E4628E" w:rsidRDefault="00DD11F7" w:rsidP="00E4628E">
      <w:pPr>
        <w:spacing w:line="276" w:lineRule="auto"/>
        <w:jc w:val="both"/>
        <w:rPr>
          <w:bCs/>
          <w:sz w:val="24"/>
          <w:szCs w:val="24"/>
          <w:lang w:eastAsia="es-CR"/>
        </w:rPr>
      </w:pPr>
      <w:r w:rsidRPr="00E4628E">
        <w:rPr>
          <w:bCs/>
          <w:sz w:val="24"/>
          <w:szCs w:val="24"/>
          <w:lang w:eastAsia="es-CR"/>
        </w:rPr>
        <w:t>Contrastando esta definición, con la dada por el artículo 6 inciso 12</w:t>
      </w:r>
      <w:r w:rsidR="00C16E82" w:rsidRPr="00E4628E">
        <w:rPr>
          <w:bCs/>
          <w:sz w:val="24"/>
          <w:szCs w:val="24"/>
          <w:lang w:eastAsia="es-CR"/>
        </w:rPr>
        <w:t>)</w:t>
      </w:r>
      <w:r w:rsidR="00BB3904" w:rsidRPr="00E4628E">
        <w:rPr>
          <w:bCs/>
          <w:sz w:val="24"/>
          <w:szCs w:val="24"/>
          <w:lang w:eastAsia="es-CR"/>
        </w:rPr>
        <w:t xml:space="preserve"> de la Ley N°8642 de cita</w:t>
      </w:r>
      <w:r w:rsidRPr="00E4628E">
        <w:rPr>
          <w:bCs/>
          <w:sz w:val="24"/>
          <w:szCs w:val="24"/>
          <w:lang w:eastAsia="es-CR"/>
        </w:rPr>
        <w:t xml:space="preserve"> se tiene que “operador” es el que explota redes de telecomunicaciones con la debida concesión o autorización, las cuales podrán prestar o no servicios de telecomunicaciones disponibles al público en general. </w:t>
      </w:r>
    </w:p>
    <w:p w14:paraId="25227A0F" w14:textId="77777777" w:rsidR="00385886" w:rsidRPr="00E4628E" w:rsidRDefault="00385886" w:rsidP="00E4628E">
      <w:pPr>
        <w:spacing w:line="276" w:lineRule="auto"/>
        <w:jc w:val="both"/>
        <w:rPr>
          <w:bCs/>
          <w:sz w:val="24"/>
          <w:szCs w:val="24"/>
          <w:lang w:eastAsia="es-CR"/>
        </w:rPr>
      </w:pPr>
    </w:p>
    <w:p w14:paraId="3A3015EF" w14:textId="6E4B9D67" w:rsidR="00DD11F7" w:rsidRPr="00E4628E" w:rsidRDefault="00DD11F7" w:rsidP="00E4628E">
      <w:pPr>
        <w:pStyle w:val="Prrafodelista"/>
        <w:numPr>
          <w:ilvl w:val="0"/>
          <w:numId w:val="10"/>
        </w:numPr>
        <w:autoSpaceDE/>
        <w:autoSpaceDN/>
        <w:spacing w:line="276" w:lineRule="auto"/>
        <w:contextualSpacing/>
        <w:jc w:val="both"/>
        <w:rPr>
          <w:bCs/>
          <w:sz w:val="24"/>
          <w:szCs w:val="24"/>
          <w:lang w:eastAsia="es-CR"/>
        </w:rPr>
      </w:pPr>
      <w:r w:rsidRPr="00E4628E">
        <w:rPr>
          <w:bCs/>
          <w:sz w:val="24"/>
          <w:szCs w:val="24"/>
          <w:lang w:eastAsia="es-CR"/>
        </w:rPr>
        <w:t xml:space="preserve">Siendo que, como lo indica la norma, los sistemas satelitales se regulan </w:t>
      </w:r>
      <w:r w:rsidR="00AB0E20" w:rsidRPr="00E4628E">
        <w:rPr>
          <w:bCs/>
          <w:sz w:val="24"/>
          <w:szCs w:val="24"/>
          <w:lang w:eastAsia="es-CR"/>
        </w:rPr>
        <w:t>de acuerdo con el</w:t>
      </w:r>
      <w:r w:rsidRPr="00E4628E">
        <w:rPr>
          <w:bCs/>
          <w:sz w:val="24"/>
          <w:szCs w:val="24"/>
          <w:lang w:eastAsia="es-CR"/>
        </w:rPr>
        <w:t xml:space="preserve"> Derecho Internacional, resulta imprescindible referirse al Reglamento de Radiocomunicaciones de la Unión Internacional de Telecomunicaciones (en lo sucesivo denominado por sus siglas de uso internacional UIT-R), el cual contiene estas disposiciones establecidas en la Ley. Este Reglamento es de aplicación dentro del ordenamiento jurídico costarricense </w:t>
      </w:r>
      <w:r w:rsidR="00AB0E20" w:rsidRPr="00E4628E">
        <w:rPr>
          <w:bCs/>
          <w:sz w:val="24"/>
          <w:szCs w:val="24"/>
          <w:lang w:eastAsia="es-CR"/>
        </w:rPr>
        <w:t>debido a</w:t>
      </w:r>
      <w:r w:rsidRPr="00E4628E">
        <w:rPr>
          <w:bCs/>
          <w:sz w:val="24"/>
          <w:szCs w:val="24"/>
          <w:lang w:eastAsia="es-CR"/>
        </w:rPr>
        <w:t xml:space="preserve"> lo dispuesto por el párrafo segundo del artículo 2 del PNAF.</w:t>
      </w:r>
      <w:r w:rsidRPr="00E4628E">
        <w:rPr>
          <w:sz w:val="24"/>
          <w:szCs w:val="24"/>
          <w:vertAlign w:val="superscript"/>
          <w:lang w:eastAsia="es-CR"/>
        </w:rPr>
        <w:footnoteReference w:id="8"/>
      </w:r>
    </w:p>
    <w:p w14:paraId="61C64C7C" w14:textId="77777777" w:rsidR="00DD11F7" w:rsidRPr="00E4628E" w:rsidRDefault="00DD11F7" w:rsidP="00E4628E">
      <w:pPr>
        <w:pStyle w:val="Prrafodelista"/>
        <w:spacing w:line="276" w:lineRule="auto"/>
        <w:ind w:left="1080"/>
        <w:jc w:val="both"/>
        <w:rPr>
          <w:bCs/>
          <w:sz w:val="24"/>
          <w:szCs w:val="24"/>
          <w:lang w:eastAsia="es-CR"/>
        </w:rPr>
      </w:pPr>
    </w:p>
    <w:p w14:paraId="0F712903" w14:textId="77777777" w:rsidR="00DD11F7" w:rsidRPr="00E4628E" w:rsidRDefault="00DD11F7" w:rsidP="00E4628E">
      <w:pPr>
        <w:spacing w:line="276" w:lineRule="auto"/>
        <w:jc w:val="both"/>
        <w:rPr>
          <w:bCs/>
          <w:sz w:val="24"/>
          <w:szCs w:val="24"/>
          <w:lang w:eastAsia="es-CR"/>
        </w:rPr>
      </w:pPr>
      <w:r w:rsidRPr="00E4628E">
        <w:rPr>
          <w:bCs/>
          <w:sz w:val="24"/>
          <w:szCs w:val="24"/>
          <w:lang w:eastAsia="es-CR"/>
        </w:rPr>
        <w:t xml:space="preserve">El Reglamento de Radiocomunicaciones de la UIT, dispone la normativa específica sobre materia satelital, y se rige bajo la siguiente premisa: </w:t>
      </w:r>
    </w:p>
    <w:p w14:paraId="033F0427" w14:textId="77777777" w:rsidR="00DD11F7" w:rsidRPr="00E4628E" w:rsidRDefault="00DD11F7" w:rsidP="00E4628E">
      <w:pPr>
        <w:spacing w:line="276" w:lineRule="auto"/>
        <w:jc w:val="both"/>
        <w:rPr>
          <w:bCs/>
          <w:iCs/>
          <w:sz w:val="24"/>
          <w:szCs w:val="24"/>
          <w:lang w:eastAsia="es-ES"/>
        </w:rPr>
      </w:pPr>
    </w:p>
    <w:p w14:paraId="238EF827" w14:textId="77777777" w:rsidR="00DD11F7" w:rsidRPr="00E4628E" w:rsidRDefault="00DD11F7" w:rsidP="00E4628E">
      <w:pPr>
        <w:spacing w:line="276" w:lineRule="auto"/>
        <w:ind w:left="567" w:right="616"/>
        <w:jc w:val="both"/>
        <w:rPr>
          <w:bCs/>
          <w:i/>
          <w:sz w:val="24"/>
          <w:szCs w:val="24"/>
          <w:lang w:eastAsia="es-CR"/>
        </w:rPr>
      </w:pPr>
      <w:r w:rsidRPr="00E4628E">
        <w:rPr>
          <w:bCs/>
          <w:i/>
          <w:sz w:val="24"/>
          <w:szCs w:val="24"/>
          <w:lang w:eastAsia="es-CR"/>
        </w:rPr>
        <w:t>“En la utilización de bandas de frecuencias para las radiocomunicaciones, los Miembros tendrán en cuenta que las frecuencias y la órbita de los satélites geoestacionarios son recursos naturales limitados que deben utilizarse de forma racional, eficaz y económica, de conformidad con lo establecido en el presente Reglamento, para permitir el acceso equitativo a esta órbita y a esas frecuencias a los diferentes países o grupos de países, teniendo en cuenta las necesidades especiales de los países en desarrollo y la situación geográfica de determinados países</w:t>
      </w:r>
      <w:r w:rsidR="003C5C52" w:rsidRPr="00E4628E">
        <w:rPr>
          <w:bCs/>
          <w:i/>
          <w:sz w:val="24"/>
          <w:szCs w:val="24"/>
          <w:lang w:eastAsia="es-CR"/>
        </w:rPr>
        <w:t>.</w:t>
      </w:r>
      <w:r w:rsidRPr="00E4628E">
        <w:rPr>
          <w:bCs/>
          <w:i/>
          <w:sz w:val="24"/>
          <w:szCs w:val="24"/>
          <w:lang w:eastAsia="es-CR"/>
        </w:rPr>
        <w:t>”</w:t>
      </w:r>
      <w:r w:rsidRPr="00E4628E">
        <w:rPr>
          <w:bCs/>
          <w:sz w:val="24"/>
          <w:szCs w:val="24"/>
          <w:vertAlign w:val="superscript"/>
          <w:lang w:eastAsia="es-CR"/>
        </w:rPr>
        <w:footnoteReference w:id="9"/>
      </w:r>
    </w:p>
    <w:p w14:paraId="3ED2BB8C" w14:textId="77777777" w:rsidR="00DD11F7" w:rsidRPr="00E4628E" w:rsidRDefault="00DD11F7" w:rsidP="00E4628E">
      <w:pPr>
        <w:spacing w:line="276" w:lineRule="auto"/>
        <w:ind w:left="720"/>
        <w:jc w:val="both"/>
        <w:rPr>
          <w:bCs/>
          <w:sz w:val="24"/>
          <w:szCs w:val="24"/>
          <w:lang w:eastAsia="es-CR"/>
        </w:rPr>
      </w:pPr>
    </w:p>
    <w:p w14:paraId="3571D05D" w14:textId="7F378610" w:rsidR="00DD11F7" w:rsidRPr="00E4628E" w:rsidRDefault="00DD11F7" w:rsidP="00E4628E">
      <w:pPr>
        <w:spacing w:line="276" w:lineRule="auto"/>
        <w:jc w:val="both"/>
        <w:rPr>
          <w:bCs/>
          <w:sz w:val="24"/>
          <w:szCs w:val="24"/>
          <w:lang w:eastAsia="es-CR"/>
        </w:rPr>
      </w:pPr>
      <w:r w:rsidRPr="00E4628E">
        <w:rPr>
          <w:bCs/>
          <w:sz w:val="24"/>
          <w:szCs w:val="24"/>
          <w:lang w:eastAsia="es-CR"/>
        </w:rPr>
        <w:t>Adicionalmente, con el objetivo de cumplir con las estipulaciones de la Unión Internacional de Telecomunicaciones, dentro de sus objetivos el Reglamento supra citado deberá:</w:t>
      </w:r>
    </w:p>
    <w:p w14:paraId="6A5345D7" w14:textId="77777777" w:rsidR="00DD11F7" w:rsidRPr="00E4628E" w:rsidRDefault="00DD11F7" w:rsidP="00E4628E">
      <w:pPr>
        <w:spacing w:line="276" w:lineRule="auto"/>
        <w:jc w:val="both"/>
        <w:rPr>
          <w:bCs/>
          <w:sz w:val="24"/>
          <w:szCs w:val="24"/>
          <w:lang w:eastAsia="es-CR"/>
        </w:rPr>
      </w:pPr>
    </w:p>
    <w:p w14:paraId="17AB42F1" w14:textId="635ACD4F" w:rsidR="00DD11F7" w:rsidRPr="00E4628E" w:rsidRDefault="00DD11F7" w:rsidP="00E4628E">
      <w:pPr>
        <w:spacing w:line="276" w:lineRule="auto"/>
        <w:ind w:left="567" w:right="616"/>
        <w:jc w:val="both"/>
        <w:rPr>
          <w:bCs/>
          <w:i/>
          <w:sz w:val="24"/>
          <w:szCs w:val="24"/>
          <w:lang w:eastAsia="es-CR"/>
        </w:rPr>
      </w:pPr>
      <w:r w:rsidRPr="00E4628E">
        <w:rPr>
          <w:bCs/>
          <w:i/>
          <w:sz w:val="24"/>
          <w:szCs w:val="24"/>
          <w:lang w:eastAsia="es-CR"/>
        </w:rPr>
        <w:t>“</w:t>
      </w:r>
      <w:r w:rsidR="00C16E82" w:rsidRPr="00E4628E">
        <w:rPr>
          <w:bCs/>
          <w:i/>
          <w:sz w:val="24"/>
          <w:szCs w:val="24"/>
          <w:lang w:eastAsia="es-CR"/>
        </w:rPr>
        <w:t>(…)</w:t>
      </w:r>
      <w:r w:rsidR="004B46CA" w:rsidRPr="00E4628E">
        <w:rPr>
          <w:bCs/>
          <w:i/>
          <w:sz w:val="24"/>
          <w:szCs w:val="24"/>
          <w:lang w:eastAsia="es-CR"/>
        </w:rPr>
        <w:t xml:space="preserve"> </w:t>
      </w:r>
      <w:r w:rsidRPr="00E4628E">
        <w:rPr>
          <w:bCs/>
          <w:i/>
          <w:sz w:val="24"/>
          <w:szCs w:val="24"/>
          <w:lang w:eastAsia="es-CR"/>
        </w:rPr>
        <w:t>facilitar el acceso equitativo y la utilización racional de los recursos naturales constituidos por el espectro de frecuencias y la órbita de los satélites geoestacionarios;</w:t>
      </w:r>
      <w:r w:rsidR="00C16E82" w:rsidRPr="00E4628E">
        <w:rPr>
          <w:bCs/>
          <w:i/>
          <w:sz w:val="24"/>
          <w:szCs w:val="24"/>
          <w:lang w:eastAsia="es-CR"/>
        </w:rPr>
        <w:t xml:space="preserve"> (…)</w:t>
      </w:r>
      <w:r w:rsidRPr="00E4628E">
        <w:rPr>
          <w:bCs/>
          <w:i/>
          <w:sz w:val="24"/>
          <w:szCs w:val="24"/>
          <w:lang w:eastAsia="es-CR"/>
        </w:rPr>
        <w:t>”</w:t>
      </w:r>
      <w:r w:rsidRPr="00E4628E">
        <w:rPr>
          <w:bCs/>
          <w:sz w:val="24"/>
          <w:szCs w:val="24"/>
          <w:vertAlign w:val="superscript"/>
          <w:lang w:eastAsia="es-CR"/>
        </w:rPr>
        <w:footnoteReference w:id="10"/>
      </w:r>
    </w:p>
    <w:p w14:paraId="2033D85E" w14:textId="77777777" w:rsidR="00DD11F7" w:rsidRPr="00E4628E" w:rsidRDefault="00DD11F7" w:rsidP="00E4628E">
      <w:pPr>
        <w:spacing w:line="276" w:lineRule="auto"/>
        <w:jc w:val="both"/>
        <w:rPr>
          <w:b/>
          <w:bCs/>
          <w:sz w:val="24"/>
          <w:szCs w:val="24"/>
          <w:lang w:eastAsia="es-CR"/>
        </w:rPr>
      </w:pPr>
    </w:p>
    <w:p w14:paraId="63A26ED4" w14:textId="324F34BB" w:rsidR="00DD11F7" w:rsidRPr="00E4628E" w:rsidRDefault="00DD11F7" w:rsidP="00E4628E">
      <w:pPr>
        <w:spacing w:line="276" w:lineRule="auto"/>
        <w:jc w:val="both"/>
        <w:rPr>
          <w:bCs/>
          <w:iCs/>
          <w:sz w:val="24"/>
          <w:szCs w:val="24"/>
          <w:lang w:eastAsia="es-ES"/>
        </w:rPr>
      </w:pPr>
      <w:r w:rsidRPr="00E4628E">
        <w:rPr>
          <w:bCs/>
          <w:iCs/>
          <w:sz w:val="24"/>
          <w:szCs w:val="24"/>
          <w:lang w:eastAsia="es-ES"/>
        </w:rPr>
        <w:t>Así las cosas, siendo que el espectro radioeléctrico es un bien público</w:t>
      </w:r>
      <w:r w:rsidR="00BE3CCC" w:rsidRPr="00E4628E">
        <w:rPr>
          <w:bCs/>
          <w:iCs/>
          <w:sz w:val="24"/>
          <w:szCs w:val="24"/>
          <w:lang w:eastAsia="es-ES"/>
        </w:rPr>
        <w:t>, como se expuso</w:t>
      </w:r>
      <w:r w:rsidRPr="00E4628E">
        <w:rPr>
          <w:bCs/>
          <w:iCs/>
          <w:sz w:val="24"/>
          <w:szCs w:val="24"/>
          <w:lang w:eastAsia="es-ES"/>
        </w:rPr>
        <w:t>, la Ley General de Telecomunicaciones, en su Capítulo III, regula los títulos h</w:t>
      </w:r>
      <w:r w:rsidR="00DA6AA9" w:rsidRPr="00E4628E">
        <w:rPr>
          <w:bCs/>
          <w:iCs/>
          <w:sz w:val="24"/>
          <w:szCs w:val="24"/>
          <w:lang w:eastAsia="es-ES"/>
        </w:rPr>
        <w:t xml:space="preserve">abilitantes, dejando claro que </w:t>
      </w:r>
      <w:r w:rsidRPr="00E4628E">
        <w:rPr>
          <w:bCs/>
          <w:iCs/>
          <w:sz w:val="24"/>
          <w:szCs w:val="24"/>
          <w:lang w:eastAsia="es-ES"/>
        </w:rPr>
        <w:t>existen tres formas para obtener un título que faculte el uso de un bien de dominio público como lo es el espectro radioeléctric</w:t>
      </w:r>
      <w:r w:rsidR="00BB3904" w:rsidRPr="00E4628E">
        <w:rPr>
          <w:bCs/>
          <w:iCs/>
          <w:sz w:val="24"/>
          <w:szCs w:val="24"/>
          <w:lang w:eastAsia="es-ES"/>
        </w:rPr>
        <w:t xml:space="preserve">o, </w:t>
      </w:r>
      <w:r w:rsidR="00C16E82" w:rsidRPr="00E4628E">
        <w:rPr>
          <w:bCs/>
          <w:iCs/>
          <w:sz w:val="24"/>
          <w:szCs w:val="24"/>
          <w:lang w:eastAsia="es-ES"/>
        </w:rPr>
        <w:t xml:space="preserve">a su saber, </w:t>
      </w:r>
      <w:r w:rsidR="00BB3904" w:rsidRPr="00E4628E">
        <w:rPr>
          <w:bCs/>
          <w:iCs/>
          <w:sz w:val="24"/>
          <w:szCs w:val="24"/>
          <w:lang w:eastAsia="es-ES"/>
        </w:rPr>
        <w:t>concesiones, permisos y autorizaciones.</w:t>
      </w:r>
    </w:p>
    <w:p w14:paraId="6982ADE1" w14:textId="77777777" w:rsidR="00DD11F7" w:rsidRPr="00E4628E" w:rsidRDefault="00DD11F7" w:rsidP="00E4628E">
      <w:pPr>
        <w:pStyle w:val="Prrafodelista"/>
        <w:spacing w:line="276" w:lineRule="auto"/>
        <w:jc w:val="both"/>
        <w:rPr>
          <w:bCs/>
          <w:iCs/>
          <w:sz w:val="24"/>
          <w:szCs w:val="24"/>
          <w:lang w:eastAsia="es-ES"/>
        </w:rPr>
      </w:pPr>
    </w:p>
    <w:p w14:paraId="55557C09" w14:textId="0364921F" w:rsidR="00DD11F7" w:rsidRPr="00E4628E" w:rsidRDefault="00DD11F7" w:rsidP="00E4628E">
      <w:pPr>
        <w:tabs>
          <w:tab w:val="left" w:pos="142"/>
          <w:tab w:val="left" w:pos="540"/>
          <w:tab w:val="left" w:pos="1701"/>
        </w:tabs>
        <w:spacing w:line="276" w:lineRule="auto"/>
        <w:jc w:val="both"/>
        <w:rPr>
          <w:bCs/>
          <w:iCs/>
          <w:sz w:val="24"/>
          <w:szCs w:val="24"/>
          <w:lang w:eastAsia="es-ES"/>
        </w:rPr>
      </w:pPr>
      <w:r w:rsidRPr="00E4628E">
        <w:rPr>
          <w:bCs/>
          <w:iCs/>
          <w:sz w:val="24"/>
          <w:szCs w:val="24"/>
          <w:lang w:eastAsia="es-ES"/>
        </w:rPr>
        <w:t xml:space="preserve">Es preciso indicar que, los artículos 19 de la LGT y 34 </w:t>
      </w:r>
      <w:r w:rsidR="006171D8" w:rsidRPr="00E4628E">
        <w:rPr>
          <w:bCs/>
          <w:iCs/>
          <w:sz w:val="24"/>
          <w:szCs w:val="24"/>
          <w:lang w:eastAsia="es-ES"/>
        </w:rPr>
        <w:t xml:space="preserve">Decreto Ejecutivo </w:t>
      </w:r>
      <w:r w:rsidRPr="00E4628E">
        <w:rPr>
          <w:bCs/>
          <w:iCs/>
          <w:sz w:val="24"/>
          <w:szCs w:val="24"/>
          <w:lang w:eastAsia="es-ES"/>
        </w:rPr>
        <w:t>N° 34765-MINAET</w:t>
      </w:r>
      <w:r w:rsidR="00C16E82" w:rsidRPr="00E4628E">
        <w:rPr>
          <w:bCs/>
          <w:iCs/>
          <w:sz w:val="24"/>
          <w:szCs w:val="24"/>
          <w:lang w:eastAsia="es-ES"/>
        </w:rPr>
        <w:t>, Reglamento a la Ley General d</w:t>
      </w:r>
      <w:r w:rsidR="00E36E90" w:rsidRPr="00E4628E">
        <w:rPr>
          <w:bCs/>
          <w:iCs/>
          <w:sz w:val="24"/>
          <w:szCs w:val="24"/>
          <w:lang w:eastAsia="es-ES"/>
        </w:rPr>
        <w:t>e</w:t>
      </w:r>
      <w:r w:rsidR="00C16E82" w:rsidRPr="00E4628E">
        <w:rPr>
          <w:bCs/>
          <w:iCs/>
          <w:sz w:val="24"/>
          <w:szCs w:val="24"/>
          <w:lang w:eastAsia="es-ES"/>
        </w:rPr>
        <w:t xml:space="preserve"> Telecomunicaciones,</w:t>
      </w:r>
      <w:r w:rsidRPr="00E4628E">
        <w:rPr>
          <w:bCs/>
          <w:iCs/>
          <w:sz w:val="24"/>
          <w:szCs w:val="24"/>
          <w:lang w:eastAsia="es-ES"/>
        </w:rPr>
        <w:t xml:space="preserve"> </w:t>
      </w:r>
      <w:r w:rsidR="00C16E82" w:rsidRPr="00E4628E">
        <w:rPr>
          <w:bCs/>
          <w:iCs/>
          <w:sz w:val="24"/>
          <w:szCs w:val="24"/>
          <w:lang w:eastAsia="es-ES"/>
        </w:rPr>
        <w:t xml:space="preserve">emitido en fecha </w:t>
      </w:r>
      <w:r w:rsidRPr="00E4628E">
        <w:rPr>
          <w:bCs/>
          <w:iCs/>
          <w:sz w:val="24"/>
          <w:szCs w:val="24"/>
          <w:lang w:eastAsia="es-ES"/>
        </w:rPr>
        <w:t>22 de setiembre de 2008, publicado en</w:t>
      </w:r>
      <w:r w:rsidR="00C16E82" w:rsidRPr="00E4628E">
        <w:rPr>
          <w:bCs/>
          <w:iCs/>
          <w:sz w:val="24"/>
          <w:szCs w:val="24"/>
          <w:lang w:eastAsia="es-ES"/>
        </w:rPr>
        <w:t xml:space="preserve"> el Diario Oficial</w:t>
      </w:r>
      <w:r w:rsidRPr="00E4628E">
        <w:rPr>
          <w:bCs/>
          <w:iCs/>
          <w:sz w:val="24"/>
          <w:szCs w:val="24"/>
          <w:lang w:eastAsia="es-ES"/>
        </w:rPr>
        <w:t xml:space="preserve"> La Gaceta N°186 de</w:t>
      </w:r>
      <w:r w:rsidR="00C16E82" w:rsidRPr="00E4628E">
        <w:rPr>
          <w:bCs/>
          <w:iCs/>
          <w:sz w:val="24"/>
          <w:szCs w:val="24"/>
          <w:lang w:eastAsia="es-ES"/>
        </w:rPr>
        <w:t xml:space="preserve"> </w:t>
      </w:r>
      <w:r w:rsidR="007148B2" w:rsidRPr="00E4628E">
        <w:rPr>
          <w:bCs/>
          <w:iCs/>
          <w:sz w:val="24"/>
          <w:szCs w:val="24"/>
          <w:lang w:eastAsia="es-ES"/>
        </w:rPr>
        <w:t>fecha</w:t>
      </w:r>
      <w:r w:rsidRPr="00E4628E">
        <w:rPr>
          <w:bCs/>
          <w:iCs/>
          <w:sz w:val="24"/>
          <w:szCs w:val="24"/>
          <w:lang w:eastAsia="es-ES"/>
        </w:rPr>
        <w:t xml:space="preserve"> 26 de septiembre de 2008, establecen la posibilidad de que cuando se </w:t>
      </w:r>
      <w:r w:rsidRPr="00E4628E">
        <w:rPr>
          <w:bCs/>
          <w:iCs/>
          <w:sz w:val="24"/>
          <w:szCs w:val="24"/>
          <w:lang w:eastAsia="es-ES"/>
        </w:rPr>
        <w:lastRenderedPageBreak/>
        <w:t>trate de frecuencias requeridas para la operación de redes privadas y de las que no requieran asignación exclusiva para su</w:t>
      </w:r>
      <w:r w:rsidRPr="00E4628E">
        <w:rPr>
          <w:b/>
          <w:bCs/>
          <w:iCs/>
          <w:sz w:val="24"/>
          <w:szCs w:val="24"/>
          <w:lang w:eastAsia="es-ES"/>
        </w:rPr>
        <w:t xml:space="preserve"> </w:t>
      </w:r>
      <w:r w:rsidRPr="00E4628E">
        <w:rPr>
          <w:bCs/>
          <w:iCs/>
          <w:sz w:val="24"/>
          <w:szCs w:val="24"/>
          <w:lang w:eastAsia="es-ES"/>
        </w:rPr>
        <w:t xml:space="preserve">óptima utilización, podrá el Poder Ejecutivo otorgar concesiones directas, y que para ello la Sutel instruirá el procedimiento de otorgamiento de la concesión. </w:t>
      </w:r>
      <w:r w:rsidR="00274AEC" w:rsidRPr="00E4628E">
        <w:rPr>
          <w:bCs/>
          <w:iCs/>
          <w:sz w:val="24"/>
          <w:szCs w:val="24"/>
          <w:lang w:eastAsia="es-ES"/>
        </w:rPr>
        <w:t>Para el</w:t>
      </w:r>
      <w:r w:rsidRPr="00E4628E">
        <w:rPr>
          <w:bCs/>
          <w:iCs/>
          <w:sz w:val="24"/>
          <w:szCs w:val="24"/>
          <w:lang w:eastAsia="es-ES"/>
        </w:rPr>
        <w:t xml:space="preserve"> caso de la asignación no exclusiva </w:t>
      </w:r>
      <w:r w:rsidR="00274AEC" w:rsidRPr="00E4628E">
        <w:rPr>
          <w:bCs/>
          <w:iCs/>
          <w:sz w:val="24"/>
          <w:szCs w:val="24"/>
          <w:lang w:eastAsia="es-ES"/>
        </w:rPr>
        <w:t>el Anexo I del</w:t>
      </w:r>
      <w:r w:rsidRPr="00E4628E">
        <w:rPr>
          <w:bCs/>
          <w:iCs/>
          <w:sz w:val="24"/>
          <w:szCs w:val="24"/>
          <w:lang w:eastAsia="es-ES"/>
        </w:rPr>
        <w:t xml:space="preserve"> Plan Nacional de Atribución de Frecuencias</w:t>
      </w:r>
      <w:r w:rsidR="007219C8" w:rsidRPr="00E4628E">
        <w:rPr>
          <w:bCs/>
          <w:iCs/>
          <w:sz w:val="24"/>
          <w:szCs w:val="24"/>
          <w:lang w:eastAsia="es-ES"/>
        </w:rPr>
        <w:t xml:space="preserve"> citado</w:t>
      </w:r>
      <w:r w:rsidR="00247450" w:rsidRPr="00E4628E">
        <w:rPr>
          <w:bCs/>
          <w:iCs/>
          <w:sz w:val="24"/>
          <w:szCs w:val="24"/>
          <w:lang w:eastAsia="es-ES"/>
        </w:rPr>
        <w:t xml:space="preserve"> </w:t>
      </w:r>
      <w:r w:rsidR="00274AEC" w:rsidRPr="00E4628E">
        <w:rPr>
          <w:bCs/>
          <w:iCs/>
          <w:sz w:val="24"/>
          <w:szCs w:val="24"/>
          <w:lang w:eastAsia="es-ES"/>
        </w:rPr>
        <w:t>establece</w:t>
      </w:r>
      <w:r w:rsidR="00247450" w:rsidRPr="00E4628E">
        <w:rPr>
          <w:bCs/>
          <w:iCs/>
          <w:sz w:val="24"/>
          <w:szCs w:val="24"/>
          <w:lang w:eastAsia="es-ES"/>
        </w:rPr>
        <w:t>:</w:t>
      </w:r>
    </w:p>
    <w:p w14:paraId="4B84434E" w14:textId="77777777" w:rsidR="00BE3CCC" w:rsidRPr="00E4628E" w:rsidRDefault="00BE3CCC" w:rsidP="00E4628E">
      <w:pPr>
        <w:tabs>
          <w:tab w:val="left" w:pos="142"/>
          <w:tab w:val="left" w:pos="540"/>
          <w:tab w:val="left" w:pos="1701"/>
        </w:tabs>
        <w:spacing w:line="276" w:lineRule="auto"/>
        <w:jc w:val="both"/>
        <w:rPr>
          <w:bCs/>
          <w:iCs/>
          <w:sz w:val="24"/>
          <w:szCs w:val="24"/>
          <w:lang w:eastAsia="es-ES"/>
        </w:rPr>
      </w:pPr>
    </w:p>
    <w:p w14:paraId="2C16DF9A" w14:textId="1F0229E5" w:rsidR="00DD11F7" w:rsidRPr="00E4628E" w:rsidRDefault="00DD11F7" w:rsidP="00E4628E">
      <w:pPr>
        <w:tabs>
          <w:tab w:val="left" w:pos="142"/>
          <w:tab w:val="left" w:pos="540"/>
          <w:tab w:val="left" w:pos="1701"/>
          <w:tab w:val="left" w:pos="7797"/>
        </w:tabs>
        <w:spacing w:line="276" w:lineRule="auto"/>
        <w:ind w:left="1418" w:right="1183"/>
        <w:jc w:val="both"/>
        <w:rPr>
          <w:bCs/>
          <w:i/>
          <w:iCs/>
          <w:sz w:val="24"/>
          <w:szCs w:val="24"/>
          <w:lang w:eastAsia="es-ES"/>
        </w:rPr>
      </w:pPr>
      <w:r w:rsidRPr="00E4628E">
        <w:rPr>
          <w:bCs/>
          <w:i/>
          <w:iCs/>
          <w:sz w:val="24"/>
          <w:szCs w:val="24"/>
          <w:lang w:eastAsia="es-ES"/>
        </w:rPr>
        <w:t>“</w:t>
      </w:r>
      <w:r w:rsidR="00274AEC" w:rsidRPr="00E4628E">
        <w:rPr>
          <w:b/>
          <w:bCs/>
          <w:i/>
          <w:iCs/>
          <w:sz w:val="24"/>
          <w:szCs w:val="24"/>
          <w:lang w:eastAsia="es-ES"/>
        </w:rPr>
        <w:t>F</w:t>
      </w:r>
      <w:r w:rsidRPr="00E4628E">
        <w:rPr>
          <w:b/>
          <w:bCs/>
          <w:i/>
          <w:iCs/>
          <w:sz w:val="24"/>
          <w:szCs w:val="24"/>
          <w:lang w:eastAsia="es-ES"/>
        </w:rPr>
        <w:t>recuencias de asignación no exclusiva</w:t>
      </w:r>
      <w:r w:rsidR="00966A17" w:rsidRPr="00E4628E">
        <w:rPr>
          <w:b/>
          <w:bCs/>
          <w:i/>
          <w:iCs/>
          <w:sz w:val="24"/>
          <w:szCs w:val="24"/>
          <w:lang w:eastAsia="es-ES"/>
        </w:rPr>
        <w:t>:</w:t>
      </w:r>
      <w:r w:rsidR="00966A17" w:rsidRPr="00E4628E">
        <w:rPr>
          <w:bCs/>
          <w:i/>
          <w:iCs/>
          <w:sz w:val="24"/>
          <w:szCs w:val="24"/>
          <w:lang w:eastAsia="es-ES"/>
        </w:rPr>
        <w:t xml:space="preserve"> Corresponde a las frecuencias (bandas, rangos, segmentos) que se asignan a un solo concesionario para el adecuado funcionamiento de los servicios de telecomunicaciones en redes públicas o privadas, cumpliendo los parámetros dispuestos en el inciso d) del artículo 13 del presente Plan.</w:t>
      </w:r>
    </w:p>
    <w:p w14:paraId="048CEFBD" w14:textId="77777777" w:rsidR="00BE3CCC" w:rsidRPr="00E4628E" w:rsidRDefault="00BE3CCC" w:rsidP="00E4628E">
      <w:pPr>
        <w:tabs>
          <w:tab w:val="left" w:pos="142"/>
          <w:tab w:val="left" w:pos="540"/>
          <w:tab w:val="left" w:pos="1701"/>
          <w:tab w:val="left" w:pos="7797"/>
        </w:tabs>
        <w:spacing w:line="276" w:lineRule="auto"/>
        <w:ind w:left="1418" w:right="1183"/>
        <w:jc w:val="both"/>
        <w:rPr>
          <w:bCs/>
          <w:i/>
          <w:iCs/>
          <w:sz w:val="24"/>
          <w:szCs w:val="24"/>
          <w:lang w:eastAsia="es-ES"/>
        </w:rPr>
      </w:pPr>
    </w:p>
    <w:p w14:paraId="41A4562C" w14:textId="50D6D437" w:rsidR="006E56F9" w:rsidRPr="00E4628E" w:rsidRDefault="00DD11F7" w:rsidP="00E4628E">
      <w:pPr>
        <w:spacing w:line="276" w:lineRule="auto"/>
        <w:jc w:val="both"/>
        <w:rPr>
          <w:bCs/>
          <w:iCs/>
          <w:sz w:val="24"/>
          <w:szCs w:val="24"/>
          <w:lang w:eastAsia="es-ES"/>
        </w:rPr>
      </w:pPr>
      <w:r w:rsidRPr="00E4628E">
        <w:rPr>
          <w:bCs/>
          <w:iCs/>
          <w:sz w:val="24"/>
          <w:szCs w:val="24"/>
          <w:lang w:eastAsia="es-ES"/>
        </w:rPr>
        <w:t xml:space="preserve">Para estos servicios satelitales, calificados como de asignación no exclusiva, se aplica el procedimiento de concesión directa que </w:t>
      </w:r>
      <w:r w:rsidR="009F24A4" w:rsidRPr="00E4628E">
        <w:rPr>
          <w:bCs/>
          <w:iCs/>
          <w:sz w:val="24"/>
          <w:szCs w:val="24"/>
          <w:lang w:eastAsia="es-ES"/>
        </w:rPr>
        <w:t xml:space="preserve">es </w:t>
      </w:r>
      <w:r w:rsidRPr="00E4628E">
        <w:rPr>
          <w:bCs/>
          <w:iCs/>
          <w:sz w:val="24"/>
          <w:szCs w:val="24"/>
          <w:lang w:eastAsia="es-ES"/>
        </w:rPr>
        <w:t>abreviado y más flexible que el propio del concurso</w:t>
      </w:r>
      <w:r w:rsidR="006E56F9" w:rsidRPr="00E4628E">
        <w:rPr>
          <w:bCs/>
          <w:iCs/>
          <w:sz w:val="24"/>
          <w:szCs w:val="24"/>
          <w:lang w:eastAsia="es-ES"/>
        </w:rPr>
        <w:t xml:space="preserve"> público, regulado en los artículos 22 y siguientes de la Ley General de </w:t>
      </w:r>
      <w:r w:rsidR="00695E6A" w:rsidRPr="00E4628E">
        <w:rPr>
          <w:bCs/>
          <w:iCs/>
          <w:sz w:val="24"/>
          <w:szCs w:val="24"/>
          <w:lang w:eastAsia="es-ES"/>
        </w:rPr>
        <w:t>Telecomunicaciones</w:t>
      </w:r>
      <w:r w:rsidR="006E56F9" w:rsidRPr="00E4628E">
        <w:rPr>
          <w:bCs/>
          <w:iCs/>
          <w:sz w:val="24"/>
          <w:szCs w:val="24"/>
          <w:lang w:eastAsia="es-ES"/>
        </w:rPr>
        <w:t>, y su reglamento.</w:t>
      </w:r>
      <w:r w:rsidRPr="00E4628E">
        <w:rPr>
          <w:bCs/>
          <w:iCs/>
          <w:sz w:val="24"/>
          <w:szCs w:val="24"/>
          <w:lang w:eastAsia="es-ES"/>
        </w:rPr>
        <w:t xml:space="preserve"> De lo anterior, se concluye que, claramente, del bloque de legalidad, que una persona (física o jurídica) que pretenda hacer uso del espectro radioeléctrico</w:t>
      </w:r>
      <w:r w:rsidR="00E206E9" w:rsidRPr="00E4628E">
        <w:rPr>
          <w:bCs/>
          <w:iCs/>
          <w:sz w:val="24"/>
          <w:szCs w:val="24"/>
          <w:lang w:eastAsia="es-ES"/>
        </w:rPr>
        <w:t xml:space="preserve">, </w:t>
      </w:r>
      <w:r w:rsidRPr="00E4628E">
        <w:rPr>
          <w:bCs/>
          <w:iCs/>
          <w:sz w:val="24"/>
          <w:szCs w:val="24"/>
          <w:lang w:eastAsia="es-ES"/>
        </w:rPr>
        <w:t>para el caso de servicios satelitales, debe contar con un título habilitante, en este caso concesión</w:t>
      </w:r>
      <w:r w:rsidR="006E56F9" w:rsidRPr="00E4628E">
        <w:rPr>
          <w:bCs/>
          <w:iCs/>
          <w:sz w:val="24"/>
          <w:szCs w:val="24"/>
          <w:lang w:eastAsia="es-ES"/>
        </w:rPr>
        <w:t xml:space="preserve"> directa</w:t>
      </w:r>
      <w:r w:rsidRPr="00E4628E">
        <w:rPr>
          <w:bCs/>
          <w:iCs/>
          <w:sz w:val="24"/>
          <w:szCs w:val="24"/>
          <w:lang w:eastAsia="es-ES"/>
        </w:rPr>
        <w:t>.</w:t>
      </w:r>
    </w:p>
    <w:p w14:paraId="4BA630A0" w14:textId="77777777" w:rsidR="006E56F9" w:rsidRPr="00E4628E" w:rsidRDefault="006E56F9" w:rsidP="00E4628E">
      <w:pPr>
        <w:spacing w:line="276" w:lineRule="auto"/>
        <w:jc w:val="both"/>
        <w:rPr>
          <w:b/>
          <w:sz w:val="24"/>
          <w:szCs w:val="24"/>
        </w:rPr>
      </w:pPr>
    </w:p>
    <w:p w14:paraId="3C8994B0" w14:textId="72B71A91" w:rsidR="00DD11F7" w:rsidRPr="00E4628E" w:rsidRDefault="00DD11F7" w:rsidP="002C46D1">
      <w:pPr>
        <w:pStyle w:val="Prrafodelista"/>
        <w:numPr>
          <w:ilvl w:val="0"/>
          <w:numId w:val="15"/>
        </w:numPr>
        <w:autoSpaceDE/>
        <w:autoSpaceDN/>
        <w:spacing w:after="200" w:line="276" w:lineRule="auto"/>
        <w:contextualSpacing/>
        <w:jc w:val="both"/>
        <w:rPr>
          <w:b/>
          <w:sz w:val="24"/>
          <w:szCs w:val="24"/>
        </w:rPr>
      </w:pPr>
      <w:r w:rsidRPr="00E4628E">
        <w:rPr>
          <w:b/>
          <w:sz w:val="24"/>
          <w:szCs w:val="24"/>
        </w:rPr>
        <w:t>DE LA ACTIVIDAD DE SERVICIOS SATELITALES SUJETA AL ORDENAMIENTO JURÍDICO COSTARRICENSE</w:t>
      </w:r>
    </w:p>
    <w:p w14:paraId="0519FAA2" w14:textId="77777777" w:rsidR="00DD11F7" w:rsidRPr="00E4628E" w:rsidRDefault="00DD11F7" w:rsidP="00E4628E">
      <w:pPr>
        <w:pStyle w:val="NormalWeb"/>
        <w:numPr>
          <w:ilvl w:val="0"/>
          <w:numId w:val="5"/>
        </w:numPr>
        <w:spacing w:line="276" w:lineRule="auto"/>
        <w:jc w:val="both"/>
        <w:rPr>
          <w:rFonts w:eastAsia="Calibri"/>
          <w:b/>
          <w:lang w:eastAsia="en-US"/>
        </w:rPr>
      </w:pPr>
      <w:r w:rsidRPr="00E4628E">
        <w:rPr>
          <w:rFonts w:eastAsia="Calibri"/>
          <w:b/>
          <w:lang w:eastAsia="en-US"/>
        </w:rPr>
        <w:t>La actividad comercial de servicios satelitales debe estar sujeta al ordenamiento jurídico costarricense y contar con título al efecto.</w:t>
      </w:r>
    </w:p>
    <w:p w14:paraId="50B0DDDC" w14:textId="05B85B1E" w:rsidR="00DD11F7" w:rsidRPr="00E4628E" w:rsidRDefault="005E506E" w:rsidP="00E4628E">
      <w:pPr>
        <w:pStyle w:val="NormalWeb"/>
        <w:spacing w:line="276" w:lineRule="auto"/>
        <w:jc w:val="both"/>
        <w:rPr>
          <w:rFonts w:eastAsia="Calibri"/>
          <w:lang w:eastAsia="en-US"/>
        </w:rPr>
      </w:pPr>
      <w:r w:rsidRPr="00E4628E">
        <w:rPr>
          <w:rFonts w:eastAsia="Calibri"/>
          <w:lang w:eastAsia="en-US"/>
        </w:rPr>
        <w:t>Como se indicó, el</w:t>
      </w:r>
      <w:r w:rsidR="00DD11F7" w:rsidRPr="00E4628E">
        <w:rPr>
          <w:rFonts w:eastAsia="Calibri"/>
          <w:lang w:eastAsia="en-US"/>
        </w:rPr>
        <w:t xml:space="preserve"> espectro radioeléctrico es un bien demanial, y, por lo tanto, no puede salir del dominio del Estado su titularidad. Su uso, explotación y administración ha de ser otorgada mediante concesión otorgada al efecto.  Es por ello </w:t>
      </w:r>
      <w:r w:rsidR="007B3FF1" w:rsidRPr="00E4628E">
        <w:rPr>
          <w:rFonts w:eastAsia="Calibri"/>
          <w:lang w:eastAsia="en-US"/>
        </w:rPr>
        <w:t>por lo que</w:t>
      </w:r>
      <w:r w:rsidR="006A126D" w:rsidRPr="00E4628E">
        <w:rPr>
          <w:rFonts w:eastAsia="Calibri"/>
          <w:lang w:eastAsia="en-US"/>
        </w:rPr>
        <w:t>,</w:t>
      </w:r>
      <w:r w:rsidR="00DD11F7" w:rsidRPr="00E4628E">
        <w:rPr>
          <w:rFonts w:eastAsia="Calibri"/>
          <w:lang w:eastAsia="en-US"/>
        </w:rPr>
        <w:t xml:space="preserve"> si una organización tiene como actividad comercial proveer de servicios satelitales a otras personas físicas o jurídicas, indubitablemente tendrá que obtener un título habilitante para el ejercicio de su actividad comercial</w:t>
      </w:r>
      <w:r w:rsidR="006E56F9" w:rsidRPr="00E4628E">
        <w:rPr>
          <w:rFonts w:eastAsia="Calibri"/>
          <w:lang w:eastAsia="en-US"/>
        </w:rPr>
        <w:t>,</w:t>
      </w:r>
      <w:r w:rsidR="00DD11F7" w:rsidRPr="00E4628E">
        <w:rPr>
          <w:rFonts w:eastAsia="Calibri"/>
          <w:lang w:eastAsia="en-US"/>
        </w:rPr>
        <w:t xml:space="preserve"> </w:t>
      </w:r>
      <w:r w:rsidR="008F50E1" w:rsidRPr="00E4628E">
        <w:rPr>
          <w:rFonts w:eastAsia="Calibri"/>
          <w:lang w:eastAsia="en-US"/>
        </w:rPr>
        <w:t>debido a</w:t>
      </w:r>
      <w:r w:rsidR="00DD11F7" w:rsidRPr="00E4628E">
        <w:rPr>
          <w:rFonts w:eastAsia="Calibri"/>
          <w:lang w:eastAsia="en-US"/>
        </w:rPr>
        <w:t xml:space="preserve"> que requerirá del uso de espectro </w:t>
      </w:r>
      <w:r w:rsidR="00DD11F7" w:rsidRPr="00E4628E">
        <w:rPr>
          <w:rFonts w:eastAsia="Calibri"/>
          <w:lang w:eastAsia="en-US"/>
        </w:rPr>
        <w:lastRenderedPageBreak/>
        <w:t xml:space="preserve">radioeléctrico. Lo anterior </w:t>
      </w:r>
      <w:r w:rsidR="00DA6AA9" w:rsidRPr="00E4628E">
        <w:rPr>
          <w:rFonts w:eastAsia="Calibri"/>
          <w:lang w:eastAsia="en-US"/>
        </w:rPr>
        <w:t>de acuerdo con el</w:t>
      </w:r>
      <w:r w:rsidR="00DD11F7" w:rsidRPr="00E4628E">
        <w:rPr>
          <w:rFonts w:eastAsia="Calibri"/>
          <w:lang w:eastAsia="en-US"/>
        </w:rPr>
        <w:t xml:space="preserve"> procedimiento dispuesto en la Ley General de Telecomunicaciones, Ley N</w:t>
      </w:r>
      <w:r w:rsidR="006E56F9" w:rsidRPr="00E4628E">
        <w:rPr>
          <w:rFonts w:eastAsia="Calibri"/>
          <w:lang w:eastAsia="en-US"/>
        </w:rPr>
        <w:t>º</w:t>
      </w:r>
      <w:r w:rsidR="00DD11F7" w:rsidRPr="00E4628E">
        <w:rPr>
          <w:rFonts w:eastAsia="Calibri"/>
          <w:lang w:eastAsia="en-US"/>
        </w:rPr>
        <w:t xml:space="preserve"> 8642. </w:t>
      </w:r>
    </w:p>
    <w:p w14:paraId="2C3C25ED" w14:textId="26E86926" w:rsidR="00DD11F7" w:rsidRPr="00E4628E" w:rsidRDefault="00DD11F7" w:rsidP="00E4628E">
      <w:pPr>
        <w:pStyle w:val="NormalWeb"/>
        <w:spacing w:line="276" w:lineRule="auto"/>
        <w:jc w:val="both"/>
        <w:rPr>
          <w:rFonts w:eastAsia="Calibri"/>
          <w:lang w:eastAsia="en-US"/>
        </w:rPr>
      </w:pPr>
      <w:r w:rsidRPr="00E4628E">
        <w:rPr>
          <w:rFonts w:eastAsia="Calibri"/>
          <w:lang w:eastAsia="en-US"/>
        </w:rPr>
        <w:t xml:space="preserve">Siguiendo ese esquema, también es posible afirmar que las empresas que deseen brindar servicios de telecomunicaciones con una señal que emita desde el extranjero, al no existir impedimento legal tácito o expreso al respecto, pueden hacerlo, con la salvedad de que para poder brindar los servicios deben respetar las disposiciones del ordenamiento jurídico costarricense y teniendo en consideración que ante </w:t>
      </w:r>
      <w:r w:rsidR="00DA6AA9" w:rsidRPr="00E4628E">
        <w:rPr>
          <w:rFonts w:eastAsia="Calibri"/>
          <w:lang w:eastAsia="en-US"/>
        </w:rPr>
        <w:t>unas violaciones a las normas costarricenses se expondrán</w:t>
      </w:r>
      <w:r w:rsidRPr="00E4628E">
        <w:rPr>
          <w:rFonts w:eastAsia="Calibri"/>
          <w:lang w:eastAsia="en-US"/>
        </w:rPr>
        <w:t xml:space="preserve"> a las sanciones establecidas.</w:t>
      </w:r>
    </w:p>
    <w:p w14:paraId="1A87C93F" w14:textId="1335F1D6" w:rsidR="00DD11F7" w:rsidRPr="00E4628E" w:rsidRDefault="00966A17" w:rsidP="00E4628E">
      <w:pPr>
        <w:pStyle w:val="NormalWeb"/>
        <w:spacing w:line="276" w:lineRule="auto"/>
        <w:jc w:val="both"/>
        <w:rPr>
          <w:rFonts w:eastAsia="Calibri"/>
          <w:lang w:eastAsia="en-US"/>
        </w:rPr>
      </w:pPr>
      <w:r w:rsidRPr="00E4628E">
        <w:rPr>
          <w:rFonts w:eastAsia="Calibri"/>
          <w:lang w:eastAsia="en-US"/>
        </w:rPr>
        <w:t>D</w:t>
      </w:r>
      <w:r w:rsidR="00DD11F7" w:rsidRPr="00E4628E">
        <w:rPr>
          <w:rFonts w:eastAsia="Calibri"/>
          <w:lang w:eastAsia="en-US"/>
        </w:rPr>
        <w:t>esde una óptica meramente comercial, de acuerdo con las disposiciones de</w:t>
      </w:r>
      <w:r w:rsidR="00215C51">
        <w:rPr>
          <w:rFonts w:eastAsia="Calibri"/>
          <w:lang w:eastAsia="en-US"/>
        </w:rPr>
        <w:t xml:space="preserve"> </w:t>
      </w:r>
      <w:r w:rsidR="00DD11F7" w:rsidRPr="00E4628E">
        <w:rPr>
          <w:rFonts w:eastAsia="Calibri"/>
          <w:lang w:eastAsia="en-US"/>
        </w:rPr>
        <w:t>l</w:t>
      </w:r>
      <w:r w:rsidR="00215C51">
        <w:rPr>
          <w:rFonts w:eastAsia="Calibri"/>
          <w:lang w:eastAsia="en-US"/>
        </w:rPr>
        <w:t xml:space="preserve">a </w:t>
      </w:r>
      <w:r w:rsidR="00215C51" w:rsidRPr="002C7D79">
        <w:rPr>
          <w:rFonts w:eastAsia="Calibri"/>
          <w:lang w:eastAsia="en-US"/>
        </w:rPr>
        <w:t>N° Ley 3284</w:t>
      </w:r>
      <w:r w:rsidR="00215C51">
        <w:rPr>
          <w:rFonts w:eastAsia="Calibri"/>
          <w:lang w:eastAsia="en-US"/>
        </w:rPr>
        <w:t>,</w:t>
      </w:r>
      <w:r w:rsidR="00215C51" w:rsidRPr="002C7D79">
        <w:rPr>
          <w:rFonts w:eastAsia="Calibri"/>
          <w:lang w:eastAsia="en-US"/>
        </w:rPr>
        <w:t xml:space="preserve"> </w:t>
      </w:r>
      <w:r w:rsidR="00DD11F7" w:rsidRPr="00E4628E">
        <w:rPr>
          <w:rFonts w:eastAsia="Calibri"/>
          <w:lang w:eastAsia="en-US"/>
        </w:rPr>
        <w:t xml:space="preserve">Código de Comercio de Costa Rica, </w:t>
      </w:r>
      <w:r w:rsidR="006171D8" w:rsidRPr="00E4628E">
        <w:rPr>
          <w:rFonts w:eastAsia="Calibri"/>
          <w:lang w:eastAsia="en-US"/>
        </w:rPr>
        <w:t xml:space="preserve">emitida en fecha </w:t>
      </w:r>
      <w:r w:rsidR="00ED6AEA" w:rsidRPr="00E4628E">
        <w:rPr>
          <w:rFonts w:eastAsia="Calibri"/>
          <w:lang w:eastAsia="en-US"/>
        </w:rPr>
        <w:t xml:space="preserve">30 de abril de 1964 </w:t>
      </w:r>
      <w:r w:rsidR="00DD11F7" w:rsidRPr="00E4628E">
        <w:rPr>
          <w:rFonts w:eastAsia="Calibri"/>
          <w:lang w:eastAsia="en-US"/>
        </w:rPr>
        <w:t>y sus reformas, publicad</w:t>
      </w:r>
      <w:r w:rsidR="009F24A4" w:rsidRPr="00E4628E">
        <w:rPr>
          <w:rFonts w:eastAsia="Calibri"/>
          <w:lang w:eastAsia="en-US"/>
        </w:rPr>
        <w:t>a</w:t>
      </w:r>
      <w:r w:rsidR="00DD11F7" w:rsidRPr="00E4628E">
        <w:rPr>
          <w:rFonts w:eastAsia="Calibri"/>
          <w:lang w:eastAsia="en-US"/>
        </w:rPr>
        <w:t xml:space="preserve"> en el Alcance </w:t>
      </w:r>
      <w:r w:rsidR="009F24A4" w:rsidRPr="00E4628E">
        <w:rPr>
          <w:rFonts w:eastAsia="Calibri"/>
          <w:lang w:eastAsia="en-US"/>
        </w:rPr>
        <w:t xml:space="preserve">Nº </w:t>
      </w:r>
      <w:r w:rsidR="00DD11F7" w:rsidRPr="00E4628E">
        <w:rPr>
          <w:rFonts w:eastAsia="Calibri"/>
          <w:lang w:eastAsia="en-US"/>
        </w:rPr>
        <w:t>27 a</w:t>
      </w:r>
      <w:r w:rsidR="009F24A4" w:rsidRPr="00E4628E">
        <w:rPr>
          <w:rFonts w:eastAsia="Calibri"/>
          <w:lang w:eastAsia="en-US"/>
        </w:rPr>
        <w:t>l Diario Oficial</w:t>
      </w:r>
      <w:r w:rsidR="00DD11F7" w:rsidRPr="00E4628E">
        <w:rPr>
          <w:rFonts w:eastAsia="Calibri"/>
          <w:lang w:eastAsia="en-US"/>
        </w:rPr>
        <w:t xml:space="preserve"> </w:t>
      </w:r>
      <w:r w:rsidR="009F24A4" w:rsidRPr="00E4628E">
        <w:rPr>
          <w:rFonts w:eastAsia="Calibri"/>
          <w:lang w:eastAsia="en-US"/>
        </w:rPr>
        <w:t>L</w:t>
      </w:r>
      <w:r w:rsidR="00DD11F7" w:rsidRPr="00E4628E">
        <w:rPr>
          <w:rFonts w:eastAsia="Calibri"/>
          <w:lang w:eastAsia="en-US"/>
        </w:rPr>
        <w:t>a Gaceta N</w:t>
      </w:r>
      <w:r w:rsidR="006171D8" w:rsidRPr="00E4628E">
        <w:rPr>
          <w:rFonts w:eastAsia="Calibri"/>
          <w:lang w:eastAsia="en-US"/>
        </w:rPr>
        <w:t>º</w:t>
      </w:r>
      <w:r w:rsidR="00DD11F7" w:rsidRPr="00E4628E">
        <w:rPr>
          <w:rFonts w:eastAsia="Calibri"/>
          <w:lang w:eastAsia="en-US"/>
        </w:rPr>
        <w:t xml:space="preserve"> 119, </w:t>
      </w:r>
      <w:r w:rsidR="009F24A4" w:rsidRPr="00E4628E">
        <w:rPr>
          <w:rFonts w:eastAsia="Calibri"/>
          <w:lang w:eastAsia="en-US"/>
        </w:rPr>
        <w:t xml:space="preserve">de fecha </w:t>
      </w:r>
      <w:r w:rsidR="00DD11F7" w:rsidRPr="00E4628E">
        <w:rPr>
          <w:rFonts w:eastAsia="Calibri"/>
          <w:lang w:eastAsia="en-US"/>
        </w:rPr>
        <w:t>27 de mayo de 1964, que tal y como lo regula el artículo 5 de este cuerpo normativo, las compañías que tengan o quieran abrir sucursales en la República quedan obligadas a constituir y mantener en el país un apoderado generalísimo para los negocios de la sucursal. Para lo cual deberá constituirse una escritura pública de poder en la cual se indique lo siguiente:</w:t>
      </w:r>
    </w:p>
    <w:p w14:paraId="664028B0" w14:textId="28D316C7" w:rsidR="00DD11F7" w:rsidRPr="00E4628E" w:rsidRDefault="00DD11F7" w:rsidP="00E4628E">
      <w:pPr>
        <w:pStyle w:val="NormalWeb"/>
        <w:numPr>
          <w:ilvl w:val="0"/>
          <w:numId w:val="4"/>
        </w:numPr>
        <w:spacing w:line="276" w:lineRule="auto"/>
        <w:jc w:val="both"/>
        <w:rPr>
          <w:rFonts w:eastAsia="Calibri"/>
          <w:lang w:eastAsia="en-US"/>
        </w:rPr>
      </w:pPr>
      <w:r w:rsidRPr="00E4628E">
        <w:rPr>
          <w:rFonts w:eastAsia="Calibri"/>
          <w:lang w:eastAsia="en-US"/>
        </w:rPr>
        <w:t>El objeto de la sucursal y capital que se le asigne</w:t>
      </w:r>
      <w:r w:rsidR="005E506E" w:rsidRPr="00E4628E">
        <w:rPr>
          <w:rFonts w:eastAsia="Calibri"/>
          <w:lang w:eastAsia="en-US"/>
        </w:rPr>
        <w:t>.</w:t>
      </w:r>
    </w:p>
    <w:p w14:paraId="4665C79F" w14:textId="451DA1F7" w:rsidR="00DD11F7" w:rsidRPr="00E4628E" w:rsidRDefault="00DD11F7" w:rsidP="00E4628E">
      <w:pPr>
        <w:pStyle w:val="NormalWeb"/>
        <w:numPr>
          <w:ilvl w:val="0"/>
          <w:numId w:val="4"/>
        </w:numPr>
        <w:spacing w:line="276" w:lineRule="auto"/>
        <w:jc w:val="both"/>
        <w:rPr>
          <w:rFonts w:eastAsia="Calibri"/>
          <w:lang w:eastAsia="en-US"/>
        </w:rPr>
      </w:pPr>
      <w:r w:rsidRPr="00E4628E">
        <w:rPr>
          <w:rFonts w:eastAsia="Calibri"/>
          <w:lang w:eastAsia="en-US"/>
        </w:rPr>
        <w:t>El objeto, capital, el nombre completo de los personeros o administradores y duración de la empresa principal</w:t>
      </w:r>
      <w:r w:rsidR="005E506E" w:rsidRPr="00E4628E">
        <w:rPr>
          <w:rFonts w:eastAsia="Calibri"/>
          <w:lang w:eastAsia="en-US"/>
        </w:rPr>
        <w:t>.</w:t>
      </w:r>
    </w:p>
    <w:p w14:paraId="49A7F6E1" w14:textId="04F07938" w:rsidR="00DD11F7" w:rsidRPr="00E4628E" w:rsidRDefault="00DD11F7" w:rsidP="00E4628E">
      <w:pPr>
        <w:pStyle w:val="NormalWeb"/>
        <w:numPr>
          <w:ilvl w:val="0"/>
          <w:numId w:val="4"/>
        </w:numPr>
        <w:spacing w:line="276" w:lineRule="auto"/>
        <w:jc w:val="both"/>
        <w:rPr>
          <w:rFonts w:eastAsia="Calibri"/>
          <w:lang w:eastAsia="en-US"/>
        </w:rPr>
      </w:pPr>
      <w:r w:rsidRPr="00E4628E">
        <w:rPr>
          <w:rFonts w:eastAsia="Calibri"/>
          <w:lang w:eastAsia="en-US"/>
        </w:rPr>
        <w:t>Manifestación expresa de que el representante y la sucursal en su caso, quedan sometidos a las leyes y tribunales de Costa Rica en cuanto a todos los actos o contratos que celebren o hayan de ejecutarse en el país y renuncian expresamente a las leyes de su domicilio</w:t>
      </w:r>
      <w:r w:rsidR="004D74DE">
        <w:rPr>
          <w:rFonts w:eastAsia="Calibri"/>
          <w:lang w:eastAsia="en-US"/>
        </w:rPr>
        <w:t>.</w:t>
      </w:r>
      <w:r w:rsidR="005E506E" w:rsidRPr="00E4628E">
        <w:rPr>
          <w:rFonts w:eastAsia="Calibri"/>
          <w:lang w:eastAsia="en-US"/>
        </w:rPr>
        <w:t xml:space="preserve"> </w:t>
      </w:r>
    </w:p>
    <w:p w14:paraId="4BB6E097" w14:textId="261D257D" w:rsidR="00DD11F7" w:rsidRPr="00E4628E" w:rsidRDefault="00DD11F7" w:rsidP="00E4628E">
      <w:pPr>
        <w:pStyle w:val="NormalWeb"/>
        <w:numPr>
          <w:ilvl w:val="0"/>
          <w:numId w:val="4"/>
        </w:numPr>
        <w:spacing w:line="276" w:lineRule="auto"/>
        <w:jc w:val="both"/>
        <w:rPr>
          <w:rFonts w:eastAsia="Calibri"/>
          <w:lang w:eastAsia="en-US"/>
        </w:rPr>
      </w:pPr>
      <w:r w:rsidRPr="00E4628E">
        <w:rPr>
          <w:rFonts w:eastAsia="Calibri"/>
          <w:lang w:eastAsia="en-US"/>
        </w:rPr>
        <w:t>Constancia de que el otorgante del poder tiene personería bastante para hacerlo</w:t>
      </w:r>
      <w:r w:rsidR="005E506E" w:rsidRPr="00E4628E">
        <w:rPr>
          <w:rFonts w:eastAsia="Calibri"/>
          <w:lang w:eastAsia="en-US"/>
        </w:rPr>
        <w:t>.</w:t>
      </w:r>
    </w:p>
    <w:p w14:paraId="41D2EC4E" w14:textId="4733F82A" w:rsidR="00DD11F7" w:rsidRPr="00E4628E" w:rsidRDefault="00DD11F7" w:rsidP="00E4628E">
      <w:pPr>
        <w:pStyle w:val="NormalWeb"/>
        <w:numPr>
          <w:ilvl w:val="0"/>
          <w:numId w:val="4"/>
        </w:numPr>
        <w:spacing w:line="276" w:lineRule="auto"/>
        <w:jc w:val="both"/>
        <w:rPr>
          <w:rFonts w:eastAsia="Calibri"/>
          <w:lang w:eastAsia="en-US"/>
        </w:rPr>
      </w:pPr>
      <w:r w:rsidRPr="00E4628E">
        <w:rPr>
          <w:rFonts w:eastAsia="Calibri"/>
          <w:lang w:eastAsia="en-US"/>
        </w:rPr>
        <w:t>La personería social y la de los apoderados en los casos que requieran inscripción quedarán completas si se presenta al Registro Mercantil el mandato junto con un certificado expedido por el respectivo Cónsul de Costa Rica</w:t>
      </w:r>
      <w:r w:rsidR="005E506E" w:rsidRPr="00E4628E">
        <w:rPr>
          <w:rFonts w:eastAsia="Calibri"/>
          <w:lang w:eastAsia="en-US"/>
        </w:rPr>
        <w:t>.</w:t>
      </w:r>
    </w:p>
    <w:p w14:paraId="53C031F2" w14:textId="77777777" w:rsidR="00DD11F7" w:rsidRPr="00E4628E" w:rsidRDefault="00DD11F7" w:rsidP="00E4628E">
      <w:pPr>
        <w:pStyle w:val="NormalWeb"/>
        <w:numPr>
          <w:ilvl w:val="0"/>
          <w:numId w:val="4"/>
        </w:numPr>
        <w:spacing w:line="276" w:lineRule="auto"/>
        <w:jc w:val="both"/>
        <w:rPr>
          <w:rFonts w:eastAsia="Calibri"/>
          <w:lang w:eastAsia="en-US"/>
        </w:rPr>
      </w:pPr>
      <w:r w:rsidRPr="00E4628E">
        <w:rPr>
          <w:rFonts w:eastAsia="Calibri"/>
          <w:lang w:eastAsia="en-US"/>
        </w:rPr>
        <w:t>La declaración del capital de la compañía o empresa principal, no tiene más objeto que el de hacer conocer aquí su solvencia económica y no implica obligación de pagar especialmente derechos de Registro por tal concepto.</w:t>
      </w:r>
    </w:p>
    <w:p w14:paraId="0F48E0F1" w14:textId="20643A14" w:rsidR="00DD11F7" w:rsidRPr="00E4628E" w:rsidRDefault="00DD11F7" w:rsidP="00E4628E">
      <w:pPr>
        <w:pStyle w:val="NormalWeb"/>
        <w:spacing w:line="276" w:lineRule="auto"/>
        <w:jc w:val="both"/>
        <w:rPr>
          <w:rFonts w:eastAsia="Calibri"/>
          <w:lang w:eastAsia="en-US"/>
        </w:rPr>
      </w:pPr>
      <w:r w:rsidRPr="00E4628E">
        <w:rPr>
          <w:rFonts w:eastAsia="Calibri"/>
          <w:lang w:eastAsia="en-US"/>
        </w:rPr>
        <w:lastRenderedPageBreak/>
        <w:t xml:space="preserve">De conformidad con el artículo 229 del Código Civil, las sociedades extranjeras que transfieran su sede social a Costa Rica continuarán rigiéndose por las leyes del país donde fueron creadas en lo que respecta a su pacto social, pero quedarán sujetas a las leyes de orden público de Costa Rica y obligadas a pagar el </w:t>
      </w:r>
      <w:r w:rsidR="00DA6AA9" w:rsidRPr="00E4628E">
        <w:rPr>
          <w:rFonts w:eastAsia="Calibri"/>
          <w:lang w:eastAsia="en-US"/>
        </w:rPr>
        <w:t>Impuesto sobre</w:t>
      </w:r>
      <w:r w:rsidRPr="00E4628E">
        <w:rPr>
          <w:rFonts w:eastAsia="Calibri"/>
          <w:lang w:eastAsia="en-US"/>
        </w:rPr>
        <w:t xml:space="preserve"> la Renta únicamente de aquellos negocios realizados dentro del territorio de la República. </w:t>
      </w:r>
    </w:p>
    <w:p w14:paraId="79EA30B9" w14:textId="2FC42F3D" w:rsidR="00DD11F7" w:rsidRPr="00E4628E" w:rsidRDefault="00DD11F7" w:rsidP="00E4628E">
      <w:pPr>
        <w:pStyle w:val="NormalWeb"/>
        <w:spacing w:line="276" w:lineRule="auto"/>
        <w:jc w:val="both"/>
        <w:rPr>
          <w:rFonts w:eastAsia="Calibri"/>
          <w:lang w:eastAsia="en-US"/>
        </w:rPr>
      </w:pPr>
      <w:r w:rsidRPr="00E4628E">
        <w:rPr>
          <w:rFonts w:eastAsia="Calibri"/>
          <w:lang w:eastAsia="en-US"/>
        </w:rPr>
        <w:t>Adicionalmente</w:t>
      </w:r>
      <w:r w:rsidR="004C546F" w:rsidRPr="00E4628E">
        <w:rPr>
          <w:rFonts w:eastAsia="Calibri"/>
          <w:lang w:eastAsia="en-US"/>
        </w:rPr>
        <w:t>,</w:t>
      </w:r>
      <w:r w:rsidRPr="00E4628E">
        <w:rPr>
          <w:rFonts w:eastAsia="Calibri"/>
          <w:lang w:eastAsia="en-US"/>
        </w:rPr>
        <w:t xml:space="preserve"> tal y como lo regula el artículo 233 del mismo Código, quien en nombre de una persona o sociedad extranjera anuncie o haga negocios como agente o representante en nuestro país, sin estar provisto de los documentos que lo acrediten como apoderado, incurrirá en responsabilidad solidaria respecto de las obligaciones contraídas y que deban cumplirse en el país, sin perjuicio de la responsabilidad penal que le tocare si hubiere mediado dolo.</w:t>
      </w:r>
    </w:p>
    <w:p w14:paraId="285C2BBC" w14:textId="55B99A3B" w:rsidR="00DD11F7" w:rsidRPr="00E4628E" w:rsidRDefault="00DD11F7" w:rsidP="00E4628E">
      <w:pPr>
        <w:pStyle w:val="NormalWeb"/>
        <w:spacing w:line="276" w:lineRule="auto"/>
        <w:jc w:val="both"/>
        <w:rPr>
          <w:rFonts w:eastAsia="Calibri"/>
          <w:lang w:eastAsia="en-US"/>
        </w:rPr>
      </w:pPr>
      <w:r w:rsidRPr="00E4628E">
        <w:rPr>
          <w:rFonts w:eastAsia="Calibri"/>
          <w:lang w:eastAsia="en-US"/>
        </w:rPr>
        <w:t>En concordancia en lo anterior, una empresa (sea o no</w:t>
      </w:r>
      <w:r w:rsidR="004D74DE">
        <w:rPr>
          <w:rFonts w:eastAsia="Calibri"/>
          <w:lang w:eastAsia="en-US"/>
        </w:rPr>
        <w:t>,</w:t>
      </w:r>
      <w:r w:rsidRPr="00E4628E">
        <w:rPr>
          <w:rFonts w:eastAsia="Calibri"/>
          <w:lang w:eastAsia="en-US"/>
        </w:rPr>
        <w:t xml:space="preserve"> nacional) que brinde en Costa Rica servicios de telecomunicaciones o servicios satelitales está sujeta a las leyes costarricenses, incluyendo lo dispuesto por </w:t>
      </w:r>
      <w:r w:rsidR="00215C51">
        <w:rPr>
          <w:rFonts w:eastAsia="Calibri"/>
          <w:lang w:eastAsia="en-US"/>
        </w:rPr>
        <w:t xml:space="preserve">el artículo 1, de </w:t>
      </w:r>
      <w:r w:rsidRPr="00E4628E">
        <w:rPr>
          <w:rFonts w:eastAsia="Calibri"/>
          <w:lang w:eastAsia="en-US"/>
        </w:rPr>
        <w:t xml:space="preserve">la Ley </w:t>
      </w:r>
      <w:r w:rsidR="006171D8" w:rsidRPr="00E4628E">
        <w:rPr>
          <w:rFonts w:eastAsia="Calibri"/>
          <w:lang w:eastAsia="en-US"/>
        </w:rPr>
        <w:t xml:space="preserve">Nº </w:t>
      </w:r>
      <w:r w:rsidR="00744D34" w:rsidRPr="00E4628E">
        <w:rPr>
          <w:rFonts w:eastAsia="Calibri"/>
          <w:lang w:eastAsia="en-US"/>
        </w:rPr>
        <w:t xml:space="preserve">7092, </w:t>
      </w:r>
      <w:r w:rsidR="00215C51" w:rsidRPr="002C7D79">
        <w:rPr>
          <w:rFonts w:eastAsia="Calibri"/>
          <w:lang w:eastAsia="en-US"/>
        </w:rPr>
        <w:t xml:space="preserve">Ley del Impuesto sobre la Renta, </w:t>
      </w:r>
      <w:r w:rsidR="00215C51">
        <w:rPr>
          <w:rFonts w:eastAsia="Calibri"/>
          <w:lang w:eastAsia="en-US"/>
        </w:rPr>
        <w:t xml:space="preserve">emitida en fecha </w:t>
      </w:r>
      <w:r w:rsidR="00744D34" w:rsidRPr="00E4628E">
        <w:rPr>
          <w:rFonts w:eastAsia="Calibri"/>
          <w:lang w:eastAsia="en-US"/>
        </w:rPr>
        <w:t>21 de abril de 1988 y sus reformas</w:t>
      </w:r>
      <w:r w:rsidR="006171D8" w:rsidRPr="00E4628E">
        <w:rPr>
          <w:rFonts w:eastAsia="Calibri"/>
          <w:lang w:eastAsia="en-US"/>
        </w:rPr>
        <w:t xml:space="preserve">, </w:t>
      </w:r>
      <w:r w:rsidRPr="00E4628E">
        <w:rPr>
          <w:rFonts w:eastAsia="Calibri"/>
          <w:lang w:eastAsia="en-US"/>
        </w:rPr>
        <w:t xml:space="preserve">que grava los ingresos, continuos o eventuales, de fuente costarricense, percibidos o devengados por personas físicas o jurídicas domiciliadas en el país; así como cualquier otro ingreso o beneficio de fuente costarricense no exceptuado por ley. </w:t>
      </w:r>
    </w:p>
    <w:p w14:paraId="5DA727AA" w14:textId="77777777" w:rsidR="00DD11F7" w:rsidRPr="00E4628E" w:rsidRDefault="00DD11F7" w:rsidP="00E4628E">
      <w:pPr>
        <w:pStyle w:val="NormalWeb"/>
        <w:numPr>
          <w:ilvl w:val="0"/>
          <w:numId w:val="5"/>
        </w:numPr>
        <w:spacing w:line="276" w:lineRule="auto"/>
        <w:jc w:val="both"/>
        <w:rPr>
          <w:rFonts w:eastAsia="Calibri"/>
          <w:b/>
          <w:lang w:eastAsia="en-US"/>
        </w:rPr>
      </w:pPr>
      <w:r w:rsidRPr="00E4628E">
        <w:rPr>
          <w:rFonts w:eastAsia="Calibri"/>
          <w:b/>
          <w:lang w:eastAsia="en-US"/>
        </w:rPr>
        <w:t>Obligación o no de proveer servicios satelitales desde nuestro propio territorio</w:t>
      </w:r>
    </w:p>
    <w:p w14:paraId="70A99CDD" w14:textId="77777777" w:rsidR="00DD11F7" w:rsidRPr="00E4628E" w:rsidRDefault="00DD11F7" w:rsidP="00E4628E">
      <w:pPr>
        <w:pStyle w:val="NormalWeb"/>
        <w:spacing w:line="276" w:lineRule="auto"/>
        <w:jc w:val="both"/>
        <w:rPr>
          <w:rFonts w:eastAsia="Calibri"/>
          <w:lang w:eastAsia="en-US"/>
        </w:rPr>
      </w:pPr>
      <w:r w:rsidRPr="00E4628E">
        <w:rPr>
          <w:rFonts w:eastAsia="Calibri"/>
          <w:lang w:eastAsia="en-US"/>
        </w:rPr>
        <w:t>Siendo que la legislación actual vigente en Costa Rica no prohíbe, ni expresa ni tácitamente, la prestación de servicios satelitales por parte de empresas que emitan su señal desde el extranjero, en principio las compañías que cumplan con los requisitos legales supra citados podrían hacerlo.</w:t>
      </w:r>
    </w:p>
    <w:p w14:paraId="35F3D102" w14:textId="7D140FA5" w:rsidR="00DD11F7" w:rsidRPr="00E4628E" w:rsidRDefault="006A795B" w:rsidP="00E4628E">
      <w:pPr>
        <w:pStyle w:val="NormalWeb"/>
        <w:spacing w:line="276" w:lineRule="auto"/>
        <w:jc w:val="both"/>
        <w:rPr>
          <w:rFonts w:eastAsia="Calibri"/>
          <w:lang w:eastAsia="en-US"/>
        </w:rPr>
      </w:pPr>
      <w:r w:rsidRPr="00E4628E">
        <w:rPr>
          <w:rFonts w:eastAsia="Calibri"/>
          <w:lang w:eastAsia="en-US"/>
        </w:rPr>
        <w:t>C</w:t>
      </w:r>
      <w:r w:rsidR="00DD11F7" w:rsidRPr="00E4628E">
        <w:rPr>
          <w:rFonts w:eastAsia="Calibri"/>
          <w:lang w:eastAsia="en-US"/>
        </w:rPr>
        <w:t>abe advertir que</w:t>
      </w:r>
      <w:r w:rsidRPr="00E4628E">
        <w:rPr>
          <w:rFonts w:eastAsia="Calibri"/>
          <w:lang w:eastAsia="en-US"/>
        </w:rPr>
        <w:t>,</w:t>
      </w:r>
      <w:r w:rsidR="00DD11F7" w:rsidRPr="00E4628E">
        <w:rPr>
          <w:rFonts w:eastAsia="Calibri"/>
          <w:lang w:eastAsia="en-US"/>
        </w:rPr>
        <w:t xml:space="preserve"> si se desea brindar servicios satelitales como los descritos, deberá cumplirse con los requisitos referidos en el presente informe.</w:t>
      </w:r>
    </w:p>
    <w:p w14:paraId="65A603FB" w14:textId="42D7B619" w:rsidR="00DD11F7" w:rsidRPr="00E4628E" w:rsidRDefault="00DD11F7" w:rsidP="00E4628E">
      <w:pPr>
        <w:pStyle w:val="NormalWeb"/>
        <w:spacing w:line="276" w:lineRule="auto"/>
        <w:jc w:val="both"/>
        <w:rPr>
          <w:rFonts w:eastAsia="Calibri"/>
          <w:lang w:eastAsia="en-US"/>
        </w:rPr>
      </w:pPr>
      <w:r w:rsidRPr="00E4628E">
        <w:rPr>
          <w:rFonts w:eastAsia="Calibri"/>
          <w:lang w:eastAsia="en-US"/>
        </w:rPr>
        <w:t xml:space="preserve">Adicionalmente, </w:t>
      </w:r>
      <w:r w:rsidR="006A795B" w:rsidRPr="00E4628E">
        <w:rPr>
          <w:rFonts w:eastAsia="Calibri"/>
          <w:lang w:eastAsia="en-US"/>
        </w:rPr>
        <w:t>a</w:t>
      </w:r>
      <w:r w:rsidRPr="00E4628E">
        <w:rPr>
          <w:rFonts w:eastAsia="Calibri"/>
          <w:lang w:eastAsia="en-US"/>
        </w:rPr>
        <w:t xml:space="preserve">l contratar un nacional con una empresa que emite su señal desde el extranjero puede causar que se le asigne un IP </w:t>
      </w:r>
      <w:r w:rsidR="006507FB" w:rsidRPr="00E4628E">
        <w:rPr>
          <w:rFonts w:eastAsia="Calibri"/>
          <w:lang w:eastAsia="en-US"/>
        </w:rPr>
        <w:t xml:space="preserve">(Internet Protocol por sus siglas en inglés) </w:t>
      </w:r>
      <w:r w:rsidRPr="00E4628E">
        <w:rPr>
          <w:rFonts w:eastAsia="Calibri"/>
          <w:lang w:eastAsia="en-US"/>
        </w:rPr>
        <w:t xml:space="preserve">no costarricense al usuario final, con lo cual se pueden producir dos consecuencias: </w:t>
      </w:r>
    </w:p>
    <w:p w14:paraId="2CF38E40" w14:textId="0A6196F1" w:rsidR="00DD11F7" w:rsidRPr="00E4628E" w:rsidRDefault="00DD11F7" w:rsidP="00E4628E">
      <w:pPr>
        <w:pStyle w:val="NormalWeb"/>
        <w:spacing w:line="276" w:lineRule="auto"/>
        <w:ind w:left="567" w:hanging="284"/>
        <w:jc w:val="both"/>
        <w:rPr>
          <w:rFonts w:eastAsia="Calibri"/>
          <w:lang w:eastAsia="en-US"/>
        </w:rPr>
      </w:pPr>
      <w:r w:rsidRPr="00E4628E">
        <w:rPr>
          <w:rFonts w:eastAsia="Calibri"/>
          <w:lang w:eastAsia="en-US"/>
        </w:rPr>
        <w:lastRenderedPageBreak/>
        <w:t>a. La restricción en el acceso a páginas web que en Costa Rica son permitidas y que por tener identificación extranjera no se podrían acceder aún y cuando se esté en territorio costarricense</w:t>
      </w:r>
      <w:r w:rsidR="006A795B" w:rsidRPr="00E4628E">
        <w:rPr>
          <w:rFonts w:eastAsia="Calibri"/>
          <w:lang w:eastAsia="en-US"/>
        </w:rPr>
        <w:t>.</w:t>
      </w:r>
      <w:r w:rsidR="00B62859" w:rsidRPr="00E4628E">
        <w:rPr>
          <w:rFonts w:eastAsia="Calibri"/>
          <w:lang w:eastAsia="en-US"/>
        </w:rPr>
        <w:t xml:space="preserve">  Situación que podría resultar contraria a la posición adoptada por nuestro país respecto de tener un internet libre, abierto, seguro y resiliente. </w:t>
      </w:r>
    </w:p>
    <w:p w14:paraId="70F3525B" w14:textId="51F70228" w:rsidR="00000DEC" w:rsidRPr="00E4628E" w:rsidRDefault="00DD11F7" w:rsidP="00E4628E">
      <w:pPr>
        <w:pStyle w:val="NormalWeb"/>
        <w:spacing w:line="276" w:lineRule="auto"/>
        <w:ind w:left="567" w:hanging="284"/>
        <w:jc w:val="both"/>
        <w:rPr>
          <w:rFonts w:eastAsia="Calibri"/>
          <w:lang w:eastAsia="en-US"/>
        </w:rPr>
      </w:pPr>
      <w:r w:rsidRPr="00E4628E">
        <w:rPr>
          <w:rFonts w:eastAsia="Calibri"/>
          <w:lang w:eastAsia="en-US"/>
        </w:rPr>
        <w:t xml:space="preserve">b. Difusión de información que en nuestro país </w:t>
      </w:r>
      <w:r w:rsidR="008B08E2" w:rsidRPr="00E4628E">
        <w:rPr>
          <w:rFonts w:eastAsia="Calibri"/>
          <w:lang w:eastAsia="en-US"/>
        </w:rPr>
        <w:t>sea considerada como punible</w:t>
      </w:r>
      <w:r w:rsidR="003C1E2C" w:rsidRPr="00E4628E">
        <w:rPr>
          <w:rFonts w:eastAsia="Calibri"/>
          <w:lang w:eastAsia="en-US"/>
        </w:rPr>
        <w:t xml:space="preserve"> de conformidad con las disposiciones de la </w:t>
      </w:r>
      <w:r w:rsidR="00000DEC" w:rsidRPr="00E4628E">
        <w:rPr>
          <w:color w:val="000000"/>
          <w:lang w:val="es-ES_tradnl"/>
        </w:rPr>
        <w:t>Ley N°4534, que aprueba la Convención Americana sobre Derechos Humanos (Pacto de San José) de 23 de febrero de 1970 y la demás legislación que se emita al efecto.</w:t>
      </w:r>
    </w:p>
    <w:p w14:paraId="5036BB42" w14:textId="38786DB5" w:rsidR="00DD11F7" w:rsidRPr="00E4628E" w:rsidRDefault="00DD11F7" w:rsidP="00E4628E">
      <w:pPr>
        <w:pStyle w:val="NormalWeb"/>
        <w:spacing w:line="276" w:lineRule="auto"/>
        <w:jc w:val="both"/>
        <w:rPr>
          <w:color w:val="000000"/>
          <w:lang w:val="es-ES_tradnl"/>
        </w:rPr>
      </w:pPr>
      <w:r w:rsidRPr="00E4628E">
        <w:rPr>
          <w:rFonts w:eastAsia="Calibri"/>
          <w:lang w:eastAsia="en-US"/>
        </w:rPr>
        <w:t xml:space="preserve">Si bien es cierto según nuestra legislación los contratos son perfectos desde que existe acuerdo entre cosa y precio, lo </w:t>
      </w:r>
      <w:r w:rsidR="000E78EE">
        <w:rPr>
          <w:rFonts w:eastAsia="Calibri"/>
          <w:lang w:eastAsia="en-US"/>
        </w:rPr>
        <w:t>correcto</w:t>
      </w:r>
      <w:r w:rsidRPr="00E4628E">
        <w:rPr>
          <w:rFonts w:eastAsia="Calibri"/>
          <w:lang w:eastAsia="en-US"/>
        </w:rPr>
        <w:t xml:space="preserve"> es también que resulta deber del operador o proveedor de estos servicios advertir de las anteriores consecuencias al usuario final. Por ello, es posible afirmar que</w:t>
      </w:r>
      <w:r w:rsidR="009F24A4" w:rsidRPr="00E4628E">
        <w:rPr>
          <w:rFonts w:eastAsia="Calibri"/>
          <w:lang w:eastAsia="en-US"/>
        </w:rPr>
        <w:t>,</w:t>
      </w:r>
      <w:r w:rsidRPr="00E4628E">
        <w:rPr>
          <w:rFonts w:eastAsia="Calibri"/>
          <w:lang w:eastAsia="en-US"/>
        </w:rPr>
        <w:t xml:space="preserve"> si los usuarios finales de telecomunicaciones están de acuerdo con las condiciones que el proveedor u operador establecen, y estas no contrarían la ley, el contrato se perfecciona.</w:t>
      </w:r>
    </w:p>
    <w:p w14:paraId="5EBAA253" w14:textId="7EA235E5" w:rsidR="00DD11F7" w:rsidRPr="00E4628E" w:rsidRDefault="00DD11F7" w:rsidP="00E4628E">
      <w:pPr>
        <w:pStyle w:val="NormalWeb"/>
        <w:spacing w:line="276" w:lineRule="auto"/>
        <w:jc w:val="both"/>
        <w:rPr>
          <w:rFonts w:eastAsia="Calibri"/>
          <w:lang w:eastAsia="en-US"/>
        </w:rPr>
      </w:pPr>
      <w:r w:rsidRPr="00E4628E">
        <w:rPr>
          <w:rFonts w:eastAsia="Calibri"/>
          <w:lang w:eastAsia="en-US"/>
        </w:rPr>
        <w:t xml:space="preserve">Es por lo anterior que, los usuarios de servicios de telecomunicaciones que pacten algún tipo de servicio con una empresa domiciliada en el </w:t>
      </w:r>
      <w:r w:rsidR="00DA6AA9" w:rsidRPr="00E4628E">
        <w:rPr>
          <w:rFonts w:eastAsia="Calibri"/>
          <w:lang w:eastAsia="en-US"/>
        </w:rPr>
        <w:t>extranjero</w:t>
      </w:r>
      <w:r w:rsidRPr="00E4628E">
        <w:rPr>
          <w:rFonts w:eastAsia="Calibri"/>
          <w:lang w:eastAsia="en-US"/>
        </w:rPr>
        <w:t xml:space="preserve"> encontrarán protección legal, de conformidad con las disposiciones de la Ley General de Telecomunicaciones, por los principios de beneficio del usuario y el de publicidad, así como se encuentran protegidos por el capítulo relativo a los derechos de los usuarios establecido en la citada Ley General de Telecomunicaciones.</w:t>
      </w:r>
    </w:p>
    <w:p w14:paraId="38F231B4" w14:textId="40FE8775" w:rsidR="00DD11F7" w:rsidRPr="00E4628E" w:rsidRDefault="00DD11F7" w:rsidP="00E4628E">
      <w:pPr>
        <w:spacing w:line="276" w:lineRule="auto"/>
        <w:jc w:val="both"/>
        <w:rPr>
          <w:sz w:val="24"/>
          <w:szCs w:val="24"/>
        </w:rPr>
      </w:pPr>
      <w:r w:rsidRPr="00E4628E">
        <w:rPr>
          <w:sz w:val="24"/>
          <w:szCs w:val="24"/>
        </w:rPr>
        <w:t>Por otra parte, de conformidad con el artículo 46 de la Ley General de Telecomunicaciones, si bien los contratos de subscripción entre los proveedores u operadores de servicios de telecomunicaciones y el usuario son acuerdos de adhesión, la Superintendencia de Telecomunicaciones (SUTEL) deberá homologarlos, con el objeto de impedir que el contenido de sus cláusulas contractuales sea abusivo, ignore, elimine o menoscabe los derechos de los abonados. Igualmente, SUTEL debe velar porque se cumpla el ordenamiento jurídico vigente. De manera que, hasta no contar con la homologación de SUTEL los contratos que el usuario haya suscrito con una empresa residente en el extranjero no serán válidos para efectos de la legislación patria.</w:t>
      </w:r>
    </w:p>
    <w:p w14:paraId="3E69A147" w14:textId="77777777" w:rsidR="006171D8" w:rsidRPr="00E4628E" w:rsidRDefault="006171D8" w:rsidP="00E4628E">
      <w:pPr>
        <w:spacing w:line="276" w:lineRule="auto"/>
        <w:jc w:val="both"/>
        <w:rPr>
          <w:sz w:val="24"/>
          <w:szCs w:val="24"/>
        </w:rPr>
      </w:pPr>
    </w:p>
    <w:p w14:paraId="0CEDB4AC" w14:textId="4D6B142B" w:rsidR="00DD11F7" w:rsidRPr="00E4628E" w:rsidRDefault="00DD11F7" w:rsidP="00E4628E">
      <w:pPr>
        <w:spacing w:line="276" w:lineRule="auto"/>
        <w:jc w:val="both"/>
        <w:rPr>
          <w:bCs/>
          <w:i/>
          <w:iCs/>
          <w:sz w:val="24"/>
          <w:szCs w:val="24"/>
          <w:lang w:eastAsia="es-ES"/>
        </w:rPr>
      </w:pPr>
      <w:r w:rsidRPr="00E4628E">
        <w:rPr>
          <w:sz w:val="24"/>
          <w:szCs w:val="24"/>
        </w:rPr>
        <w:t xml:space="preserve">Finalmente, ha de indicarse que la divulgación de información no permitida ha de sujetarse a lo dispuesto por el ordenamiento jurídico costarricense con las consecuencias legales del caso, tal y como </w:t>
      </w:r>
      <w:r w:rsidR="00DA6AA9" w:rsidRPr="00E4628E">
        <w:rPr>
          <w:sz w:val="24"/>
          <w:szCs w:val="24"/>
        </w:rPr>
        <w:t xml:space="preserve">señala </w:t>
      </w:r>
      <w:r w:rsidR="00F51D20" w:rsidRPr="00E4628E">
        <w:rPr>
          <w:sz w:val="24"/>
          <w:szCs w:val="24"/>
        </w:rPr>
        <w:t>en lo conducente</w:t>
      </w:r>
      <w:r w:rsidR="00DA6AA9" w:rsidRPr="00E4628E">
        <w:rPr>
          <w:sz w:val="24"/>
          <w:szCs w:val="24"/>
        </w:rPr>
        <w:t xml:space="preserve"> </w:t>
      </w:r>
      <w:r w:rsidR="00F51D20" w:rsidRPr="00E4628E">
        <w:rPr>
          <w:sz w:val="24"/>
          <w:szCs w:val="24"/>
        </w:rPr>
        <w:t>el artículo</w:t>
      </w:r>
      <w:r w:rsidRPr="00E4628E">
        <w:rPr>
          <w:sz w:val="24"/>
          <w:szCs w:val="24"/>
        </w:rPr>
        <w:t xml:space="preserve"> 24 de nuestra Carta Magna</w:t>
      </w:r>
      <w:r w:rsidR="00F51D20" w:rsidRPr="00E4628E">
        <w:rPr>
          <w:sz w:val="24"/>
          <w:szCs w:val="24"/>
        </w:rPr>
        <w:t>:</w:t>
      </w:r>
    </w:p>
    <w:p w14:paraId="1638D7AB" w14:textId="77777777" w:rsidR="00DD11F7" w:rsidRPr="00E4628E" w:rsidRDefault="00DD11F7" w:rsidP="00E4628E">
      <w:pPr>
        <w:spacing w:before="100" w:beforeAutospacing="1" w:after="100" w:afterAutospacing="1" w:line="276" w:lineRule="auto"/>
        <w:ind w:left="567" w:right="1183"/>
        <w:jc w:val="both"/>
        <w:rPr>
          <w:bCs/>
          <w:i/>
          <w:iCs/>
          <w:sz w:val="24"/>
          <w:szCs w:val="24"/>
          <w:lang w:eastAsia="es-ES"/>
        </w:rPr>
      </w:pPr>
      <w:r w:rsidRPr="00E4628E">
        <w:rPr>
          <w:bCs/>
          <w:i/>
          <w:iCs/>
          <w:sz w:val="24"/>
          <w:szCs w:val="24"/>
          <w:lang w:eastAsia="es-ES"/>
        </w:rPr>
        <w:t>“Se garantiza el derecho a la intimidad, a la libertad y al secreto de las comunicaciones.</w:t>
      </w:r>
    </w:p>
    <w:p w14:paraId="1DB682E8" w14:textId="635CDF5F" w:rsidR="00DD11F7" w:rsidRPr="00E4628E" w:rsidRDefault="00DD11F7" w:rsidP="00E4628E">
      <w:pPr>
        <w:spacing w:before="100" w:beforeAutospacing="1" w:after="100" w:afterAutospacing="1" w:line="276" w:lineRule="auto"/>
        <w:ind w:left="567" w:right="1183"/>
        <w:jc w:val="both"/>
        <w:rPr>
          <w:bCs/>
          <w:i/>
          <w:iCs/>
          <w:sz w:val="24"/>
          <w:szCs w:val="24"/>
          <w:lang w:eastAsia="es-ES"/>
        </w:rPr>
      </w:pPr>
      <w:r w:rsidRPr="00E4628E">
        <w:rPr>
          <w:bCs/>
          <w:i/>
          <w:iCs/>
          <w:sz w:val="24"/>
          <w:szCs w:val="24"/>
          <w:lang w:eastAsia="es-ES"/>
        </w:rPr>
        <w:t xml:space="preserve">Son inviolables los documentos privados y las comunicaciones escritas, orales o de cualquier otro tipo de los habitantes de la República. </w:t>
      </w:r>
      <w:r w:rsidR="009F24A4" w:rsidRPr="00E4628E">
        <w:rPr>
          <w:bCs/>
          <w:i/>
          <w:iCs/>
          <w:sz w:val="24"/>
          <w:szCs w:val="24"/>
          <w:lang w:eastAsia="es-ES"/>
        </w:rPr>
        <w:t>(</w:t>
      </w:r>
      <w:r w:rsidRPr="00E4628E">
        <w:rPr>
          <w:bCs/>
          <w:i/>
          <w:iCs/>
          <w:sz w:val="24"/>
          <w:szCs w:val="24"/>
          <w:lang w:eastAsia="es-ES"/>
        </w:rPr>
        <w:t>…</w:t>
      </w:r>
      <w:r w:rsidR="009F24A4" w:rsidRPr="00E4628E">
        <w:rPr>
          <w:bCs/>
          <w:i/>
          <w:iCs/>
          <w:sz w:val="24"/>
          <w:szCs w:val="24"/>
          <w:lang w:eastAsia="es-ES"/>
        </w:rPr>
        <w:t>)”</w:t>
      </w:r>
      <w:r w:rsidRPr="00E4628E">
        <w:rPr>
          <w:bCs/>
          <w:i/>
          <w:iCs/>
          <w:sz w:val="24"/>
          <w:szCs w:val="24"/>
          <w:lang w:eastAsia="es-ES"/>
        </w:rPr>
        <w:t xml:space="preserve"> </w:t>
      </w:r>
    </w:p>
    <w:p w14:paraId="7DC8B234" w14:textId="30DE8339" w:rsidR="00DD11F7" w:rsidRPr="00E4628E" w:rsidRDefault="00DD11F7" w:rsidP="00E4628E">
      <w:pPr>
        <w:spacing w:before="100" w:beforeAutospacing="1" w:after="100" w:afterAutospacing="1" w:line="276" w:lineRule="auto"/>
        <w:ind w:right="49"/>
        <w:jc w:val="both"/>
        <w:rPr>
          <w:bCs/>
          <w:iCs/>
          <w:sz w:val="24"/>
          <w:szCs w:val="24"/>
          <w:lang w:eastAsia="es-ES"/>
        </w:rPr>
      </w:pPr>
      <w:r w:rsidRPr="00E4628E">
        <w:rPr>
          <w:bCs/>
          <w:iCs/>
          <w:sz w:val="24"/>
          <w:szCs w:val="24"/>
          <w:lang w:eastAsia="es-ES"/>
        </w:rPr>
        <w:t xml:space="preserve">Así las cosas, la Constitución engloba dentro del derecho a la intimidad, la protección de toda comunicación, incluyendo evidentemente la electrónica, y no solo frente al Estado, sino que frente a terceros. </w:t>
      </w:r>
    </w:p>
    <w:p w14:paraId="30C6C30B" w14:textId="3611860F" w:rsidR="00411784" w:rsidRPr="00E4628E" w:rsidRDefault="00DD11F7" w:rsidP="00E4628E">
      <w:pPr>
        <w:spacing w:before="100" w:beforeAutospacing="1" w:after="100" w:afterAutospacing="1" w:line="276" w:lineRule="auto"/>
        <w:ind w:right="49"/>
        <w:jc w:val="both"/>
        <w:rPr>
          <w:bCs/>
          <w:i/>
          <w:iCs/>
          <w:sz w:val="24"/>
          <w:szCs w:val="24"/>
          <w:lang w:eastAsia="es-ES"/>
        </w:rPr>
      </w:pPr>
      <w:r w:rsidRPr="00E4628E">
        <w:rPr>
          <w:bCs/>
          <w:iCs/>
          <w:sz w:val="24"/>
          <w:szCs w:val="24"/>
          <w:lang w:eastAsia="es-ES"/>
        </w:rPr>
        <w:t>Siguiendo</w:t>
      </w:r>
      <w:r w:rsidRPr="00E4628E">
        <w:rPr>
          <w:bCs/>
          <w:i/>
          <w:iCs/>
          <w:sz w:val="24"/>
          <w:szCs w:val="24"/>
          <w:lang w:eastAsia="es-ES"/>
        </w:rPr>
        <w:t xml:space="preserve"> </w:t>
      </w:r>
      <w:r w:rsidRPr="00E4628E">
        <w:rPr>
          <w:bCs/>
          <w:iCs/>
          <w:sz w:val="24"/>
          <w:szCs w:val="24"/>
          <w:lang w:eastAsia="es-ES"/>
        </w:rPr>
        <w:t>el mismo orden de ideas, el artículo 12 de la Declaración Universal de Derechos Humanos</w:t>
      </w:r>
      <w:r w:rsidR="00411784" w:rsidRPr="00E4628E">
        <w:rPr>
          <w:bCs/>
          <w:iCs/>
          <w:sz w:val="24"/>
          <w:szCs w:val="24"/>
          <w:lang w:eastAsia="es-ES"/>
        </w:rPr>
        <w:t xml:space="preserve">, de fecha 10 de diciembre de 1948 </w:t>
      </w:r>
      <w:r w:rsidRPr="00E4628E">
        <w:rPr>
          <w:bCs/>
          <w:iCs/>
          <w:sz w:val="24"/>
          <w:szCs w:val="24"/>
          <w:lang w:eastAsia="es-ES"/>
        </w:rPr>
        <w:t>indica que</w:t>
      </w:r>
      <w:r w:rsidR="00411784" w:rsidRPr="00E4628E">
        <w:rPr>
          <w:bCs/>
          <w:iCs/>
          <w:sz w:val="24"/>
          <w:szCs w:val="24"/>
          <w:lang w:eastAsia="es-ES"/>
        </w:rPr>
        <w:t>:</w:t>
      </w:r>
    </w:p>
    <w:p w14:paraId="2D4C75A0" w14:textId="5283ADA9" w:rsidR="00411784" w:rsidRPr="00E4628E" w:rsidRDefault="00411784" w:rsidP="00E4628E">
      <w:pPr>
        <w:spacing w:before="100" w:beforeAutospacing="1" w:after="100" w:afterAutospacing="1" w:line="276" w:lineRule="auto"/>
        <w:ind w:left="567" w:right="1291"/>
        <w:jc w:val="both"/>
        <w:rPr>
          <w:i/>
          <w:color w:val="000000"/>
          <w:sz w:val="24"/>
          <w:szCs w:val="24"/>
        </w:rPr>
      </w:pPr>
      <w:r w:rsidRPr="00E4628E">
        <w:rPr>
          <w:i/>
          <w:color w:val="000000"/>
          <w:sz w:val="22"/>
          <w:szCs w:val="22"/>
        </w:rPr>
        <w:t>“</w:t>
      </w:r>
      <w:r w:rsidRPr="00E4628E">
        <w:rPr>
          <w:i/>
          <w:color w:val="000000"/>
          <w:sz w:val="24"/>
          <w:szCs w:val="24"/>
        </w:rPr>
        <w:t>Nadie será objeto de injerencias arbitrarias en su vida privada, su familia, su domicilio o su correspondencia, ni de ataques a su honra o a su reputación. Toda persona tiene derecho a la protección de la ley contra tales injerencias o ataques.”</w:t>
      </w:r>
    </w:p>
    <w:p w14:paraId="4308D38A" w14:textId="36832015" w:rsidR="00DD11F7" w:rsidRPr="00E4628E" w:rsidRDefault="00411784" w:rsidP="00E4628E">
      <w:pPr>
        <w:spacing w:before="100" w:beforeAutospacing="1" w:after="100" w:afterAutospacing="1" w:line="276" w:lineRule="auto"/>
        <w:ind w:right="49"/>
        <w:jc w:val="both"/>
        <w:rPr>
          <w:bCs/>
          <w:iCs/>
          <w:sz w:val="24"/>
          <w:szCs w:val="24"/>
          <w:lang w:eastAsia="es-ES"/>
        </w:rPr>
      </w:pPr>
      <w:r w:rsidRPr="00E4628E">
        <w:rPr>
          <w:bCs/>
          <w:iCs/>
          <w:sz w:val="24"/>
          <w:szCs w:val="24"/>
          <w:lang w:eastAsia="es-ES"/>
        </w:rPr>
        <w:t>En el mismo sentido, l</w:t>
      </w:r>
      <w:r w:rsidR="00DD11F7" w:rsidRPr="00E4628E">
        <w:rPr>
          <w:bCs/>
          <w:iCs/>
          <w:sz w:val="24"/>
          <w:szCs w:val="24"/>
          <w:lang w:eastAsia="es-ES"/>
        </w:rPr>
        <w:t>a Declaración Americana de Derechos y Deberes del Hombre también contempla en su artículo 5, el derecho que tiene toda persona a la protección de la ley contra los ataque</w:t>
      </w:r>
      <w:r w:rsidR="00B82F75" w:rsidRPr="00E4628E">
        <w:rPr>
          <w:bCs/>
          <w:iCs/>
          <w:sz w:val="24"/>
          <w:szCs w:val="24"/>
          <w:lang w:eastAsia="es-ES"/>
        </w:rPr>
        <w:t>s</w:t>
      </w:r>
      <w:r w:rsidR="00DD11F7" w:rsidRPr="00E4628E">
        <w:rPr>
          <w:bCs/>
          <w:iCs/>
          <w:sz w:val="24"/>
          <w:szCs w:val="24"/>
          <w:lang w:eastAsia="es-ES"/>
        </w:rPr>
        <w:t xml:space="preserve"> contra su honra.</w:t>
      </w:r>
    </w:p>
    <w:p w14:paraId="44A8259B" w14:textId="18670A33" w:rsidR="00DD11F7" w:rsidRPr="00E4628E" w:rsidRDefault="00DD11F7" w:rsidP="00E4628E">
      <w:pPr>
        <w:spacing w:line="276" w:lineRule="auto"/>
        <w:jc w:val="both"/>
        <w:rPr>
          <w:bCs/>
          <w:iCs/>
          <w:sz w:val="24"/>
          <w:szCs w:val="24"/>
          <w:lang w:eastAsia="es-ES"/>
        </w:rPr>
      </w:pPr>
      <w:r w:rsidRPr="00E4628E">
        <w:rPr>
          <w:bCs/>
          <w:iCs/>
          <w:sz w:val="24"/>
          <w:szCs w:val="24"/>
          <w:lang w:eastAsia="es-ES"/>
        </w:rPr>
        <w:t>Por último, el artículo 11 inciso 2 de la Convención Americana sobre Derechos Humanos, adoptada por la Conferencia Especializada Interamericana sobre Derechos Humanos e</w:t>
      </w:r>
      <w:r w:rsidR="004D74DE">
        <w:rPr>
          <w:bCs/>
          <w:iCs/>
          <w:sz w:val="24"/>
          <w:szCs w:val="24"/>
          <w:lang w:eastAsia="es-ES"/>
        </w:rPr>
        <w:t>n fecha</w:t>
      </w:r>
      <w:r w:rsidRPr="00E4628E">
        <w:rPr>
          <w:bCs/>
          <w:iCs/>
          <w:sz w:val="24"/>
          <w:szCs w:val="24"/>
          <w:lang w:eastAsia="es-ES"/>
        </w:rPr>
        <w:t xml:space="preserve"> 22 de noviembre de 1969, Aprobada por la Asamblea</w:t>
      </w:r>
      <w:r w:rsidR="00E94EA7" w:rsidRPr="00E4628E">
        <w:rPr>
          <w:bCs/>
          <w:iCs/>
          <w:sz w:val="24"/>
          <w:szCs w:val="24"/>
          <w:lang w:eastAsia="es-ES"/>
        </w:rPr>
        <w:t xml:space="preserve"> </w:t>
      </w:r>
      <w:r w:rsidRPr="00E4628E">
        <w:rPr>
          <w:bCs/>
          <w:iCs/>
          <w:sz w:val="24"/>
          <w:szCs w:val="24"/>
          <w:lang w:eastAsia="es-ES"/>
        </w:rPr>
        <w:t>Legislativa por Ley N</w:t>
      </w:r>
      <w:r w:rsidR="0024246E">
        <w:rPr>
          <w:bCs/>
          <w:iCs/>
          <w:sz w:val="24"/>
          <w:szCs w:val="24"/>
          <w:lang w:eastAsia="es-ES"/>
        </w:rPr>
        <w:t>°</w:t>
      </w:r>
      <w:r w:rsidRPr="00E4628E">
        <w:rPr>
          <w:bCs/>
          <w:iCs/>
          <w:sz w:val="24"/>
          <w:szCs w:val="24"/>
          <w:lang w:eastAsia="es-ES"/>
        </w:rPr>
        <w:t xml:space="preserve"> 4534 de </w:t>
      </w:r>
      <w:r w:rsidR="004D74DE">
        <w:rPr>
          <w:bCs/>
          <w:iCs/>
          <w:sz w:val="24"/>
          <w:szCs w:val="24"/>
          <w:lang w:eastAsia="es-ES"/>
        </w:rPr>
        <w:t xml:space="preserve">fecha </w:t>
      </w:r>
      <w:r w:rsidRPr="00E4628E">
        <w:rPr>
          <w:bCs/>
          <w:iCs/>
          <w:sz w:val="24"/>
          <w:szCs w:val="24"/>
          <w:lang w:eastAsia="es-ES"/>
        </w:rPr>
        <w:t>23 de febrero de 1970, establece que nadie puede ser objeto de injerencias arbitrarias o abusivas en su correspondencia.</w:t>
      </w:r>
    </w:p>
    <w:p w14:paraId="01B7884C" w14:textId="359138A0" w:rsidR="00DD11F7" w:rsidRPr="00E4628E" w:rsidRDefault="00DD11F7" w:rsidP="00E4628E">
      <w:pPr>
        <w:spacing w:before="100" w:beforeAutospacing="1" w:after="100" w:afterAutospacing="1" w:line="276" w:lineRule="auto"/>
        <w:ind w:right="49"/>
        <w:jc w:val="both"/>
        <w:rPr>
          <w:bCs/>
          <w:iCs/>
          <w:sz w:val="24"/>
          <w:szCs w:val="24"/>
          <w:lang w:eastAsia="es-ES"/>
        </w:rPr>
      </w:pPr>
      <w:r w:rsidRPr="00E4628E">
        <w:rPr>
          <w:bCs/>
          <w:iCs/>
          <w:sz w:val="24"/>
          <w:szCs w:val="24"/>
          <w:lang w:eastAsia="es-ES"/>
        </w:rPr>
        <w:lastRenderedPageBreak/>
        <w:t xml:space="preserve">Por su parte, la </w:t>
      </w:r>
      <w:r w:rsidR="006171D8" w:rsidRPr="00E4628E">
        <w:rPr>
          <w:bCs/>
          <w:iCs/>
          <w:sz w:val="24"/>
          <w:szCs w:val="24"/>
          <w:lang w:eastAsia="es-ES"/>
        </w:rPr>
        <w:t xml:space="preserve">Ley N° 8642, </w:t>
      </w:r>
      <w:r w:rsidR="00744D34" w:rsidRPr="00E4628E">
        <w:rPr>
          <w:bCs/>
          <w:iCs/>
          <w:sz w:val="24"/>
          <w:szCs w:val="24"/>
          <w:lang w:eastAsia="es-ES"/>
        </w:rPr>
        <w:t>citada</w:t>
      </w:r>
      <w:r w:rsidRPr="00E4628E">
        <w:rPr>
          <w:bCs/>
          <w:iCs/>
          <w:sz w:val="24"/>
          <w:szCs w:val="24"/>
          <w:lang w:eastAsia="es-ES"/>
        </w:rPr>
        <w:t xml:space="preserve"> establece en su artículo 42, en lo conducente, que:</w:t>
      </w:r>
    </w:p>
    <w:p w14:paraId="78F48F0B" w14:textId="73DC9E96" w:rsidR="00DD11F7" w:rsidRPr="00E4628E" w:rsidRDefault="00DD11F7" w:rsidP="00E4628E">
      <w:pPr>
        <w:spacing w:line="276" w:lineRule="auto"/>
        <w:ind w:left="851" w:right="1183"/>
        <w:jc w:val="both"/>
        <w:rPr>
          <w:bCs/>
          <w:i/>
          <w:iCs/>
          <w:sz w:val="24"/>
          <w:szCs w:val="24"/>
          <w:lang w:eastAsia="es-ES"/>
        </w:rPr>
      </w:pPr>
      <w:r w:rsidRPr="00E4628E">
        <w:rPr>
          <w:bCs/>
          <w:i/>
          <w:iCs/>
          <w:sz w:val="24"/>
          <w:szCs w:val="24"/>
          <w:lang w:eastAsia="es-ES"/>
        </w:rPr>
        <w:t>ARTÍCULO 42.- Privacidad de las comunicaciones y protección de datos personales</w:t>
      </w:r>
    </w:p>
    <w:p w14:paraId="5920851E" w14:textId="3A691D68" w:rsidR="00DD11F7" w:rsidRPr="00E4628E" w:rsidRDefault="00DD11F7" w:rsidP="00E4628E">
      <w:pPr>
        <w:spacing w:line="276" w:lineRule="auto"/>
        <w:ind w:left="851" w:right="1183"/>
        <w:jc w:val="both"/>
        <w:rPr>
          <w:bCs/>
          <w:i/>
          <w:iCs/>
          <w:sz w:val="24"/>
          <w:szCs w:val="24"/>
          <w:lang w:eastAsia="es-ES"/>
        </w:rPr>
      </w:pPr>
      <w:r w:rsidRPr="00E4628E">
        <w:rPr>
          <w:bCs/>
          <w:i/>
          <w:iCs/>
          <w:sz w:val="24"/>
          <w:szCs w:val="24"/>
          <w:lang w:eastAsia="es-ES"/>
        </w:rPr>
        <w:t xml:space="preserve">Los operadores de redes públicas y proveedores de servicios de telecomunicaciones disponibles al </w:t>
      </w:r>
      <w:r w:rsidR="0088555A" w:rsidRPr="00E4628E">
        <w:rPr>
          <w:bCs/>
          <w:i/>
          <w:iCs/>
          <w:sz w:val="24"/>
          <w:szCs w:val="24"/>
          <w:lang w:eastAsia="es-ES"/>
        </w:rPr>
        <w:t>público</w:t>
      </w:r>
      <w:r w:rsidRPr="00E4628E">
        <w:rPr>
          <w:bCs/>
          <w:i/>
          <w:iCs/>
          <w:sz w:val="24"/>
          <w:szCs w:val="24"/>
          <w:lang w:eastAsia="es-ES"/>
        </w:rPr>
        <w:t xml:space="preserve"> deberán garantizar el secreto de las comunicaciones, el derecho a la intimidad y la protección de los datos de carácter personal de los abonados y usuarios finales, mediante la implementación de los sistemas y las medidas técnicas y administrativas necesarias.  Estas medidas de protección serán fijadas reglamentariamente por el Poder Ejecutivo. </w:t>
      </w:r>
    </w:p>
    <w:p w14:paraId="4F9FC4DC" w14:textId="391D288C" w:rsidR="00DD11F7" w:rsidRPr="00E4628E" w:rsidRDefault="00DD11F7" w:rsidP="00E4628E">
      <w:pPr>
        <w:spacing w:line="276" w:lineRule="auto"/>
        <w:ind w:left="851" w:right="1183"/>
        <w:jc w:val="both"/>
        <w:rPr>
          <w:bCs/>
          <w:i/>
          <w:iCs/>
          <w:sz w:val="24"/>
          <w:szCs w:val="24"/>
          <w:lang w:eastAsia="es-ES"/>
        </w:rPr>
      </w:pPr>
      <w:r w:rsidRPr="00E4628E">
        <w:rPr>
          <w:bCs/>
          <w:i/>
          <w:iCs/>
          <w:sz w:val="24"/>
          <w:szCs w:val="24"/>
          <w:lang w:eastAsia="es-ES"/>
        </w:rPr>
        <w:t xml:space="preserve">Los operadores y proveedores deberán adoptar las medidas técnicas y administrativas idóneas para garantizar la seguridad de las redes y sus servicios. </w:t>
      </w:r>
      <w:r w:rsidR="009F24A4" w:rsidRPr="00E4628E">
        <w:rPr>
          <w:bCs/>
          <w:i/>
          <w:iCs/>
          <w:sz w:val="24"/>
          <w:szCs w:val="24"/>
          <w:lang w:eastAsia="es-ES"/>
        </w:rPr>
        <w:t>(</w:t>
      </w:r>
      <w:r w:rsidRPr="00E4628E">
        <w:rPr>
          <w:bCs/>
          <w:i/>
          <w:iCs/>
          <w:sz w:val="24"/>
          <w:szCs w:val="24"/>
          <w:lang w:eastAsia="es-ES"/>
        </w:rPr>
        <w:t>…</w:t>
      </w:r>
      <w:r w:rsidR="009F24A4" w:rsidRPr="00E4628E">
        <w:rPr>
          <w:bCs/>
          <w:i/>
          <w:iCs/>
          <w:sz w:val="24"/>
          <w:szCs w:val="24"/>
          <w:lang w:eastAsia="es-ES"/>
        </w:rPr>
        <w:t>)</w:t>
      </w:r>
    </w:p>
    <w:p w14:paraId="3F501A84" w14:textId="77777777" w:rsidR="00DD11F7" w:rsidRPr="00E4628E" w:rsidRDefault="00DD11F7" w:rsidP="00E4628E">
      <w:pPr>
        <w:spacing w:line="276" w:lineRule="auto"/>
        <w:ind w:left="851" w:right="1183"/>
        <w:jc w:val="both"/>
        <w:rPr>
          <w:bCs/>
          <w:i/>
          <w:iCs/>
          <w:sz w:val="24"/>
          <w:szCs w:val="24"/>
          <w:lang w:eastAsia="es-ES"/>
        </w:rPr>
      </w:pPr>
      <w:r w:rsidRPr="00E4628E">
        <w:rPr>
          <w:bCs/>
          <w:i/>
          <w:iCs/>
          <w:sz w:val="24"/>
          <w:szCs w:val="24"/>
          <w:lang w:eastAsia="es-ES"/>
        </w:rPr>
        <w:t>Los operadores y proveedores deberán garantizar que las comunicaciones y los datos de tráfico asociados a ellas, no serán escuchadas, gravadas, almacenadas, intervenidas ni vigiladas por terceros sin su consentimiento, salvo cuando se cuente con la autorización judicial correspondiente, de conformidad con la ley.”</w:t>
      </w:r>
    </w:p>
    <w:p w14:paraId="7F1617AF" w14:textId="77777777" w:rsidR="00133AC0" w:rsidRPr="00E4628E" w:rsidRDefault="00133AC0" w:rsidP="00E4628E">
      <w:pPr>
        <w:spacing w:line="276" w:lineRule="auto"/>
        <w:ind w:left="851" w:right="1183"/>
        <w:jc w:val="both"/>
        <w:rPr>
          <w:bCs/>
          <w:i/>
          <w:iCs/>
          <w:sz w:val="24"/>
          <w:szCs w:val="24"/>
          <w:lang w:eastAsia="es-ES"/>
        </w:rPr>
      </w:pPr>
    </w:p>
    <w:p w14:paraId="0D979DB2" w14:textId="6111E319" w:rsidR="00DD11F7" w:rsidRPr="00E4628E" w:rsidRDefault="00DD11F7" w:rsidP="00E4628E">
      <w:pPr>
        <w:spacing w:line="276" w:lineRule="auto"/>
        <w:jc w:val="both"/>
        <w:rPr>
          <w:bCs/>
          <w:iCs/>
          <w:sz w:val="24"/>
          <w:szCs w:val="24"/>
          <w:lang w:eastAsia="es-ES"/>
        </w:rPr>
      </w:pPr>
      <w:r w:rsidRPr="00E4628E">
        <w:rPr>
          <w:bCs/>
          <w:iCs/>
          <w:sz w:val="24"/>
          <w:szCs w:val="24"/>
          <w:lang w:eastAsia="es-ES"/>
        </w:rPr>
        <w:t>Resulta claro entonces, como en la legislación y jurisprudencia nacional se compromete con el administrado en la protección de sus derechos individuales y sobre todo con el derecho a la intimidad, garantizando que su tutela ante la divulgación y violación de las comunicaciones personales.</w:t>
      </w:r>
    </w:p>
    <w:p w14:paraId="0C8978BA" w14:textId="77777777" w:rsidR="00133AC0" w:rsidRPr="00E4628E" w:rsidRDefault="00133AC0" w:rsidP="00E4628E">
      <w:pPr>
        <w:spacing w:line="276" w:lineRule="auto"/>
        <w:jc w:val="both"/>
        <w:rPr>
          <w:bCs/>
          <w:iCs/>
          <w:sz w:val="24"/>
          <w:szCs w:val="24"/>
          <w:lang w:eastAsia="es-ES"/>
        </w:rPr>
      </w:pPr>
    </w:p>
    <w:p w14:paraId="10E940DA" w14:textId="3611E711" w:rsidR="00133AC0" w:rsidRPr="00E4628E" w:rsidRDefault="00165136" w:rsidP="00E4628E">
      <w:pPr>
        <w:spacing w:line="276" w:lineRule="auto"/>
        <w:jc w:val="both"/>
        <w:rPr>
          <w:sz w:val="24"/>
          <w:szCs w:val="24"/>
        </w:rPr>
      </w:pPr>
      <w:r w:rsidRPr="00E4628E">
        <w:rPr>
          <w:bCs/>
          <w:iCs/>
          <w:sz w:val="24"/>
          <w:szCs w:val="24"/>
          <w:lang w:eastAsia="es-ES"/>
        </w:rPr>
        <w:t>De lo e</w:t>
      </w:r>
      <w:r w:rsidR="00133AC0" w:rsidRPr="00E4628E">
        <w:rPr>
          <w:bCs/>
          <w:iCs/>
          <w:sz w:val="24"/>
          <w:szCs w:val="24"/>
          <w:lang w:eastAsia="es-ES"/>
        </w:rPr>
        <w:t xml:space="preserve">xpuesto </w:t>
      </w:r>
      <w:r w:rsidRPr="00E4628E">
        <w:rPr>
          <w:bCs/>
          <w:iCs/>
          <w:sz w:val="24"/>
          <w:szCs w:val="24"/>
          <w:lang w:eastAsia="es-ES"/>
        </w:rPr>
        <w:t>en este informe</w:t>
      </w:r>
      <w:r w:rsidR="00133AC0" w:rsidRPr="00E4628E">
        <w:rPr>
          <w:bCs/>
          <w:iCs/>
          <w:sz w:val="24"/>
          <w:szCs w:val="24"/>
          <w:lang w:eastAsia="es-ES"/>
        </w:rPr>
        <w:t>,</w:t>
      </w:r>
      <w:r w:rsidR="001F7535" w:rsidRPr="00E4628E">
        <w:rPr>
          <w:bCs/>
          <w:iCs/>
          <w:sz w:val="24"/>
          <w:szCs w:val="24"/>
          <w:lang w:eastAsia="es-ES"/>
        </w:rPr>
        <w:t xml:space="preserve"> y siendo que la pretensión </w:t>
      </w:r>
      <w:r w:rsidR="00783341" w:rsidRPr="00E4628E">
        <w:rPr>
          <w:bCs/>
          <w:iCs/>
          <w:sz w:val="24"/>
          <w:szCs w:val="24"/>
          <w:lang w:eastAsia="es-ES"/>
        </w:rPr>
        <w:t xml:space="preserve">de la Administración de </w:t>
      </w:r>
      <w:r w:rsidR="00B03514">
        <w:rPr>
          <w:bCs/>
          <w:iCs/>
          <w:sz w:val="24"/>
          <w:szCs w:val="24"/>
          <w:lang w:eastAsia="es-ES"/>
        </w:rPr>
        <w:t>Holanda</w:t>
      </w:r>
      <w:r w:rsidR="007E4234" w:rsidRPr="00E4628E">
        <w:rPr>
          <w:bCs/>
          <w:iCs/>
          <w:sz w:val="24"/>
          <w:szCs w:val="24"/>
          <w:lang w:eastAsia="es-ES"/>
        </w:rPr>
        <w:t xml:space="preserve"> </w:t>
      </w:r>
      <w:r w:rsidR="001F7535" w:rsidRPr="00E4628E">
        <w:rPr>
          <w:bCs/>
          <w:iCs/>
          <w:sz w:val="24"/>
          <w:szCs w:val="24"/>
          <w:lang w:eastAsia="es-ES"/>
        </w:rPr>
        <w:t xml:space="preserve">es </w:t>
      </w:r>
      <w:r w:rsidR="001F7535" w:rsidRPr="00E4628E">
        <w:rPr>
          <w:sz w:val="24"/>
          <w:szCs w:val="24"/>
        </w:rPr>
        <w:t>incluir al territorio costarricense dentro el área de servicios de la</w:t>
      </w:r>
      <w:r w:rsidR="0024246E">
        <w:rPr>
          <w:sz w:val="24"/>
          <w:szCs w:val="24"/>
        </w:rPr>
        <w:t>s</w:t>
      </w:r>
      <w:r w:rsidR="001F7535" w:rsidRPr="00E4628E">
        <w:rPr>
          <w:sz w:val="24"/>
          <w:szCs w:val="24"/>
        </w:rPr>
        <w:t xml:space="preserve"> </w:t>
      </w:r>
      <w:r w:rsidR="0024246E">
        <w:rPr>
          <w:sz w:val="24"/>
          <w:szCs w:val="24"/>
        </w:rPr>
        <w:t>Redes Satelitales dichas</w:t>
      </w:r>
      <w:r w:rsidR="001F7535" w:rsidRPr="00E4628E">
        <w:rPr>
          <w:sz w:val="24"/>
          <w:szCs w:val="24"/>
        </w:rPr>
        <w:t xml:space="preserve"> y de esta manera obtener el acuerdo con la Administración del Estado costarricense para irradiar el territorio del país,</w:t>
      </w:r>
      <w:r w:rsidRPr="00E4628E">
        <w:rPr>
          <w:sz w:val="24"/>
          <w:szCs w:val="24"/>
        </w:rPr>
        <w:t xml:space="preserve"> y habiendo </w:t>
      </w:r>
      <w:r w:rsidR="001F7535" w:rsidRPr="00E4628E">
        <w:rPr>
          <w:sz w:val="24"/>
          <w:szCs w:val="24"/>
        </w:rPr>
        <w:t xml:space="preserve">comprobado que no existe impedimento técnico ni jurídico </w:t>
      </w:r>
      <w:r w:rsidR="00A22907" w:rsidRPr="00E4628E">
        <w:rPr>
          <w:sz w:val="24"/>
          <w:szCs w:val="24"/>
        </w:rPr>
        <w:t>para aceptar dicha solicitud</w:t>
      </w:r>
      <w:r w:rsidRPr="00E4628E">
        <w:rPr>
          <w:sz w:val="24"/>
          <w:szCs w:val="24"/>
        </w:rPr>
        <w:t xml:space="preserve"> a </w:t>
      </w:r>
      <w:r w:rsidR="00A22907" w:rsidRPr="00E4628E">
        <w:rPr>
          <w:sz w:val="24"/>
          <w:szCs w:val="24"/>
        </w:rPr>
        <w:t>continuación,</w:t>
      </w:r>
      <w:r w:rsidRPr="00E4628E">
        <w:rPr>
          <w:sz w:val="24"/>
          <w:szCs w:val="24"/>
        </w:rPr>
        <w:t xml:space="preserve"> se enumeran las conclusiones y recomendaciones. </w:t>
      </w:r>
    </w:p>
    <w:p w14:paraId="5F69B765" w14:textId="7194E2E7" w:rsidR="00DD11F7" w:rsidRPr="00E4628E" w:rsidRDefault="00DD11F7" w:rsidP="00E4628E">
      <w:pPr>
        <w:spacing w:line="276" w:lineRule="auto"/>
        <w:jc w:val="both"/>
        <w:rPr>
          <w:bCs/>
          <w:iCs/>
          <w:sz w:val="24"/>
          <w:szCs w:val="24"/>
          <w:lang w:eastAsia="es-ES"/>
        </w:rPr>
      </w:pPr>
    </w:p>
    <w:p w14:paraId="77D1B92B" w14:textId="77777777" w:rsidR="00C3334A" w:rsidRPr="00E4628E" w:rsidRDefault="00C3334A" w:rsidP="00E4628E">
      <w:pPr>
        <w:spacing w:line="276" w:lineRule="auto"/>
        <w:jc w:val="both"/>
        <w:rPr>
          <w:bCs/>
          <w:iCs/>
          <w:sz w:val="24"/>
          <w:szCs w:val="24"/>
          <w:lang w:eastAsia="es-ES"/>
        </w:rPr>
      </w:pPr>
    </w:p>
    <w:p w14:paraId="1EFF9DD8" w14:textId="7F0D750B" w:rsidR="00DD11F7" w:rsidRPr="00E4628E" w:rsidRDefault="00DD11F7" w:rsidP="00E31A0A">
      <w:pPr>
        <w:pStyle w:val="Prrafodelista"/>
        <w:numPr>
          <w:ilvl w:val="0"/>
          <w:numId w:val="15"/>
        </w:numPr>
        <w:adjustRightInd w:val="0"/>
        <w:spacing w:line="276" w:lineRule="auto"/>
        <w:contextualSpacing/>
        <w:jc w:val="both"/>
        <w:rPr>
          <w:b/>
          <w:sz w:val="24"/>
          <w:szCs w:val="24"/>
        </w:rPr>
      </w:pPr>
      <w:r w:rsidRPr="00E4628E">
        <w:rPr>
          <w:b/>
          <w:sz w:val="24"/>
          <w:szCs w:val="24"/>
        </w:rPr>
        <w:t xml:space="preserve">CONCLUSIONES </w:t>
      </w:r>
    </w:p>
    <w:p w14:paraId="4F5717F2" w14:textId="77777777" w:rsidR="00DD11F7" w:rsidRPr="00E4628E" w:rsidRDefault="00DD11F7" w:rsidP="00E31A0A">
      <w:pPr>
        <w:adjustRightInd w:val="0"/>
        <w:spacing w:line="276" w:lineRule="auto"/>
        <w:jc w:val="both"/>
        <w:rPr>
          <w:sz w:val="24"/>
          <w:szCs w:val="24"/>
        </w:rPr>
      </w:pPr>
    </w:p>
    <w:p w14:paraId="5B3E8CC2" w14:textId="7D070183" w:rsidR="00DD11F7" w:rsidRPr="00E4628E" w:rsidRDefault="00A40E4C" w:rsidP="00E31A0A">
      <w:pPr>
        <w:pStyle w:val="Prrafodelista"/>
        <w:numPr>
          <w:ilvl w:val="0"/>
          <w:numId w:val="3"/>
        </w:numPr>
        <w:adjustRightInd w:val="0"/>
        <w:spacing w:line="276" w:lineRule="auto"/>
        <w:contextualSpacing/>
        <w:jc w:val="both"/>
        <w:rPr>
          <w:sz w:val="24"/>
          <w:szCs w:val="24"/>
        </w:rPr>
      </w:pPr>
      <w:r w:rsidRPr="00E4628E">
        <w:rPr>
          <w:sz w:val="24"/>
          <w:szCs w:val="24"/>
        </w:rPr>
        <w:t>El</w:t>
      </w:r>
      <w:r w:rsidR="00895B24" w:rsidRPr="00E4628E">
        <w:rPr>
          <w:sz w:val="24"/>
          <w:szCs w:val="24"/>
        </w:rPr>
        <w:t xml:space="preserve"> </w:t>
      </w:r>
      <w:r w:rsidRPr="00E4628E">
        <w:rPr>
          <w:sz w:val="24"/>
          <w:szCs w:val="24"/>
        </w:rPr>
        <w:t xml:space="preserve">Departamento de Administración del Espectro Radioeléctrico de la </w:t>
      </w:r>
      <w:r w:rsidR="00895B24" w:rsidRPr="00E4628E">
        <w:rPr>
          <w:sz w:val="24"/>
          <w:szCs w:val="24"/>
        </w:rPr>
        <w:t>Dirección</w:t>
      </w:r>
      <w:r w:rsidR="00DD11F7" w:rsidRPr="00E4628E">
        <w:rPr>
          <w:sz w:val="24"/>
          <w:szCs w:val="24"/>
        </w:rPr>
        <w:t xml:space="preserve"> de Espectro Radioeléctrico </w:t>
      </w:r>
      <w:r w:rsidR="00895B24" w:rsidRPr="00E4628E">
        <w:rPr>
          <w:sz w:val="24"/>
          <w:szCs w:val="24"/>
        </w:rPr>
        <w:t xml:space="preserve">y Redes en Telecomunicaciones </w:t>
      </w:r>
      <w:r w:rsidR="00DD11F7" w:rsidRPr="00E4628E">
        <w:rPr>
          <w:sz w:val="24"/>
          <w:szCs w:val="24"/>
        </w:rPr>
        <w:t xml:space="preserve">indicó en su </w:t>
      </w:r>
      <w:r w:rsidR="005E2091" w:rsidRPr="00E4628E">
        <w:rPr>
          <w:sz w:val="24"/>
          <w:szCs w:val="24"/>
        </w:rPr>
        <w:t>memorándum</w:t>
      </w:r>
      <w:r w:rsidR="00DD11F7" w:rsidRPr="00E4628E">
        <w:rPr>
          <w:sz w:val="24"/>
          <w:szCs w:val="24"/>
        </w:rPr>
        <w:t xml:space="preserve"> N°</w:t>
      </w:r>
      <w:r w:rsidR="00EE0F23" w:rsidRPr="00E4628E">
        <w:rPr>
          <w:sz w:val="24"/>
          <w:szCs w:val="24"/>
        </w:rPr>
        <w:t xml:space="preserve"> </w:t>
      </w:r>
      <w:r w:rsidR="000B5B6A" w:rsidRPr="00E4628E">
        <w:rPr>
          <w:sz w:val="24"/>
          <w:szCs w:val="24"/>
        </w:rPr>
        <w:t>MICITT</w:t>
      </w:r>
      <w:r w:rsidR="00DD11F7" w:rsidRPr="00E4628E">
        <w:rPr>
          <w:sz w:val="24"/>
          <w:szCs w:val="24"/>
        </w:rPr>
        <w:t>-</w:t>
      </w:r>
      <w:r w:rsidR="008B31F7" w:rsidRPr="00E4628E">
        <w:rPr>
          <w:sz w:val="24"/>
          <w:szCs w:val="24"/>
        </w:rPr>
        <w:t>DERRT-</w:t>
      </w:r>
      <w:r w:rsidRPr="00E4628E">
        <w:rPr>
          <w:sz w:val="24"/>
          <w:szCs w:val="24"/>
        </w:rPr>
        <w:t>DAER-</w:t>
      </w:r>
      <w:r w:rsidR="008B31F7" w:rsidRPr="00E4628E">
        <w:rPr>
          <w:sz w:val="24"/>
          <w:szCs w:val="24"/>
        </w:rPr>
        <w:t>MEMO</w:t>
      </w:r>
      <w:r w:rsidR="00DD11F7" w:rsidRPr="00E4628E">
        <w:rPr>
          <w:sz w:val="24"/>
          <w:szCs w:val="24"/>
        </w:rPr>
        <w:t>-</w:t>
      </w:r>
      <w:r w:rsidR="006F5E2F">
        <w:rPr>
          <w:sz w:val="24"/>
          <w:szCs w:val="24"/>
        </w:rPr>
        <w:t>183</w:t>
      </w:r>
      <w:r w:rsidR="006A126D" w:rsidRPr="00E4628E">
        <w:rPr>
          <w:sz w:val="24"/>
          <w:szCs w:val="24"/>
        </w:rPr>
        <w:t>-</w:t>
      </w:r>
      <w:r w:rsidR="005E2091" w:rsidRPr="00E4628E">
        <w:rPr>
          <w:sz w:val="24"/>
          <w:szCs w:val="24"/>
        </w:rPr>
        <w:t>201</w:t>
      </w:r>
      <w:r w:rsidR="006A126D" w:rsidRPr="00E4628E">
        <w:rPr>
          <w:sz w:val="24"/>
          <w:szCs w:val="24"/>
        </w:rPr>
        <w:t>8</w:t>
      </w:r>
      <w:r w:rsidR="00DD11F7" w:rsidRPr="00E4628E">
        <w:rPr>
          <w:sz w:val="24"/>
          <w:szCs w:val="24"/>
        </w:rPr>
        <w:t>,</w:t>
      </w:r>
      <w:r w:rsidR="005E2091" w:rsidRPr="00E4628E">
        <w:rPr>
          <w:sz w:val="24"/>
          <w:szCs w:val="24"/>
        </w:rPr>
        <w:t xml:space="preserve"> de fecha </w:t>
      </w:r>
      <w:r w:rsidR="00ED5912">
        <w:rPr>
          <w:sz w:val="24"/>
          <w:szCs w:val="24"/>
        </w:rPr>
        <w:t>1</w:t>
      </w:r>
      <w:r w:rsidR="006F5E2F">
        <w:rPr>
          <w:sz w:val="24"/>
          <w:szCs w:val="24"/>
        </w:rPr>
        <w:t>9</w:t>
      </w:r>
      <w:r w:rsidR="00ED5912">
        <w:rPr>
          <w:sz w:val="24"/>
          <w:szCs w:val="24"/>
        </w:rPr>
        <w:t xml:space="preserve"> </w:t>
      </w:r>
      <w:r w:rsidR="005E2091" w:rsidRPr="00E4628E">
        <w:rPr>
          <w:sz w:val="24"/>
          <w:szCs w:val="24"/>
        </w:rPr>
        <w:t xml:space="preserve">de </w:t>
      </w:r>
      <w:r w:rsidR="00731E02">
        <w:rPr>
          <w:sz w:val="24"/>
          <w:szCs w:val="24"/>
        </w:rPr>
        <w:t>octubre</w:t>
      </w:r>
      <w:r w:rsidR="00ED5912">
        <w:rPr>
          <w:sz w:val="24"/>
          <w:szCs w:val="24"/>
        </w:rPr>
        <w:t xml:space="preserve"> </w:t>
      </w:r>
      <w:r w:rsidR="006A126D" w:rsidRPr="00E4628E">
        <w:rPr>
          <w:sz w:val="24"/>
          <w:szCs w:val="24"/>
        </w:rPr>
        <w:t>de 2018,</w:t>
      </w:r>
      <w:r w:rsidR="00DD11F7" w:rsidRPr="00E4628E">
        <w:rPr>
          <w:sz w:val="24"/>
          <w:szCs w:val="24"/>
        </w:rPr>
        <w:t xml:space="preserve"> que no encontró inconvenientes desde el punto de vista técnico para que se incluya a Costa Ri</w:t>
      </w:r>
      <w:r w:rsidR="005E2091" w:rsidRPr="00E4628E">
        <w:rPr>
          <w:sz w:val="24"/>
          <w:szCs w:val="24"/>
        </w:rPr>
        <w:t xml:space="preserve">ca dentro del área de servicio </w:t>
      </w:r>
      <w:r w:rsidR="0088555A" w:rsidRPr="00E4628E">
        <w:rPr>
          <w:sz w:val="24"/>
          <w:szCs w:val="24"/>
        </w:rPr>
        <w:t>de la</w:t>
      </w:r>
      <w:r w:rsidR="002C46D1">
        <w:rPr>
          <w:sz w:val="24"/>
          <w:szCs w:val="24"/>
        </w:rPr>
        <w:t>s</w:t>
      </w:r>
      <w:r w:rsidR="0032149E">
        <w:rPr>
          <w:sz w:val="24"/>
          <w:szCs w:val="24"/>
        </w:rPr>
        <w:t xml:space="preserve"> </w:t>
      </w:r>
      <w:r w:rsidR="0088555A" w:rsidRPr="00E4628E">
        <w:rPr>
          <w:sz w:val="24"/>
          <w:szCs w:val="24"/>
        </w:rPr>
        <w:t>red</w:t>
      </w:r>
      <w:r w:rsidR="002C46D1">
        <w:rPr>
          <w:sz w:val="24"/>
          <w:szCs w:val="24"/>
        </w:rPr>
        <w:t>es</w:t>
      </w:r>
      <w:r w:rsidR="0032149E">
        <w:rPr>
          <w:sz w:val="24"/>
          <w:szCs w:val="24"/>
        </w:rPr>
        <w:t xml:space="preserve"> </w:t>
      </w:r>
      <w:r w:rsidR="0088555A" w:rsidRPr="00E4628E">
        <w:rPr>
          <w:sz w:val="24"/>
          <w:szCs w:val="24"/>
        </w:rPr>
        <w:t>satelital</w:t>
      </w:r>
      <w:r w:rsidR="002C46D1">
        <w:rPr>
          <w:sz w:val="24"/>
          <w:szCs w:val="24"/>
        </w:rPr>
        <w:t>es</w:t>
      </w:r>
      <w:r w:rsidR="0032149E">
        <w:rPr>
          <w:sz w:val="24"/>
          <w:szCs w:val="24"/>
        </w:rPr>
        <w:t xml:space="preserve"> </w:t>
      </w:r>
      <w:r w:rsidR="0088555A" w:rsidRPr="00E4628E">
        <w:rPr>
          <w:sz w:val="24"/>
          <w:szCs w:val="24"/>
        </w:rPr>
        <w:t>denominada</w:t>
      </w:r>
      <w:r w:rsidR="002C46D1">
        <w:rPr>
          <w:sz w:val="24"/>
          <w:szCs w:val="24"/>
        </w:rPr>
        <w:t>s</w:t>
      </w:r>
      <w:r w:rsidR="00ED5912">
        <w:rPr>
          <w:sz w:val="24"/>
          <w:szCs w:val="24"/>
        </w:rPr>
        <w:t xml:space="preserve"> </w:t>
      </w:r>
      <w:r w:rsidR="002C46D1">
        <w:rPr>
          <w:sz w:val="22"/>
          <w:szCs w:val="22"/>
        </w:rPr>
        <w:t xml:space="preserve">NSS-FSS-G3 22W, NSS-FSS-137W Y NSS-FSS-105 W-2 </w:t>
      </w:r>
      <w:r w:rsidR="003F6DAE">
        <w:rPr>
          <w:sz w:val="24"/>
          <w:szCs w:val="24"/>
        </w:rPr>
        <w:t>anex</w:t>
      </w:r>
      <w:r w:rsidR="00ED5912">
        <w:rPr>
          <w:sz w:val="24"/>
          <w:szCs w:val="24"/>
        </w:rPr>
        <w:t>a</w:t>
      </w:r>
      <w:r w:rsidR="002C46D1">
        <w:rPr>
          <w:sz w:val="24"/>
          <w:szCs w:val="24"/>
        </w:rPr>
        <w:t>s</w:t>
      </w:r>
      <w:r w:rsidR="003F6DAE">
        <w:rPr>
          <w:sz w:val="24"/>
          <w:szCs w:val="24"/>
        </w:rPr>
        <w:t xml:space="preserve"> a la BR IFIC</w:t>
      </w:r>
      <w:r w:rsidR="008B72EA">
        <w:rPr>
          <w:sz w:val="24"/>
          <w:szCs w:val="24"/>
        </w:rPr>
        <w:t xml:space="preserve"> N</w:t>
      </w:r>
      <w:r w:rsidR="003F6DAE">
        <w:rPr>
          <w:sz w:val="24"/>
          <w:szCs w:val="24"/>
        </w:rPr>
        <w:t>°</w:t>
      </w:r>
      <w:r w:rsidR="008B72EA">
        <w:rPr>
          <w:sz w:val="24"/>
          <w:szCs w:val="24"/>
        </w:rPr>
        <w:t xml:space="preserve"> </w:t>
      </w:r>
      <w:r w:rsidR="00B27713">
        <w:rPr>
          <w:sz w:val="24"/>
          <w:szCs w:val="24"/>
        </w:rPr>
        <w:t>288</w:t>
      </w:r>
      <w:r w:rsidR="006F5E2F">
        <w:rPr>
          <w:sz w:val="24"/>
          <w:szCs w:val="24"/>
        </w:rPr>
        <w:t>1</w:t>
      </w:r>
      <w:r w:rsidR="00B27713">
        <w:rPr>
          <w:sz w:val="24"/>
          <w:szCs w:val="24"/>
        </w:rPr>
        <w:t xml:space="preserve"> de fecha </w:t>
      </w:r>
      <w:r w:rsidR="006F5E2F">
        <w:rPr>
          <w:sz w:val="24"/>
          <w:szCs w:val="24"/>
        </w:rPr>
        <w:t>16</w:t>
      </w:r>
      <w:r w:rsidR="00B27713">
        <w:rPr>
          <w:sz w:val="24"/>
          <w:szCs w:val="24"/>
        </w:rPr>
        <w:t xml:space="preserve"> de octubre de 2018</w:t>
      </w:r>
      <w:r w:rsidR="008B31F7" w:rsidRPr="00E4628E">
        <w:rPr>
          <w:sz w:val="24"/>
          <w:szCs w:val="24"/>
        </w:rPr>
        <w:t>.</w:t>
      </w:r>
    </w:p>
    <w:p w14:paraId="09AAD342" w14:textId="3585F727" w:rsidR="00DD11F7" w:rsidRPr="00E4628E" w:rsidRDefault="00DD11F7" w:rsidP="00E31A0A">
      <w:pPr>
        <w:pStyle w:val="Prrafodelista"/>
        <w:numPr>
          <w:ilvl w:val="0"/>
          <w:numId w:val="3"/>
        </w:numPr>
        <w:adjustRightInd w:val="0"/>
        <w:spacing w:line="276" w:lineRule="auto"/>
        <w:contextualSpacing/>
        <w:jc w:val="both"/>
        <w:rPr>
          <w:sz w:val="24"/>
          <w:szCs w:val="24"/>
        </w:rPr>
      </w:pPr>
      <w:r w:rsidRPr="00E4628E">
        <w:rPr>
          <w:sz w:val="24"/>
          <w:szCs w:val="24"/>
        </w:rPr>
        <w:t xml:space="preserve">Las empresas que deseen brindar servicios de telecomunicaciones con una señal que </w:t>
      </w:r>
      <w:r w:rsidR="00895B24" w:rsidRPr="00E4628E">
        <w:rPr>
          <w:sz w:val="24"/>
          <w:szCs w:val="24"/>
        </w:rPr>
        <w:t xml:space="preserve">se </w:t>
      </w:r>
      <w:r w:rsidRPr="00E4628E">
        <w:rPr>
          <w:sz w:val="24"/>
          <w:szCs w:val="24"/>
        </w:rPr>
        <w:t>emita desde el extranjero, al no existir impedimento legal tácito o expreso al respecto, pueden hacerlo, con la salvedad de que para poder brindar los servicios deben respetar las disposiciones del ordenamiento jurídico costarricense y teniendo en consideración que ante una violación a la norma</w:t>
      </w:r>
      <w:r w:rsidR="00893BB8" w:rsidRPr="00E4628E">
        <w:rPr>
          <w:sz w:val="24"/>
          <w:szCs w:val="24"/>
        </w:rPr>
        <w:t>tiva costarricense,</w:t>
      </w:r>
      <w:r w:rsidRPr="00E4628E">
        <w:rPr>
          <w:sz w:val="24"/>
          <w:szCs w:val="24"/>
        </w:rPr>
        <w:t xml:space="preserve"> </w:t>
      </w:r>
      <w:r w:rsidR="00893BB8" w:rsidRPr="00E4628E">
        <w:rPr>
          <w:sz w:val="24"/>
          <w:szCs w:val="24"/>
        </w:rPr>
        <w:t>quedarán sujetas</w:t>
      </w:r>
      <w:r w:rsidRPr="00E4628E">
        <w:rPr>
          <w:sz w:val="24"/>
          <w:szCs w:val="24"/>
        </w:rPr>
        <w:t xml:space="preserve"> a las sanciones establecidas.</w:t>
      </w:r>
    </w:p>
    <w:p w14:paraId="79774A36" w14:textId="25D2D91A" w:rsidR="00865E91" w:rsidRPr="00E4628E" w:rsidRDefault="00DD11F7" w:rsidP="00E31A0A">
      <w:pPr>
        <w:pStyle w:val="Prrafodelista"/>
        <w:numPr>
          <w:ilvl w:val="0"/>
          <w:numId w:val="3"/>
        </w:numPr>
        <w:autoSpaceDE/>
        <w:autoSpaceDN/>
        <w:spacing w:after="200" w:line="276" w:lineRule="auto"/>
        <w:contextualSpacing/>
        <w:jc w:val="both"/>
        <w:rPr>
          <w:bCs/>
          <w:iCs/>
          <w:sz w:val="24"/>
          <w:szCs w:val="24"/>
          <w:lang w:eastAsia="es-ES"/>
        </w:rPr>
      </w:pPr>
      <w:r w:rsidRPr="00E4628E">
        <w:rPr>
          <w:bCs/>
          <w:iCs/>
          <w:sz w:val="24"/>
          <w:szCs w:val="24"/>
          <w:lang w:eastAsia="es-ES"/>
        </w:rPr>
        <w:t>Para estos servicios satelitales, calificados como de asignación no exclusiva, se aplica el procedimiento de concesión directa</w:t>
      </w:r>
      <w:r w:rsidR="006D2DEA" w:rsidRPr="00E4628E">
        <w:rPr>
          <w:bCs/>
          <w:iCs/>
          <w:sz w:val="24"/>
          <w:szCs w:val="24"/>
          <w:lang w:eastAsia="es-ES"/>
        </w:rPr>
        <w:t>.</w:t>
      </w:r>
    </w:p>
    <w:p w14:paraId="4C1E8B02" w14:textId="77777777" w:rsidR="007F7FD4" w:rsidRPr="00E4628E" w:rsidRDefault="007F7FD4" w:rsidP="00E31A0A">
      <w:pPr>
        <w:adjustRightInd w:val="0"/>
        <w:spacing w:line="276" w:lineRule="auto"/>
        <w:ind w:left="720" w:right="42"/>
        <w:contextualSpacing/>
        <w:jc w:val="both"/>
        <w:rPr>
          <w:b/>
          <w:sz w:val="24"/>
          <w:szCs w:val="24"/>
        </w:rPr>
      </w:pPr>
    </w:p>
    <w:p w14:paraId="6790A90C" w14:textId="5E1E473D" w:rsidR="00AA3A24" w:rsidRPr="00E4628E" w:rsidRDefault="00AA3A24" w:rsidP="00E31A0A">
      <w:pPr>
        <w:pStyle w:val="Prrafodelista"/>
        <w:numPr>
          <w:ilvl w:val="0"/>
          <w:numId w:val="15"/>
        </w:numPr>
        <w:adjustRightInd w:val="0"/>
        <w:spacing w:line="276" w:lineRule="auto"/>
        <w:ind w:right="42"/>
        <w:contextualSpacing/>
        <w:jc w:val="both"/>
        <w:rPr>
          <w:b/>
          <w:sz w:val="24"/>
          <w:szCs w:val="24"/>
        </w:rPr>
      </w:pPr>
      <w:r w:rsidRPr="00E4628E">
        <w:rPr>
          <w:b/>
          <w:sz w:val="24"/>
          <w:szCs w:val="24"/>
        </w:rPr>
        <w:t>RECOMENDACIONES</w:t>
      </w:r>
    </w:p>
    <w:p w14:paraId="6354A7BE" w14:textId="77777777" w:rsidR="00AA3A24" w:rsidRPr="00E4628E" w:rsidRDefault="00AA3A24" w:rsidP="002A2B38">
      <w:pPr>
        <w:adjustRightInd w:val="0"/>
        <w:spacing w:line="276" w:lineRule="auto"/>
        <w:ind w:left="709" w:right="42" w:hanging="349"/>
        <w:contextualSpacing/>
        <w:jc w:val="both"/>
        <w:rPr>
          <w:b/>
          <w:sz w:val="24"/>
          <w:szCs w:val="24"/>
        </w:rPr>
      </w:pPr>
    </w:p>
    <w:p w14:paraId="0A1BC862" w14:textId="7D2982F3" w:rsidR="00AA3A24" w:rsidRPr="00E4628E" w:rsidRDefault="00DD11F7" w:rsidP="00E4628E">
      <w:pPr>
        <w:pStyle w:val="Prrafodelista"/>
        <w:numPr>
          <w:ilvl w:val="0"/>
          <w:numId w:val="3"/>
        </w:numPr>
        <w:adjustRightInd w:val="0"/>
        <w:spacing w:line="276" w:lineRule="auto"/>
        <w:ind w:right="42"/>
        <w:contextualSpacing/>
        <w:jc w:val="both"/>
        <w:rPr>
          <w:sz w:val="24"/>
          <w:szCs w:val="24"/>
        </w:rPr>
      </w:pPr>
      <w:r w:rsidRPr="00E4628E">
        <w:rPr>
          <w:sz w:val="24"/>
          <w:szCs w:val="24"/>
        </w:rPr>
        <w:t>Se exhorta al señor Viceministro, con fundamento en la normativa nacional y las disposiciones vigentes de la UIT, para que eleve a conocimiento de</w:t>
      </w:r>
      <w:r w:rsidR="007F7FD4" w:rsidRPr="00E4628E">
        <w:rPr>
          <w:sz w:val="24"/>
          <w:szCs w:val="24"/>
        </w:rPr>
        <w:t xml:space="preserve">l </w:t>
      </w:r>
      <w:r w:rsidRPr="00E4628E">
        <w:rPr>
          <w:sz w:val="24"/>
          <w:szCs w:val="24"/>
        </w:rPr>
        <w:t>señor Ministr</w:t>
      </w:r>
      <w:r w:rsidR="007F7FD4" w:rsidRPr="00E4628E">
        <w:rPr>
          <w:sz w:val="24"/>
          <w:szCs w:val="24"/>
        </w:rPr>
        <w:t>o</w:t>
      </w:r>
      <w:r w:rsidRPr="00E4628E">
        <w:rPr>
          <w:sz w:val="24"/>
          <w:szCs w:val="24"/>
        </w:rPr>
        <w:t xml:space="preserve"> de Ciencia, Tecnología y Telecomunicaciones el presente informe y a su vez recom</w:t>
      </w:r>
      <w:r w:rsidR="002D1997" w:rsidRPr="00E4628E">
        <w:rPr>
          <w:sz w:val="24"/>
          <w:szCs w:val="24"/>
        </w:rPr>
        <w:t xml:space="preserve">iende aceptar que Costa Rica sea incluido dentro del área de cobertura </w:t>
      </w:r>
      <w:r w:rsidR="00A22907" w:rsidRPr="00E4628E">
        <w:rPr>
          <w:sz w:val="24"/>
          <w:szCs w:val="24"/>
        </w:rPr>
        <w:t>de la</w:t>
      </w:r>
      <w:r w:rsidR="002A2A12" w:rsidRPr="00E4628E">
        <w:rPr>
          <w:sz w:val="24"/>
          <w:szCs w:val="24"/>
        </w:rPr>
        <w:t xml:space="preserve"> </w:t>
      </w:r>
      <w:r w:rsidR="00A22907" w:rsidRPr="00E4628E">
        <w:rPr>
          <w:sz w:val="24"/>
          <w:szCs w:val="24"/>
        </w:rPr>
        <w:t>red</w:t>
      </w:r>
      <w:r w:rsidR="003F6DAE">
        <w:rPr>
          <w:sz w:val="24"/>
          <w:szCs w:val="24"/>
        </w:rPr>
        <w:t xml:space="preserve"> </w:t>
      </w:r>
      <w:r w:rsidR="00A22907" w:rsidRPr="00E4628E">
        <w:rPr>
          <w:sz w:val="24"/>
          <w:szCs w:val="24"/>
        </w:rPr>
        <w:t>satelital</w:t>
      </w:r>
      <w:r w:rsidR="002A2A12" w:rsidRPr="00E4628E">
        <w:rPr>
          <w:sz w:val="24"/>
          <w:szCs w:val="24"/>
        </w:rPr>
        <w:t xml:space="preserve"> </w:t>
      </w:r>
      <w:r w:rsidR="00A22907" w:rsidRPr="00E4628E">
        <w:rPr>
          <w:sz w:val="24"/>
          <w:szCs w:val="24"/>
        </w:rPr>
        <w:t xml:space="preserve">denominada </w:t>
      </w:r>
      <w:r w:rsidR="00FE6161">
        <w:rPr>
          <w:sz w:val="24"/>
          <w:szCs w:val="24"/>
        </w:rPr>
        <w:t>NSS-FSS-G3 22W</w:t>
      </w:r>
      <w:r w:rsidR="00A22907" w:rsidRPr="00E4628E">
        <w:rPr>
          <w:sz w:val="24"/>
          <w:szCs w:val="24"/>
        </w:rPr>
        <w:t xml:space="preserve">, </w:t>
      </w:r>
      <w:r w:rsidR="002D1997" w:rsidRPr="00E4628E">
        <w:rPr>
          <w:sz w:val="24"/>
          <w:szCs w:val="24"/>
        </w:rPr>
        <w:t xml:space="preserve">mediante oficio que </w:t>
      </w:r>
      <w:r w:rsidRPr="00E4628E">
        <w:rPr>
          <w:sz w:val="24"/>
          <w:szCs w:val="24"/>
        </w:rPr>
        <w:t xml:space="preserve">exponga estar de acuerdo con que el territorio costarricense este incluido en la zona de servicio prevista en la asignación.  </w:t>
      </w:r>
    </w:p>
    <w:p w14:paraId="64A3566F" w14:textId="26F0C93A" w:rsidR="00AA3A24" w:rsidRPr="00E4628E" w:rsidRDefault="00AA3A24" w:rsidP="00E4628E">
      <w:pPr>
        <w:pStyle w:val="Prrafodelista"/>
        <w:numPr>
          <w:ilvl w:val="0"/>
          <w:numId w:val="3"/>
        </w:numPr>
        <w:adjustRightInd w:val="0"/>
        <w:spacing w:line="276" w:lineRule="auto"/>
        <w:ind w:right="42"/>
        <w:contextualSpacing/>
        <w:jc w:val="both"/>
        <w:rPr>
          <w:sz w:val="24"/>
          <w:szCs w:val="24"/>
        </w:rPr>
      </w:pPr>
      <w:r w:rsidRPr="00E4628E">
        <w:rPr>
          <w:sz w:val="24"/>
          <w:szCs w:val="24"/>
        </w:rPr>
        <w:t xml:space="preserve">Se </w:t>
      </w:r>
      <w:r w:rsidR="00A22907" w:rsidRPr="00E4628E">
        <w:rPr>
          <w:sz w:val="24"/>
          <w:szCs w:val="24"/>
        </w:rPr>
        <w:t xml:space="preserve">recomienda, </w:t>
      </w:r>
      <w:r w:rsidRPr="00E4628E">
        <w:rPr>
          <w:sz w:val="24"/>
          <w:szCs w:val="24"/>
        </w:rPr>
        <w:t xml:space="preserve">señalar que para poder brindar los servicios deben respetar el principio de reciprocidad (que rige en Derecho Internacional Público), así como las disposiciones del ordenamiento jurídico costarricense y teniendo en consideración que ante una violación a las normas costarricenses se expondrá a las sanciones establecidas. </w:t>
      </w:r>
    </w:p>
    <w:p w14:paraId="0B2A78E6" w14:textId="759B9185" w:rsidR="00AA3A24" w:rsidRPr="00E4628E" w:rsidRDefault="00AA3A24" w:rsidP="00E4628E">
      <w:pPr>
        <w:pStyle w:val="Prrafodelista"/>
        <w:numPr>
          <w:ilvl w:val="0"/>
          <w:numId w:val="3"/>
        </w:numPr>
        <w:adjustRightInd w:val="0"/>
        <w:spacing w:line="276" w:lineRule="auto"/>
        <w:ind w:right="42"/>
        <w:contextualSpacing/>
        <w:jc w:val="both"/>
        <w:rPr>
          <w:sz w:val="24"/>
          <w:szCs w:val="24"/>
        </w:rPr>
      </w:pPr>
      <w:r w:rsidRPr="00E4628E">
        <w:rPr>
          <w:sz w:val="24"/>
          <w:szCs w:val="24"/>
        </w:rPr>
        <w:lastRenderedPageBreak/>
        <w:t xml:space="preserve">Finalmente, no omitimos manifestar que de ninguna manera se autoriza que el servicio de asignaciones satelitales sea utilizado con fines militares </w:t>
      </w:r>
      <w:r w:rsidR="004D74DE">
        <w:rPr>
          <w:sz w:val="24"/>
          <w:szCs w:val="24"/>
        </w:rPr>
        <w:t xml:space="preserve">o en actividades de espionaje </w:t>
      </w:r>
      <w:r w:rsidRPr="00E4628E">
        <w:rPr>
          <w:sz w:val="24"/>
          <w:szCs w:val="24"/>
        </w:rPr>
        <w:t>en el territorio costarricense.</w:t>
      </w:r>
    </w:p>
    <w:p w14:paraId="3B4B2ADD" w14:textId="0A493710" w:rsidR="00B82F75" w:rsidRPr="00E4628E" w:rsidRDefault="00B82F75" w:rsidP="00E4628E">
      <w:pPr>
        <w:autoSpaceDE/>
        <w:autoSpaceDN/>
        <w:spacing w:line="276" w:lineRule="auto"/>
        <w:rPr>
          <w:color w:val="000000"/>
          <w:sz w:val="24"/>
          <w:szCs w:val="24"/>
        </w:rPr>
      </w:pPr>
      <w:r w:rsidRPr="00E4628E">
        <w:rPr>
          <w:color w:val="000000"/>
          <w:sz w:val="24"/>
          <w:szCs w:val="24"/>
        </w:rPr>
        <w:br w:type="page"/>
      </w:r>
    </w:p>
    <w:p w14:paraId="35D21CC2" w14:textId="3333F614" w:rsidR="00A5380A" w:rsidRPr="00E4628E" w:rsidRDefault="00B82F75" w:rsidP="00E4628E">
      <w:pPr>
        <w:pStyle w:val="Prrafodelista"/>
        <w:adjustRightInd w:val="0"/>
        <w:spacing w:line="276" w:lineRule="auto"/>
        <w:ind w:left="720" w:right="42"/>
        <w:contextualSpacing/>
        <w:jc w:val="center"/>
        <w:rPr>
          <w:b/>
          <w:color w:val="000000"/>
          <w:sz w:val="24"/>
          <w:szCs w:val="24"/>
        </w:rPr>
      </w:pPr>
      <w:r w:rsidRPr="00E4628E">
        <w:rPr>
          <w:b/>
          <w:color w:val="000000"/>
          <w:sz w:val="24"/>
          <w:szCs w:val="24"/>
        </w:rPr>
        <w:lastRenderedPageBreak/>
        <w:t>ANEXO N°1</w:t>
      </w:r>
    </w:p>
    <w:p w14:paraId="6B741D67" w14:textId="65B8DB76" w:rsidR="00B82F75" w:rsidRPr="00E4628E" w:rsidRDefault="00B82F75" w:rsidP="00E4628E">
      <w:pPr>
        <w:pStyle w:val="Prrafodelista"/>
        <w:adjustRightInd w:val="0"/>
        <w:spacing w:line="276" w:lineRule="auto"/>
        <w:ind w:left="720" w:right="42"/>
        <w:contextualSpacing/>
        <w:jc w:val="center"/>
        <w:rPr>
          <w:b/>
          <w:color w:val="000000"/>
          <w:sz w:val="24"/>
          <w:szCs w:val="24"/>
        </w:rPr>
      </w:pPr>
      <w:r w:rsidRPr="00E4628E">
        <w:rPr>
          <w:b/>
          <w:color w:val="000000"/>
          <w:sz w:val="24"/>
          <w:szCs w:val="24"/>
        </w:rPr>
        <w:t>APÉNDICE 30 B DEL REGLAMENTO DE RADIOCOMUNICACIONES DE UIT</w:t>
      </w:r>
    </w:p>
    <w:p w14:paraId="7FC835D3" w14:textId="4993772B" w:rsidR="00B82F75" w:rsidRPr="00F52C10" w:rsidRDefault="00B82F75" w:rsidP="00E4628E">
      <w:pPr>
        <w:pStyle w:val="Prrafodelista"/>
        <w:adjustRightInd w:val="0"/>
        <w:spacing w:line="276" w:lineRule="auto"/>
        <w:ind w:left="720" w:right="42"/>
        <w:contextualSpacing/>
        <w:jc w:val="center"/>
        <w:rPr>
          <w:b/>
          <w:color w:val="000000"/>
          <w:sz w:val="24"/>
          <w:szCs w:val="24"/>
        </w:rPr>
      </w:pPr>
    </w:p>
    <w:p w14:paraId="2A21620A" w14:textId="77777777" w:rsidR="00B82F75" w:rsidRPr="00215C51" w:rsidRDefault="00B82F75" w:rsidP="00E4628E">
      <w:pPr>
        <w:pStyle w:val="AppendixNo"/>
        <w:spacing w:before="0" w:line="276" w:lineRule="auto"/>
        <w:rPr>
          <w:lang w:val="es-ES_tradnl"/>
        </w:rPr>
      </w:pPr>
      <w:r w:rsidRPr="00F52C10">
        <w:rPr>
          <w:lang w:val="es-ES_tradnl"/>
        </w:rPr>
        <w:t xml:space="preserve">APÉNDICE </w:t>
      </w:r>
      <w:r w:rsidRPr="00215C51">
        <w:rPr>
          <w:rStyle w:val="href"/>
          <w:lang w:val="es-ES_tradnl"/>
        </w:rPr>
        <w:t>30B</w:t>
      </w:r>
      <w:r w:rsidRPr="00215C51">
        <w:rPr>
          <w:lang w:val="es-ES_tradnl"/>
        </w:rPr>
        <w:t xml:space="preserve"> (Rev</w:t>
      </w:r>
      <w:r w:rsidRPr="00215C51">
        <w:rPr>
          <w:caps w:val="0"/>
          <w:lang w:val="es-ES_tradnl"/>
        </w:rPr>
        <w:t>.</w:t>
      </w:r>
      <w:r w:rsidRPr="00215C51">
        <w:rPr>
          <w:lang w:val="es-ES_tradnl"/>
        </w:rPr>
        <w:t>CMR</w:t>
      </w:r>
      <w:r w:rsidRPr="00215C51">
        <w:rPr>
          <w:lang w:val="es-ES_tradnl"/>
        </w:rPr>
        <w:noBreakHyphen/>
        <w:t>15)</w:t>
      </w:r>
    </w:p>
    <w:p w14:paraId="5DBAEA7B" w14:textId="77777777" w:rsidR="00B82F75" w:rsidRPr="00F52C10" w:rsidRDefault="00B82F75" w:rsidP="00E4628E">
      <w:pPr>
        <w:pStyle w:val="Appendixtitle"/>
        <w:spacing w:line="276" w:lineRule="auto"/>
        <w:rPr>
          <w:rFonts w:ascii="Times New Roman" w:hAnsi="Times New Roman"/>
          <w:color w:val="000000"/>
          <w:lang w:val="es-ES_tradnl"/>
        </w:rPr>
      </w:pPr>
      <w:r w:rsidRPr="00F52C10">
        <w:rPr>
          <w:rFonts w:ascii="Times New Roman" w:hAnsi="Times New Roman"/>
          <w:color w:val="000000"/>
          <w:lang w:val="es-ES_tradnl"/>
        </w:rPr>
        <w:t>Disposiciones y Plan asociado para el servicio fijo por satélite en</w:t>
      </w:r>
      <w:r w:rsidRPr="00F52C10">
        <w:rPr>
          <w:rFonts w:ascii="Times New Roman" w:hAnsi="Times New Roman"/>
          <w:color w:val="000000"/>
          <w:lang w:val="es-ES_tradnl"/>
        </w:rPr>
        <w:br/>
        <w:t>las bandas de frecuencias 4 500-4 800 MHz, 6 725-7 025 MHz,</w:t>
      </w:r>
      <w:r w:rsidRPr="00F52C10">
        <w:rPr>
          <w:rFonts w:ascii="Times New Roman" w:hAnsi="Times New Roman"/>
          <w:color w:val="000000"/>
          <w:lang w:val="es-ES_tradnl"/>
        </w:rPr>
        <w:br/>
        <w:t>10,70-10,95 GHz, 11,20-11,45 GHz y 12,75-13,25 GHz</w:t>
      </w:r>
    </w:p>
    <w:p w14:paraId="66C24A25" w14:textId="77777777" w:rsidR="00B82F75" w:rsidRPr="00F52C10" w:rsidRDefault="00B82F75" w:rsidP="00E4628E">
      <w:pPr>
        <w:spacing w:line="276" w:lineRule="auto"/>
        <w:jc w:val="center"/>
        <w:rPr>
          <w:lang w:val="es-ES_tradnl"/>
        </w:rPr>
      </w:pPr>
      <w:r w:rsidRPr="00F52C10">
        <w:rPr>
          <w:lang w:val="es-ES_tradnl"/>
        </w:rPr>
        <w:t>ÍNDICE</w:t>
      </w:r>
    </w:p>
    <w:p w14:paraId="46A36900" w14:textId="77777777" w:rsidR="00B82F75" w:rsidRPr="00F52C10" w:rsidRDefault="00B82F75" w:rsidP="00E4628E">
      <w:pPr>
        <w:pStyle w:val="Headingi"/>
        <w:tabs>
          <w:tab w:val="right" w:pos="9497"/>
        </w:tabs>
        <w:spacing w:before="40" w:line="276" w:lineRule="auto"/>
        <w:jc w:val="right"/>
        <w:rPr>
          <w:rFonts w:ascii="Times New Roman" w:hAnsi="Times New Roman"/>
          <w:color w:val="000000"/>
          <w:lang w:val="es-ES_tradnl"/>
        </w:rPr>
      </w:pPr>
      <w:r w:rsidRPr="00F52C10">
        <w:rPr>
          <w:rFonts w:ascii="Times New Roman" w:hAnsi="Times New Roman"/>
          <w:color w:val="000000"/>
          <w:lang w:val="es-ES_tradnl"/>
        </w:rPr>
        <w:tab/>
        <w:t>Página</w:t>
      </w:r>
    </w:p>
    <w:p w14:paraId="05FFECA3" w14:textId="77777777" w:rsidR="00B82F75" w:rsidRPr="00F52C10" w:rsidRDefault="00B82F75" w:rsidP="00E4628E">
      <w:pPr>
        <w:pStyle w:val="TDC2"/>
        <w:tabs>
          <w:tab w:val="left" w:pos="1276"/>
          <w:tab w:val="left" w:pos="1985"/>
          <w:tab w:val="right" w:leader="dot" w:pos="8562"/>
          <w:tab w:val="right" w:pos="9497"/>
        </w:tabs>
        <w:spacing w:before="100" w:line="276" w:lineRule="auto"/>
        <w:ind w:left="1276" w:right="851" w:hanging="1276"/>
        <w:rPr>
          <w:color w:val="000000"/>
          <w:lang w:val="es-ES_tradnl"/>
        </w:rPr>
      </w:pPr>
      <w:r w:rsidRPr="00F52C10">
        <w:rPr>
          <w:color w:val="000000"/>
          <w:lang w:val="es-ES_tradnl"/>
        </w:rPr>
        <w:t>Artículo 1</w:t>
      </w:r>
      <w:r w:rsidRPr="00F52C10">
        <w:rPr>
          <w:color w:val="000000"/>
          <w:lang w:val="es-ES_tradnl"/>
        </w:rPr>
        <w:tab/>
        <w:t>Objetivo de las disposiciones y del Plan asociado</w:t>
      </w:r>
      <w:r w:rsidRPr="00F52C10">
        <w:rPr>
          <w:color w:val="000000"/>
          <w:lang w:val="es-ES_tradnl"/>
        </w:rPr>
        <w:tab/>
      </w:r>
      <w:r w:rsidRPr="00F52C10">
        <w:rPr>
          <w:color w:val="000000"/>
          <w:lang w:val="es-ES_tradnl"/>
        </w:rPr>
        <w:tab/>
        <w:t>2</w:t>
      </w:r>
    </w:p>
    <w:p w14:paraId="4625CF34" w14:textId="77777777" w:rsidR="00B82F75" w:rsidRPr="00F52C10" w:rsidRDefault="00B82F75" w:rsidP="00E4628E">
      <w:pPr>
        <w:pStyle w:val="TDC2"/>
        <w:tabs>
          <w:tab w:val="left" w:pos="1276"/>
          <w:tab w:val="left" w:pos="1985"/>
          <w:tab w:val="right" w:leader="dot" w:pos="8789"/>
          <w:tab w:val="right" w:pos="9497"/>
        </w:tabs>
        <w:spacing w:before="100" w:line="276" w:lineRule="auto"/>
        <w:ind w:left="1276" w:right="879" w:hanging="1276"/>
        <w:rPr>
          <w:color w:val="000000"/>
          <w:lang w:val="es-ES_tradnl"/>
        </w:rPr>
      </w:pPr>
      <w:r w:rsidRPr="00F52C10">
        <w:rPr>
          <w:color w:val="000000"/>
          <w:lang w:val="es-ES_tradnl"/>
        </w:rPr>
        <w:t>Artículo 2</w:t>
      </w:r>
      <w:r w:rsidRPr="00F52C10">
        <w:rPr>
          <w:color w:val="000000"/>
          <w:lang w:val="es-ES_tradnl"/>
        </w:rPr>
        <w:tab/>
        <w:t>Definiciones</w:t>
      </w:r>
      <w:r w:rsidRPr="00F52C10">
        <w:rPr>
          <w:color w:val="000000"/>
          <w:lang w:val="es-ES_tradnl"/>
        </w:rPr>
        <w:tab/>
      </w:r>
      <w:r w:rsidRPr="00F52C10">
        <w:rPr>
          <w:color w:val="000000"/>
          <w:lang w:val="es-ES_tradnl"/>
        </w:rPr>
        <w:tab/>
        <w:t>2</w:t>
      </w:r>
    </w:p>
    <w:p w14:paraId="338ADB41" w14:textId="77777777" w:rsidR="00B82F75" w:rsidRPr="00F52C10" w:rsidRDefault="00B82F75" w:rsidP="00E4628E">
      <w:pPr>
        <w:pStyle w:val="TDC2"/>
        <w:tabs>
          <w:tab w:val="left" w:pos="1276"/>
          <w:tab w:val="left" w:pos="1985"/>
          <w:tab w:val="right" w:leader="dot" w:pos="8789"/>
          <w:tab w:val="right" w:pos="9497"/>
        </w:tabs>
        <w:spacing w:before="100" w:line="276" w:lineRule="auto"/>
        <w:ind w:left="1276" w:right="879" w:hanging="1276"/>
        <w:rPr>
          <w:color w:val="000000"/>
          <w:lang w:val="es-ES_tradnl"/>
        </w:rPr>
      </w:pPr>
      <w:r w:rsidRPr="00F52C10">
        <w:rPr>
          <w:color w:val="000000"/>
          <w:lang w:val="es-ES_tradnl"/>
        </w:rPr>
        <w:t>Artículo 3</w:t>
      </w:r>
      <w:r w:rsidRPr="00F52C10">
        <w:rPr>
          <w:color w:val="000000"/>
          <w:lang w:val="es-ES_tradnl"/>
        </w:rPr>
        <w:tab/>
        <w:t>Bandas de frecuencias</w:t>
      </w:r>
      <w:r w:rsidRPr="00F52C10">
        <w:rPr>
          <w:color w:val="000000"/>
          <w:lang w:val="es-ES_tradnl"/>
        </w:rPr>
        <w:tab/>
      </w:r>
      <w:r w:rsidRPr="00F52C10">
        <w:rPr>
          <w:color w:val="000000"/>
          <w:lang w:val="es-ES_tradnl"/>
        </w:rPr>
        <w:tab/>
        <w:t>3</w:t>
      </w:r>
    </w:p>
    <w:p w14:paraId="710A0C86" w14:textId="77777777" w:rsidR="00B82F75" w:rsidRPr="00F52C10" w:rsidRDefault="00B82F75" w:rsidP="00E4628E">
      <w:pPr>
        <w:pStyle w:val="TDC2"/>
        <w:tabs>
          <w:tab w:val="left" w:pos="1276"/>
          <w:tab w:val="left" w:pos="1985"/>
          <w:tab w:val="right" w:leader="dot" w:pos="8789"/>
          <w:tab w:val="right" w:pos="9497"/>
        </w:tabs>
        <w:spacing w:before="100" w:line="276" w:lineRule="auto"/>
        <w:ind w:left="1276" w:right="879" w:hanging="1276"/>
        <w:rPr>
          <w:color w:val="000000"/>
          <w:lang w:val="es-ES_tradnl"/>
        </w:rPr>
      </w:pPr>
      <w:r w:rsidRPr="00F52C10">
        <w:rPr>
          <w:color w:val="000000"/>
          <w:lang w:val="es-ES_tradnl"/>
        </w:rPr>
        <w:t>Artículo 4</w:t>
      </w:r>
      <w:r w:rsidRPr="00F52C10">
        <w:rPr>
          <w:color w:val="000000"/>
          <w:lang w:val="es-ES_tradnl"/>
        </w:rPr>
        <w:tab/>
        <w:t>Ejecución de las disposiciones y del Plan asociado</w:t>
      </w:r>
      <w:r w:rsidRPr="00F52C10">
        <w:rPr>
          <w:color w:val="000000"/>
          <w:lang w:val="es-ES_tradnl"/>
        </w:rPr>
        <w:tab/>
      </w:r>
      <w:r w:rsidRPr="00F52C10">
        <w:rPr>
          <w:color w:val="000000"/>
          <w:lang w:val="es-ES_tradnl"/>
        </w:rPr>
        <w:tab/>
        <w:t>3</w:t>
      </w:r>
    </w:p>
    <w:p w14:paraId="298F6E90" w14:textId="77777777" w:rsidR="00B82F75" w:rsidRPr="00F52C10" w:rsidRDefault="00B82F75" w:rsidP="00E4628E">
      <w:pPr>
        <w:pStyle w:val="TDC2"/>
        <w:tabs>
          <w:tab w:val="left" w:pos="1276"/>
          <w:tab w:val="left" w:pos="1985"/>
          <w:tab w:val="right" w:leader="dot" w:pos="8505"/>
          <w:tab w:val="right" w:pos="9497"/>
        </w:tabs>
        <w:spacing w:before="100" w:line="276" w:lineRule="auto"/>
        <w:ind w:left="1276" w:right="851" w:hanging="1276"/>
        <w:rPr>
          <w:color w:val="000000"/>
          <w:lang w:val="es-ES_tradnl"/>
        </w:rPr>
      </w:pPr>
      <w:r w:rsidRPr="00F52C10">
        <w:rPr>
          <w:color w:val="000000"/>
          <w:lang w:val="es-ES_tradnl"/>
        </w:rPr>
        <w:t>Artículo 5</w:t>
      </w:r>
      <w:r w:rsidRPr="00F52C10">
        <w:rPr>
          <w:color w:val="000000"/>
          <w:lang w:val="es-ES_tradnl"/>
        </w:rPr>
        <w:tab/>
      </w:r>
      <w:r w:rsidRPr="00F52C10">
        <w:rPr>
          <w:noProof/>
          <w:sz w:val="16"/>
          <w:szCs w:val="16"/>
          <w:lang w:val="es-ES_tradnl"/>
        </w:rPr>
        <w:t>(SUP – CMR-07)</w:t>
      </w:r>
    </w:p>
    <w:p w14:paraId="7E9143C7" w14:textId="77777777" w:rsidR="00B82F75" w:rsidRPr="00F52C10" w:rsidRDefault="00B82F75" w:rsidP="00E4628E">
      <w:pPr>
        <w:pStyle w:val="TDC2"/>
        <w:tabs>
          <w:tab w:val="left" w:pos="1276"/>
          <w:tab w:val="left" w:pos="1985"/>
          <w:tab w:val="right" w:leader="dot" w:pos="8562"/>
          <w:tab w:val="right" w:pos="9497"/>
        </w:tabs>
        <w:spacing w:before="100" w:line="276" w:lineRule="auto"/>
        <w:ind w:left="1276" w:right="1134" w:hanging="1276"/>
        <w:rPr>
          <w:color w:val="000000"/>
          <w:lang w:val="es-ES_tradnl"/>
        </w:rPr>
      </w:pPr>
      <w:r w:rsidRPr="00F52C10">
        <w:rPr>
          <w:color w:val="000000"/>
          <w:lang w:val="es-ES_tradnl"/>
        </w:rPr>
        <w:t>Artículo 6</w:t>
      </w:r>
      <w:r w:rsidRPr="00F52C10">
        <w:rPr>
          <w:color w:val="000000"/>
          <w:lang w:val="es-ES_tradnl"/>
        </w:rPr>
        <w:tab/>
        <w:t>Procedimiento para la conversión de una adjudicación en una asignación, la introducción de un sistema adicional o la modificación de una asignación inscrita en la Lista</w:t>
      </w:r>
      <w:r w:rsidRPr="00F52C10">
        <w:rPr>
          <w:color w:val="000000"/>
          <w:lang w:val="es-ES_tradnl"/>
        </w:rPr>
        <w:tab/>
      </w:r>
      <w:r w:rsidRPr="00F52C10">
        <w:rPr>
          <w:color w:val="000000"/>
          <w:lang w:val="es-ES_tradnl"/>
        </w:rPr>
        <w:tab/>
        <w:t>4</w:t>
      </w:r>
    </w:p>
    <w:p w14:paraId="25E235B6" w14:textId="77777777" w:rsidR="00B82F75" w:rsidRPr="00F52C10" w:rsidRDefault="00B82F75" w:rsidP="00E4628E">
      <w:pPr>
        <w:pStyle w:val="TDC2"/>
        <w:tabs>
          <w:tab w:val="left" w:pos="1276"/>
          <w:tab w:val="left" w:pos="1985"/>
          <w:tab w:val="right" w:leader="dot" w:pos="8562"/>
          <w:tab w:val="right" w:pos="9497"/>
        </w:tabs>
        <w:spacing w:before="100" w:line="276" w:lineRule="auto"/>
        <w:ind w:left="1276" w:right="1134" w:hanging="1276"/>
        <w:rPr>
          <w:color w:val="000000"/>
          <w:lang w:val="es-ES_tradnl"/>
        </w:rPr>
      </w:pPr>
      <w:r w:rsidRPr="00F52C10">
        <w:rPr>
          <w:color w:val="000000"/>
          <w:lang w:val="es-ES_tradnl"/>
        </w:rPr>
        <w:t>Artículo 7</w:t>
      </w:r>
      <w:r w:rsidRPr="00F52C10">
        <w:rPr>
          <w:color w:val="000000"/>
          <w:lang w:val="es-ES_tradnl"/>
        </w:rPr>
        <w:tab/>
        <w:t>Procedimiento para la adición de una nueva adjudicación en el Plan para un nuevo Estado Miembro de la Unión</w:t>
      </w:r>
      <w:r w:rsidRPr="00F52C10">
        <w:rPr>
          <w:color w:val="000000"/>
          <w:lang w:val="es-ES_tradnl"/>
        </w:rPr>
        <w:tab/>
      </w:r>
      <w:r w:rsidRPr="00F52C10">
        <w:rPr>
          <w:color w:val="000000"/>
          <w:lang w:val="es-ES_tradnl"/>
        </w:rPr>
        <w:tab/>
        <w:t>10</w:t>
      </w:r>
    </w:p>
    <w:p w14:paraId="723349E0" w14:textId="77777777" w:rsidR="00B82F75" w:rsidRPr="00F52C10" w:rsidRDefault="00B82F75" w:rsidP="00E4628E">
      <w:pPr>
        <w:pStyle w:val="TDC2"/>
        <w:tabs>
          <w:tab w:val="left" w:pos="1276"/>
          <w:tab w:val="left" w:pos="1985"/>
          <w:tab w:val="right" w:leader="dot" w:pos="8562"/>
          <w:tab w:val="right" w:pos="9497"/>
        </w:tabs>
        <w:spacing w:before="100" w:line="276" w:lineRule="auto"/>
        <w:ind w:left="1276" w:right="1134" w:hanging="1276"/>
        <w:rPr>
          <w:color w:val="000000"/>
          <w:lang w:val="es-ES_tradnl"/>
        </w:rPr>
      </w:pPr>
      <w:r w:rsidRPr="00F52C10">
        <w:rPr>
          <w:color w:val="000000"/>
          <w:lang w:val="es-ES_tradnl"/>
        </w:rPr>
        <w:t>Artículo 8</w:t>
      </w:r>
      <w:r w:rsidRPr="00F52C10">
        <w:rPr>
          <w:color w:val="000000"/>
          <w:lang w:val="es-ES_tradnl"/>
        </w:rPr>
        <w:tab/>
        <w:t>Procedimiento para la notificación e inscripción en el Registro de asignaciones en las bandas planificadas para el servicio fijo por satélite</w:t>
      </w:r>
      <w:r w:rsidRPr="00F52C10">
        <w:rPr>
          <w:color w:val="000000"/>
          <w:lang w:val="es-ES_tradnl"/>
        </w:rPr>
        <w:tab/>
      </w:r>
      <w:r w:rsidRPr="00F52C10">
        <w:rPr>
          <w:color w:val="000000"/>
          <w:lang w:val="es-ES_tradnl"/>
        </w:rPr>
        <w:tab/>
        <w:t>12</w:t>
      </w:r>
    </w:p>
    <w:p w14:paraId="34A61082" w14:textId="77777777" w:rsidR="00B82F75" w:rsidRPr="00F52C10" w:rsidRDefault="00B82F75" w:rsidP="00E4628E">
      <w:pPr>
        <w:pStyle w:val="TDC2"/>
        <w:tabs>
          <w:tab w:val="left" w:pos="1276"/>
          <w:tab w:val="left" w:pos="1985"/>
          <w:tab w:val="right" w:leader="dot" w:pos="8562"/>
          <w:tab w:val="right" w:pos="9497"/>
        </w:tabs>
        <w:spacing w:before="100" w:line="276" w:lineRule="auto"/>
        <w:ind w:left="1276" w:right="1134" w:hanging="1276"/>
        <w:rPr>
          <w:color w:val="000000"/>
          <w:lang w:val="es-ES_tradnl"/>
        </w:rPr>
      </w:pPr>
      <w:r w:rsidRPr="00F52C10">
        <w:rPr>
          <w:color w:val="000000"/>
          <w:lang w:val="es-ES_tradnl"/>
        </w:rPr>
        <w:t>Artículo 9</w:t>
      </w:r>
      <w:r w:rsidRPr="00F52C10">
        <w:rPr>
          <w:color w:val="000000"/>
          <w:lang w:val="es-ES_tradnl"/>
        </w:rPr>
        <w:tab/>
        <w:t>Disposiciones generales</w:t>
      </w:r>
      <w:r w:rsidRPr="00F52C10">
        <w:rPr>
          <w:color w:val="000000"/>
          <w:lang w:val="es-ES_tradnl"/>
        </w:rPr>
        <w:tab/>
      </w:r>
      <w:r w:rsidRPr="00F52C10">
        <w:rPr>
          <w:color w:val="000000"/>
          <w:lang w:val="es-ES_tradnl"/>
        </w:rPr>
        <w:tab/>
        <w:t>14</w:t>
      </w:r>
    </w:p>
    <w:p w14:paraId="61D42810" w14:textId="77777777" w:rsidR="00B82F75" w:rsidRPr="00F52C10" w:rsidRDefault="00B82F75" w:rsidP="00E4628E">
      <w:pPr>
        <w:pStyle w:val="TDC2"/>
        <w:tabs>
          <w:tab w:val="left" w:pos="1276"/>
          <w:tab w:val="left" w:pos="1985"/>
          <w:tab w:val="right" w:leader="dot" w:pos="8562"/>
          <w:tab w:val="right" w:pos="9497"/>
        </w:tabs>
        <w:spacing w:before="100" w:line="276" w:lineRule="auto"/>
        <w:ind w:left="1276" w:right="1134" w:hanging="1276"/>
        <w:rPr>
          <w:color w:val="000000"/>
          <w:lang w:val="es-ES_tradnl"/>
        </w:rPr>
      </w:pPr>
      <w:r w:rsidRPr="00F52C10">
        <w:rPr>
          <w:color w:val="000000"/>
          <w:lang w:val="es-ES_tradnl"/>
        </w:rPr>
        <w:t>Artículo 10</w:t>
      </w:r>
      <w:r w:rsidRPr="00F52C10">
        <w:rPr>
          <w:color w:val="000000"/>
          <w:lang w:val="es-ES_tradnl"/>
        </w:rPr>
        <w:tab/>
        <w:t>Plan para el servicio fijo por satélite en las bandas de frecuencias 4 500-4 800 MHz, 6 725-7 025 MHz, 10,70-10,95 GHz, 11,20-11,45 GHz y 12,75-13,25 GHz</w:t>
      </w:r>
      <w:r w:rsidRPr="00F52C10">
        <w:rPr>
          <w:color w:val="000000"/>
          <w:lang w:val="es-ES_tradnl"/>
        </w:rPr>
        <w:tab/>
      </w:r>
      <w:r w:rsidRPr="00F52C10">
        <w:rPr>
          <w:color w:val="000000"/>
          <w:lang w:val="es-ES_tradnl"/>
        </w:rPr>
        <w:tab/>
        <w:t>15</w:t>
      </w:r>
    </w:p>
    <w:p w14:paraId="2311C9AD" w14:textId="77777777" w:rsidR="00B82F75" w:rsidRPr="00F52C10" w:rsidRDefault="00B82F75" w:rsidP="00E4628E">
      <w:pPr>
        <w:pStyle w:val="TDC2"/>
        <w:tabs>
          <w:tab w:val="left" w:pos="1276"/>
          <w:tab w:val="left" w:pos="1985"/>
          <w:tab w:val="right" w:leader="dot" w:pos="8562"/>
          <w:tab w:val="right" w:pos="9497"/>
        </w:tabs>
        <w:spacing w:before="100" w:line="276" w:lineRule="auto"/>
        <w:ind w:left="1276" w:right="1134" w:hanging="1276"/>
        <w:rPr>
          <w:color w:val="000000"/>
          <w:lang w:val="es-ES_tradnl"/>
        </w:rPr>
      </w:pPr>
      <w:r w:rsidRPr="00F52C10">
        <w:rPr>
          <w:color w:val="000000"/>
          <w:lang w:val="es-ES_tradnl"/>
        </w:rPr>
        <w:t>Artículo 11</w:t>
      </w:r>
      <w:r w:rsidRPr="00F52C10">
        <w:rPr>
          <w:color w:val="000000"/>
          <w:lang w:val="es-ES_tradnl"/>
        </w:rPr>
        <w:tab/>
        <w:t>Periodo de validez de las disposiciones y del Plan asociado</w:t>
      </w:r>
      <w:r w:rsidRPr="00F52C10">
        <w:rPr>
          <w:color w:val="000000"/>
          <w:lang w:val="es-ES_tradnl"/>
        </w:rPr>
        <w:tab/>
      </w:r>
      <w:r w:rsidRPr="00F52C10">
        <w:rPr>
          <w:color w:val="000000"/>
          <w:lang w:val="es-ES_tradnl"/>
        </w:rPr>
        <w:tab/>
        <w:t>26</w:t>
      </w:r>
    </w:p>
    <w:p w14:paraId="7C72BFD8" w14:textId="77777777" w:rsidR="00B82F75" w:rsidRPr="00F52C10" w:rsidRDefault="00B82F75" w:rsidP="00E4628E">
      <w:pPr>
        <w:pStyle w:val="TDC2"/>
        <w:tabs>
          <w:tab w:val="left" w:pos="1276"/>
          <w:tab w:val="right" w:leader="dot" w:pos="8562"/>
          <w:tab w:val="right" w:pos="9497"/>
        </w:tabs>
        <w:spacing w:before="200" w:line="276" w:lineRule="auto"/>
        <w:ind w:left="1276" w:right="1134" w:hanging="1276"/>
        <w:rPr>
          <w:color w:val="000000"/>
          <w:lang w:val="es-ES_tradnl"/>
        </w:rPr>
      </w:pPr>
      <w:r w:rsidRPr="00F52C10">
        <w:rPr>
          <w:color w:val="000000"/>
          <w:lang w:val="es-ES_tradnl"/>
        </w:rPr>
        <w:t>ANEXOS</w:t>
      </w:r>
    </w:p>
    <w:p w14:paraId="5936C50B" w14:textId="77777777" w:rsidR="00B82F75" w:rsidRPr="00F52C10" w:rsidRDefault="00B82F75" w:rsidP="00E4628E">
      <w:pPr>
        <w:pStyle w:val="TDC2"/>
        <w:tabs>
          <w:tab w:val="left" w:pos="1276"/>
          <w:tab w:val="left" w:pos="1985"/>
          <w:tab w:val="right" w:leader="dot" w:pos="8562"/>
          <w:tab w:val="right" w:pos="9497"/>
        </w:tabs>
        <w:spacing w:line="276" w:lineRule="auto"/>
        <w:ind w:left="1276" w:right="1134" w:hanging="1276"/>
        <w:rPr>
          <w:color w:val="000000"/>
          <w:lang w:val="es-ES_tradnl"/>
        </w:rPr>
      </w:pPr>
      <w:r w:rsidRPr="00F52C10">
        <w:rPr>
          <w:color w:val="000000"/>
          <w:lang w:val="es-ES_tradnl"/>
        </w:rPr>
        <w:lastRenderedPageBreak/>
        <w:t>Anexo 1</w:t>
      </w:r>
      <w:r w:rsidRPr="00F52C10">
        <w:rPr>
          <w:color w:val="000000"/>
          <w:lang w:val="es-ES_tradnl"/>
        </w:rPr>
        <w:tab/>
        <w:t>Parámetros utilizados para caracterizar el Plan de adjudicaciones del servicio fijo por satélite</w:t>
      </w:r>
      <w:r w:rsidRPr="00F52C10">
        <w:rPr>
          <w:color w:val="000000"/>
          <w:lang w:val="es-ES_tradnl"/>
        </w:rPr>
        <w:tab/>
      </w:r>
      <w:r w:rsidRPr="00F52C10">
        <w:rPr>
          <w:color w:val="000000"/>
          <w:lang w:val="es-ES_tradnl"/>
        </w:rPr>
        <w:tab/>
        <w:t>26</w:t>
      </w:r>
    </w:p>
    <w:p w14:paraId="25320F57" w14:textId="77777777" w:rsidR="00B82F75" w:rsidRPr="00F52C10" w:rsidRDefault="00B82F75" w:rsidP="00E4628E">
      <w:pPr>
        <w:pStyle w:val="TDC2"/>
        <w:tabs>
          <w:tab w:val="left" w:pos="1276"/>
          <w:tab w:val="left" w:pos="1985"/>
          <w:tab w:val="right" w:leader="dot" w:pos="8505"/>
          <w:tab w:val="right" w:leader="dot" w:pos="8562"/>
          <w:tab w:val="right" w:pos="9497"/>
        </w:tabs>
        <w:spacing w:line="276" w:lineRule="auto"/>
        <w:ind w:left="1276" w:right="1134" w:hanging="1276"/>
        <w:rPr>
          <w:color w:val="000000"/>
          <w:lang w:val="es-ES_tradnl"/>
        </w:rPr>
      </w:pPr>
      <w:r w:rsidRPr="00F52C10">
        <w:rPr>
          <w:color w:val="000000"/>
          <w:lang w:val="es-ES_tradnl"/>
        </w:rPr>
        <w:t>Anexo 2</w:t>
      </w:r>
      <w:r w:rsidRPr="00F52C10">
        <w:rPr>
          <w:lang w:val="es-ES_tradnl"/>
        </w:rPr>
        <w:tab/>
      </w:r>
      <w:r w:rsidRPr="00F52C10">
        <w:rPr>
          <w:sz w:val="16"/>
          <w:szCs w:val="16"/>
          <w:lang w:val="es-ES_tradnl"/>
        </w:rPr>
        <w:t>(SUP - CMR-07)</w:t>
      </w:r>
    </w:p>
    <w:p w14:paraId="0C833601" w14:textId="77777777" w:rsidR="00B82F75" w:rsidRPr="00F52C10" w:rsidRDefault="00B82F75" w:rsidP="00E4628E">
      <w:pPr>
        <w:pStyle w:val="TDC2"/>
        <w:tabs>
          <w:tab w:val="left" w:pos="1276"/>
          <w:tab w:val="left" w:pos="1985"/>
          <w:tab w:val="right" w:leader="dot" w:pos="8562"/>
          <w:tab w:val="right" w:pos="9497"/>
        </w:tabs>
        <w:spacing w:line="276" w:lineRule="auto"/>
        <w:ind w:left="1276" w:right="1134" w:hanging="1276"/>
        <w:rPr>
          <w:color w:val="000000"/>
          <w:lang w:val="es-ES_tradnl"/>
        </w:rPr>
      </w:pPr>
      <w:r w:rsidRPr="00F52C10">
        <w:rPr>
          <w:color w:val="000000"/>
          <w:lang w:val="es-ES_tradnl"/>
        </w:rPr>
        <w:t>Anexo 3</w:t>
      </w:r>
      <w:r w:rsidRPr="00F52C10">
        <w:rPr>
          <w:color w:val="000000"/>
          <w:lang w:val="es-ES_tradnl"/>
        </w:rPr>
        <w:tab/>
        <w:t>Límites aplicables a las comunicaciones recibidas con arreglo al Artículo 6 o al Artículo 7</w:t>
      </w:r>
      <w:r w:rsidRPr="00F52C10">
        <w:rPr>
          <w:color w:val="000000"/>
          <w:lang w:val="es-ES_tradnl"/>
        </w:rPr>
        <w:tab/>
      </w:r>
      <w:r w:rsidRPr="00F52C10">
        <w:rPr>
          <w:color w:val="000000"/>
          <w:lang w:val="es-ES_tradnl"/>
        </w:rPr>
        <w:tab/>
        <w:t>30</w:t>
      </w:r>
    </w:p>
    <w:p w14:paraId="20BB7D16" w14:textId="77777777" w:rsidR="00B82F75" w:rsidRPr="00F52C10" w:rsidRDefault="00B82F75" w:rsidP="00E4628E">
      <w:pPr>
        <w:pStyle w:val="TDC2"/>
        <w:tabs>
          <w:tab w:val="left" w:pos="1276"/>
          <w:tab w:val="left" w:pos="1985"/>
          <w:tab w:val="right" w:leader="dot" w:pos="8562"/>
          <w:tab w:val="right" w:pos="9497"/>
        </w:tabs>
        <w:spacing w:line="276" w:lineRule="auto"/>
        <w:ind w:left="1276" w:right="1134" w:hanging="1276"/>
        <w:rPr>
          <w:color w:val="000000"/>
          <w:lang w:val="es-ES_tradnl"/>
        </w:rPr>
      </w:pPr>
      <w:r w:rsidRPr="00F52C10">
        <w:rPr>
          <w:color w:val="000000"/>
          <w:lang w:val="es-ES_tradnl"/>
        </w:rPr>
        <w:t>Anexo 4</w:t>
      </w:r>
      <w:r w:rsidRPr="00F52C10">
        <w:rPr>
          <w:color w:val="000000"/>
          <w:lang w:val="es-ES_tradnl"/>
        </w:rPr>
        <w:tab/>
        <w:t>Criterios para determinar si se considera afectada una adjudicación o una asignación</w:t>
      </w:r>
      <w:r w:rsidRPr="00F52C10">
        <w:rPr>
          <w:color w:val="000000"/>
          <w:lang w:val="es-ES_tradnl"/>
        </w:rPr>
        <w:tab/>
      </w:r>
      <w:r w:rsidRPr="00F52C10">
        <w:rPr>
          <w:color w:val="000000"/>
          <w:lang w:val="es-ES_tradnl"/>
        </w:rPr>
        <w:tab/>
        <w:t>31</w:t>
      </w:r>
    </w:p>
    <w:p w14:paraId="53BA7BB9" w14:textId="77777777" w:rsidR="00B82F75" w:rsidRPr="00F52C10" w:rsidRDefault="00B82F75" w:rsidP="00E4628E">
      <w:pPr>
        <w:pStyle w:val="TDC2"/>
        <w:tabs>
          <w:tab w:val="left" w:pos="1276"/>
          <w:tab w:val="left" w:pos="1985"/>
          <w:tab w:val="right" w:leader="dot" w:pos="8562"/>
          <w:tab w:val="right" w:pos="9497"/>
        </w:tabs>
        <w:spacing w:line="276" w:lineRule="auto"/>
        <w:ind w:left="0" w:right="1134"/>
        <w:rPr>
          <w:color w:val="000000"/>
          <w:lang w:val="es-ES_tradnl"/>
        </w:rPr>
      </w:pPr>
      <w:r w:rsidRPr="00F52C10">
        <w:rPr>
          <w:lang w:val="es-ES_tradnl"/>
        </w:rPr>
        <w:t>Apéndice 1</w:t>
      </w:r>
      <w:r w:rsidRPr="00F52C10">
        <w:rPr>
          <w:lang w:val="es-ES_tradnl"/>
        </w:rPr>
        <w:tab/>
        <w:t>Método para determinar el valor global de la relación portadora/</w:t>
      </w:r>
      <w:r w:rsidRPr="00F52C10">
        <w:rPr>
          <w:lang w:val="es-ES_tradnl"/>
        </w:rPr>
        <w:br/>
        <w:t>al Anexo 4</w:t>
      </w:r>
      <w:r w:rsidRPr="00F52C10">
        <w:rPr>
          <w:lang w:val="es-ES_tradnl"/>
        </w:rPr>
        <w:tab/>
        <w:t>interferencia de una sola fuente y de la relación portadora/interferencia</w:t>
      </w:r>
      <w:r w:rsidRPr="00F52C10">
        <w:rPr>
          <w:lang w:val="es-ES_tradnl"/>
        </w:rPr>
        <w:br/>
      </w:r>
      <w:r w:rsidRPr="00F52C10">
        <w:rPr>
          <w:lang w:val="es-ES_tradnl"/>
        </w:rPr>
        <w:tab/>
        <w:t xml:space="preserve">combinada promediada en la anchura de banda necesaria de la portadora </w:t>
      </w:r>
      <w:r w:rsidRPr="00F52C10">
        <w:rPr>
          <w:lang w:val="es-ES_tradnl"/>
        </w:rPr>
        <w:br/>
      </w:r>
      <w:r w:rsidRPr="00F52C10">
        <w:rPr>
          <w:lang w:val="es-ES_tradnl"/>
        </w:rPr>
        <w:tab/>
        <w:t>modulada</w:t>
      </w:r>
      <w:r w:rsidRPr="00F52C10">
        <w:rPr>
          <w:lang w:val="es-ES_tradnl"/>
        </w:rPr>
        <w:tab/>
      </w:r>
      <w:r w:rsidRPr="00F52C10">
        <w:rPr>
          <w:lang w:val="es-ES_tradnl"/>
        </w:rPr>
        <w:tab/>
        <w:t>32</w:t>
      </w:r>
    </w:p>
    <w:p w14:paraId="34295408" w14:textId="77777777" w:rsidR="00B82F75" w:rsidRPr="00F52C10" w:rsidRDefault="00B82F75" w:rsidP="00E4628E">
      <w:pPr>
        <w:pStyle w:val="TDC2"/>
        <w:tabs>
          <w:tab w:val="left" w:pos="1276"/>
          <w:tab w:val="left" w:pos="1985"/>
          <w:tab w:val="right" w:leader="dot" w:pos="8562"/>
          <w:tab w:val="right" w:pos="9497"/>
        </w:tabs>
        <w:spacing w:line="276" w:lineRule="auto"/>
        <w:ind w:left="0" w:right="1134"/>
        <w:rPr>
          <w:color w:val="000000"/>
          <w:lang w:val="es-ES_tradnl"/>
        </w:rPr>
      </w:pPr>
      <w:r w:rsidRPr="00F52C10">
        <w:rPr>
          <w:lang w:val="es-ES_tradnl"/>
        </w:rPr>
        <w:t>Apéndice 2</w:t>
      </w:r>
      <w:r w:rsidRPr="00F52C10">
        <w:rPr>
          <w:lang w:val="es-ES_tradnl"/>
        </w:rPr>
        <w:tab/>
        <w:t xml:space="preserve">Método para determinar los valores de la relación portadora/ruido </w:t>
      </w:r>
      <w:r w:rsidRPr="00F52C10">
        <w:rPr>
          <w:bCs/>
          <w:szCs w:val="28"/>
          <w:lang w:val="es-ES_tradnl"/>
        </w:rPr>
        <w:t>(</w:t>
      </w:r>
      <w:r w:rsidRPr="00F52C10">
        <w:rPr>
          <w:bCs/>
          <w:i/>
          <w:szCs w:val="28"/>
          <w:lang w:val="es-ES_tradnl"/>
        </w:rPr>
        <w:t>C</w:t>
      </w:r>
      <w:r w:rsidRPr="00F52C10">
        <w:rPr>
          <w:bCs/>
          <w:szCs w:val="28"/>
          <w:lang w:val="es-ES_tradnl"/>
        </w:rPr>
        <w:t>/</w:t>
      </w:r>
      <w:r w:rsidRPr="00F52C10">
        <w:rPr>
          <w:bCs/>
          <w:i/>
          <w:szCs w:val="28"/>
          <w:lang w:val="es-ES_tradnl"/>
        </w:rPr>
        <w:t>N</w:t>
      </w:r>
      <w:r w:rsidRPr="00F52C10">
        <w:rPr>
          <w:szCs w:val="28"/>
          <w:lang w:val="es-ES_tradnl"/>
        </w:rPr>
        <w:t>)</w:t>
      </w:r>
      <w:r w:rsidRPr="00F52C10">
        <w:rPr>
          <w:szCs w:val="28"/>
          <w:lang w:val="es-ES_tradnl"/>
        </w:rPr>
        <w:tab/>
      </w:r>
      <w:r w:rsidRPr="00F52C10">
        <w:rPr>
          <w:szCs w:val="28"/>
          <w:lang w:val="es-ES_tradnl"/>
        </w:rPr>
        <w:tab/>
        <w:t>35</w:t>
      </w:r>
      <w:r w:rsidRPr="00F52C10">
        <w:rPr>
          <w:szCs w:val="28"/>
          <w:lang w:val="es-ES_tradnl"/>
        </w:rPr>
        <w:br/>
        <w:t>al Anexo 4</w:t>
      </w:r>
    </w:p>
    <w:p w14:paraId="308978FF" w14:textId="77777777" w:rsidR="00B82F75" w:rsidRPr="00F52C10" w:rsidRDefault="00B82F75" w:rsidP="00E4628E">
      <w:pPr>
        <w:pStyle w:val="TDC2"/>
        <w:tabs>
          <w:tab w:val="left" w:pos="1276"/>
          <w:tab w:val="left" w:leader="dot" w:pos="8505"/>
          <w:tab w:val="right" w:pos="9497"/>
        </w:tabs>
        <w:spacing w:before="40" w:line="276" w:lineRule="auto"/>
        <w:ind w:left="0"/>
        <w:rPr>
          <w:i/>
          <w:iCs/>
          <w:color w:val="000000"/>
          <w:szCs w:val="24"/>
          <w:lang w:val="es-ES_tradnl"/>
        </w:rPr>
      </w:pPr>
      <w:r w:rsidRPr="00F52C10">
        <w:rPr>
          <w:lang w:val="es-ES_tradnl"/>
        </w:rPr>
        <w:t>_________________</w:t>
      </w:r>
      <w:r w:rsidRPr="00F52C10">
        <w:rPr>
          <w:lang w:val="es-ES_tradnl"/>
        </w:rPr>
        <w:br/>
      </w:r>
      <w:r w:rsidRPr="00F52C10">
        <w:rPr>
          <w:i/>
          <w:iCs/>
          <w:color w:val="000000"/>
          <w:lang w:val="es-ES_tradnl"/>
        </w:rPr>
        <w:t>Nota de la Secretaría:</w:t>
      </w:r>
      <w:r w:rsidRPr="00F52C10">
        <w:rPr>
          <w:color w:val="000000"/>
          <w:lang w:val="es-ES_tradnl"/>
        </w:rPr>
        <w:t xml:space="preserve"> </w:t>
      </w:r>
      <w:r w:rsidRPr="00F52C10">
        <w:rPr>
          <w:i/>
          <w:iCs/>
          <w:color w:val="000000"/>
          <w:lang w:val="es-ES_tradnl"/>
        </w:rPr>
        <w:t>Las referencias a un Artículo con su número en romanillas se refiere a un Artículo del presente Apéndice.</w:t>
      </w:r>
    </w:p>
    <w:p w14:paraId="24F38A0F" w14:textId="77777777" w:rsidR="00B82F75" w:rsidRPr="00F52C10" w:rsidRDefault="00B82F75" w:rsidP="00E4628E">
      <w:pPr>
        <w:pStyle w:val="AppArtNo"/>
        <w:spacing w:line="276" w:lineRule="auto"/>
        <w:rPr>
          <w:color w:val="000000"/>
          <w:lang w:val="es-ES_tradnl"/>
        </w:rPr>
      </w:pPr>
      <w:r w:rsidRPr="00F52C10">
        <w:rPr>
          <w:color w:val="000000"/>
          <w:lang w:val="es-ES_tradnl"/>
        </w:rPr>
        <w:t>                  ARTÍCULO 1</w:t>
      </w:r>
      <w:r w:rsidRPr="00F52C10">
        <w:rPr>
          <w:color w:val="000000"/>
          <w:sz w:val="16"/>
          <w:lang w:val="es-ES_tradnl"/>
        </w:rPr>
        <w:t>     (</w:t>
      </w:r>
      <w:r w:rsidRPr="00F52C10">
        <w:rPr>
          <w:caps w:val="0"/>
          <w:color w:val="000000"/>
          <w:sz w:val="16"/>
          <w:lang w:val="es-ES_tradnl"/>
        </w:rPr>
        <w:t>REV</w:t>
      </w:r>
      <w:r w:rsidRPr="00F52C10">
        <w:rPr>
          <w:color w:val="000000"/>
          <w:sz w:val="16"/>
          <w:lang w:val="es-ES_tradnl"/>
        </w:rPr>
        <w:t>.CMR</w:t>
      </w:r>
      <w:r w:rsidRPr="00F52C10">
        <w:rPr>
          <w:color w:val="000000"/>
          <w:sz w:val="16"/>
          <w:lang w:val="es-ES_tradnl"/>
        </w:rPr>
        <w:noBreakHyphen/>
        <w:t>07)</w:t>
      </w:r>
    </w:p>
    <w:p w14:paraId="2E041680" w14:textId="77777777" w:rsidR="00B82F75" w:rsidRPr="00F52C10" w:rsidRDefault="00B82F75" w:rsidP="00E4628E">
      <w:pPr>
        <w:pStyle w:val="AppArttitle"/>
        <w:spacing w:line="276" w:lineRule="auto"/>
        <w:rPr>
          <w:color w:val="000000"/>
          <w:lang w:val="es-ES_tradnl"/>
        </w:rPr>
      </w:pPr>
      <w:r w:rsidRPr="00F52C10">
        <w:rPr>
          <w:color w:val="000000"/>
          <w:lang w:val="es-ES_tradnl"/>
        </w:rPr>
        <w:t>Objetivo de las disposiciones y del Plan asociado</w:t>
      </w:r>
    </w:p>
    <w:p w14:paraId="6DDFF70D" w14:textId="77777777" w:rsidR="00B82F75" w:rsidRPr="00F52C10" w:rsidRDefault="00B82F75" w:rsidP="00E4628E">
      <w:pPr>
        <w:pStyle w:val="Normalaftertitle"/>
        <w:spacing w:line="276" w:lineRule="auto"/>
        <w:rPr>
          <w:lang w:val="es-ES_tradnl"/>
        </w:rPr>
      </w:pPr>
      <w:r w:rsidRPr="00F52C10">
        <w:rPr>
          <w:lang w:val="es-ES_tradnl"/>
        </w:rPr>
        <w:t>1.1</w:t>
      </w:r>
      <w:r w:rsidRPr="00F52C10">
        <w:rPr>
          <w:lang w:val="es-ES_tradnl"/>
        </w:rPr>
        <w:tab/>
        <w:t>El objetivo de los procedimientos de este Apéndice es garantizar en la práctica, en las bandas de frecuencias del servicio fijo por satélite tratadas en el presente Apéndice, el acceso equitativo de todos los países a la órbita de los satélites geoestacionarios.</w:t>
      </w:r>
    </w:p>
    <w:p w14:paraId="4415A3A9" w14:textId="77777777" w:rsidR="00B82F75" w:rsidRPr="00F52C10" w:rsidRDefault="00B82F75" w:rsidP="00E4628E">
      <w:pPr>
        <w:spacing w:line="276" w:lineRule="auto"/>
        <w:rPr>
          <w:lang w:val="es-ES_tradnl"/>
        </w:rPr>
      </w:pPr>
      <w:r w:rsidRPr="00F52C10">
        <w:rPr>
          <w:bCs/>
          <w:lang w:val="es-ES_tradnl"/>
        </w:rPr>
        <w:t>1.2</w:t>
      </w:r>
      <w:r w:rsidRPr="00F52C10">
        <w:rPr>
          <w:bCs/>
          <w:lang w:val="es-ES_tradnl"/>
        </w:rPr>
        <w:tab/>
      </w:r>
      <w:r w:rsidRPr="00F52C10">
        <w:rPr>
          <w:lang w:val="es-ES_tradnl"/>
        </w:rPr>
        <w:t>Los procedimientos del presente Apéndice no impedirán en modo alguno la aplicación de asignaciones, de conformidad con las adjudicaciones nacionales del Plan.</w:t>
      </w:r>
      <w:r w:rsidRPr="00F52C10">
        <w:rPr>
          <w:sz w:val="16"/>
          <w:szCs w:val="16"/>
          <w:lang w:val="es-ES_tradnl"/>
        </w:rPr>
        <w:t>     (CMR-07)</w:t>
      </w:r>
    </w:p>
    <w:p w14:paraId="0D3460A4" w14:textId="77777777" w:rsidR="00B82F75" w:rsidRPr="00F52C10" w:rsidRDefault="00B82F75" w:rsidP="00E4628E">
      <w:pPr>
        <w:pStyle w:val="AppArtNo"/>
        <w:spacing w:line="276" w:lineRule="auto"/>
        <w:rPr>
          <w:color w:val="000000"/>
          <w:lang w:val="es-ES_tradnl"/>
        </w:rPr>
      </w:pPr>
      <w:r w:rsidRPr="00F52C10">
        <w:rPr>
          <w:color w:val="000000"/>
          <w:lang w:val="es-ES_tradnl"/>
        </w:rPr>
        <w:lastRenderedPageBreak/>
        <w:t>                  ARTÍCULO 2</w:t>
      </w:r>
      <w:r w:rsidRPr="00F52C10">
        <w:rPr>
          <w:color w:val="000000"/>
          <w:sz w:val="16"/>
          <w:lang w:val="es-ES_tradnl"/>
        </w:rPr>
        <w:t>     (</w:t>
      </w:r>
      <w:r w:rsidRPr="00F52C10">
        <w:rPr>
          <w:caps w:val="0"/>
          <w:color w:val="000000"/>
          <w:sz w:val="16"/>
          <w:lang w:val="es-ES_tradnl"/>
        </w:rPr>
        <w:t>REV</w:t>
      </w:r>
      <w:r w:rsidRPr="00F52C10">
        <w:rPr>
          <w:color w:val="000000"/>
          <w:sz w:val="16"/>
          <w:lang w:val="es-ES_tradnl"/>
        </w:rPr>
        <w:t>.CMR</w:t>
      </w:r>
      <w:r w:rsidRPr="00F52C10">
        <w:rPr>
          <w:color w:val="000000"/>
          <w:sz w:val="16"/>
          <w:lang w:val="es-ES_tradnl"/>
        </w:rPr>
        <w:noBreakHyphen/>
        <w:t>07)</w:t>
      </w:r>
    </w:p>
    <w:p w14:paraId="2D6C29AE" w14:textId="77777777" w:rsidR="00B82F75" w:rsidRPr="00F52C10" w:rsidRDefault="00B82F75" w:rsidP="00E4628E">
      <w:pPr>
        <w:pStyle w:val="AppArttitle"/>
        <w:spacing w:line="276" w:lineRule="auto"/>
        <w:rPr>
          <w:color w:val="000000"/>
          <w:lang w:val="es-ES_tradnl"/>
        </w:rPr>
      </w:pPr>
      <w:r w:rsidRPr="00F52C10">
        <w:rPr>
          <w:color w:val="000000"/>
          <w:lang w:val="es-ES_tradnl"/>
        </w:rPr>
        <w:t>Definiciones</w:t>
      </w:r>
    </w:p>
    <w:p w14:paraId="2987B13C" w14:textId="77777777" w:rsidR="00B82F75" w:rsidRPr="00F52C10" w:rsidRDefault="00B82F75" w:rsidP="00E4628E">
      <w:pPr>
        <w:pStyle w:val="Normalaftertitle"/>
        <w:spacing w:line="276" w:lineRule="auto"/>
        <w:rPr>
          <w:lang w:val="es-ES_tradnl"/>
        </w:rPr>
      </w:pPr>
      <w:r w:rsidRPr="00F52C10">
        <w:rPr>
          <w:lang w:val="es-ES_tradnl"/>
        </w:rPr>
        <w:t>2.1</w:t>
      </w:r>
      <w:r w:rsidRPr="00F52C10">
        <w:rPr>
          <w:lang w:val="es-ES_tradnl"/>
        </w:rPr>
        <w:tab/>
      </w:r>
      <w:r w:rsidRPr="00F52C10">
        <w:rPr>
          <w:i/>
          <w:lang w:val="es-ES_tradnl"/>
        </w:rPr>
        <w:t>Conferencia:</w:t>
      </w:r>
      <w:r w:rsidRPr="00F52C10">
        <w:rPr>
          <w:lang w:val="es-ES_tradnl"/>
        </w:rPr>
        <w:t xml:space="preserve"> Conferencia Administrativa Mundial de Radiocomunicaciones sobre la utilización de la órbita de los satélites geoestacionarios y la planificación de los servicios espaciales que la utilizan, Primera Reunión, Ginebra, 1985; Segunda Reunión, Ginebra, 1988.</w:t>
      </w:r>
    </w:p>
    <w:p w14:paraId="55A7070A" w14:textId="77777777" w:rsidR="00B82F75" w:rsidRPr="00F52C10" w:rsidRDefault="00B82F75" w:rsidP="00E4628E">
      <w:pPr>
        <w:spacing w:line="276" w:lineRule="auto"/>
        <w:rPr>
          <w:lang w:val="es-ES_tradnl"/>
        </w:rPr>
      </w:pPr>
      <w:r w:rsidRPr="00F52C10">
        <w:rPr>
          <w:bCs/>
          <w:color w:val="000000"/>
          <w:lang w:val="es-ES_tradnl"/>
        </w:rPr>
        <w:t>2.2</w:t>
      </w:r>
      <w:r w:rsidRPr="00F52C10">
        <w:rPr>
          <w:bCs/>
          <w:color w:val="000000"/>
          <w:lang w:val="es-ES_tradnl"/>
        </w:rPr>
        <w:tab/>
      </w:r>
      <w:r w:rsidRPr="00F52C10">
        <w:rPr>
          <w:i/>
          <w:color w:val="000000"/>
          <w:lang w:val="es-ES_tradnl"/>
        </w:rPr>
        <w:t>Plan:</w:t>
      </w:r>
      <w:r w:rsidRPr="00F52C10">
        <w:rPr>
          <w:color w:val="000000"/>
          <w:lang w:val="es-ES_tradnl"/>
        </w:rPr>
        <w:t xml:space="preserve"> El Plan para el servicio fijo por satélite en las bandas de frecuencias contenidas en el presente Apéndice, consistente en adjudicaciones nacionales.</w:t>
      </w:r>
      <w:r w:rsidRPr="00F52C10">
        <w:rPr>
          <w:sz w:val="16"/>
          <w:szCs w:val="16"/>
          <w:lang w:val="es-ES_tradnl"/>
        </w:rPr>
        <w:t>     (CMR</w:t>
      </w:r>
      <w:r w:rsidRPr="00F52C10">
        <w:rPr>
          <w:sz w:val="16"/>
          <w:szCs w:val="16"/>
          <w:lang w:val="es-ES_tradnl"/>
        </w:rPr>
        <w:noBreakHyphen/>
        <w:t>07)</w:t>
      </w:r>
    </w:p>
    <w:p w14:paraId="03C5E5F9" w14:textId="77777777" w:rsidR="00B82F75" w:rsidRPr="00F52C10" w:rsidRDefault="00B82F75" w:rsidP="00E4628E">
      <w:pPr>
        <w:spacing w:line="276" w:lineRule="auto"/>
        <w:rPr>
          <w:lang w:val="es-ES_tradnl"/>
        </w:rPr>
      </w:pPr>
      <w:r w:rsidRPr="00F52C10">
        <w:rPr>
          <w:lang w:val="es-ES_tradnl"/>
        </w:rPr>
        <w:t>2.2</w:t>
      </w:r>
      <w:r w:rsidRPr="00F52C10">
        <w:rPr>
          <w:i/>
          <w:iCs/>
          <w:lang w:val="es-ES_tradnl"/>
        </w:rPr>
        <w:t>bis</w:t>
      </w:r>
      <w:r w:rsidRPr="00F52C10">
        <w:rPr>
          <w:i/>
          <w:iCs/>
          <w:lang w:val="es-ES_tradnl"/>
        </w:rPr>
        <w:tab/>
        <w:t>Lista de asignaciones (en adelante la «Lista»):</w:t>
      </w:r>
      <w:r w:rsidRPr="00F52C10">
        <w:rPr>
          <w:lang w:val="es-ES_tradnl"/>
        </w:rPr>
        <w:t xml:space="preserve"> La Lista asociada con el Plan que contiene las asignaciones resultantes de la aplicación satisfactoria de las disposiciones del Artículo 6 del Apéndice </w:t>
      </w:r>
      <w:r w:rsidRPr="00F52C10">
        <w:rPr>
          <w:b/>
          <w:bCs/>
          <w:lang w:val="es-ES_tradnl"/>
        </w:rPr>
        <w:t>30B</w:t>
      </w:r>
      <w:r w:rsidRPr="00F52C10">
        <w:rPr>
          <w:lang w:val="es-ES_tradnl"/>
        </w:rPr>
        <w:t xml:space="preserve"> o de la aplicación de la Resolución </w:t>
      </w:r>
      <w:r w:rsidRPr="00F52C10">
        <w:rPr>
          <w:b/>
          <w:lang w:val="es-ES_tradnl"/>
        </w:rPr>
        <w:t>148 (</w:t>
      </w:r>
      <w:r w:rsidRPr="00F52C10">
        <w:rPr>
          <w:b/>
          <w:bCs/>
          <w:lang w:val="es-ES_tradnl"/>
        </w:rPr>
        <w:t>CMR-07</w:t>
      </w:r>
      <w:r w:rsidRPr="00F52C10">
        <w:rPr>
          <w:b/>
          <w:lang w:val="es-ES_tradnl"/>
        </w:rPr>
        <w:t>)</w:t>
      </w:r>
      <w:r w:rsidRPr="00F52C10">
        <w:rPr>
          <w:lang w:val="es-ES_tradnl"/>
        </w:rPr>
        <w:t>.</w:t>
      </w:r>
      <w:r w:rsidRPr="00F52C10">
        <w:rPr>
          <w:color w:val="000000"/>
          <w:sz w:val="16"/>
          <w:szCs w:val="16"/>
          <w:lang w:val="es-ES_tradnl"/>
        </w:rPr>
        <w:t>     (CMR</w:t>
      </w:r>
      <w:r w:rsidRPr="00F52C10">
        <w:rPr>
          <w:color w:val="000000"/>
          <w:sz w:val="16"/>
          <w:szCs w:val="16"/>
          <w:lang w:val="es-ES_tradnl"/>
        </w:rPr>
        <w:noBreakHyphen/>
        <w:t>07)</w:t>
      </w:r>
    </w:p>
    <w:p w14:paraId="5A14450B" w14:textId="77777777" w:rsidR="00B82F75" w:rsidRPr="00F52C10" w:rsidRDefault="00B82F75" w:rsidP="00E4628E">
      <w:pPr>
        <w:spacing w:line="276" w:lineRule="auto"/>
        <w:rPr>
          <w:lang w:val="es-ES_tradnl"/>
        </w:rPr>
      </w:pPr>
      <w:r w:rsidRPr="00F52C10">
        <w:rPr>
          <w:bCs/>
          <w:color w:val="000000"/>
          <w:lang w:val="es-ES_tradnl"/>
        </w:rPr>
        <w:t>2.3</w:t>
      </w:r>
      <w:r w:rsidRPr="00F52C10">
        <w:rPr>
          <w:bCs/>
          <w:color w:val="000000"/>
          <w:lang w:val="es-ES_tradnl"/>
        </w:rPr>
        <w:tab/>
      </w:r>
      <w:r w:rsidRPr="00F52C10">
        <w:rPr>
          <w:i/>
          <w:lang w:val="es-ES_tradnl"/>
        </w:rPr>
        <w:t>Adjudicación:</w:t>
      </w:r>
      <w:r w:rsidRPr="00F52C10">
        <w:rPr>
          <w:lang w:val="es-ES_tradnl"/>
        </w:rPr>
        <w:t xml:space="preserve"> A efectos del presente Apéndice, una adjudicación comprende:</w:t>
      </w:r>
    </w:p>
    <w:p w14:paraId="56A98AB1" w14:textId="77777777" w:rsidR="00B82F75" w:rsidRPr="00F52C10" w:rsidRDefault="00B82F75" w:rsidP="00E4628E">
      <w:pPr>
        <w:pStyle w:val="enumlev1"/>
        <w:spacing w:line="276" w:lineRule="auto"/>
        <w:rPr>
          <w:lang w:val="es-ES_tradnl"/>
        </w:rPr>
      </w:pPr>
      <w:r w:rsidRPr="00F52C10">
        <w:rPr>
          <w:lang w:val="es-ES_tradnl"/>
        </w:rPr>
        <w:t>–</w:t>
      </w:r>
      <w:r w:rsidRPr="00F52C10">
        <w:rPr>
          <w:lang w:val="es-ES_tradnl"/>
        </w:rPr>
        <w:tab/>
        <w:t>una posición orbital nominal;</w:t>
      </w:r>
    </w:p>
    <w:p w14:paraId="413A7E05" w14:textId="77777777" w:rsidR="00B82F75" w:rsidRPr="00F52C10" w:rsidRDefault="00B82F75" w:rsidP="00E4628E">
      <w:pPr>
        <w:pStyle w:val="enumlev1"/>
        <w:spacing w:line="276" w:lineRule="auto"/>
        <w:rPr>
          <w:lang w:val="es-ES_tradnl"/>
        </w:rPr>
      </w:pPr>
      <w:r w:rsidRPr="00F52C10">
        <w:rPr>
          <w:lang w:val="es-ES_tradnl"/>
        </w:rPr>
        <w:t>–</w:t>
      </w:r>
      <w:r w:rsidRPr="00F52C10">
        <w:rPr>
          <w:lang w:val="es-ES_tradnl"/>
        </w:rPr>
        <w:tab/>
        <w:t>una anchura de banda de 800 MHz (enlaces ascendente y descendente) en las bandas de frecuencias enumeradas en el Artículo 3 del presente Apéndice;</w:t>
      </w:r>
    </w:p>
    <w:p w14:paraId="7C0157DC" w14:textId="77777777" w:rsidR="00B82F75" w:rsidRPr="00F52C10" w:rsidRDefault="00B82F75" w:rsidP="00E4628E">
      <w:pPr>
        <w:pStyle w:val="enumlev1"/>
        <w:spacing w:line="276" w:lineRule="auto"/>
        <w:rPr>
          <w:lang w:val="es-ES_tradnl"/>
        </w:rPr>
      </w:pPr>
      <w:r w:rsidRPr="00F52C10">
        <w:rPr>
          <w:lang w:val="es-ES_tradnl"/>
        </w:rPr>
        <w:t>–</w:t>
      </w:r>
      <w:r w:rsidRPr="00F52C10">
        <w:rPr>
          <w:lang w:val="es-ES_tradnl"/>
        </w:rPr>
        <w:tab/>
        <w:t>una zona de servicio para cobertura nacional.</w:t>
      </w:r>
      <w:r w:rsidRPr="00F52C10">
        <w:rPr>
          <w:sz w:val="16"/>
          <w:szCs w:val="16"/>
          <w:lang w:val="es-ES_tradnl"/>
        </w:rPr>
        <w:t>     (CMR</w:t>
      </w:r>
      <w:r w:rsidRPr="00F52C10">
        <w:rPr>
          <w:sz w:val="16"/>
          <w:szCs w:val="16"/>
          <w:lang w:val="es-ES_tradnl"/>
        </w:rPr>
        <w:noBreakHyphen/>
        <w:t>07)</w:t>
      </w:r>
    </w:p>
    <w:p w14:paraId="5A948F27" w14:textId="77777777" w:rsidR="00B82F75" w:rsidRPr="00F52C10" w:rsidRDefault="00B82F75" w:rsidP="00E4628E">
      <w:pPr>
        <w:spacing w:line="276" w:lineRule="auto"/>
        <w:rPr>
          <w:lang w:val="es-ES_tradnl"/>
        </w:rPr>
      </w:pPr>
      <w:r w:rsidRPr="00F52C10">
        <w:rPr>
          <w:bCs/>
          <w:color w:val="000000"/>
          <w:lang w:val="es-ES_tradnl"/>
        </w:rPr>
        <w:t>2.4</w:t>
      </w:r>
      <w:r w:rsidRPr="00F52C10">
        <w:rPr>
          <w:bCs/>
          <w:color w:val="000000"/>
          <w:lang w:val="es-ES_tradnl"/>
        </w:rPr>
        <w:tab/>
      </w:r>
      <w:r w:rsidRPr="00F52C10">
        <w:rPr>
          <w:i/>
          <w:color w:val="000000"/>
          <w:lang w:val="es-ES_tradnl"/>
        </w:rPr>
        <w:t>Sistemas existentes:</w:t>
      </w:r>
      <w:r w:rsidRPr="00F52C10">
        <w:rPr>
          <w:color w:val="000000"/>
          <w:lang w:val="es-ES_tradnl"/>
        </w:rPr>
        <w:t xml:space="preserve"> Los sistemas de satélites, en las bandas de frecuencias tratadas en el presente Apéndice, que se identifican en la Resolución </w:t>
      </w:r>
      <w:r w:rsidRPr="00F52C10">
        <w:rPr>
          <w:b/>
          <w:bCs/>
          <w:szCs w:val="24"/>
          <w:lang w:val="es-ES_tradnl"/>
        </w:rPr>
        <w:t>148</w:t>
      </w:r>
      <w:r w:rsidRPr="00F52C10">
        <w:rPr>
          <w:szCs w:val="24"/>
          <w:lang w:val="es-ES_tradnl"/>
        </w:rPr>
        <w:t xml:space="preserve"> (</w:t>
      </w:r>
      <w:r w:rsidRPr="00F52C10">
        <w:rPr>
          <w:b/>
          <w:bCs/>
          <w:szCs w:val="24"/>
          <w:lang w:val="es-ES_tradnl"/>
        </w:rPr>
        <w:t>CMR-07</w:t>
      </w:r>
      <w:r w:rsidRPr="00F52C10">
        <w:rPr>
          <w:szCs w:val="24"/>
          <w:lang w:val="es-ES_tradnl"/>
        </w:rPr>
        <w:t>).</w:t>
      </w:r>
      <w:r w:rsidRPr="00F52C10">
        <w:rPr>
          <w:sz w:val="16"/>
          <w:szCs w:val="16"/>
          <w:lang w:val="es-ES_tradnl"/>
        </w:rPr>
        <w:t>     (CMR</w:t>
      </w:r>
      <w:r w:rsidRPr="00F52C10">
        <w:rPr>
          <w:sz w:val="16"/>
          <w:szCs w:val="16"/>
          <w:lang w:val="es-ES_tradnl"/>
        </w:rPr>
        <w:noBreakHyphen/>
        <w:t>07)</w:t>
      </w:r>
    </w:p>
    <w:p w14:paraId="1044AB4E" w14:textId="77777777" w:rsidR="00B82F75" w:rsidRPr="00F52C10" w:rsidRDefault="00B82F75" w:rsidP="00E4628E">
      <w:pPr>
        <w:spacing w:line="276" w:lineRule="auto"/>
        <w:rPr>
          <w:lang w:val="es-ES_tradnl"/>
        </w:rPr>
      </w:pPr>
      <w:r w:rsidRPr="00F52C10">
        <w:rPr>
          <w:lang w:val="es-ES_tradnl"/>
        </w:rPr>
        <w:t>2.5</w:t>
      </w:r>
      <w:r w:rsidRPr="00F52C10">
        <w:rPr>
          <w:lang w:val="es-ES_tradnl"/>
        </w:rPr>
        <w:tab/>
      </w:r>
      <w:r w:rsidRPr="00F52C10">
        <w:rPr>
          <w:sz w:val="16"/>
          <w:szCs w:val="16"/>
          <w:lang w:val="es-ES_tradnl"/>
        </w:rPr>
        <w:t>(SUP – CMR-07)</w:t>
      </w:r>
    </w:p>
    <w:p w14:paraId="356C8489" w14:textId="77777777" w:rsidR="00B82F75" w:rsidRPr="00F52C10" w:rsidRDefault="00B82F75" w:rsidP="00E4628E">
      <w:pPr>
        <w:spacing w:line="276" w:lineRule="auto"/>
        <w:rPr>
          <w:szCs w:val="24"/>
          <w:lang w:val="es-ES_tradnl"/>
        </w:rPr>
      </w:pPr>
      <w:r w:rsidRPr="00F52C10">
        <w:rPr>
          <w:bCs/>
          <w:lang w:val="es-ES_tradnl"/>
        </w:rPr>
        <w:t>2.6</w:t>
      </w:r>
      <w:r w:rsidRPr="00F52C10">
        <w:rPr>
          <w:bCs/>
          <w:lang w:val="es-ES_tradnl"/>
        </w:rPr>
        <w:tab/>
      </w:r>
      <w:r w:rsidRPr="00F52C10">
        <w:rPr>
          <w:i/>
          <w:lang w:val="es-ES_tradnl"/>
        </w:rPr>
        <w:t>Sistema adicional</w:t>
      </w:r>
      <w:r w:rsidRPr="00F52C10">
        <w:rPr>
          <w:lang w:val="es-ES_tradnl"/>
        </w:rPr>
        <w:t>: Para la aplicación de las disposiciones del presente Apéndice, por sistema adicional se entiende un sistema en el que las asignaciones presentadas por una administración no son resultado de la conversión de adjudicaciones en asignaciones. Al presentar un sistema adicional se mantendrá la adjudicación nacional en el Plan de la administración que realiza la presentación. También pueden presentarse sistemas adicionales en nombre de un grupo de administraciones determinadas, en la que una administración designada actuará como administración notificante para dicho sistema adicional.</w:t>
      </w:r>
      <w:r w:rsidRPr="00F52C10">
        <w:rPr>
          <w:sz w:val="16"/>
          <w:szCs w:val="16"/>
          <w:lang w:val="es-ES_tradnl"/>
        </w:rPr>
        <w:t>     (CMR</w:t>
      </w:r>
      <w:r w:rsidRPr="00F52C10">
        <w:rPr>
          <w:sz w:val="16"/>
          <w:szCs w:val="16"/>
          <w:lang w:val="es-ES_tradnl"/>
        </w:rPr>
        <w:noBreakHyphen/>
        <w:t>07)</w:t>
      </w:r>
    </w:p>
    <w:p w14:paraId="761E55AB" w14:textId="77777777" w:rsidR="00B82F75" w:rsidRPr="00F52C10" w:rsidRDefault="00B82F75" w:rsidP="00E4628E">
      <w:pPr>
        <w:autoSpaceDE/>
        <w:autoSpaceDN/>
        <w:spacing w:line="276" w:lineRule="auto"/>
        <w:rPr>
          <w:lang w:val="es-ES_tradnl"/>
        </w:rPr>
      </w:pPr>
      <w:r w:rsidRPr="00F52C10">
        <w:rPr>
          <w:lang w:val="es-ES_tradnl"/>
        </w:rPr>
        <w:t>2.6</w:t>
      </w:r>
      <w:r w:rsidRPr="00F52C10">
        <w:rPr>
          <w:i/>
          <w:iCs/>
          <w:lang w:val="es-ES_tradnl"/>
        </w:rPr>
        <w:t>bis</w:t>
      </w:r>
      <w:r w:rsidRPr="00F52C10">
        <w:rPr>
          <w:b/>
          <w:lang w:val="es-ES_tradnl"/>
        </w:rPr>
        <w:tab/>
      </w:r>
      <w:r w:rsidRPr="00F52C10">
        <w:rPr>
          <w:lang w:val="es-ES_tradnl"/>
        </w:rPr>
        <w:t>Al presentar sistemas adicionales, las administraciones deberán cumplir plenamente lo estipulado en el Artículo 44 de la Constitución de la UIT. En particular, estas administraciones deberán limitar el número de posiciones orbitales y espectro asociado de forma que:</w:t>
      </w:r>
    </w:p>
    <w:p w14:paraId="04C97E55" w14:textId="77777777" w:rsidR="00B82F75" w:rsidRPr="00F52C10" w:rsidRDefault="00B82F75" w:rsidP="00E4628E">
      <w:pPr>
        <w:pStyle w:val="enumlev1"/>
        <w:spacing w:line="276" w:lineRule="auto"/>
        <w:rPr>
          <w:lang w:val="es-ES_tradnl"/>
        </w:rPr>
      </w:pPr>
      <w:r w:rsidRPr="00F52C10">
        <w:rPr>
          <w:i/>
          <w:iCs/>
          <w:lang w:val="es-ES_tradnl"/>
        </w:rPr>
        <w:t>a)</w:t>
      </w:r>
      <w:r w:rsidRPr="00F52C10">
        <w:rPr>
          <w:lang w:val="es-ES_tradnl"/>
        </w:rPr>
        <w:tab/>
        <w:t>los recursos naturales de órbita/espectro se utilicen de manera racional, eficaz y económica; y</w:t>
      </w:r>
    </w:p>
    <w:p w14:paraId="41002413" w14:textId="77777777" w:rsidR="00B82F75" w:rsidRPr="00F52C10" w:rsidRDefault="00B82F75" w:rsidP="00E4628E">
      <w:pPr>
        <w:pStyle w:val="enumlev1"/>
        <w:spacing w:line="276" w:lineRule="auto"/>
        <w:rPr>
          <w:lang w:val="es-ES_tradnl"/>
        </w:rPr>
      </w:pPr>
      <w:r w:rsidRPr="00F52C10">
        <w:rPr>
          <w:i/>
          <w:iCs/>
          <w:lang w:val="es-ES_tradnl"/>
        </w:rPr>
        <w:lastRenderedPageBreak/>
        <w:t>b)</w:t>
      </w:r>
      <w:r w:rsidRPr="00F52C10">
        <w:rPr>
          <w:lang w:val="es-ES_tradnl"/>
        </w:rPr>
        <w:tab/>
        <w:t>se evite la utilización de varios emplazamientos orbitales para dar cobertura a la misma zona de servicio.</w:t>
      </w:r>
      <w:r w:rsidRPr="00F52C10">
        <w:rPr>
          <w:sz w:val="16"/>
          <w:szCs w:val="16"/>
          <w:lang w:val="es-ES_tradnl"/>
        </w:rPr>
        <w:t>     (CMR</w:t>
      </w:r>
      <w:r w:rsidRPr="00F52C10">
        <w:rPr>
          <w:sz w:val="16"/>
          <w:szCs w:val="16"/>
          <w:lang w:val="es-ES_tradnl"/>
        </w:rPr>
        <w:noBreakHyphen/>
        <w:t>07)</w:t>
      </w:r>
    </w:p>
    <w:p w14:paraId="3D74B249" w14:textId="77777777" w:rsidR="00B82F75" w:rsidRPr="00F52C10" w:rsidRDefault="00B82F75" w:rsidP="00E4628E">
      <w:pPr>
        <w:spacing w:line="276" w:lineRule="auto"/>
        <w:rPr>
          <w:lang w:val="es-ES_tradnl"/>
        </w:rPr>
      </w:pPr>
    </w:p>
    <w:p w14:paraId="40E87C00" w14:textId="77777777" w:rsidR="00B82F75" w:rsidRPr="00F52C10" w:rsidRDefault="00B82F75" w:rsidP="00E4628E">
      <w:pPr>
        <w:pStyle w:val="AppArtNo"/>
        <w:spacing w:line="276" w:lineRule="auto"/>
        <w:rPr>
          <w:color w:val="000000"/>
          <w:lang w:val="es-ES_tradnl"/>
        </w:rPr>
      </w:pPr>
      <w:r w:rsidRPr="00F52C10">
        <w:rPr>
          <w:color w:val="000000"/>
          <w:lang w:val="es-ES_tradnl"/>
        </w:rPr>
        <w:t>ARTÍCULO 3</w:t>
      </w:r>
    </w:p>
    <w:p w14:paraId="31E9F1E7" w14:textId="77777777" w:rsidR="00B82F75" w:rsidRPr="00F52C10" w:rsidRDefault="00B82F75" w:rsidP="00E4628E">
      <w:pPr>
        <w:pStyle w:val="AppArttitle"/>
        <w:spacing w:line="276" w:lineRule="auto"/>
        <w:rPr>
          <w:color w:val="000000"/>
          <w:lang w:val="es-ES_tradnl"/>
        </w:rPr>
      </w:pPr>
      <w:r w:rsidRPr="00F52C10">
        <w:rPr>
          <w:color w:val="000000"/>
          <w:lang w:val="es-ES_tradnl"/>
        </w:rPr>
        <w:t>Bandas de frecuencias</w:t>
      </w:r>
    </w:p>
    <w:p w14:paraId="76F205F4" w14:textId="77777777" w:rsidR="00B82F75" w:rsidRPr="00F52C10" w:rsidRDefault="00B82F75" w:rsidP="00E4628E">
      <w:pPr>
        <w:pStyle w:val="Normalaftertitle"/>
        <w:spacing w:line="276" w:lineRule="auto"/>
        <w:rPr>
          <w:lang w:val="es-ES_tradnl"/>
        </w:rPr>
      </w:pPr>
      <w:r w:rsidRPr="00F52C10">
        <w:rPr>
          <w:lang w:val="es-ES_tradnl"/>
        </w:rPr>
        <w:t>3.1</w:t>
      </w:r>
      <w:r w:rsidRPr="00F52C10">
        <w:rPr>
          <w:lang w:val="es-ES_tradnl"/>
        </w:rPr>
        <w:tab/>
        <w:t>Las disposiciones del presente Apéndice se aplicarán al servicio fijo por satélite en las bandas de frecuencias comprendidas entre:</w:t>
      </w:r>
    </w:p>
    <w:p w14:paraId="3DDB5614" w14:textId="77777777" w:rsidR="00B82F75" w:rsidRPr="00F52C10" w:rsidRDefault="00B82F75" w:rsidP="00E4628E">
      <w:pPr>
        <w:pStyle w:val="enumlev1"/>
        <w:spacing w:line="276" w:lineRule="auto"/>
        <w:rPr>
          <w:lang w:val="es-ES_tradnl"/>
        </w:rPr>
      </w:pPr>
      <w:r w:rsidRPr="00F52C10">
        <w:rPr>
          <w:lang w:val="es-ES_tradnl"/>
        </w:rPr>
        <w:t>–</w:t>
      </w:r>
      <w:r w:rsidRPr="00F52C10">
        <w:rPr>
          <w:lang w:val="es-ES_tradnl"/>
        </w:rPr>
        <w:tab/>
        <w:t>4 500 y 4 800 MHz (espacio-Tierra);</w:t>
      </w:r>
    </w:p>
    <w:p w14:paraId="22822199" w14:textId="77777777" w:rsidR="00B82F75" w:rsidRPr="00F52C10" w:rsidRDefault="00B82F75" w:rsidP="00E4628E">
      <w:pPr>
        <w:pStyle w:val="enumlev1"/>
        <w:spacing w:line="276" w:lineRule="auto"/>
        <w:rPr>
          <w:lang w:val="es-ES_tradnl"/>
        </w:rPr>
      </w:pPr>
      <w:r w:rsidRPr="00F52C10">
        <w:rPr>
          <w:lang w:val="es-ES_tradnl"/>
        </w:rPr>
        <w:t>–</w:t>
      </w:r>
      <w:r w:rsidRPr="00F52C10">
        <w:rPr>
          <w:lang w:val="es-ES_tradnl"/>
        </w:rPr>
        <w:tab/>
        <w:t>6 725 y 7 025 MHz (Tierra-espacio);</w:t>
      </w:r>
    </w:p>
    <w:p w14:paraId="754FA65F" w14:textId="77777777" w:rsidR="00B82F75" w:rsidRPr="00F52C10" w:rsidRDefault="00B82F75" w:rsidP="00E4628E">
      <w:pPr>
        <w:pStyle w:val="enumlev1"/>
        <w:spacing w:line="276" w:lineRule="auto"/>
        <w:rPr>
          <w:lang w:val="es-ES_tradnl"/>
        </w:rPr>
      </w:pPr>
      <w:r w:rsidRPr="00F52C10">
        <w:rPr>
          <w:lang w:val="es-ES_tradnl"/>
        </w:rPr>
        <w:t>–</w:t>
      </w:r>
      <w:r w:rsidRPr="00F52C10">
        <w:rPr>
          <w:lang w:val="es-ES_tradnl"/>
        </w:rPr>
        <w:tab/>
        <w:t>10,70 y 10,95 GHz (espacio-Tierra);</w:t>
      </w:r>
    </w:p>
    <w:p w14:paraId="0BAE88C5" w14:textId="77777777" w:rsidR="00B82F75" w:rsidRPr="00F52C10" w:rsidRDefault="00B82F75" w:rsidP="00E4628E">
      <w:pPr>
        <w:pStyle w:val="enumlev1"/>
        <w:spacing w:line="276" w:lineRule="auto"/>
        <w:rPr>
          <w:lang w:val="es-ES_tradnl"/>
        </w:rPr>
      </w:pPr>
      <w:r w:rsidRPr="00F52C10">
        <w:rPr>
          <w:lang w:val="es-ES_tradnl"/>
        </w:rPr>
        <w:t>–</w:t>
      </w:r>
      <w:r w:rsidRPr="00F52C10">
        <w:rPr>
          <w:lang w:val="es-ES_tradnl"/>
        </w:rPr>
        <w:tab/>
        <w:t>11,20 y 11,45 GHz (espacio-Tierra);</w:t>
      </w:r>
    </w:p>
    <w:p w14:paraId="41C1A397" w14:textId="77777777" w:rsidR="00B82F75" w:rsidRPr="00F52C10" w:rsidRDefault="00B82F75" w:rsidP="00E4628E">
      <w:pPr>
        <w:pStyle w:val="enumlev1"/>
        <w:spacing w:line="276" w:lineRule="auto"/>
        <w:rPr>
          <w:lang w:val="es-ES_tradnl"/>
        </w:rPr>
      </w:pPr>
      <w:r w:rsidRPr="00F52C10">
        <w:rPr>
          <w:lang w:val="es-ES_tradnl"/>
        </w:rPr>
        <w:t>–</w:t>
      </w:r>
      <w:r w:rsidRPr="00F52C10">
        <w:rPr>
          <w:lang w:val="es-ES_tradnl"/>
        </w:rPr>
        <w:tab/>
        <w:t>12,75 y 13,25 GHz (Tierra-espacio).</w:t>
      </w:r>
    </w:p>
    <w:p w14:paraId="3CADB045" w14:textId="77777777" w:rsidR="00B82F75" w:rsidRPr="00F52C10" w:rsidRDefault="00B82F75" w:rsidP="00E4628E">
      <w:pPr>
        <w:spacing w:line="276" w:lineRule="auto"/>
        <w:rPr>
          <w:lang w:val="es-ES_tradnl"/>
        </w:rPr>
      </w:pPr>
    </w:p>
    <w:p w14:paraId="6E502DCA" w14:textId="77777777" w:rsidR="00B82F75" w:rsidRPr="00F52C10" w:rsidRDefault="00B82F75" w:rsidP="00E4628E">
      <w:pPr>
        <w:pStyle w:val="AppArtNo"/>
        <w:spacing w:line="276" w:lineRule="auto"/>
        <w:rPr>
          <w:color w:val="000000"/>
          <w:lang w:val="es-ES_tradnl"/>
        </w:rPr>
      </w:pPr>
      <w:r w:rsidRPr="00F52C10">
        <w:rPr>
          <w:color w:val="000000"/>
          <w:lang w:val="es-ES_tradnl"/>
        </w:rPr>
        <w:t>ARTÍCULO 4</w:t>
      </w:r>
    </w:p>
    <w:p w14:paraId="14F99FB6" w14:textId="77777777" w:rsidR="00B82F75" w:rsidRPr="00F52C10" w:rsidRDefault="00B82F75" w:rsidP="00E4628E">
      <w:pPr>
        <w:pStyle w:val="AppArttitle"/>
        <w:spacing w:line="276" w:lineRule="auto"/>
        <w:rPr>
          <w:color w:val="000000"/>
          <w:lang w:val="es-ES_tradnl"/>
        </w:rPr>
      </w:pPr>
      <w:r w:rsidRPr="00F52C10">
        <w:rPr>
          <w:color w:val="000000"/>
          <w:lang w:val="es-ES_tradnl"/>
        </w:rPr>
        <w:t>Ejecución de las disposiciones y del Plan asociado</w:t>
      </w:r>
    </w:p>
    <w:p w14:paraId="4770D060" w14:textId="77777777" w:rsidR="00B82F75" w:rsidRPr="00F52C10" w:rsidRDefault="00B82F75" w:rsidP="00E4628E">
      <w:pPr>
        <w:pStyle w:val="Normalaftertitle"/>
        <w:spacing w:line="276" w:lineRule="auto"/>
        <w:rPr>
          <w:lang w:val="es-ES_tradnl"/>
        </w:rPr>
      </w:pPr>
      <w:r w:rsidRPr="00F52C10">
        <w:rPr>
          <w:lang w:val="es-ES_tradnl"/>
        </w:rPr>
        <w:t>4.1</w:t>
      </w:r>
      <w:r w:rsidRPr="00F52C10">
        <w:rPr>
          <w:lang w:val="es-ES_tradnl"/>
        </w:rPr>
        <w:tab/>
        <w:t>Los Estados Miembros de la Unión adoptarán, para sus estaciones del servicio fijo por satélite que operen en las bandas de frecuencias a que se hace referencia en el presente Apéndice, las características que correspondan a las especificadas en el Plan y en sus disposiciones asociadas.</w:t>
      </w:r>
    </w:p>
    <w:p w14:paraId="4DF6C2BF" w14:textId="77777777" w:rsidR="00B82F75" w:rsidRPr="00F52C10" w:rsidRDefault="00B82F75" w:rsidP="00E4628E">
      <w:pPr>
        <w:spacing w:line="276" w:lineRule="auto"/>
        <w:rPr>
          <w:color w:val="000000"/>
          <w:lang w:val="es-ES_tradnl"/>
        </w:rPr>
      </w:pPr>
      <w:r w:rsidRPr="00F52C10">
        <w:rPr>
          <w:color w:val="000000"/>
          <w:lang w:val="es-ES_tradnl"/>
        </w:rPr>
        <w:t>4.2</w:t>
      </w:r>
      <w:r w:rsidRPr="00F52C10">
        <w:rPr>
          <w:color w:val="000000"/>
          <w:lang w:val="es-ES_tradnl"/>
        </w:rPr>
        <w:tab/>
        <w:t>Los Estados Miembros de la Unión no modificarán las características, ni pondrán en uso asignaciones a estaciones del servicio fijo por satélite, ni estaciones de los otros servicios a que se hayan atribuido esas bandas de frecuencias, a excepción de lo dispuesto en el Reglamento de Radiocomunicaciones y en los Artículos y Anexos apropiados del presente Apéndice.</w:t>
      </w:r>
    </w:p>
    <w:p w14:paraId="0E9A0B5B" w14:textId="77777777" w:rsidR="00B82F75" w:rsidRPr="00F52C10" w:rsidRDefault="00B82F75" w:rsidP="00E4628E">
      <w:pPr>
        <w:spacing w:line="276" w:lineRule="auto"/>
        <w:rPr>
          <w:color w:val="000000"/>
          <w:lang w:val="es-ES_tradnl"/>
        </w:rPr>
      </w:pPr>
    </w:p>
    <w:p w14:paraId="46B26019" w14:textId="77777777" w:rsidR="00B82F75" w:rsidRPr="00F52C10" w:rsidRDefault="00B82F75" w:rsidP="00E4628E">
      <w:pPr>
        <w:pStyle w:val="AppArtNo"/>
        <w:spacing w:line="276" w:lineRule="auto"/>
        <w:rPr>
          <w:color w:val="000000"/>
          <w:lang w:val="es-ES_tradnl"/>
        </w:rPr>
      </w:pPr>
      <w:r w:rsidRPr="00F52C10">
        <w:rPr>
          <w:color w:val="000000"/>
          <w:lang w:val="es-ES_tradnl"/>
        </w:rPr>
        <w:t>ARTÍCULO 5</w:t>
      </w:r>
      <w:r w:rsidRPr="00F52C10">
        <w:rPr>
          <w:color w:val="000000"/>
          <w:sz w:val="16"/>
          <w:lang w:val="es-ES_tradnl"/>
        </w:rPr>
        <w:t>     (SUP - CMR-07)</w:t>
      </w:r>
    </w:p>
    <w:p w14:paraId="441D8835" w14:textId="77777777" w:rsidR="00B82F75" w:rsidRPr="00F52C10" w:rsidRDefault="00B82F75" w:rsidP="00E4628E">
      <w:pPr>
        <w:spacing w:line="276" w:lineRule="auto"/>
        <w:rPr>
          <w:lang w:val="es-ES_tradnl"/>
        </w:rPr>
      </w:pPr>
    </w:p>
    <w:p w14:paraId="3BFF2D06" w14:textId="77777777" w:rsidR="00B82F75" w:rsidRPr="00F52C10" w:rsidRDefault="00B82F75" w:rsidP="00E4628E">
      <w:pPr>
        <w:spacing w:line="276" w:lineRule="auto"/>
        <w:rPr>
          <w:lang w:val="es-ES_tradnl"/>
        </w:rPr>
      </w:pPr>
      <w:r w:rsidRPr="00F52C10">
        <w:rPr>
          <w:lang w:val="es-ES_tradnl"/>
        </w:rPr>
        <w:br w:type="page"/>
      </w:r>
    </w:p>
    <w:p w14:paraId="476F1BDE" w14:textId="77777777" w:rsidR="00B82F75" w:rsidRPr="00F52C10" w:rsidRDefault="00B82F75" w:rsidP="00E4628E">
      <w:pPr>
        <w:pStyle w:val="AppArtNo"/>
        <w:spacing w:line="276" w:lineRule="auto"/>
        <w:rPr>
          <w:color w:val="000000"/>
          <w:lang w:val="es-ES_tradnl"/>
        </w:rPr>
      </w:pPr>
      <w:r w:rsidRPr="00F52C10">
        <w:rPr>
          <w:color w:val="000000"/>
          <w:lang w:val="es-ES_tradnl"/>
        </w:rPr>
        <w:lastRenderedPageBreak/>
        <w:t>                  </w:t>
      </w:r>
      <w:r w:rsidRPr="00F52C10">
        <w:rPr>
          <w:lang w:val="es-ES_tradnl"/>
        </w:rPr>
        <w:t>ARTÍCULO 6</w:t>
      </w:r>
      <w:r w:rsidRPr="00F52C10">
        <w:rPr>
          <w:sz w:val="16"/>
          <w:szCs w:val="16"/>
          <w:lang w:val="es-ES_tradnl"/>
        </w:rPr>
        <w:t>     (Rev.CMR-15)</w:t>
      </w:r>
    </w:p>
    <w:p w14:paraId="0C8CE194" w14:textId="77777777" w:rsidR="00B82F75" w:rsidRPr="00F52C10" w:rsidRDefault="00B82F75" w:rsidP="00E4628E">
      <w:pPr>
        <w:pStyle w:val="AppArttitle"/>
        <w:keepNext w:val="0"/>
        <w:keepLines w:val="0"/>
        <w:spacing w:line="276" w:lineRule="auto"/>
        <w:rPr>
          <w:lang w:val="es-ES_tradnl"/>
        </w:rPr>
      </w:pPr>
      <w:r w:rsidRPr="00F52C10">
        <w:rPr>
          <w:lang w:val="es-ES_tradnl"/>
        </w:rPr>
        <w:t>Procedimiento para la conversión de una adjudicación en una asignación,</w:t>
      </w:r>
      <w:r w:rsidRPr="00F52C10">
        <w:rPr>
          <w:lang w:val="es-ES_tradnl"/>
        </w:rPr>
        <w:br/>
        <w:t>la introducción de un sistema adicional o la modificación</w:t>
      </w:r>
      <w:r w:rsidRPr="00F52C10">
        <w:rPr>
          <w:lang w:val="es-ES_tradnl"/>
        </w:rPr>
        <w:br/>
        <w:t>de una asignación inscrita en la Lista</w:t>
      </w:r>
      <w:r w:rsidRPr="00F52C10">
        <w:rPr>
          <w:rStyle w:val="Refdenotaalpie"/>
          <w:b w:val="0"/>
          <w:bCs/>
          <w:lang w:val="es-ES_tradnl"/>
        </w:rPr>
        <w:footnoteReference w:customMarkFollows="1" w:id="11"/>
        <w:t>1,</w:t>
      </w:r>
      <w:r w:rsidRPr="00F52C10">
        <w:rPr>
          <w:rStyle w:val="Refdenotaalpie"/>
          <w:lang w:val="es-ES_tradnl"/>
        </w:rPr>
        <w:t xml:space="preserve"> </w:t>
      </w:r>
      <w:r w:rsidRPr="00F52C10">
        <w:rPr>
          <w:rStyle w:val="Refdenotaalpie"/>
          <w:b w:val="0"/>
          <w:bCs/>
          <w:lang w:val="es-ES_tradnl"/>
        </w:rPr>
        <w:footnoteReference w:customMarkFollows="1" w:id="12"/>
        <w:t>2</w:t>
      </w:r>
      <w:r w:rsidRPr="00F52C10">
        <w:rPr>
          <w:b w:val="0"/>
          <w:bCs/>
          <w:sz w:val="16"/>
          <w:lang w:val="es-ES_tradnl"/>
        </w:rPr>
        <w:t>     (CMR-15)</w:t>
      </w:r>
    </w:p>
    <w:p w14:paraId="13B69AA6" w14:textId="77777777" w:rsidR="00B82F75" w:rsidRPr="00F52C10" w:rsidRDefault="00B82F75" w:rsidP="00E4628E">
      <w:pPr>
        <w:pStyle w:val="Normalaftertitle"/>
        <w:spacing w:line="276" w:lineRule="auto"/>
        <w:rPr>
          <w:lang w:val="es-ES_tradnl"/>
        </w:rPr>
      </w:pPr>
      <w:r w:rsidRPr="00F52C10">
        <w:rPr>
          <w:bCs/>
          <w:color w:val="000000"/>
          <w:lang w:val="es-ES_tradnl"/>
        </w:rPr>
        <w:t>6.1</w:t>
      </w:r>
      <w:r w:rsidRPr="00F52C10">
        <w:rPr>
          <w:color w:val="000000"/>
          <w:lang w:val="es-ES_tradnl"/>
        </w:rPr>
        <w:tab/>
        <w:t xml:space="preserve">Cuando una administración tenga previsto </w:t>
      </w:r>
      <w:r w:rsidRPr="00F52C10">
        <w:rPr>
          <w:lang w:val="es-ES_tradnl" w:eastAsia="zh-CN"/>
        </w:rPr>
        <w:t>convertir una adjudicación en una asignación o cuando una administración, o una administración en nombre de un grupo de administraciones designadas</w:t>
      </w:r>
      <w:r w:rsidRPr="00F52C10">
        <w:rPr>
          <w:rStyle w:val="Refdenotaalpie"/>
          <w:lang w:val="es-ES_tradnl"/>
        </w:rPr>
        <w:t>3</w:t>
      </w:r>
      <w:r w:rsidRPr="00F52C10">
        <w:rPr>
          <w:lang w:val="es-ES_tradnl" w:eastAsia="zh-CN"/>
        </w:rPr>
        <w:t>,</w:t>
      </w:r>
      <w:r w:rsidRPr="00F52C10">
        <w:rPr>
          <w:rStyle w:val="Refdenotaalpie"/>
          <w:color w:val="FFFFFF" w:themeColor="background1"/>
          <w:lang w:val="es-ES_tradnl" w:eastAsia="zh-CN"/>
        </w:rPr>
        <w:footnoteReference w:customMarkFollows="1" w:id="13"/>
        <w:t>3</w:t>
      </w:r>
      <w:r w:rsidRPr="00F52C10">
        <w:rPr>
          <w:lang w:val="es-ES_tradnl" w:eastAsia="zh-CN"/>
        </w:rPr>
        <w:t>tenga previsto introducir un sistema adicional o modificar las características de las asignaciones de la Lista que se han puesto en servicio,</w:t>
      </w:r>
      <w:r w:rsidRPr="00F52C10">
        <w:rPr>
          <w:color w:val="000000"/>
          <w:lang w:val="es-ES_tradnl"/>
        </w:rPr>
        <w:t xml:space="preserve"> ésta enviará a la Oficina </w:t>
      </w:r>
      <w:r w:rsidRPr="00F52C10">
        <w:rPr>
          <w:lang w:val="es-ES_tradnl" w:eastAsia="zh-CN"/>
        </w:rPr>
        <w:t xml:space="preserve">la información especificada en el Apéndice </w:t>
      </w:r>
      <w:r w:rsidRPr="00F52C10">
        <w:rPr>
          <w:b/>
          <w:bCs/>
          <w:lang w:val="es-ES_tradnl" w:eastAsia="zh-CN"/>
        </w:rPr>
        <w:t>4</w:t>
      </w:r>
      <w:r w:rsidRPr="00F52C10">
        <w:rPr>
          <w:rStyle w:val="Refdenotaalpie"/>
          <w:lang w:val="es-ES_tradnl"/>
        </w:rPr>
        <w:footnoteReference w:customMarkFollows="1" w:id="14"/>
        <w:t xml:space="preserve">4, </w:t>
      </w:r>
      <w:r w:rsidRPr="00F52C10">
        <w:rPr>
          <w:rStyle w:val="Refdenotaalpie"/>
          <w:lang w:val="es-ES_tradnl"/>
        </w:rPr>
        <w:footnoteReference w:customMarkFollows="1" w:id="15"/>
        <w:t>5</w:t>
      </w:r>
      <w:r w:rsidRPr="00F52C10">
        <w:rPr>
          <w:lang w:val="es-ES_tradnl"/>
        </w:rPr>
        <w:t xml:space="preserve"> </w:t>
      </w:r>
      <w:r w:rsidRPr="00F52C10">
        <w:rPr>
          <w:color w:val="000000"/>
          <w:lang w:val="es-ES_tradnl"/>
        </w:rPr>
        <w:t xml:space="preserve">con una antelación no superior a ocho años ni inferior a dos años respecto de la fecha prevista de entrada en servicio </w:t>
      </w:r>
      <w:r w:rsidRPr="00F52C10">
        <w:rPr>
          <w:lang w:val="es-ES_tradnl" w:eastAsia="zh-CN"/>
        </w:rPr>
        <w:t>de la asignación</w:t>
      </w:r>
      <w:r w:rsidRPr="00F52C10">
        <w:rPr>
          <w:color w:val="000000"/>
          <w:lang w:val="es-ES_tradnl"/>
        </w:rPr>
        <w:t>.</w:t>
      </w:r>
    </w:p>
    <w:p w14:paraId="5F578867" w14:textId="77777777" w:rsidR="00B82F75" w:rsidRPr="00F52C10" w:rsidRDefault="00B82F75" w:rsidP="00E4628E">
      <w:pPr>
        <w:spacing w:line="276" w:lineRule="auto"/>
        <w:rPr>
          <w:lang w:val="es-ES_tradnl"/>
        </w:rPr>
      </w:pPr>
      <w:r w:rsidRPr="00F52C10">
        <w:rPr>
          <w:bCs/>
          <w:color w:val="000000"/>
          <w:lang w:val="es-ES_tradnl"/>
        </w:rPr>
        <w:t>6.2</w:t>
      </w:r>
      <w:r w:rsidRPr="00F52C10">
        <w:rPr>
          <w:bCs/>
          <w:color w:val="000000"/>
          <w:lang w:val="es-ES_tradnl"/>
        </w:rPr>
        <w:tab/>
      </w:r>
      <w:r w:rsidRPr="00F52C10">
        <w:rPr>
          <w:color w:val="000000"/>
          <w:lang w:val="es-ES_tradnl"/>
        </w:rPr>
        <w:t>Si la información en virtud del</w:t>
      </w:r>
      <w:r w:rsidRPr="00F52C10">
        <w:rPr>
          <w:lang w:val="es-ES_tradnl"/>
        </w:rPr>
        <w:t xml:space="preserve"> § 6.1 está incompleta, la Oficina solicitará inmediatamente a la administración interesada las aclaraciones pertinentes y la información no presentada.</w:t>
      </w:r>
    </w:p>
    <w:p w14:paraId="3C18B6CD" w14:textId="77777777" w:rsidR="00B82F75" w:rsidRPr="00F52C10" w:rsidRDefault="00B82F75" w:rsidP="00E4628E">
      <w:pPr>
        <w:spacing w:line="276" w:lineRule="auto"/>
        <w:rPr>
          <w:lang w:val="es-ES_tradnl"/>
        </w:rPr>
      </w:pPr>
      <w:r w:rsidRPr="00F52C10">
        <w:rPr>
          <w:bCs/>
          <w:color w:val="000000"/>
          <w:lang w:val="es-ES_tradnl"/>
        </w:rPr>
        <w:t>6.3</w:t>
      </w:r>
      <w:r w:rsidRPr="00F52C10">
        <w:rPr>
          <w:color w:val="000000"/>
          <w:lang w:val="es-ES_tradnl"/>
        </w:rPr>
        <w:tab/>
      </w:r>
      <w:r w:rsidRPr="00F52C10">
        <w:rPr>
          <w:lang w:val="es-ES_tradnl"/>
        </w:rPr>
        <w:t xml:space="preserve">Al recibir una notificación completa con arreglo al § 6.1, la Oficina la examinará para comprobar su conformidad con: </w:t>
      </w:r>
    </w:p>
    <w:p w14:paraId="1B29B915" w14:textId="77777777" w:rsidR="00B82F75" w:rsidRPr="00F52C10" w:rsidRDefault="00B82F75" w:rsidP="00E4628E">
      <w:pPr>
        <w:pStyle w:val="enumlev1"/>
        <w:spacing w:line="276" w:lineRule="auto"/>
        <w:rPr>
          <w:i/>
          <w:iCs/>
          <w:u w:val="single"/>
          <w:lang w:val="es-ES_tradnl"/>
        </w:rPr>
      </w:pPr>
      <w:r w:rsidRPr="00F52C10">
        <w:rPr>
          <w:i/>
          <w:iCs/>
          <w:lang w:val="es-ES_tradnl"/>
        </w:rPr>
        <w:lastRenderedPageBreak/>
        <w:t>a)</w:t>
      </w:r>
      <w:r w:rsidRPr="00F52C10">
        <w:rPr>
          <w:lang w:val="es-ES_tradnl"/>
        </w:rPr>
        <w:tab/>
        <w:t>el Cuadro de atribución de bandas de frecuencias y las demás disposiciones</w:t>
      </w:r>
      <w:r w:rsidRPr="00F52C10">
        <w:rPr>
          <w:rStyle w:val="Refdenotaalpie"/>
          <w:lang w:val="es-ES_tradnl"/>
        </w:rPr>
        <w:t>6</w:t>
      </w:r>
      <w:r w:rsidRPr="00F52C10">
        <w:rPr>
          <w:rStyle w:val="Refdenotaalpie"/>
          <w:color w:val="FFFFFF" w:themeColor="background1"/>
          <w:lang w:val="es-ES_tradnl"/>
        </w:rPr>
        <w:footnoteReference w:customMarkFollows="1" w:id="16"/>
        <w:t>6</w:t>
      </w:r>
      <w:r w:rsidRPr="00F52C10">
        <w:rPr>
          <w:color w:val="FFFFFF" w:themeColor="background1"/>
          <w:vertAlign w:val="superscript"/>
          <w:lang w:val="es-ES_tradnl"/>
        </w:rPr>
        <w:t xml:space="preserve"> </w:t>
      </w:r>
      <w:r w:rsidRPr="00F52C10">
        <w:rPr>
          <w:lang w:val="es-ES_tradnl"/>
        </w:rPr>
        <w:t xml:space="preserve">del Reglamento de Radiocomunicaciones, a excepción de las disposiciones relacionadas con la conformidad respecto al Plan de servicio fijo por satélite, </w:t>
      </w:r>
      <w:r w:rsidRPr="00F52C10">
        <w:rPr>
          <w:i/>
          <w:iCs/>
          <w:lang w:val="es-ES_tradnl"/>
        </w:rPr>
        <w:t>y</w:t>
      </w:r>
    </w:p>
    <w:p w14:paraId="2AAE0F9B" w14:textId="77777777" w:rsidR="00B82F75" w:rsidRPr="00F52C10" w:rsidRDefault="00B82F75" w:rsidP="00E4628E">
      <w:pPr>
        <w:pStyle w:val="enumlev1"/>
        <w:spacing w:line="276" w:lineRule="auto"/>
        <w:rPr>
          <w:lang w:val="es-ES_tradnl"/>
        </w:rPr>
      </w:pPr>
      <w:r w:rsidRPr="00F52C10">
        <w:rPr>
          <w:i/>
          <w:iCs/>
          <w:lang w:val="es-ES_tradnl"/>
        </w:rPr>
        <w:t>b)</w:t>
      </w:r>
      <w:r w:rsidRPr="00F52C10">
        <w:rPr>
          <w:lang w:val="es-ES_tradnl"/>
        </w:rPr>
        <w:tab/>
        <w:t>el Anexo 3 del presente Apéndice.</w:t>
      </w:r>
    </w:p>
    <w:p w14:paraId="729970E4" w14:textId="77777777" w:rsidR="00B82F75" w:rsidRPr="00F52C10" w:rsidRDefault="00B82F75" w:rsidP="00E4628E">
      <w:pPr>
        <w:spacing w:line="276" w:lineRule="auto"/>
        <w:rPr>
          <w:lang w:val="es-ES_tradnl"/>
        </w:rPr>
      </w:pPr>
      <w:r w:rsidRPr="00F52C10">
        <w:rPr>
          <w:bCs/>
          <w:color w:val="000000"/>
          <w:lang w:val="es-ES_tradnl"/>
        </w:rPr>
        <w:t>6.4</w:t>
      </w:r>
      <w:r w:rsidRPr="00F52C10">
        <w:rPr>
          <w:bCs/>
          <w:color w:val="000000"/>
          <w:lang w:val="es-ES_tradnl"/>
        </w:rPr>
        <w:tab/>
      </w:r>
      <w:r w:rsidRPr="00F52C10">
        <w:rPr>
          <w:lang w:val="es-ES_tradnl"/>
        </w:rPr>
        <w:t>Cuando el examen respecto al § 6.3 dé lugar a una conclusión desfavorable, la parte pertinente de la notificación se devolverá a la administración notificante con una indicación del procedimiento a seguir.</w:t>
      </w:r>
    </w:p>
    <w:p w14:paraId="038CD4E4" w14:textId="77777777" w:rsidR="00B82F75" w:rsidRPr="00F52C10" w:rsidRDefault="00B82F75" w:rsidP="00E4628E">
      <w:pPr>
        <w:spacing w:line="276" w:lineRule="auto"/>
        <w:rPr>
          <w:lang w:val="es-ES_tradnl"/>
        </w:rPr>
      </w:pPr>
      <w:r w:rsidRPr="00F52C10">
        <w:rPr>
          <w:lang w:val="es-ES_tradnl"/>
        </w:rPr>
        <w:br w:type="page"/>
      </w:r>
    </w:p>
    <w:p w14:paraId="4CCFDE42" w14:textId="77777777" w:rsidR="00B82F75" w:rsidRPr="00F52C10" w:rsidRDefault="00B82F75" w:rsidP="00E4628E">
      <w:pPr>
        <w:spacing w:line="276" w:lineRule="auto"/>
        <w:rPr>
          <w:lang w:val="es-ES_tradnl"/>
        </w:rPr>
      </w:pPr>
      <w:r w:rsidRPr="00F52C10">
        <w:rPr>
          <w:bCs/>
          <w:color w:val="000000"/>
          <w:lang w:val="es-ES_tradnl"/>
        </w:rPr>
        <w:lastRenderedPageBreak/>
        <w:t>6.5</w:t>
      </w:r>
      <w:r w:rsidRPr="00F52C10">
        <w:rPr>
          <w:bCs/>
          <w:color w:val="000000"/>
          <w:lang w:val="es-ES_tradnl"/>
        </w:rPr>
        <w:tab/>
      </w:r>
      <w:r w:rsidRPr="00F52C10">
        <w:rPr>
          <w:lang w:val="es-ES_tradnl"/>
        </w:rPr>
        <w:t>Cuando el examen</w:t>
      </w:r>
      <w:r w:rsidRPr="00F52C10">
        <w:rPr>
          <w:szCs w:val="24"/>
          <w:lang w:val="es-ES_tradnl"/>
        </w:rPr>
        <w:t xml:space="preserve"> </w:t>
      </w:r>
      <w:r w:rsidRPr="00F52C10">
        <w:rPr>
          <w:lang w:val="es-ES_tradnl"/>
        </w:rPr>
        <w:t xml:space="preserve">con respecto al § 6.3 de todas las asignaciones de una notificación </w:t>
      </w:r>
      <w:r w:rsidRPr="00F52C10">
        <w:rPr>
          <w:szCs w:val="24"/>
          <w:lang w:val="es-ES_tradnl"/>
        </w:rPr>
        <w:t>recibida con arreglo al § 6.1</w:t>
      </w:r>
      <w:r w:rsidRPr="00F52C10">
        <w:rPr>
          <w:lang w:val="es-ES_tradnl"/>
        </w:rPr>
        <w:t xml:space="preserve"> dé lugar a una conclusión favorable, la Oficina aplicará el método del Anexo </w:t>
      </w:r>
      <w:r w:rsidRPr="00F52C10">
        <w:rPr>
          <w:bCs/>
          <w:lang w:val="es-ES_tradnl"/>
        </w:rPr>
        <w:t>4</w:t>
      </w:r>
      <w:r w:rsidRPr="00F52C10">
        <w:rPr>
          <w:lang w:val="es-ES_tradnl"/>
        </w:rPr>
        <w:t xml:space="preserve"> para determinar las administraciones cuyas:</w:t>
      </w:r>
    </w:p>
    <w:p w14:paraId="5D8E62FD" w14:textId="77777777" w:rsidR="00B82F75" w:rsidRPr="00F52C10" w:rsidRDefault="00B82F75" w:rsidP="00E4628E">
      <w:pPr>
        <w:pStyle w:val="enumlev1"/>
        <w:spacing w:line="276" w:lineRule="auto"/>
        <w:rPr>
          <w:lang w:val="es-ES_tradnl"/>
        </w:rPr>
      </w:pPr>
      <w:r w:rsidRPr="00F52C10">
        <w:rPr>
          <w:i/>
          <w:iCs/>
          <w:lang w:val="es-ES_tradnl"/>
        </w:rPr>
        <w:t>a)</w:t>
      </w:r>
      <w:r w:rsidRPr="00F52C10">
        <w:rPr>
          <w:lang w:val="es-ES_tradnl"/>
        </w:rPr>
        <w:tab/>
        <w:t xml:space="preserve">adjudicaciones del Plan; </w:t>
      </w:r>
      <w:r w:rsidRPr="00F52C10">
        <w:rPr>
          <w:i/>
          <w:iCs/>
          <w:lang w:val="es-ES_tradnl"/>
        </w:rPr>
        <w:t>o</w:t>
      </w:r>
    </w:p>
    <w:p w14:paraId="3A787C05" w14:textId="77777777" w:rsidR="00B82F75" w:rsidRPr="00F52C10" w:rsidRDefault="00B82F75" w:rsidP="00E4628E">
      <w:pPr>
        <w:pStyle w:val="enumlev1"/>
        <w:spacing w:line="276" w:lineRule="auto"/>
        <w:rPr>
          <w:lang w:val="es-ES_tradnl"/>
        </w:rPr>
      </w:pPr>
      <w:r w:rsidRPr="00F52C10">
        <w:rPr>
          <w:i/>
          <w:iCs/>
          <w:lang w:val="es-ES_tradnl"/>
        </w:rPr>
        <w:t>b)</w:t>
      </w:r>
      <w:r w:rsidRPr="00F52C10">
        <w:rPr>
          <w:lang w:val="es-ES_tradnl"/>
        </w:rPr>
        <w:tab/>
        <w:t xml:space="preserve">asignaciones de la Lista; </w:t>
      </w:r>
      <w:r w:rsidRPr="00F52C10">
        <w:rPr>
          <w:i/>
          <w:iCs/>
          <w:lang w:val="es-ES_tradnl"/>
        </w:rPr>
        <w:t>o</w:t>
      </w:r>
    </w:p>
    <w:p w14:paraId="3B3AAC2D" w14:textId="77777777" w:rsidR="00B82F75" w:rsidRPr="00F52C10" w:rsidRDefault="00B82F75" w:rsidP="00E4628E">
      <w:pPr>
        <w:pStyle w:val="enumlev1"/>
        <w:spacing w:line="276" w:lineRule="auto"/>
        <w:rPr>
          <w:lang w:val="es-ES_tradnl"/>
        </w:rPr>
      </w:pPr>
      <w:r w:rsidRPr="00F52C10">
        <w:rPr>
          <w:i/>
          <w:iCs/>
          <w:lang w:val="es-ES_tradnl"/>
        </w:rPr>
        <w:t>c)</w:t>
      </w:r>
      <w:r w:rsidRPr="00F52C10">
        <w:rPr>
          <w:lang w:val="es-ES_tradnl"/>
        </w:rPr>
        <w:tab/>
        <w:t xml:space="preserve">asignaciones que la Oficina haya examinado previamente con arreglo al presente párrafo tras recibir la información completa de conformidad con el </w:t>
      </w:r>
      <w:r w:rsidRPr="00F52C10">
        <w:rPr>
          <w:szCs w:val="24"/>
          <w:lang w:val="es-ES_tradnl"/>
        </w:rPr>
        <w:t>§ 6.1</w:t>
      </w:r>
      <w:r w:rsidRPr="00F52C10">
        <w:rPr>
          <w:lang w:val="es-ES_tradnl"/>
        </w:rPr>
        <w:t xml:space="preserve"> del presente Artículo,</w:t>
      </w:r>
    </w:p>
    <w:p w14:paraId="54EC0473" w14:textId="77777777" w:rsidR="00B82F75" w:rsidRPr="00F52C10" w:rsidRDefault="00B82F75" w:rsidP="00E4628E">
      <w:pPr>
        <w:spacing w:line="276" w:lineRule="auto"/>
        <w:rPr>
          <w:lang w:val="es-ES_tradnl"/>
        </w:rPr>
      </w:pPr>
      <w:r w:rsidRPr="00F52C10">
        <w:rPr>
          <w:lang w:val="es-ES_tradnl"/>
        </w:rPr>
        <w:t>se consideran afectadas por alguna asignación de dicha notificación.</w:t>
      </w:r>
    </w:p>
    <w:p w14:paraId="7D73A244" w14:textId="77777777" w:rsidR="00B82F75" w:rsidRPr="00F52C10" w:rsidRDefault="00B82F75" w:rsidP="00E4628E">
      <w:pPr>
        <w:spacing w:line="276" w:lineRule="auto"/>
        <w:rPr>
          <w:lang w:val="es-ES_tradnl"/>
        </w:rPr>
      </w:pPr>
      <w:r w:rsidRPr="00F52C10">
        <w:rPr>
          <w:lang w:val="es-ES_tradnl"/>
        </w:rPr>
        <w:t>6.6</w:t>
      </w:r>
      <w:r w:rsidRPr="00F52C10">
        <w:rPr>
          <w:lang w:val="es-ES_tradnl"/>
        </w:rPr>
        <w:tab/>
        <w:t>La Oficina identificará las administraciones cuyos territorios se hayan incluido en la zona de servicio de la asignación que se examina. La administración notificante deberá obtener el acuerdo de cualquier otra administración cuyo territorio esté total o parcialmente incluido en la zona de servicio prevista de la asignación.</w:t>
      </w:r>
    </w:p>
    <w:p w14:paraId="5824F985" w14:textId="77777777" w:rsidR="00B82F75" w:rsidRPr="00F52C10" w:rsidRDefault="00B82F75" w:rsidP="00E4628E">
      <w:pPr>
        <w:spacing w:line="276" w:lineRule="auto"/>
        <w:rPr>
          <w:lang w:val="es-ES_tradnl"/>
        </w:rPr>
      </w:pPr>
      <w:r w:rsidRPr="00F52C10">
        <w:rPr>
          <w:bCs/>
          <w:color w:val="000000"/>
          <w:lang w:val="es-ES_tradnl"/>
        </w:rPr>
        <w:t>6.7</w:t>
      </w:r>
      <w:r w:rsidRPr="00F52C10">
        <w:rPr>
          <w:bCs/>
          <w:color w:val="000000"/>
          <w:lang w:val="es-ES_tradnl"/>
        </w:rPr>
        <w:tab/>
      </w:r>
      <w:r w:rsidRPr="00F52C10">
        <w:rPr>
          <w:lang w:val="es-ES_tradnl"/>
        </w:rPr>
        <w:t>La Oficina publicará en una Sección especial de la Circular Internacional de Información sobre Frecuencias (BR IFIC) la información completa recibida en virtud del § 6.1 y examinada conforme al § 6.5, junto con:</w:t>
      </w:r>
    </w:p>
    <w:p w14:paraId="1D855609" w14:textId="77777777" w:rsidR="00B82F75" w:rsidRPr="00F52C10" w:rsidRDefault="00B82F75" w:rsidP="00E4628E">
      <w:pPr>
        <w:pStyle w:val="enumlev1"/>
        <w:spacing w:line="276" w:lineRule="auto"/>
        <w:rPr>
          <w:lang w:val="es-ES_tradnl"/>
        </w:rPr>
      </w:pPr>
      <w:r w:rsidRPr="00F52C10">
        <w:rPr>
          <w:i/>
          <w:iCs/>
          <w:lang w:val="es-ES_tradnl"/>
        </w:rPr>
        <w:t>a)</w:t>
      </w:r>
      <w:r w:rsidRPr="00F52C10">
        <w:rPr>
          <w:lang w:val="es-ES_tradnl"/>
        </w:rPr>
        <w:tab/>
        <w:t>los nombres de las administraciones afectadas de acuerdo con el § 6.5 y las correspondientes adjudicaciones del Plan, las asignaciones de la Lista y las asignaciones para las cuales la Oficina haya recibido la información completa de conformidad con el § 6.1 y que haya examinado conforme al § 6.5 de este Artículo;</w:t>
      </w:r>
    </w:p>
    <w:p w14:paraId="1F424E45" w14:textId="77777777" w:rsidR="00B82F75" w:rsidRPr="00F52C10" w:rsidRDefault="00B82F75" w:rsidP="00E4628E">
      <w:pPr>
        <w:pStyle w:val="enumlev1"/>
        <w:spacing w:line="276" w:lineRule="auto"/>
        <w:rPr>
          <w:lang w:val="es-ES_tradnl"/>
        </w:rPr>
      </w:pPr>
      <w:r w:rsidRPr="00F52C10">
        <w:rPr>
          <w:i/>
          <w:iCs/>
          <w:lang w:val="es-ES_tradnl"/>
        </w:rPr>
        <w:t>b)</w:t>
      </w:r>
      <w:r w:rsidRPr="00F52C10">
        <w:rPr>
          <w:lang w:val="es-ES_tradnl"/>
        </w:rPr>
        <w:tab/>
        <w:t>los nombres de las administraciones identificadas conforme al § 6.6.</w:t>
      </w:r>
    </w:p>
    <w:p w14:paraId="4DC16CFB" w14:textId="77777777" w:rsidR="00B82F75" w:rsidRPr="00F52C10" w:rsidRDefault="00B82F75" w:rsidP="00E4628E">
      <w:pPr>
        <w:spacing w:line="276" w:lineRule="auto"/>
        <w:rPr>
          <w:lang w:val="es-ES_tradnl"/>
        </w:rPr>
      </w:pPr>
      <w:r w:rsidRPr="00F52C10">
        <w:rPr>
          <w:bCs/>
          <w:color w:val="000000"/>
          <w:lang w:val="es-ES_tradnl"/>
        </w:rPr>
        <w:t>6.8</w:t>
      </w:r>
      <w:r w:rsidRPr="00F52C10">
        <w:rPr>
          <w:bCs/>
          <w:color w:val="000000"/>
          <w:lang w:val="es-ES_tradnl"/>
        </w:rPr>
        <w:tab/>
        <w:t xml:space="preserve">Después de realizar el examen prescrito en § 6.5 y en </w:t>
      </w:r>
      <w:r w:rsidRPr="00F52C10">
        <w:rPr>
          <w:lang w:val="es-ES_tradnl"/>
        </w:rPr>
        <w:t>§ 6.6</w:t>
      </w:r>
      <w:r w:rsidRPr="00F52C10">
        <w:rPr>
          <w:bCs/>
          <w:color w:val="000000"/>
          <w:lang w:val="es-ES_tradnl"/>
        </w:rPr>
        <w:t>, l</w:t>
      </w:r>
      <w:r w:rsidRPr="00F52C10">
        <w:rPr>
          <w:lang w:val="es-ES_tradnl" w:eastAsia="zh-CN"/>
        </w:rPr>
        <w:t xml:space="preserve">a Oficina enviará inmediatamente un telegrama o fax a la administración que ha presentado la notificación con arreglo al </w:t>
      </w:r>
      <w:r w:rsidRPr="00F52C10">
        <w:rPr>
          <w:lang w:val="es-ES_tradnl"/>
        </w:rPr>
        <w:t xml:space="preserve">§ 6.1, </w:t>
      </w:r>
      <w:r w:rsidRPr="00F52C10">
        <w:rPr>
          <w:lang w:val="es-ES_tradnl" w:eastAsia="zh-CN"/>
        </w:rPr>
        <w:t>señalando a su atención la necesidad de buscar y obtener el acuerdo de aquellas administraciones que se hayan identificado en la Sección especial de la BR IFIC publicada en virtud del § 6.7.</w:t>
      </w:r>
    </w:p>
    <w:p w14:paraId="107EB0B4" w14:textId="77777777" w:rsidR="00B82F75" w:rsidRPr="00F52C10" w:rsidRDefault="00B82F75" w:rsidP="00E4628E">
      <w:pPr>
        <w:spacing w:line="276" w:lineRule="auto"/>
        <w:rPr>
          <w:b/>
          <w:lang w:val="es-ES_tradnl"/>
        </w:rPr>
      </w:pPr>
      <w:r w:rsidRPr="00F52C10">
        <w:rPr>
          <w:bCs/>
          <w:color w:val="000000"/>
          <w:lang w:val="es-ES_tradnl"/>
        </w:rPr>
        <w:t>6.9</w:t>
      </w:r>
      <w:r w:rsidRPr="00F52C10">
        <w:rPr>
          <w:bCs/>
          <w:color w:val="000000"/>
          <w:lang w:val="es-ES_tradnl"/>
        </w:rPr>
        <w:tab/>
      </w:r>
      <w:r w:rsidRPr="00F52C10">
        <w:rPr>
          <w:szCs w:val="24"/>
          <w:lang w:val="es-ES_tradnl" w:eastAsia="zh-CN"/>
        </w:rPr>
        <w:t xml:space="preserve">La Oficina también enviará un telegrama o fax a cada administración que figura en la Sección especial de la BR IFIC publicada con arreglo al </w:t>
      </w:r>
      <w:r w:rsidRPr="00F52C10">
        <w:rPr>
          <w:lang w:val="es-ES_tradnl"/>
        </w:rPr>
        <w:t>§ 6.7, señalando a su atención la información que ésta contiene.</w:t>
      </w:r>
    </w:p>
    <w:p w14:paraId="674DA2DC" w14:textId="77777777" w:rsidR="00B82F75" w:rsidRPr="00F52C10" w:rsidRDefault="00B82F75" w:rsidP="00E4628E">
      <w:pPr>
        <w:spacing w:line="276" w:lineRule="auto"/>
        <w:rPr>
          <w:lang w:val="es-ES_tradnl"/>
        </w:rPr>
      </w:pPr>
      <w:r w:rsidRPr="00F52C10">
        <w:rPr>
          <w:bCs/>
          <w:color w:val="000000"/>
          <w:lang w:val="es-ES_tradnl"/>
        </w:rPr>
        <w:t>6.10</w:t>
      </w:r>
      <w:r w:rsidRPr="00F52C10">
        <w:rPr>
          <w:bCs/>
          <w:color w:val="000000"/>
          <w:lang w:val="es-ES_tradnl"/>
        </w:rPr>
        <w:tab/>
      </w:r>
      <w:r w:rsidRPr="00F52C10">
        <w:rPr>
          <w:lang w:val="es-ES_tradnl"/>
        </w:rPr>
        <w:t xml:space="preserve">Las administraciones que se identifican como afectadas en virtud del § 6.5 en la Sección especial de la BR IFIC publicada conforme al § 6.7 enviarán sus observaciones a la Oficina y a la administración que presentó la notificación con arreglo al </w:t>
      </w:r>
      <w:r w:rsidRPr="00F52C10">
        <w:rPr>
          <w:lang w:val="es-ES_tradnl" w:eastAsia="zh-CN"/>
        </w:rPr>
        <w:t>§ 6.1,</w:t>
      </w:r>
      <w:r w:rsidRPr="00F52C10">
        <w:rPr>
          <w:lang w:val="es-ES_tradnl"/>
        </w:rPr>
        <w:t xml:space="preserve"> ya sea directamente o a través de la Oficina, en el plazo de cuatro (4) meses a partir de la fecha de publicación en la BR IFIC. Si una administración no contesta en este plazo de cuatro meses, se considerará que no aprueba la asignación propuesta, a no ser que se apliquen las disposiciones de los § 6.13 a 6.15.</w:t>
      </w:r>
    </w:p>
    <w:p w14:paraId="286DB7FA" w14:textId="77777777" w:rsidR="00B82F75" w:rsidRPr="00F52C10" w:rsidRDefault="00B82F75" w:rsidP="00E4628E">
      <w:pPr>
        <w:spacing w:line="276" w:lineRule="auto"/>
        <w:rPr>
          <w:lang w:val="es-ES_tradnl"/>
        </w:rPr>
      </w:pPr>
      <w:r w:rsidRPr="00F52C10">
        <w:rPr>
          <w:lang w:val="es-ES_tradnl"/>
        </w:rPr>
        <w:t>En el caso de una administración que haya solicitado la asistencia de la Oficina, el mencionado plazo de cuatro meses se deberá prorrogar un máximo de treinta días desde la fecha en la que la Oficina comunique el resultado de su intervención.</w:t>
      </w:r>
    </w:p>
    <w:p w14:paraId="1437B46F" w14:textId="77777777" w:rsidR="00B82F75" w:rsidRPr="00F52C10" w:rsidRDefault="00B82F75" w:rsidP="00E4628E">
      <w:pPr>
        <w:spacing w:line="276" w:lineRule="auto"/>
        <w:rPr>
          <w:lang w:val="es-ES_tradnl"/>
        </w:rPr>
      </w:pPr>
      <w:r w:rsidRPr="00F52C10">
        <w:rPr>
          <w:bCs/>
          <w:color w:val="000000"/>
          <w:lang w:val="es-ES_tradnl"/>
        </w:rPr>
        <w:lastRenderedPageBreak/>
        <w:t>6.11</w:t>
      </w:r>
      <w:r w:rsidRPr="00F52C10">
        <w:rPr>
          <w:bCs/>
          <w:color w:val="000000"/>
          <w:lang w:val="es-ES_tradnl"/>
        </w:rPr>
        <w:tab/>
      </w:r>
      <w:r w:rsidRPr="00F52C10">
        <w:rPr>
          <w:lang w:val="es-ES_tradnl"/>
        </w:rPr>
        <w:t xml:space="preserve">Treinta días antes de que se cumpla este plazo de cuatro (4) meses, la Oficina enviará, por telegrama o fax, un recordatorio a cada administración enumerada en la Sección especial publicada con arreglo al </w:t>
      </w:r>
      <w:r w:rsidRPr="00F52C10">
        <w:rPr>
          <w:lang w:val="es-ES_tradnl" w:eastAsia="zh-CN"/>
        </w:rPr>
        <w:t>§ 6.7</w:t>
      </w:r>
      <w:r w:rsidRPr="00F52C10">
        <w:rPr>
          <w:lang w:val="es-ES_tradnl"/>
        </w:rPr>
        <w:t xml:space="preserve"> que no haya formulado sus observaciones en virtud del § 6.10, señalando este asunto a su atención.</w:t>
      </w:r>
    </w:p>
    <w:p w14:paraId="3811CC28" w14:textId="77777777" w:rsidR="00B82F75" w:rsidRPr="00F52C10" w:rsidRDefault="00B82F75" w:rsidP="00E4628E">
      <w:pPr>
        <w:spacing w:line="276" w:lineRule="auto"/>
        <w:rPr>
          <w:lang w:val="es-ES_tradnl"/>
        </w:rPr>
      </w:pPr>
      <w:r w:rsidRPr="00F52C10">
        <w:rPr>
          <w:lang w:val="es-ES_tradnl"/>
        </w:rPr>
        <w:br w:type="page"/>
      </w:r>
    </w:p>
    <w:p w14:paraId="1DD1FF76" w14:textId="77777777" w:rsidR="00B82F75" w:rsidRPr="00F52C10" w:rsidRDefault="00B82F75" w:rsidP="00E4628E">
      <w:pPr>
        <w:spacing w:line="276" w:lineRule="auto"/>
        <w:rPr>
          <w:lang w:val="es-ES_tradnl"/>
        </w:rPr>
      </w:pPr>
      <w:r w:rsidRPr="00F52C10">
        <w:rPr>
          <w:bCs/>
          <w:color w:val="000000"/>
          <w:lang w:val="es-ES_tradnl"/>
        </w:rPr>
        <w:lastRenderedPageBreak/>
        <w:t>6.12</w:t>
      </w:r>
      <w:r w:rsidRPr="00F52C10">
        <w:rPr>
          <w:bCs/>
          <w:color w:val="000000"/>
          <w:lang w:val="es-ES_tradnl"/>
        </w:rPr>
        <w:tab/>
      </w:r>
      <w:r w:rsidRPr="00F52C10">
        <w:rPr>
          <w:lang w:val="es-ES_tradnl"/>
        </w:rPr>
        <w:t>Cuando una administración considere que debe ser identificada como administración afectada en la publicación mencionada en el § 6.7 deberá solicitar a la Oficina, en el plazo de cuatro (4) meses a partir de la fecha de publicación de la BR IFIC pertinente, que incluya su nombre en la publicación manifestando las razones correspondientes. La Oficina estudiará esta información de acuerdo con el Anexo </w:t>
      </w:r>
      <w:r w:rsidRPr="00F52C10">
        <w:rPr>
          <w:bCs/>
          <w:lang w:val="es-ES_tradnl"/>
        </w:rPr>
        <w:t>4</w:t>
      </w:r>
      <w:r w:rsidRPr="00F52C10">
        <w:rPr>
          <w:lang w:val="es-ES_tradnl"/>
        </w:rPr>
        <w:t xml:space="preserve"> y transmitirá sus conclusiones a la administración afectada y a la administración que presentó la notificación. De acceder a la solicitud de la administración, la Oficina publicará un addéndum a la publicación del § 6.7.</w:t>
      </w:r>
    </w:p>
    <w:p w14:paraId="1C421F0C" w14:textId="77777777" w:rsidR="00B82F75" w:rsidRPr="00F52C10" w:rsidRDefault="00B82F75" w:rsidP="00E4628E">
      <w:pPr>
        <w:spacing w:line="276" w:lineRule="auto"/>
        <w:rPr>
          <w:lang w:val="es-ES_tradnl"/>
        </w:rPr>
      </w:pPr>
      <w:r w:rsidRPr="00F52C10">
        <w:rPr>
          <w:lang w:val="es-ES_tradnl"/>
        </w:rPr>
        <w:t>6.13</w:t>
      </w:r>
      <w:r w:rsidRPr="00F52C10">
        <w:rPr>
          <w:lang w:val="es-ES_tradnl"/>
        </w:rPr>
        <w:tab/>
        <w:t>Después del plazo especificado en § 6.10, la administración notificante podrá solicitar la asistencia de la Oficina en lo relativo a los trámites con una administración que no hubiera respondido en dicho plazo.</w:t>
      </w:r>
    </w:p>
    <w:p w14:paraId="2FADC648" w14:textId="77777777" w:rsidR="00B82F75" w:rsidRPr="00F52C10" w:rsidRDefault="00B82F75" w:rsidP="00E4628E">
      <w:pPr>
        <w:spacing w:line="276" w:lineRule="auto"/>
        <w:rPr>
          <w:lang w:val="es-ES_tradnl"/>
        </w:rPr>
      </w:pPr>
      <w:r w:rsidRPr="00F52C10">
        <w:rPr>
          <w:lang w:val="es-ES_tradnl"/>
        </w:rPr>
        <w:t>6.14</w:t>
      </w:r>
      <w:r w:rsidRPr="00F52C10">
        <w:rPr>
          <w:lang w:val="es-ES_tradnl"/>
        </w:rPr>
        <w:tab/>
        <w:t xml:space="preserve">Cuando reciba una solicitud de asistencia con arreglo al § 6.13, la Oficina enviará un recordatorio a la administración que no ha contestado, además de los resultados de su análisis de compatibilidad con los valores/límites indicados en el párrafo 2.3 del Anexo 4 al Apéndice </w:t>
      </w:r>
      <w:r w:rsidRPr="00F52C10">
        <w:rPr>
          <w:b/>
          <w:bCs/>
          <w:lang w:val="es-ES_tradnl"/>
        </w:rPr>
        <w:t>30B</w:t>
      </w:r>
      <w:r w:rsidRPr="00F52C10">
        <w:rPr>
          <w:lang w:val="es-ES_tradnl"/>
        </w:rPr>
        <w:t>, para pedirle que comunique su decisión.</w:t>
      </w:r>
      <w:r w:rsidRPr="00F52C10">
        <w:rPr>
          <w:color w:val="000000"/>
          <w:sz w:val="16"/>
          <w:lang w:val="es-ES_tradnl"/>
        </w:rPr>
        <w:t>     (CMR</w:t>
      </w:r>
      <w:r w:rsidRPr="00F52C10">
        <w:rPr>
          <w:color w:val="000000"/>
          <w:sz w:val="16"/>
          <w:lang w:val="es-ES_tradnl"/>
        </w:rPr>
        <w:noBreakHyphen/>
        <w:t>15)</w:t>
      </w:r>
    </w:p>
    <w:p w14:paraId="389C9777" w14:textId="77777777" w:rsidR="00B82F75" w:rsidRPr="00F52C10" w:rsidRDefault="00B82F75" w:rsidP="00E4628E">
      <w:pPr>
        <w:spacing w:line="276" w:lineRule="auto"/>
        <w:rPr>
          <w:lang w:val="es-ES_tradnl"/>
        </w:rPr>
      </w:pPr>
      <w:r w:rsidRPr="00F52C10">
        <w:rPr>
          <w:lang w:val="es-ES_tradnl"/>
        </w:rPr>
        <w:t>6.14</w:t>
      </w:r>
      <w:r w:rsidRPr="00F52C10">
        <w:rPr>
          <w:i/>
          <w:iCs/>
          <w:lang w:val="es-ES_tradnl"/>
        </w:rPr>
        <w:t>bis</w:t>
      </w:r>
      <w:r w:rsidRPr="00F52C10">
        <w:rPr>
          <w:i/>
          <w:iCs/>
          <w:lang w:val="es-ES_tradnl"/>
        </w:rPr>
        <w:tab/>
      </w:r>
      <w:r w:rsidRPr="00F52C10">
        <w:rPr>
          <w:lang w:val="es-ES_tradnl"/>
        </w:rPr>
        <w:t>Quince días antes de que expire el plazo de treinta días señalado en el § 6.15, la Oficina enviará un recordatorio a la administración mencionada, señalando a su atención las consecuencias en caso de que no responda.</w:t>
      </w:r>
    </w:p>
    <w:p w14:paraId="6A6B8BDE" w14:textId="77777777" w:rsidR="00B82F75" w:rsidRPr="00F52C10" w:rsidRDefault="00B82F75" w:rsidP="00E4628E">
      <w:pPr>
        <w:spacing w:line="276" w:lineRule="auto"/>
        <w:rPr>
          <w:lang w:val="es-ES_tradnl"/>
        </w:rPr>
      </w:pPr>
      <w:r w:rsidRPr="00F52C10">
        <w:rPr>
          <w:lang w:val="es-ES_tradnl"/>
        </w:rPr>
        <w:t>6.15</w:t>
      </w:r>
      <w:r w:rsidRPr="00F52C10">
        <w:rPr>
          <w:lang w:val="es-ES_tradnl"/>
        </w:rPr>
        <w:tab/>
        <w:t>Si no se comunica ninguna decisión a la Oficina en un plazo de treinta días desde la fecha de envío del recordatorio mencionado en § 6.14, se considerará que la administración que no responde está de acuerdo con la asignación propuesta.</w:t>
      </w:r>
    </w:p>
    <w:p w14:paraId="3AE1A31C" w14:textId="77777777" w:rsidR="00B82F75" w:rsidRPr="00F52C10" w:rsidRDefault="00B82F75" w:rsidP="00E4628E">
      <w:pPr>
        <w:spacing w:line="276" w:lineRule="auto"/>
        <w:rPr>
          <w:b/>
          <w:lang w:val="es-ES_tradnl"/>
        </w:rPr>
      </w:pPr>
      <w:r w:rsidRPr="00F52C10">
        <w:rPr>
          <w:bCs/>
          <w:color w:val="000000"/>
          <w:lang w:val="es-ES_tradnl"/>
        </w:rPr>
        <w:t>6.16</w:t>
      </w:r>
      <w:r w:rsidRPr="00F52C10">
        <w:rPr>
          <w:bCs/>
          <w:color w:val="000000"/>
          <w:lang w:val="es-ES_tradnl"/>
        </w:rPr>
        <w:tab/>
      </w:r>
      <w:r w:rsidRPr="00F52C10">
        <w:rPr>
          <w:lang w:val="es-ES_tradnl" w:eastAsia="zh-CN"/>
        </w:rPr>
        <w:t>Una administración podrá, en cualquier momento durante el mencionado plazo de cuatro meses, o después del mismo, comunicar a la Oficina su objeción a ser incluida en la zona de servicio de cualquier asignación</w:t>
      </w:r>
      <w:r w:rsidRPr="00F52C10">
        <w:rPr>
          <w:lang w:val="es-ES_tradnl"/>
        </w:rPr>
        <w:t>, aun cuando esta asignación se haya inscrito en la Lista. La Oficina informará a la administración responsable de la asignación al respecto y excluirá de la zona de servicio el territorio y los puntos de prueba situados dentro del territorio de la administración que presentó la objeción. La Oficina actualizará la situación de referencia sin analizar los exámenes anteriores.</w:t>
      </w:r>
    </w:p>
    <w:p w14:paraId="7D3B2C61" w14:textId="77777777" w:rsidR="00B82F75" w:rsidRPr="00F52C10" w:rsidRDefault="00B82F75" w:rsidP="00E4628E">
      <w:pPr>
        <w:spacing w:line="276" w:lineRule="auto"/>
        <w:rPr>
          <w:rStyle w:val="Appref"/>
          <w:bCs/>
          <w:szCs w:val="24"/>
          <w:lang w:val="es-ES_tradnl"/>
        </w:rPr>
      </w:pPr>
      <w:r w:rsidRPr="00F52C10">
        <w:rPr>
          <w:bCs/>
          <w:color w:val="000000"/>
          <w:lang w:val="es-ES_tradnl"/>
        </w:rPr>
        <w:t>6.17</w:t>
      </w:r>
      <w:r w:rsidRPr="00F52C10">
        <w:rPr>
          <w:bCs/>
          <w:color w:val="000000"/>
          <w:lang w:val="es-ES_tradnl"/>
        </w:rPr>
        <w:tab/>
        <w:t>Si hay acuerdos con las administraciones publicados conforme al § 6.7, la</w:t>
      </w:r>
      <w:r w:rsidRPr="00F52C10">
        <w:rPr>
          <w:lang w:val="es-ES_tradnl"/>
        </w:rPr>
        <w:t xml:space="preserve"> administración que propone la asignación nueva o modificada podrá solicitar a la Oficina la inscripción de la asignación en la Lista, indicando las características definitivas de la asignación de frecuencias junto con los nombres de las administraciones cuyo acuerdo se haya obtenido. A tal efecto, enviará a la Oficina la información especificada en el Apéndice </w:t>
      </w:r>
      <w:r w:rsidRPr="00F52C10">
        <w:rPr>
          <w:rStyle w:val="Appref"/>
          <w:b/>
          <w:bCs/>
          <w:szCs w:val="24"/>
          <w:lang w:val="es-ES_tradnl"/>
        </w:rPr>
        <w:t>4</w:t>
      </w:r>
      <w:r w:rsidRPr="00F52C10">
        <w:rPr>
          <w:rStyle w:val="Appref"/>
          <w:bCs/>
          <w:szCs w:val="24"/>
          <w:lang w:val="es-ES_tradnl"/>
        </w:rPr>
        <w:t xml:space="preserve">. Al presentar la notificación, la administración podrá solicitar a la Oficina que la examine con arreglo a los § 6.19, 6.21 y 6.22 (inscripción en la Lista) y </w:t>
      </w:r>
      <w:r w:rsidRPr="00F52C10">
        <w:rPr>
          <w:lang w:val="es-ES_tradnl"/>
        </w:rPr>
        <w:t xml:space="preserve">posteriormente la notificación presentada por separado en virtud del </w:t>
      </w:r>
      <w:r w:rsidRPr="00F52C10">
        <w:rPr>
          <w:rStyle w:val="Appref"/>
          <w:bCs/>
          <w:szCs w:val="24"/>
          <w:lang w:val="es-ES_tradnl"/>
        </w:rPr>
        <w:t>Artículo 8 del presente Apéndice (notificación).</w:t>
      </w:r>
      <w:r w:rsidRPr="00F52C10">
        <w:rPr>
          <w:color w:val="000000"/>
          <w:sz w:val="16"/>
          <w:lang w:val="es-ES_tradnl"/>
        </w:rPr>
        <w:t>     (CMR</w:t>
      </w:r>
      <w:r w:rsidRPr="00F52C10">
        <w:rPr>
          <w:color w:val="000000"/>
          <w:sz w:val="16"/>
          <w:lang w:val="es-ES_tradnl"/>
        </w:rPr>
        <w:noBreakHyphen/>
        <w:t>15)</w:t>
      </w:r>
    </w:p>
    <w:p w14:paraId="622282D1" w14:textId="77777777" w:rsidR="00B82F75" w:rsidRPr="00F52C10" w:rsidRDefault="00B82F75" w:rsidP="00E4628E">
      <w:pPr>
        <w:spacing w:line="276" w:lineRule="auto"/>
        <w:rPr>
          <w:szCs w:val="24"/>
          <w:lang w:val="es-ES_tradnl"/>
        </w:rPr>
      </w:pPr>
      <w:r w:rsidRPr="00F52C10">
        <w:rPr>
          <w:bCs/>
          <w:color w:val="000000"/>
          <w:lang w:val="es-ES_tradnl"/>
        </w:rPr>
        <w:t>6.18</w:t>
      </w:r>
      <w:r w:rsidRPr="00F52C10">
        <w:rPr>
          <w:bCs/>
          <w:color w:val="000000"/>
          <w:lang w:val="es-ES_tradnl"/>
        </w:rPr>
        <w:tab/>
      </w:r>
      <w:r w:rsidRPr="00F52C10">
        <w:rPr>
          <w:lang w:val="es-ES_tradnl"/>
        </w:rPr>
        <w:t>Si la información recibida en virtud del § 6.17 está incompleta, la Oficina solicitará inmediatamente a la administración correspondiente las aclaraciones pertinentes y la información no presentada</w:t>
      </w:r>
      <w:r w:rsidRPr="00F52C10">
        <w:rPr>
          <w:szCs w:val="24"/>
          <w:lang w:val="es-ES_tradnl"/>
        </w:rPr>
        <w:t>.</w:t>
      </w:r>
    </w:p>
    <w:p w14:paraId="6101763F" w14:textId="77777777" w:rsidR="00B82F75" w:rsidRPr="00F52C10" w:rsidRDefault="00B82F75" w:rsidP="00E4628E">
      <w:pPr>
        <w:spacing w:line="276" w:lineRule="auto"/>
        <w:rPr>
          <w:lang w:val="es-ES_tradnl" w:eastAsia="zh-CN"/>
        </w:rPr>
      </w:pPr>
      <w:r w:rsidRPr="00F52C10">
        <w:rPr>
          <w:bCs/>
          <w:color w:val="000000"/>
          <w:lang w:val="es-ES_tradnl"/>
        </w:rPr>
        <w:t>6.19</w:t>
      </w:r>
      <w:r w:rsidRPr="00F52C10">
        <w:rPr>
          <w:bCs/>
          <w:color w:val="000000"/>
          <w:lang w:val="es-ES_tradnl"/>
        </w:rPr>
        <w:tab/>
      </w:r>
      <w:r w:rsidRPr="00F52C10">
        <w:rPr>
          <w:lang w:val="es-ES_tradnl" w:eastAsia="zh-CN"/>
        </w:rPr>
        <w:t xml:space="preserve">Cuando reciba una notificación completa con arreglo al </w:t>
      </w:r>
      <w:r w:rsidRPr="00F52C10">
        <w:rPr>
          <w:rStyle w:val="Appref"/>
          <w:bCs/>
          <w:szCs w:val="24"/>
          <w:lang w:val="es-ES_tradnl"/>
        </w:rPr>
        <w:t>§ 6.17</w:t>
      </w:r>
      <w:r w:rsidRPr="00F52C10">
        <w:rPr>
          <w:lang w:val="es-ES_tradnl" w:eastAsia="zh-CN"/>
        </w:rPr>
        <w:t>, la Oficina examinará cada una de las asignaciones de la notificación:</w:t>
      </w:r>
    </w:p>
    <w:p w14:paraId="1022456D" w14:textId="77777777" w:rsidR="00B82F75" w:rsidRPr="00F52C10" w:rsidRDefault="00B82F75" w:rsidP="00E4628E">
      <w:pPr>
        <w:pStyle w:val="enumlev1"/>
        <w:spacing w:line="276" w:lineRule="auto"/>
        <w:rPr>
          <w:lang w:val="es-ES_tradnl" w:eastAsia="zh-CN"/>
        </w:rPr>
      </w:pPr>
      <w:r w:rsidRPr="00F52C10">
        <w:rPr>
          <w:i/>
          <w:iCs/>
          <w:lang w:val="es-ES_tradnl" w:eastAsia="zh-CN"/>
        </w:rPr>
        <w:t>a)</w:t>
      </w:r>
      <w:r w:rsidRPr="00F52C10">
        <w:rPr>
          <w:lang w:val="es-ES_tradnl" w:eastAsia="zh-CN"/>
        </w:rPr>
        <w:tab/>
        <w:t xml:space="preserve">con respecto a la obligación por parte de la administración notificante de buscar el acuerdo de las administraciones identificadas en el </w:t>
      </w:r>
      <w:r w:rsidRPr="00F52C10">
        <w:rPr>
          <w:lang w:val="es-ES_tradnl"/>
        </w:rPr>
        <w:t>§ 6.6;</w:t>
      </w:r>
    </w:p>
    <w:p w14:paraId="0DCE27B7" w14:textId="77777777" w:rsidR="00B82F75" w:rsidRPr="00F52C10" w:rsidRDefault="00B82F75" w:rsidP="00E4628E">
      <w:pPr>
        <w:spacing w:line="276" w:lineRule="auto"/>
        <w:rPr>
          <w:lang w:val="es-ES_tradnl"/>
        </w:rPr>
      </w:pPr>
      <w:r w:rsidRPr="00F52C10">
        <w:rPr>
          <w:lang w:val="es-ES_tradnl"/>
        </w:rPr>
        <w:br w:type="page"/>
      </w:r>
    </w:p>
    <w:p w14:paraId="38D6450A" w14:textId="77777777" w:rsidR="00B82F75" w:rsidRPr="00F52C10" w:rsidRDefault="00B82F75" w:rsidP="00E4628E">
      <w:pPr>
        <w:pStyle w:val="enumlev1"/>
        <w:spacing w:line="276" w:lineRule="auto"/>
        <w:rPr>
          <w:lang w:val="es-ES_tradnl"/>
        </w:rPr>
      </w:pPr>
      <w:r w:rsidRPr="00F52C10">
        <w:rPr>
          <w:i/>
          <w:iCs/>
          <w:lang w:val="es-ES_tradnl"/>
        </w:rPr>
        <w:lastRenderedPageBreak/>
        <w:t>b)</w:t>
      </w:r>
      <w:r w:rsidRPr="00F52C10">
        <w:rPr>
          <w:lang w:val="es-ES_tradnl"/>
        </w:rPr>
        <w:tab/>
        <w:t>en cuanto a su conformidad respecto al Cuadro de atribución de bandas de frecuencias y demás disposiciones</w:t>
      </w:r>
      <w:r w:rsidRPr="00F52C10">
        <w:rPr>
          <w:rStyle w:val="Refdenotaalpie"/>
          <w:lang w:val="es-ES_tradnl"/>
        </w:rPr>
        <w:t>7</w:t>
      </w:r>
      <w:r w:rsidRPr="00F52C10">
        <w:rPr>
          <w:rStyle w:val="Refdenotaalpie"/>
          <w:color w:val="FFFFFF" w:themeColor="background1"/>
          <w:lang w:val="es-ES_tradnl"/>
        </w:rPr>
        <w:footnoteReference w:customMarkFollows="1" w:id="17"/>
        <w:t>7</w:t>
      </w:r>
      <w:r w:rsidRPr="00F52C10">
        <w:rPr>
          <w:lang w:val="es-ES_tradnl"/>
        </w:rPr>
        <w:t xml:space="preserve"> del Reglamento de Radiocomunicaciones, a excepción de las disposiciones relativas a la conformidad respecto al Plan de servicio fijo por satélite; </w:t>
      </w:r>
      <w:r w:rsidRPr="00F52C10">
        <w:rPr>
          <w:i/>
          <w:iCs/>
          <w:lang w:val="es-ES_tradnl"/>
        </w:rPr>
        <w:t>y</w:t>
      </w:r>
    </w:p>
    <w:p w14:paraId="0F2354E5" w14:textId="77777777" w:rsidR="00B82F75" w:rsidRPr="00F52C10" w:rsidRDefault="00B82F75" w:rsidP="00E4628E">
      <w:pPr>
        <w:pStyle w:val="enumlev1"/>
        <w:spacing w:line="276" w:lineRule="auto"/>
        <w:rPr>
          <w:lang w:val="es-ES_tradnl"/>
        </w:rPr>
      </w:pPr>
      <w:r w:rsidRPr="00F52C10">
        <w:rPr>
          <w:i/>
          <w:iCs/>
          <w:lang w:val="es-ES_tradnl"/>
        </w:rPr>
        <w:t>c)</w:t>
      </w:r>
      <w:r w:rsidRPr="00F52C10">
        <w:rPr>
          <w:lang w:val="es-ES_tradnl"/>
        </w:rPr>
        <w:tab/>
        <w:t>en cuanto a su conformidad respecto al Anexo 3 de este Apéndice.</w:t>
      </w:r>
    </w:p>
    <w:p w14:paraId="597C9AE0" w14:textId="77777777" w:rsidR="00B82F75" w:rsidRPr="00F52C10" w:rsidRDefault="00B82F75" w:rsidP="00E4628E">
      <w:pPr>
        <w:spacing w:line="276" w:lineRule="auto"/>
        <w:rPr>
          <w:b/>
          <w:lang w:val="es-ES_tradnl"/>
        </w:rPr>
      </w:pPr>
      <w:r w:rsidRPr="00F52C10">
        <w:rPr>
          <w:bCs/>
          <w:color w:val="000000"/>
          <w:lang w:val="es-ES_tradnl"/>
        </w:rPr>
        <w:t>6.20</w:t>
      </w:r>
      <w:r w:rsidRPr="00F52C10">
        <w:rPr>
          <w:bCs/>
          <w:color w:val="000000"/>
          <w:lang w:val="es-ES_tradnl"/>
        </w:rPr>
        <w:tab/>
      </w:r>
      <w:r w:rsidRPr="00F52C10">
        <w:rPr>
          <w:lang w:val="es-ES_tradnl" w:eastAsia="zh-CN"/>
        </w:rPr>
        <w:t xml:space="preserve">Cuando el examen respecto al § 6.19 de una notificación recibida con arreglo al § 6.17 dé lugar a una conclusión desfavorable, la notificación se devolverá a la administración notificante con una indicación de que </w:t>
      </w:r>
      <w:r w:rsidRPr="00F52C10">
        <w:rPr>
          <w:lang w:val="es-ES_tradnl"/>
        </w:rPr>
        <w:t xml:space="preserve">la notificación que se presente de nuevo posteriormente </w:t>
      </w:r>
      <w:r w:rsidRPr="00F52C10">
        <w:rPr>
          <w:lang w:val="es-ES_tradnl" w:eastAsia="zh-CN"/>
        </w:rPr>
        <w:t xml:space="preserve">con arreglo al § 6.17 </w:t>
      </w:r>
      <w:r w:rsidRPr="00F52C10">
        <w:rPr>
          <w:lang w:val="es-ES_tradnl"/>
        </w:rPr>
        <w:t>se examinará con una nueva fecha de recepción</w:t>
      </w:r>
      <w:r w:rsidRPr="00F52C10">
        <w:rPr>
          <w:lang w:val="es-ES_tradnl" w:eastAsia="zh-CN"/>
        </w:rPr>
        <w:t>.</w:t>
      </w:r>
    </w:p>
    <w:p w14:paraId="1C4E5A5F" w14:textId="77777777" w:rsidR="00B82F75" w:rsidRPr="00F52C10" w:rsidRDefault="00B82F75" w:rsidP="00E4628E">
      <w:pPr>
        <w:spacing w:line="276" w:lineRule="auto"/>
        <w:rPr>
          <w:lang w:val="es-ES_tradnl"/>
        </w:rPr>
      </w:pPr>
      <w:r w:rsidRPr="00F52C10">
        <w:rPr>
          <w:bCs/>
          <w:color w:val="000000"/>
          <w:lang w:val="es-ES_tradnl"/>
        </w:rPr>
        <w:t>6.21</w:t>
      </w:r>
      <w:r w:rsidRPr="00F52C10">
        <w:rPr>
          <w:bCs/>
          <w:color w:val="000000"/>
          <w:lang w:val="es-ES_tradnl"/>
        </w:rPr>
        <w:tab/>
      </w:r>
      <w:r w:rsidRPr="00F52C10">
        <w:rPr>
          <w:szCs w:val="24"/>
          <w:lang w:val="es-ES_tradnl" w:eastAsia="zh-CN"/>
        </w:rPr>
        <w:t xml:space="preserve">Cuando el examen respecto al § 6.19 de una notificación recibida con arreglo al § 6.17 dé lugar a una conclusión </w:t>
      </w:r>
      <w:r w:rsidRPr="00F52C10">
        <w:rPr>
          <w:lang w:val="es-ES_tradnl"/>
        </w:rPr>
        <w:t>favorable, la Oficina aplicará el método del Anexo </w:t>
      </w:r>
      <w:r w:rsidRPr="00F52C10">
        <w:rPr>
          <w:bCs/>
          <w:lang w:val="es-ES_tradnl"/>
        </w:rPr>
        <w:t>4</w:t>
      </w:r>
      <w:r w:rsidRPr="00F52C10">
        <w:rPr>
          <w:lang w:val="es-ES_tradnl"/>
        </w:rPr>
        <w:t xml:space="preserve"> para examinar si las administraciones afectadas y las correspondientes:</w:t>
      </w:r>
    </w:p>
    <w:p w14:paraId="04ED9D92" w14:textId="77777777" w:rsidR="00B82F75" w:rsidRPr="00F52C10" w:rsidRDefault="00B82F75" w:rsidP="00E4628E">
      <w:pPr>
        <w:pStyle w:val="enumlev1"/>
        <w:spacing w:line="276" w:lineRule="auto"/>
        <w:rPr>
          <w:lang w:val="es-ES_tradnl"/>
        </w:rPr>
      </w:pPr>
      <w:r w:rsidRPr="00F52C10">
        <w:rPr>
          <w:i/>
          <w:iCs/>
          <w:lang w:val="es-ES_tradnl"/>
        </w:rPr>
        <w:t>a)</w:t>
      </w:r>
      <w:r w:rsidRPr="00F52C10">
        <w:rPr>
          <w:lang w:val="es-ES_tradnl"/>
        </w:rPr>
        <w:tab/>
        <w:t>adjudicaciones del Plan;</w:t>
      </w:r>
    </w:p>
    <w:p w14:paraId="2AC2A037" w14:textId="77777777" w:rsidR="00B82F75" w:rsidRPr="00F52C10" w:rsidRDefault="00B82F75" w:rsidP="00E4628E">
      <w:pPr>
        <w:pStyle w:val="enumlev1"/>
        <w:spacing w:line="276" w:lineRule="auto"/>
        <w:rPr>
          <w:lang w:val="es-ES_tradnl"/>
        </w:rPr>
      </w:pPr>
      <w:r w:rsidRPr="00F52C10">
        <w:rPr>
          <w:i/>
          <w:iCs/>
          <w:lang w:val="es-ES_tradnl"/>
        </w:rPr>
        <w:t>b)</w:t>
      </w:r>
      <w:r w:rsidRPr="00F52C10">
        <w:rPr>
          <w:lang w:val="es-ES_tradnl"/>
        </w:rPr>
        <w:tab/>
        <w:t xml:space="preserve">asignaciones que figuran en la Lista en la fecha de recepción de la notificación examinada presentada en virtud del </w:t>
      </w:r>
      <w:r w:rsidRPr="00F52C10">
        <w:rPr>
          <w:szCs w:val="24"/>
          <w:lang w:val="es-ES_tradnl" w:eastAsia="zh-CN"/>
        </w:rPr>
        <w:t>§ 6.1</w:t>
      </w:r>
      <w:r w:rsidRPr="00F52C10">
        <w:rPr>
          <w:lang w:val="es-ES_tradnl"/>
        </w:rPr>
        <w:t>;</w:t>
      </w:r>
    </w:p>
    <w:p w14:paraId="07891DF9" w14:textId="77777777" w:rsidR="00B82F75" w:rsidRPr="00F52C10" w:rsidRDefault="00B82F75" w:rsidP="00E4628E">
      <w:pPr>
        <w:pStyle w:val="enumlev1"/>
        <w:spacing w:line="276" w:lineRule="auto"/>
        <w:rPr>
          <w:lang w:val="es-ES_tradnl"/>
        </w:rPr>
      </w:pPr>
      <w:r w:rsidRPr="00F52C10">
        <w:rPr>
          <w:i/>
          <w:iCs/>
          <w:lang w:val="es-ES_tradnl"/>
        </w:rPr>
        <w:t>c)</w:t>
      </w:r>
      <w:r w:rsidRPr="00F52C10">
        <w:rPr>
          <w:lang w:val="es-ES_tradnl"/>
        </w:rPr>
        <w:tab/>
        <w:t xml:space="preserve">asignaciones para las cuales la Oficina haya recibido previamente la información completa de conformidad con el </w:t>
      </w:r>
      <w:r w:rsidRPr="00F52C10">
        <w:rPr>
          <w:szCs w:val="24"/>
          <w:lang w:val="es-ES_tradnl"/>
        </w:rPr>
        <w:t>§ 6.1</w:t>
      </w:r>
      <w:r w:rsidRPr="00F52C10">
        <w:rPr>
          <w:lang w:val="es-ES_tradnl"/>
        </w:rPr>
        <w:t xml:space="preserve"> y haya efectuado el examen prescrito en § 6.5 de este Artículo en la fecha de recepción de la notificación examinada presentada en virtud del </w:t>
      </w:r>
      <w:r w:rsidRPr="00F52C10">
        <w:rPr>
          <w:szCs w:val="24"/>
          <w:lang w:val="es-ES_tradnl" w:eastAsia="zh-CN"/>
        </w:rPr>
        <w:t>§ 6.1</w:t>
      </w:r>
      <w:r w:rsidRPr="00F52C10">
        <w:rPr>
          <w:lang w:val="es-ES_tradnl"/>
        </w:rPr>
        <w:t>;</w:t>
      </w:r>
    </w:p>
    <w:p w14:paraId="324F9194" w14:textId="77777777" w:rsidR="00B82F75" w:rsidRPr="00F52C10" w:rsidRDefault="00B82F75" w:rsidP="00E4628E">
      <w:pPr>
        <w:spacing w:line="276" w:lineRule="auto"/>
        <w:rPr>
          <w:bCs/>
          <w:lang w:val="es-ES_tradnl"/>
        </w:rPr>
      </w:pPr>
      <w:r w:rsidRPr="00F52C10">
        <w:rPr>
          <w:bCs/>
          <w:lang w:val="es-ES_tradnl"/>
        </w:rPr>
        <w:t xml:space="preserve">indicadas en la Sección especial publicada con arreglo al </w:t>
      </w:r>
      <w:r w:rsidRPr="00F52C10">
        <w:rPr>
          <w:lang w:val="es-ES_tradnl" w:eastAsia="zh-CN"/>
        </w:rPr>
        <w:t>§ 6.7, y cuyo acuerdo no se ha obtenido en virtud del § 6.17, todavía se consideran afectadas por esa asignación.</w:t>
      </w:r>
    </w:p>
    <w:p w14:paraId="3190B67B" w14:textId="77777777" w:rsidR="00B82F75" w:rsidRPr="00F52C10" w:rsidRDefault="00B82F75" w:rsidP="00E4628E">
      <w:pPr>
        <w:spacing w:line="276" w:lineRule="auto"/>
        <w:rPr>
          <w:lang w:val="es-ES_tradnl"/>
        </w:rPr>
      </w:pPr>
      <w:r w:rsidRPr="00F52C10">
        <w:rPr>
          <w:bCs/>
          <w:color w:val="000000"/>
          <w:lang w:val="es-ES_tradnl"/>
        </w:rPr>
        <w:t>6.22</w:t>
      </w:r>
      <w:r w:rsidRPr="00F52C10">
        <w:rPr>
          <w:bCs/>
          <w:color w:val="000000"/>
          <w:lang w:val="es-ES_tradnl"/>
        </w:rPr>
        <w:tab/>
      </w:r>
      <w:r w:rsidRPr="00F52C10">
        <w:rPr>
          <w:lang w:val="es-ES_tradnl"/>
        </w:rPr>
        <w:t>La Oficina determinará si las características definitivas de una asignación recibida en virtud del § 6.17 causan más interferencia, verificando si éstas hacen que disminuya el valor de la </w:t>
      </w:r>
      <w:r w:rsidRPr="00F52C10">
        <w:rPr>
          <w:i/>
          <w:iCs/>
          <w:lang w:val="es-ES_tradnl"/>
        </w:rPr>
        <w:t>C</w:t>
      </w:r>
      <w:r w:rsidRPr="00F52C10">
        <w:rPr>
          <w:lang w:val="es-ES_tradnl"/>
        </w:rPr>
        <w:t>/</w:t>
      </w:r>
      <w:r w:rsidRPr="00F52C10">
        <w:rPr>
          <w:i/>
          <w:iCs/>
          <w:lang w:val="es-ES_tradnl"/>
        </w:rPr>
        <w:t>I</w:t>
      </w:r>
      <w:r w:rsidRPr="00F52C10">
        <w:rPr>
          <w:lang w:val="es-ES_tradnl"/>
        </w:rPr>
        <w:t xml:space="preserve"> de una sola fuente en el enlace ascendente y/o descendente de una adjudicación del Plan, de una asignación inscrita en la Lista o de una asignación para la que la Oficina haya recibido la información completa de conformidad con el presente Artículo antes de la fecha de recepción de la notificación completa en virtud del § 6.17. Si las características definitivas causan más interferencia que la que se producía con las características previamente comunicadas con arreglo al § 6.1 a una adjudicación del Plan, una asignación inscrita en la Lista o una asignación para la que la Oficina haya recibido la información completa de conformidad con el presente Artículo, la Oficina aplicará el método descrito en el Anexo 4 para determinar si la mencionada adjudicación o asignación se considera afectada por las asignaciones propuestas sin el acuerdo explícito de las administraciones identificadas.</w:t>
      </w:r>
    </w:p>
    <w:p w14:paraId="17B54CC0" w14:textId="77777777" w:rsidR="00B82F75" w:rsidRPr="00F52C10" w:rsidRDefault="00B82F75" w:rsidP="00E4628E">
      <w:pPr>
        <w:spacing w:line="276" w:lineRule="auto"/>
        <w:rPr>
          <w:lang w:val="es-ES_tradnl"/>
        </w:rPr>
      </w:pPr>
      <w:r w:rsidRPr="00F52C10">
        <w:rPr>
          <w:bCs/>
          <w:lang w:val="es-ES_tradnl"/>
        </w:rPr>
        <w:t>6.23</w:t>
      </w:r>
      <w:r w:rsidRPr="00F52C10">
        <w:rPr>
          <w:bCs/>
          <w:lang w:val="es-ES_tradnl"/>
        </w:rPr>
        <w:tab/>
      </w:r>
      <w:r w:rsidRPr="00F52C10">
        <w:rPr>
          <w:lang w:val="es-ES_tradnl" w:eastAsia="zh-CN"/>
        </w:rPr>
        <w:t>En caso de una conclusión favorable en virtud de los § 6.21 y 6.22, la Oficina inscribirá la asignación propuesta en la Lista</w:t>
      </w:r>
      <w:r w:rsidRPr="00F52C10">
        <w:rPr>
          <w:rStyle w:val="Refdenotaalpie"/>
          <w:lang w:val="es-ES_tradnl"/>
        </w:rPr>
        <w:t>8</w:t>
      </w:r>
      <w:r w:rsidRPr="00F52C10">
        <w:rPr>
          <w:rStyle w:val="Refdenotaalpie"/>
          <w:color w:val="FFFFFF" w:themeColor="background1"/>
          <w:lang w:val="es-ES_tradnl" w:eastAsia="zh-CN"/>
        </w:rPr>
        <w:footnoteReference w:customMarkFollows="1" w:id="18"/>
        <w:t>8</w:t>
      </w:r>
      <w:r w:rsidRPr="00F52C10">
        <w:rPr>
          <w:lang w:val="es-ES_tradnl" w:eastAsia="zh-CN"/>
        </w:rPr>
        <w:t xml:space="preserve">y publicará en una Sección especial de la BR IFIC las características de la asignación recibida de conformidad con </w:t>
      </w:r>
      <w:r w:rsidRPr="00F52C10">
        <w:rPr>
          <w:lang w:val="es-ES_tradnl" w:eastAsia="zh-CN"/>
        </w:rPr>
        <w:lastRenderedPageBreak/>
        <w:t>el § 6.17 junto con los nombres de las administraciones a las que se hayan aplicado satisfactoriamente las disposiciones del presente Artículo. La administración podrá notificar entonces la asignación con arreglo al Artículo 8 del presente Apéndice.</w:t>
      </w:r>
    </w:p>
    <w:p w14:paraId="214E20D8" w14:textId="77777777" w:rsidR="00B82F75" w:rsidRPr="00F52C10" w:rsidRDefault="00B82F75" w:rsidP="00E4628E">
      <w:pPr>
        <w:autoSpaceDE/>
        <w:autoSpaceDN/>
        <w:spacing w:line="276" w:lineRule="auto"/>
        <w:rPr>
          <w:bCs/>
          <w:lang w:val="es-ES_tradnl"/>
        </w:rPr>
      </w:pPr>
      <w:r w:rsidRPr="00F52C10">
        <w:rPr>
          <w:bCs/>
          <w:lang w:val="es-ES_tradnl"/>
        </w:rPr>
        <w:br w:type="page"/>
      </w:r>
    </w:p>
    <w:p w14:paraId="4D4EAFB2" w14:textId="77777777" w:rsidR="00B82F75" w:rsidRPr="00F52C10" w:rsidRDefault="00B82F75" w:rsidP="00E4628E">
      <w:pPr>
        <w:spacing w:line="276" w:lineRule="auto"/>
        <w:rPr>
          <w:lang w:val="es-ES_tradnl" w:eastAsia="zh-CN"/>
        </w:rPr>
      </w:pPr>
      <w:r w:rsidRPr="00F52C10">
        <w:rPr>
          <w:bCs/>
          <w:lang w:val="es-ES_tradnl"/>
        </w:rPr>
        <w:lastRenderedPageBreak/>
        <w:t>6.24</w:t>
      </w:r>
      <w:r w:rsidRPr="00F52C10">
        <w:rPr>
          <w:bCs/>
          <w:lang w:val="es-ES_tradnl"/>
        </w:rPr>
        <w:tab/>
      </w:r>
      <w:r w:rsidRPr="00F52C10">
        <w:rPr>
          <w:lang w:val="es-ES_tradnl" w:eastAsia="zh-CN"/>
        </w:rPr>
        <w:t xml:space="preserve">Cuando el examen en virtud de los § 6.21 ó 6.22 dé lugar a una conclusión desfavorable, la Oficina devolverá a la administración notificante la notificación recibida con arreglo al § 6.17 junto con los nombres de las administraciones para las que no conste que se hayan concluido los acuerdos necesarios en virtud del § 6.21 ó 6.22 y la indicación de </w:t>
      </w:r>
      <w:r w:rsidRPr="00F52C10">
        <w:rPr>
          <w:lang w:val="es-ES_tradnl"/>
        </w:rPr>
        <w:t>que a la notificación que se presente de nuevo posteriormente con arreglo al § 6.17 se examinará con una nueva fecha de recepción</w:t>
      </w:r>
      <w:r w:rsidRPr="00F52C10">
        <w:rPr>
          <w:lang w:val="es-ES_tradnl" w:eastAsia="zh-CN"/>
        </w:rPr>
        <w:t>.</w:t>
      </w:r>
    </w:p>
    <w:p w14:paraId="5EB72677" w14:textId="77777777" w:rsidR="00B82F75" w:rsidRPr="00F52C10" w:rsidRDefault="00B82F75" w:rsidP="00E4628E">
      <w:pPr>
        <w:spacing w:line="276" w:lineRule="auto"/>
        <w:rPr>
          <w:lang w:val="es-ES_tradnl" w:eastAsia="zh-CN"/>
        </w:rPr>
      </w:pPr>
      <w:r w:rsidRPr="00F52C10">
        <w:rPr>
          <w:bCs/>
          <w:lang w:val="es-ES_tradnl"/>
        </w:rPr>
        <w:t>6.25</w:t>
      </w:r>
      <w:r w:rsidRPr="00F52C10">
        <w:rPr>
          <w:bCs/>
          <w:lang w:val="es-ES_tradnl"/>
        </w:rPr>
        <w:tab/>
      </w:r>
      <w:r w:rsidRPr="00F52C10">
        <w:rPr>
          <w:lang w:val="es-ES_tradnl"/>
        </w:rPr>
        <w:t xml:space="preserve">Si tras devolver </w:t>
      </w:r>
      <w:r w:rsidRPr="00F52C10">
        <w:rPr>
          <w:lang w:val="es-ES_tradnl" w:eastAsia="zh-CN"/>
        </w:rPr>
        <w:t>una notificación en virtud del § 6.24, la administración notificante presenta de nuevo la notificación insistiendo en que vuelva a examinarse, la Oficina, a condición de que se haya obtenido una conclusión favorable con respecto a los § 6.21 y 6.22 para las adjudicaciones del Plan, inscribirá la asignación en la Lista a título provisional indicando los nombres de las administraciones cuyas asignaciones dieron lugar a la conclusión desfavorable. La inscripción provisional en la Lista se convertirá en definitiva sólo si se informa a la Oficina de que se han obtenido todos los acuerdos necesarios.</w:t>
      </w:r>
    </w:p>
    <w:p w14:paraId="334B852A" w14:textId="77777777" w:rsidR="00B82F75" w:rsidRPr="00F52C10" w:rsidRDefault="00B82F75" w:rsidP="00E4628E">
      <w:pPr>
        <w:spacing w:line="276" w:lineRule="auto"/>
        <w:rPr>
          <w:lang w:val="es-ES_tradnl"/>
        </w:rPr>
      </w:pPr>
      <w:r w:rsidRPr="00F52C10">
        <w:rPr>
          <w:lang w:val="es-ES_tradnl"/>
        </w:rPr>
        <w:t>6.26</w:t>
      </w:r>
      <w:r w:rsidRPr="00F52C10">
        <w:rPr>
          <w:lang w:val="es-ES_tradnl"/>
        </w:rPr>
        <w:tab/>
        <w:t>Las notificaciones presentadas con arreglo al § 6.25 deberán incluir también un compromiso firmado por parte de la administración notificante en el sentido de que la utilización de una asignación inscrita en la Lista en virtud del § 6.25 no deberá causar interferencia inaceptable a las asignaciones sobre las cuales aún es preciso obtener un acuerdo, ni reclamará protección contra las mismas.</w:t>
      </w:r>
    </w:p>
    <w:p w14:paraId="73405F3E" w14:textId="77777777" w:rsidR="00B82F75" w:rsidRPr="00F52C10" w:rsidRDefault="00B82F75" w:rsidP="00E4628E">
      <w:pPr>
        <w:spacing w:line="276" w:lineRule="auto"/>
        <w:rPr>
          <w:lang w:val="es-ES_tradnl" w:eastAsia="zh-CN"/>
        </w:rPr>
      </w:pPr>
      <w:r w:rsidRPr="00F52C10">
        <w:rPr>
          <w:bCs/>
          <w:lang w:val="es-ES_tradnl"/>
        </w:rPr>
        <w:t>6.27</w:t>
      </w:r>
      <w:r w:rsidRPr="00F52C10">
        <w:rPr>
          <w:bCs/>
          <w:lang w:val="es-ES_tradnl"/>
        </w:rPr>
        <w:tab/>
      </w:r>
      <w:r w:rsidRPr="00F52C10">
        <w:rPr>
          <w:lang w:val="es-ES_tradnl" w:eastAsia="zh-CN"/>
        </w:rPr>
        <w:t>Cuando una asignación se inscriba a título provisional en la Lista en virtud de lo dispuesto en el § 6.25, ésta no se tendrá en cuenta al actualizar la situación de referencia de las asignaciones que dieron lugar a la conclusión desfavorable. Si se informa a la Oficina que se ha obtenido un acuerdo con respecto a una determinada asignación, se actualizará la situación de referencia de dicha asignación.</w:t>
      </w:r>
    </w:p>
    <w:p w14:paraId="0792B634" w14:textId="77777777" w:rsidR="00B82F75" w:rsidRPr="00F52C10" w:rsidRDefault="00B82F75" w:rsidP="00E4628E">
      <w:pPr>
        <w:spacing w:line="276" w:lineRule="auto"/>
        <w:rPr>
          <w:lang w:val="es-ES_tradnl" w:eastAsia="zh-CN"/>
        </w:rPr>
      </w:pPr>
      <w:r w:rsidRPr="00F52C10">
        <w:rPr>
          <w:bCs/>
          <w:lang w:val="es-ES_tradnl"/>
        </w:rPr>
        <w:t>6.28</w:t>
      </w:r>
      <w:r w:rsidRPr="00F52C10">
        <w:rPr>
          <w:lang w:val="es-ES_tradnl" w:eastAsia="zh-CN"/>
        </w:rPr>
        <w:tab/>
        <w:t>Si las asignaciones que dieron lugar a la conclusión desfavorable no se ponen en servicio en el plazo especificado en el § 6.1, o dentro de la prórroga estipulada en el § 6.31</w:t>
      </w:r>
      <w:r w:rsidRPr="00F52C10">
        <w:rPr>
          <w:i/>
          <w:iCs/>
          <w:lang w:val="es-ES_tradnl" w:eastAsia="zh-CN"/>
        </w:rPr>
        <w:t>bis,</w:t>
      </w:r>
      <w:r w:rsidRPr="00F52C10">
        <w:rPr>
          <w:lang w:val="es-ES_tradnl" w:eastAsia="zh-CN"/>
        </w:rPr>
        <w:t xml:space="preserve"> se reconsiderará la condición de la asignación en la Lista en consecuencia.</w:t>
      </w:r>
      <w:r w:rsidRPr="00F52C10">
        <w:rPr>
          <w:color w:val="000000"/>
          <w:sz w:val="16"/>
          <w:szCs w:val="16"/>
          <w:lang w:val="es-ES_tradnl"/>
        </w:rPr>
        <w:t>     (CMR-12)</w:t>
      </w:r>
    </w:p>
    <w:p w14:paraId="226492ED" w14:textId="77777777" w:rsidR="00B82F75" w:rsidRPr="00F52C10" w:rsidRDefault="00B82F75" w:rsidP="00E4628E">
      <w:pPr>
        <w:spacing w:line="276" w:lineRule="auto"/>
        <w:rPr>
          <w:lang w:val="es-ES_tradnl"/>
        </w:rPr>
      </w:pPr>
      <w:r w:rsidRPr="00F52C10">
        <w:rPr>
          <w:bCs/>
          <w:lang w:val="es-ES_tradnl"/>
        </w:rPr>
        <w:t>6.29</w:t>
      </w:r>
      <w:r w:rsidRPr="00F52C10">
        <w:rPr>
          <w:bCs/>
          <w:lang w:val="es-ES_tradnl"/>
        </w:rPr>
        <w:tab/>
      </w:r>
      <w:r w:rsidRPr="00F52C10">
        <w:rPr>
          <w:lang w:val="es-ES_tradnl" w:eastAsia="zh-CN"/>
        </w:rPr>
        <w:t>Si una asignación inscrita en la Lista en virtud del § 6.25 causa interferencia inaceptable a cualquiera de las asignaciones de la Lista que dieron lugar al desacuerdo, la administración notificante de la asignación inscrita en la Lista en virtud del § 6.25 deberá, una vez informada del caso, eliminar inmediatamente la interferencia inaceptable.</w:t>
      </w:r>
    </w:p>
    <w:p w14:paraId="0765641E" w14:textId="77777777" w:rsidR="00B82F75" w:rsidRPr="00F52C10" w:rsidRDefault="00B82F75" w:rsidP="00E4628E">
      <w:pPr>
        <w:spacing w:line="276" w:lineRule="auto"/>
        <w:rPr>
          <w:lang w:val="es-ES_tradnl"/>
        </w:rPr>
      </w:pPr>
      <w:r w:rsidRPr="00F52C10">
        <w:rPr>
          <w:lang w:val="es-ES_tradnl"/>
        </w:rPr>
        <w:t>6.30</w:t>
      </w:r>
      <w:r w:rsidRPr="00F52C10">
        <w:rPr>
          <w:b/>
          <w:lang w:val="es-ES_tradnl"/>
        </w:rPr>
        <w:tab/>
      </w:r>
      <w:r w:rsidRPr="00F52C10">
        <w:rPr>
          <w:lang w:val="es-ES_tradnl"/>
        </w:rPr>
        <w:t>Si deja de ser necesaria una de las asignaciones inscritas en la Lista, la administración notificante informará de ello a la Oficina.</w:t>
      </w:r>
    </w:p>
    <w:p w14:paraId="57BE9A74" w14:textId="77777777" w:rsidR="00B82F75" w:rsidRPr="00F52C10" w:rsidRDefault="00B82F75" w:rsidP="00E4628E">
      <w:pPr>
        <w:spacing w:line="276" w:lineRule="auto"/>
        <w:rPr>
          <w:lang w:val="es-ES_tradnl"/>
        </w:rPr>
      </w:pPr>
      <w:r w:rsidRPr="00F52C10">
        <w:rPr>
          <w:lang w:val="es-ES_tradnl"/>
        </w:rPr>
        <w:t>6.31</w:t>
      </w:r>
      <w:r w:rsidRPr="00F52C10">
        <w:rPr>
          <w:lang w:val="es-ES_tradnl"/>
        </w:rPr>
        <w:tab/>
        <w:t>El plazo reglamentario para la puesta en servicio</w:t>
      </w:r>
      <w:r w:rsidRPr="00F52C10" w:rsidDel="00364606">
        <w:rPr>
          <w:lang w:val="es-ES_tradnl"/>
        </w:rPr>
        <w:t xml:space="preserve"> </w:t>
      </w:r>
      <w:r w:rsidRPr="00F52C10">
        <w:rPr>
          <w:lang w:val="es-ES_tradnl"/>
        </w:rPr>
        <w:t>de una asignación a una estación espacial de una red de satélites es de ocho años como máximo a partir de la fecha de recepción por la Oficina de la notificación completa en virtud del § 6.1.</w:t>
      </w:r>
      <w:r w:rsidRPr="00F52C10">
        <w:rPr>
          <w:color w:val="000000"/>
          <w:sz w:val="16"/>
          <w:lang w:val="es-ES_tradnl"/>
        </w:rPr>
        <w:t>     (CMR</w:t>
      </w:r>
      <w:r w:rsidRPr="00F52C10">
        <w:rPr>
          <w:color w:val="000000"/>
          <w:sz w:val="16"/>
          <w:lang w:val="es-ES_tradnl"/>
        </w:rPr>
        <w:noBreakHyphen/>
        <w:t>15)</w:t>
      </w:r>
    </w:p>
    <w:p w14:paraId="46383FE3" w14:textId="77777777" w:rsidR="00B82F75" w:rsidRPr="00F52C10" w:rsidRDefault="00B82F75" w:rsidP="00E4628E">
      <w:pPr>
        <w:spacing w:line="276" w:lineRule="auto"/>
        <w:rPr>
          <w:rFonts w:eastAsiaTheme="minorEastAsia"/>
          <w:lang w:val="es-ES_tradnl" w:eastAsia="zh-CN"/>
        </w:rPr>
      </w:pPr>
      <w:r w:rsidRPr="00F52C10">
        <w:rPr>
          <w:rFonts w:eastAsiaTheme="minorEastAsia"/>
          <w:lang w:val="es-ES_tradnl" w:eastAsia="zh-CN"/>
        </w:rPr>
        <w:t>6.31</w:t>
      </w:r>
      <w:r w:rsidRPr="00F52C10">
        <w:rPr>
          <w:rFonts w:eastAsiaTheme="minorEastAsia"/>
          <w:i/>
          <w:iCs/>
          <w:lang w:val="es-ES_tradnl" w:eastAsia="zh-CN"/>
        </w:rPr>
        <w:t>bis</w:t>
      </w:r>
      <w:r w:rsidRPr="00F52C10">
        <w:rPr>
          <w:rFonts w:eastAsiaTheme="minorEastAsia"/>
          <w:lang w:val="es-ES_tradnl" w:eastAsia="zh-CN"/>
        </w:rPr>
        <w:tab/>
        <w:t>En los siguientes casos podrá ampliarse una vez y en no más de tres años el plazo reglamentario estipulado en el § 6.31 para la entrada en servicio de una asignación a una estación espacial de una red de satélites, debido a fallos en el lanzamiento:</w:t>
      </w:r>
    </w:p>
    <w:p w14:paraId="76F7C8F2" w14:textId="77777777" w:rsidR="00B82F75" w:rsidRPr="00F52C10" w:rsidRDefault="00B82F75" w:rsidP="00E4628E">
      <w:pPr>
        <w:pStyle w:val="enumlev1"/>
        <w:spacing w:line="276" w:lineRule="auto"/>
        <w:rPr>
          <w:rFonts w:eastAsiaTheme="minorEastAsia"/>
          <w:lang w:val="es-ES_tradnl" w:eastAsia="zh-CN"/>
        </w:rPr>
      </w:pPr>
      <w:r w:rsidRPr="00F52C10">
        <w:rPr>
          <w:rFonts w:eastAsiaTheme="minorEastAsia"/>
          <w:lang w:val="es-ES_tradnl" w:eastAsia="zh-CN"/>
        </w:rPr>
        <w:t>–</w:t>
      </w:r>
      <w:r w:rsidRPr="00F52C10">
        <w:rPr>
          <w:rFonts w:eastAsiaTheme="minorEastAsia"/>
          <w:lang w:val="es-ES_tradnl" w:eastAsia="zh-CN"/>
        </w:rPr>
        <w:tab/>
        <w:t>la destrucción del satélite destinado a poner en servicio la asignación;</w:t>
      </w:r>
    </w:p>
    <w:p w14:paraId="1AE4D1D2" w14:textId="77777777" w:rsidR="00B82F75" w:rsidRPr="00F52C10" w:rsidRDefault="00B82F75" w:rsidP="00E4628E">
      <w:pPr>
        <w:pStyle w:val="enumlev1"/>
        <w:spacing w:line="276" w:lineRule="auto"/>
        <w:rPr>
          <w:rFonts w:eastAsiaTheme="minorEastAsia"/>
          <w:lang w:val="es-ES_tradnl" w:eastAsia="zh-CN"/>
        </w:rPr>
      </w:pPr>
      <w:r w:rsidRPr="00F52C10">
        <w:rPr>
          <w:rFonts w:eastAsiaTheme="minorEastAsia"/>
          <w:lang w:val="es-ES_tradnl" w:eastAsia="zh-CN"/>
        </w:rPr>
        <w:t>–</w:t>
      </w:r>
      <w:r w:rsidRPr="00F52C10">
        <w:rPr>
          <w:rFonts w:eastAsiaTheme="minorEastAsia"/>
          <w:lang w:val="es-ES_tradnl" w:eastAsia="zh-CN"/>
        </w:rPr>
        <w:tab/>
        <w:t>la destrucción del satélite lanzado para sustituir a un satélite que ya estaba en funcionamiento y al que se tiene la intención de reubicar para poner en servicio otra asignación; o</w:t>
      </w:r>
    </w:p>
    <w:p w14:paraId="575219F6" w14:textId="77777777" w:rsidR="00B82F75" w:rsidRPr="00F52C10" w:rsidRDefault="00B82F75" w:rsidP="00E4628E">
      <w:pPr>
        <w:pStyle w:val="enumlev1"/>
        <w:spacing w:line="276" w:lineRule="auto"/>
        <w:rPr>
          <w:rFonts w:eastAsiaTheme="minorEastAsia"/>
          <w:lang w:val="es-ES_tradnl" w:eastAsia="zh-CN"/>
        </w:rPr>
      </w:pPr>
      <w:r w:rsidRPr="00F52C10">
        <w:rPr>
          <w:rFonts w:eastAsiaTheme="minorEastAsia"/>
          <w:lang w:val="es-ES_tradnl" w:eastAsia="zh-CN"/>
        </w:rPr>
        <w:lastRenderedPageBreak/>
        <w:t>–</w:t>
      </w:r>
      <w:r w:rsidRPr="00F52C10">
        <w:rPr>
          <w:rFonts w:eastAsiaTheme="minorEastAsia"/>
          <w:lang w:val="es-ES_tradnl" w:eastAsia="zh-CN"/>
        </w:rPr>
        <w:tab/>
        <w:t>el satélite fue lanzado pero no llegó a su posición orbital asignada.</w:t>
      </w:r>
    </w:p>
    <w:p w14:paraId="03BAE6CF" w14:textId="77777777" w:rsidR="00B82F75" w:rsidRPr="00F52C10" w:rsidRDefault="00B82F75" w:rsidP="00E4628E">
      <w:pPr>
        <w:spacing w:line="276" w:lineRule="auto"/>
        <w:rPr>
          <w:lang w:val="es-ES_tradnl"/>
        </w:rPr>
      </w:pPr>
      <w:r w:rsidRPr="00F52C10">
        <w:rPr>
          <w:lang w:val="es-ES_tradnl"/>
        </w:rPr>
        <w:br w:type="page"/>
      </w:r>
    </w:p>
    <w:p w14:paraId="34355104" w14:textId="77777777" w:rsidR="00B82F75" w:rsidRPr="00F52C10" w:rsidRDefault="00B82F75" w:rsidP="00E4628E">
      <w:pPr>
        <w:spacing w:line="276" w:lineRule="auto"/>
        <w:rPr>
          <w:rFonts w:eastAsiaTheme="minorEastAsia"/>
          <w:lang w:val="es-ES_tradnl" w:eastAsia="zh-CN"/>
        </w:rPr>
      </w:pPr>
      <w:r w:rsidRPr="00F52C10">
        <w:rPr>
          <w:rFonts w:eastAsiaTheme="minorEastAsia"/>
          <w:lang w:val="es-ES_tradnl" w:eastAsia="zh-CN"/>
        </w:rPr>
        <w:lastRenderedPageBreak/>
        <w:t>Para conceder esa ampliación del plazo, el fallo de lanzamiento debe haber ocurrido al menos cinco años después de la fecha de recepción de los datos completos del Apéndice </w:t>
      </w:r>
      <w:r w:rsidRPr="00F52C10">
        <w:rPr>
          <w:rStyle w:val="Appref"/>
          <w:rFonts w:eastAsiaTheme="minorEastAsia"/>
          <w:b/>
          <w:bCs/>
          <w:lang w:val="es-ES_tradnl"/>
        </w:rPr>
        <w:t>4</w:t>
      </w:r>
      <w:r w:rsidRPr="00F52C10">
        <w:rPr>
          <w:rFonts w:eastAsiaTheme="minorEastAsia"/>
          <w:lang w:val="es-ES_tradnl" w:eastAsia="zh-CN"/>
        </w:rPr>
        <w:t>. El periodo de ampliación del plazo reglamentario no deberá exceder en ningún caso la diferencia de tiempo entre el periodo de tres años y el periodo restante, contado a partir de la fecha del lanzamiento fallido hasta el final del plazo reglamentario. Para poder beneficiarse de esa ampliación, la administración deberá haber notificado a la Oficina por escrito dicho fallo, dentro de un periodo de un mes a partir del lanzamiento fallido o un mes después del 17 de febrero de 2012, tomando entre estas dos fechas la más tardía, y deberá proporcionar asimismo la siguiente información a la Oficina antes de que termine el plazo reglamentario estipulado en el § 6.31:</w:t>
      </w:r>
    </w:p>
    <w:p w14:paraId="7C71DAAB" w14:textId="77777777" w:rsidR="00B82F75" w:rsidRPr="00F52C10" w:rsidRDefault="00B82F75" w:rsidP="00E4628E">
      <w:pPr>
        <w:pStyle w:val="enumlev1"/>
        <w:spacing w:line="276" w:lineRule="auto"/>
        <w:rPr>
          <w:rFonts w:eastAsiaTheme="minorEastAsia"/>
          <w:lang w:val="es-ES_tradnl" w:eastAsia="zh-CN"/>
        </w:rPr>
      </w:pPr>
      <w:r w:rsidRPr="00F52C10">
        <w:rPr>
          <w:rFonts w:eastAsiaTheme="minorEastAsia"/>
          <w:lang w:val="es-ES_tradnl" w:eastAsia="zh-CN"/>
        </w:rPr>
        <w:t>–</w:t>
      </w:r>
      <w:r w:rsidRPr="00F52C10">
        <w:rPr>
          <w:rFonts w:eastAsiaTheme="minorEastAsia"/>
          <w:lang w:val="es-ES_tradnl" w:eastAsia="zh-CN"/>
        </w:rPr>
        <w:tab/>
        <w:t>la fecha del lanzamiento fallido;</w:t>
      </w:r>
    </w:p>
    <w:p w14:paraId="36DED89E" w14:textId="77777777" w:rsidR="00B82F75" w:rsidRPr="00F52C10" w:rsidRDefault="00B82F75" w:rsidP="00E4628E">
      <w:pPr>
        <w:pStyle w:val="enumlev1"/>
        <w:spacing w:line="276" w:lineRule="auto"/>
        <w:rPr>
          <w:rFonts w:eastAsiaTheme="minorEastAsia"/>
          <w:lang w:val="es-ES_tradnl" w:eastAsia="zh-CN"/>
        </w:rPr>
      </w:pPr>
      <w:r w:rsidRPr="00F52C10">
        <w:rPr>
          <w:rFonts w:eastAsiaTheme="minorEastAsia"/>
          <w:lang w:val="es-ES_tradnl" w:eastAsia="zh-CN"/>
        </w:rPr>
        <w:t>–</w:t>
      </w:r>
      <w:r w:rsidRPr="00F52C10">
        <w:rPr>
          <w:rFonts w:eastAsiaTheme="minorEastAsia"/>
          <w:lang w:val="es-ES_tradnl" w:eastAsia="zh-CN"/>
        </w:rPr>
        <w:tab/>
        <w:t>la información de debida diligencia requerida en la Resolución </w:t>
      </w:r>
      <w:r w:rsidRPr="00F52C10">
        <w:rPr>
          <w:b/>
          <w:bCs/>
          <w:lang w:val="es-ES_tradnl"/>
        </w:rPr>
        <w:t>49 (Rev.CMR</w:t>
      </w:r>
      <w:r w:rsidRPr="00F52C10">
        <w:rPr>
          <w:b/>
          <w:bCs/>
          <w:lang w:val="es-ES_tradnl"/>
        </w:rPr>
        <w:noBreakHyphen/>
        <w:t>15)</w:t>
      </w:r>
      <w:r w:rsidRPr="00F52C10">
        <w:rPr>
          <w:rFonts w:eastAsiaTheme="minorEastAsia"/>
          <w:lang w:val="es-ES_tradnl" w:eastAsia="zh-CN"/>
        </w:rPr>
        <w:t>, si dicha Resolución se aplica a la red de satélite en la cual ha de funcionar la estación espacial, sobre las asignaciones relacionadas con el satélite cuyo lanzamiento resultó fallido, en caso de que esta información no haya sido proporcionada.</w:t>
      </w:r>
    </w:p>
    <w:p w14:paraId="1E29010A" w14:textId="77777777" w:rsidR="00B82F75" w:rsidRPr="00F52C10" w:rsidRDefault="00B82F75" w:rsidP="00E4628E">
      <w:pPr>
        <w:spacing w:line="276" w:lineRule="auto"/>
        <w:rPr>
          <w:color w:val="000000"/>
          <w:sz w:val="16"/>
          <w:szCs w:val="16"/>
          <w:lang w:val="es-ES_tradnl"/>
        </w:rPr>
      </w:pPr>
      <w:r w:rsidRPr="00F52C10">
        <w:rPr>
          <w:lang w:val="es-ES_tradnl"/>
        </w:rPr>
        <w:t>Si, transcurridos 11 meses desde la solicitud de prórroga, la administración no ha proporcionado a la Oficina información actualizada en virtud de la Resolución </w:t>
      </w:r>
      <w:r w:rsidRPr="00F52C10">
        <w:rPr>
          <w:b/>
          <w:bCs/>
          <w:lang w:val="es-ES_tradnl"/>
        </w:rPr>
        <w:t>49 (Rev. CMR-15)</w:t>
      </w:r>
      <w:r w:rsidRPr="00F52C10">
        <w:rPr>
          <w:lang w:val="es-ES_tradnl"/>
        </w:rPr>
        <w:t xml:space="preserve">, la Oficina enviará sin dilación un recordatorio a la administración notificante. </w:t>
      </w:r>
      <w:r w:rsidRPr="00F52C10">
        <w:rPr>
          <w:rFonts w:eastAsiaTheme="minorEastAsia"/>
          <w:lang w:val="es-ES_tradnl" w:eastAsia="zh-CN"/>
        </w:rPr>
        <w:t>Si, respecto de una red o un sistema de satélites al cual se aplica la Resolución </w:t>
      </w:r>
      <w:r w:rsidRPr="00F52C10">
        <w:rPr>
          <w:b/>
          <w:bCs/>
          <w:lang w:val="es-ES_tradnl"/>
        </w:rPr>
        <w:t>49 (Rev.CMR</w:t>
      </w:r>
      <w:r w:rsidRPr="00F52C10">
        <w:rPr>
          <w:b/>
          <w:bCs/>
          <w:lang w:val="es-ES_tradnl"/>
        </w:rPr>
        <w:noBreakHyphen/>
        <w:t>15)</w:t>
      </w:r>
      <w:r w:rsidRPr="00F52C10">
        <w:rPr>
          <w:rFonts w:eastAsiaTheme="minorEastAsia"/>
          <w:lang w:val="es-ES_tradnl" w:eastAsia="zh-CN"/>
        </w:rPr>
        <w:t>, la administración no ha proporcionado a la Oficina la información actualizada estipulada en dicha Resolución sobre el nuevo satélite que se está adquiriendo en el plazo de un año a partir de la solicitud de ampliación del plazo, las correspondientes asignaciones de frecuencias quedarán anuladas.</w:t>
      </w:r>
      <w:r w:rsidRPr="00F52C10">
        <w:rPr>
          <w:color w:val="000000"/>
          <w:sz w:val="16"/>
          <w:szCs w:val="16"/>
          <w:lang w:val="es-ES_tradnl"/>
        </w:rPr>
        <w:t>     (CMR-15)</w:t>
      </w:r>
    </w:p>
    <w:p w14:paraId="261995BB" w14:textId="77777777" w:rsidR="00B82F75" w:rsidRPr="00F52C10" w:rsidRDefault="00B82F75" w:rsidP="00E4628E">
      <w:pPr>
        <w:spacing w:before="200" w:line="276" w:lineRule="auto"/>
        <w:rPr>
          <w:lang w:val="es-ES_tradnl"/>
        </w:rPr>
      </w:pPr>
      <w:r w:rsidRPr="00F52C10">
        <w:rPr>
          <w:bCs/>
          <w:lang w:val="es-ES_tradnl"/>
        </w:rPr>
        <w:t>6.32</w:t>
      </w:r>
      <w:r w:rsidRPr="00F52C10">
        <w:rPr>
          <w:bCs/>
          <w:szCs w:val="24"/>
          <w:lang w:val="es-ES_tradnl" w:eastAsia="fr-FR"/>
        </w:rPr>
        <w:tab/>
      </w:r>
      <w:r w:rsidRPr="00F52C10">
        <w:rPr>
          <w:rStyle w:val="NoteChar"/>
        </w:rPr>
        <w:t>Treinta días antes de la fecha de puesta en servicio en virtud del § 6.31 ó § 6.31</w:t>
      </w:r>
      <w:r w:rsidRPr="00F52C10">
        <w:rPr>
          <w:rStyle w:val="NoteChar"/>
          <w:i/>
          <w:iCs/>
        </w:rPr>
        <w:t>bis</w:t>
      </w:r>
      <w:r w:rsidRPr="00F52C10">
        <w:rPr>
          <w:rStyle w:val="NoteChar"/>
        </w:rPr>
        <w:t>, la Oficina enviará, por telegrama o fax, un recordatorio a la administración notificante que no haya puesto en servicio la asignación, señalando este asunto a su atención.</w:t>
      </w:r>
      <w:r w:rsidRPr="00F52C10">
        <w:rPr>
          <w:color w:val="000000"/>
          <w:sz w:val="16"/>
          <w:szCs w:val="16"/>
          <w:lang w:val="es-ES_tradnl"/>
        </w:rPr>
        <w:t>     (CMR-12)</w:t>
      </w:r>
    </w:p>
    <w:p w14:paraId="3E91EA25" w14:textId="77777777" w:rsidR="00B82F75" w:rsidRPr="00F52C10" w:rsidRDefault="00B82F75" w:rsidP="00E4628E">
      <w:pPr>
        <w:spacing w:line="276" w:lineRule="auto"/>
        <w:rPr>
          <w:lang w:val="es-ES_tradnl" w:eastAsia="fr-FR"/>
        </w:rPr>
      </w:pPr>
      <w:r w:rsidRPr="00F52C10">
        <w:rPr>
          <w:lang w:val="es-ES_tradnl" w:eastAsia="fr-FR"/>
        </w:rPr>
        <w:t>6.33</w:t>
      </w:r>
    </w:p>
    <w:p w14:paraId="7ED064A8" w14:textId="77777777" w:rsidR="00B82F75" w:rsidRPr="00F52C10" w:rsidRDefault="00B82F75" w:rsidP="00E4628E">
      <w:pPr>
        <w:spacing w:line="276" w:lineRule="auto"/>
        <w:rPr>
          <w:lang w:val="es-ES_tradnl" w:eastAsia="fr-FR"/>
        </w:rPr>
      </w:pPr>
      <w:r w:rsidRPr="00F52C10">
        <w:rPr>
          <w:lang w:val="es-ES_tradnl" w:eastAsia="fr-FR"/>
        </w:rPr>
        <w:t>Cuando:</w:t>
      </w:r>
    </w:p>
    <w:p w14:paraId="1BB26B5B" w14:textId="77777777" w:rsidR="00B82F75" w:rsidRPr="00F52C10" w:rsidRDefault="00B82F75" w:rsidP="00E4628E">
      <w:pPr>
        <w:pStyle w:val="enumlev1"/>
        <w:spacing w:line="276" w:lineRule="auto"/>
        <w:rPr>
          <w:lang w:val="es-ES_tradnl" w:eastAsia="zh-CN"/>
        </w:rPr>
      </w:pPr>
      <w:r w:rsidRPr="00F52C10">
        <w:rPr>
          <w:lang w:val="es-ES_tradnl"/>
        </w:rPr>
        <w:t>i)</w:t>
      </w:r>
      <w:r w:rsidRPr="00F52C10">
        <w:rPr>
          <w:lang w:val="es-ES_tradnl"/>
        </w:rPr>
        <w:tab/>
        <w:t>una asignación ya no sea necesaria;</w:t>
      </w:r>
      <w:r w:rsidRPr="00F52C10">
        <w:rPr>
          <w:lang w:val="es-ES_tradnl" w:eastAsia="zh-CN"/>
        </w:rPr>
        <w:t xml:space="preserve"> </w:t>
      </w:r>
      <w:r w:rsidRPr="00F52C10">
        <w:rPr>
          <w:i/>
          <w:iCs/>
          <w:lang w:val="es-ES_tradnl" w:eastAsia="zh-CN"/>
        </w:rPr>
        <w:t>o</w:t>
      </w:r>
    </w:p>
    <w:p w14:paraId="26CD524F" w14:textId="77777777" w:rsidR="00B82F75" w:rsidRPr="00F52C10" w:rsidRDefault="00B82F75" w:rsidP="00E4628E">
      <w:pPr>
        <w:pStyle w:val="enumlev1"/>
        <w:spacing w:line="276" w:lineRule="auto"/>
        <w:rPr>
          <w:i/>
          <w:iCs/>
          <w:lang w:val="es-ES_tradnl" w:eastAsia="zh-CN"/>
        </w:rPr>
      </w:pPr>
      <w:r w:rsidRPr="00F52C10">
        <w:rPr>
          <w:lang w:val="es-ES_tradnl"/>
        </w:rPr>
        <w:t>ii)</w:t>
      </w:r>
      <w:r w:rsidRPr="00F52C10">
        <w:rPr>
          <w:lang w:val="es-ES_tradnl"/>
        </w:rPr>
        <w:tab/>
        <w:t>una asignación inscrita en la Lista y puesta en servicio se haya suspendido por un periodo superior al periodo de suspensión resultante de la aplicación del § 8.17 siguiente que finaliza después de la fecha especificada en el § 6.31;</w:t>
      </w:r>
      <w:r w:rsidRPr="00F52C10">
        <w:rPr>
          <w:lang w:val="es-ES_tradnl" w:eastAsia="zh-CN"/>
        </w:rPr>
        <w:t xml:space="preserve"> </w:t>
      </w:r>
      <w:r w:rsidRPr="00F52C10">
        <w:rPr>
          <w:i/>
          <w:iCs/>
          <w:lang w:val="es-ES_tradnl" w:eastAsia="zh-CN"/>
        </w:rPr>
        <w:t>o</w:t>
      </w:r>
      <w:r w:rsidRPr="00F52C10">
        <w:rPr>
          <w:color w:val="000000"/>
          <w:sz w:val="16"/>
          <w:lang w:val="es-ES_tradnl"/>
        </w:rPr>
        <w:t>     (CMR</w:t>
      </w:r>
      <w:r w:rsidRPr="00F52C10">
        <w:rPr>
          <w:color w:val="000000"/>
          <w:sz w:val="16"/>
          <w:lang w:val="es-ES_tradnl"/>
        </w:rPr>
        <w:noBreakHyphen/>
        <w:t>15)</w:t>
      </w:r>
    </w:p>
    <w:p w14:paraId="2DDB68C8" w14:textId="77777777" w:rsidR="00B82F75" w:rsidRPr="00F52C10" w:rsidRDefault="00B82F75" w:rsidP="00E4628E">
      <w:pPr>
        <w:pStyle w:val="enumlev1"/>
        <w:spacing w:line="276" w:lineRule="auto"/>
        <w:rPr>
          <w:lang w:val="es-ES_tradnl"/>
        </w:rPr>
      </w:pPr>
      <w:r w:rsidRPr="00F52C10">
        <w:rPr>
          <w:lang w:val="es-ES_tradnl"/>
        </w:rPr>
        <w:t>iii)</w:t>
      </w:r>
      <w:r w:rsidRPr="00F52C10">
        <w:rPr>
          <w:lang w:val="es-ES_tradnl"/>
        </w:rPr>
        <w:tab/>
        <w:t xml:space="preserve">una asignación inscrita en la Lista no se haya puesto en servicio en el plazo de ocho años después de que la Oficina haya recibido la información completa pertinente de conformidad </w:t>
      </w:r>
      <w:r w:rsidRPr="00F52C10">
        <w:rPr>
          <w:lang w:val="es-ES_tradnl"/>
        </w:rPr>
        <w:lastRenderedPageBreak/>
        <w:t>con el § 6.1 (o tras el periodo de prórroga con arreglo al § 6.31</w:t>
      </w:r>
      <w:r w:rsidRPr="00F52C10">
        <w:rPr>
          <w:i/>
          <w:iCs/>
          <w:lang w:val="es-ES_tradnl"/>
        </w:rPr>
        <w:t>bis</w:t>
      </w:r>
      <w:r w:rsidRPr="00F52C10">
        <w:rPr>
          <w:lang w:val="es-ES_tradnl"/>
        </w:rPr>
        <w:t>), a excepción de las asignaciones presentadas por nuevos Estados Miembros a los que se aplican los § 6.35 y 7.7,</w:t>
      </w:r>
    </w:p>
    <w:p w14:paraId="554F9074" w14:textId="77777777" w:rsidR="00B82F75" w:rsidRPr="00F52C10" w:rsidRDefault="00B82F75" w:rsidP="00E4628E">
      <w:pPr>
        <w:spacing w:line="276" w:lineRule="auto"/>
        <w:rPr>
          <w:lang w:val="es-ES_tradnl" w:eastAsia="fr-FR"/>
        </w:rPr>
      </w:pPr>
      <w:r w:rsidRPr="00F52C10">
        <w:rPr>
          <w:lang w:val="es-ES_tradnl" w:eastAsia="fr-FR"/>
        </w:rPr>
        <w:t>la Oficina:</w:t>
      </w:r>
    </w:p>
    <w:p w14:paraId="68659D23" w14:textId="77777777" w:rsidR="00B82F75" w:rsidRPr="00F52C10" w:rsidRDefault="00B82F75" w:rsidP="00E4628E">
      <w:pPr>
        <w:pStyle w:val="enumlev1"/>
        <w:spacing w:line="276" w:lineRule="auto"/>
        <w:rPr>
          <w:lang w:val="es-ES_tradnl"/>
        </w:rPr>
      </w:pPr>
      <w:r w:rsidRPr="00F52C10">
        <w:rPr>
          <w:i/>
          <w:iCs/>
          <w:lang w:val="es-ES_tradnl"/>
        </w:rPr>
        <w:t>a)</w:t>
      </w:r>
      <w:r w:rsidRPr="00F52C10">
        <w:rPr>
          <w:lang w:val="es-ES_tradnl"/>
        </w:rPr>
        <w:tab/>
        <w:t>publicará en una Sección especial de su BR IFIC la cancelación de las Secciones Especiales correspondientes y de las asignaciones inscritas en la Lista del Apéndice </w:t>
      </w:r>
      <w:r w:rsidRPr="00F52C10">
        <w:rPr>
          <w:rStyle w:val="Appref"/>
          <w:b/>
          <w:bCs/>
          <w:lang w:val="es-ES_tradnl"/>
        </w:rPr>
        <w:t>30B</w:t>
      </w:r>
      <w:r w:rsidRPr="00F52C10">
        <w:rPr>
          <w:lang w:val="es-ES_tradnl"/>
        </w:rPr>
        <w:t>;</w:t>
      </w:r>
    </w:p>
    <w:p w14:paraId="1D4A303E" w14:textId="77777777" w:rsidR="00B82F75" w:rsidRPr="00F52C10" w:rsidRDefault="00B82F75" w:rsidP="00E4628E">
      <w:pPr>
        <w:pStyle w:val="enumlev1"/>
        <w:spacing w:line="276" w:lineRule="auto"/>
        <w:rPr>
          <w:lang w:val="es-ES_tradnl"/>
        </w:rPr>
      </w:pPr>
      <w:r w:rsidRPr="00F52C10">
        <w:rPr>
          <w:i/>
          <w:iCs/>
          <w:lang w:val="es-ES_tradnl"/>
        </w:rPr>
        <w:t>b)</w:t>
      </w:r>
      <w:r w:rsidRPr="00F52C10">
        <w:rPr>
          <w:lang w:val="es-ES_tradnl"/>
        </w:rPr>
        <w:tab/>
        <w:t>si la asignación cancelada es el resultado de la conversión de una adjudicación sin modificaciones, reincorporará la adjudicación en el Plan del Apéndice </w:t>
      </w:r>
      <w:r w:rsidRPr="00F52C10">
        <w:rPr>
          <w:rStyle w:val="Appref"/>
          <w:b/>
          <w:bCs/>
          <w:lang w:val="es-ES_tradnl"/>
        </w:rPr>
        <w:t>30B</w:t>
      </w:r>
      <w:r w:rsidRPr="00F52C10">
        <w:rPr>
          <w:lang w:val="es-ES_tradnl"/>
        </w:rPr>
        <w:t>;</w:t>
      </w:r>
    </w:p>
    <w:p w14:paraId="42297CE9" w14:textId="77777777" w:rsidR="00B82F75" w:rsidRPr="00F52C10" w:rsidRDefault="00B82F75" w:rsidP="00E4628E">
      <w:pPr>
        <w:pStyle w:val="enumlev1"/>
        <w:spacing w:line="276" w:lineRule="auto"/>
        <w:rPr>
          <w:lang w:val="es-ES_tradnl"/>
        </w:rPr>
      </w:pPr>
      <w:r w:rsidRPr="00F52C10">
        <w:rPr>
          <w:i/>
          <w:iCs/>
          <w:lang w:val="es-ES_tradnl"/>
        </w:rPr>
        <w:t>c)</w:t>
      </w:r>
      <w:r w:rsidRPr="00F52C10">
        <w:rPr>
          <w:i/>
          <w:lang w:val="es-ES_tradnl"/>
        </w:rPr>
        <w:tab/>
      </w:r>
      <w:r w:rsidRPr="00F52C10">
        <w:rPr>
          <w:lang w:val="es-ES_tradnl"/>
        </w:rPr>
        <w:t xml:space="preserve">si la asignación cancelada es el resultado de la conversión de una adjudicación con modificaciones, reincorporará la adjudicación con la misma posición orbital y los mismos parámetros técnicos de la asignación cancelada, salvo la zona de servicio, que será el territorio nacional de la administración cuya adjudicación se reincorpora; </w:t>
      </w:r>
      <w:r w:rsidRPr="00F52C10">
        <w:rPr>
          <w:i/>
          <w:iCs/>
          <w:lang w:val="es-ES_tradnl"/>
        </w:rPr>
        <w:t>y</w:t>
      </w:r>
    </w:p>
    <w:p w14:paraId="4CA9CDEF" w14:textId="77777777" w:rsidR="00B82F75" w:rsidRPr="00F52C10" w:rsidRDefault="00B82F75" w:rsidP="00E4628E">
      <w:pPr>
        <w:pStyle w:val="enumlev1"/>
        <w:spacing w:line="276" w:lineRule="auto"/>
        <w:rPr>
          <w:lang w:val="es-ES_tradnl"/>
        </w:rPr>
      </w:pPr>
      <w:r w:rsidRPr="00F52C10">
        <w:rPr>
          <w:i/>
          <w:lang w:val="es-ES_tradnl" w:eastAsia="fr-FR"/>
        </w:rPr>
        <w:t>d)</w:t>
      </w:r>
      <w:r w:rsidRPr="00F52C10">
        <w:rPr>
          <w:lang w:val="es-ES_tradnl" w:eastAsia="fr-FR"/>
        </w:rPr>
        <w:tab/>
        <w:t>actualizará la situación de referencia de las adjudicaciones del Plan y las asignaciones de la Lista.</w:t>
      </w:r>
      <w:r w:rsidRPr="00F52C10">
        <w:rPr>
          <w:color w:val="000000"/>
          <w:sz w:val="16"/>
          <w:szCs w:val="16"/>
          <w:lang w:val="es-ES_tradnl"/>
        </w:rPr>
        <w:t>     (CMR-15)</w:t>
      </w:r>
    </w:p>
    <w:p w14:paraId="294E3B1E" w14:textId="77777777" w:rsidR="00B82F75" w:rsidRPr="00F52C10" w:rsidRDefault="00B82F75" w:rsidP="00E4628E">
      <w:pPr>
        <w:spacing w:line="276" w:lineRule="auto"/>
        <w:rPr>
          <w:lang w:val="es-ES_tradnl" w:eastAsia="zh-CN"/>
        </w:rPr>
      </w:pPr>
      <w:r w:rsidRPr="00F52C10">
        <w:rPr>
          <w:bCs/>
          <w:lang w:val="es-ES_tradnl"/>
        </w:rPr>
        <w:t>6.34</w:t>
      </w:r>
      <w:r w:rsidRPr="00F52C10">
        <w:rPr>
          <w:i/>
          <w:szCs w:val="24"/>
          <w:lang w:val="es-ES_tradnl"/>
        </w:rPr>
        <w:tab/>
      </w:r>
      <w:r w:rsidRPr="00F52C10">
        <w:rPr>
          <w:rStyle w:val="NoteChar"/>
          <w:rFonts w:eastAsia="SimSun"/>
        </w:rPr>
        <w:t>Cuando una asignación de frecuencias nueva o modificada no haya cumplido todos los requisitos para su inscripción en la Lista, de conformidad con el § 6.23 ó 6.25, antes de la fecha especificada en el § 6.31, o en el § 6.31</w:t>
      </w:r>
      <w:r w:rsidRPr="00F52C10">
        <w:rPr>
          <w:rStyle w:val="NoteChar"/>
          <w:rFonts w:eastAsia="SimSun"/>
          <w:i/>
          <w:iCs/>
        </w:rPr>
        <w:t>bis</w:t>
      </w:r>
      <w:r w:rsidRPr="00F52C10">
        <w:rPr>
          <w:rStyle w:val="NoteChar"/>
          <w:rFonts w:eastAsia="SimSun"/>
        </w:rPr>
        <w:t xml:space="preserve"> en caso de prórroga con arreglo a dicha disposición, la Oficina publicará en una Sección especial de la BR IFIC la cancelación de las Secciones Especiales correspondientes.</w:t>
      </w:r>
      <w:r w:rsidRPr="00F52C10">
        <w:rPr>
          <w:color w:val="000000"/>
          <w:sz w:val="16"/>
          <w:szCs w:val="16"/>
          <w:lang w:val="es-ES_tradnl"/>
        </w:rPr>
        <w:t>     (CMR-12)</w:t>
      </w:r>
    </w:p>
    <w:p w14:paraId="393EB9F4" w14:textId="77777777" w:rsidR="00B82F75" w:rsidRPr="00F52C10" w:rsidRDefault="00B82F75" w:rsidP="00E4628E">
      <w:pPr>
        <w:spacing w:line="276" w:lineRule="auto"/>
        <w:rPr>
          <w:lang w:val="es-ES_tradnl" w:eastAsia="zh-CN"/>
        </w:rPr>
      </w:pPr>
      <w:r w:rsidRPr="00F52C10">
        <w:rPr>
          <w:bCs/>
          <w:lang w:val="es-ES_tradnl"/>
        </w:rPr>
        <w:t>6.35</w:t>
      </w:r>
      <w:r w:rsidRPr="00F52C10">
        <w:rPr>
          <w:bCs/>
          <w:lang w:val="es-ES_tradnl"/>
        </w:rPr>
        <w:tab/>
      </w:r>
      <w:r w:rsidRPr="00F52C10">
        <w:rPr>
          <w:lang w:val="es-ES_tradnl" w:eastAsia="zh-CN"/>
        </w:rPr>
        <w:t>La administración de un país</w:t>
      </w:r>
      <w:r w:rsidRPr="00F52C10">
        <w:rPr>
          <w:rStyle w:val="Refdenotaalpie"/>
          <w:lang w:val="es-ES_tradnl" w:eastAsia="zh-CN"/>
        </w:rPr>
        <w:footnoteReference w:customMarkFollows="1" w:id="19"/>
        <w:t>*</w:t>
      </w:r>
      <w:r w:rsidRPr="00F52C10">
        <w:rPr>
          <w:lang w:val="es-ES_tradnl" w:eastAsia="zh-CN"/>
        </w:rPr>
        <w:t xml:space="preserve"> incorporado a la Unión como Estado Miembro de la UIT, que no tenga una adjudicación nacional en el Plan ni una asignación en la Lista resultante de la conversión de una adjudicación, podrá aplicar el procedimiento del presente Artículo para incluir nuevas asignaciones en la Lista. Una vez completado el procedimiento, se podrá pedir a la próxima Conferencia Mundial de Radiocomunicaciones que considere la posibilidad de incluir en el Plan, entre las asignaciones incluidas en la Lista después de finalizar satisfactoriamente este procedimiento, una nueva adjudicación en el territorio nacional del nuevo Estado Miembro.</w:t>
      </w:r>
    </w:p>
    <w:p w14:paraId="36708721" w14:textId="77777777" w:rsidR="00B82F75" w:rsidRPr="00F52C10" w:rsidRDefault="00B82F75" w:rsidP="00E4628E">
      <w:pPr>
        <w:spacing w:line="276" w:lineRule="auto"/>
        <w:rPr>
          <w:color w:val="000000"/>
          <w:sz w:val="16"/>
          <w:szCs w:val="16"/>
          <w:lang w:val="es-ES_tradnl"/>
        </w:rPr>
      </w:pPr>
      <w:r w:rsidRPr="00F52C10">
        <w:rPr>
          <w:lang w:val="es-ES_tradnl"/>
        </w:rPr>
        <w:t>6.36</w:t>
      </w:r>
      <w:r w:rsidRPr="00F52C10">
        <w:rPr>
          <w:szCs w:val="24"/>
          <w:lang w:val="es-ES_tradnl"/>
        </w:rPr>
        <w:tab/>
      </w:r>
      <w:r w:rsidRPr="00F52C10">
        <w:rPr>
          <w:rStyle w:val="NoteChar"/>
          <w:rFonts w:eastAsia="SimSun"/>
        </w:rPr>
        <w:t xml:space="preserve">En caso de que las asignaciones mencionadas en el § 6.35 en el territorio nacional de la administración considerada no se utilicen dentro de un plazo de ocho años a contar desde la recepción por la Oficina de la correspondiente información completa conforme con el § 6.1, o durante la prórroga </w:t>
      </w:r>
      <w:r w:rsidRPr="00F52C10">
        <w:rPr>
          <w:rStyle w:val="NoteChar"/>
          <w:rFonts w:eastAsia="SimSun"/>
        </w:rPr>
        <w:lastRenderedPageBreak/>
        <w:t>conforme al § 6.31</w:t>
      </w:r>
      <w:r w:rsidRPr="00F52C10">
        <w:rPr>
          <w:rStyle w:val="NoteChar"/>
          <w:rFonts w:eastAsia="SimSun"/>
          <w:i/>
          <w:iCs/>
        </w:rPr>
        <w:t>bis</w:t>
      </w:r>
      <w:r w:rsidRPr="00F52C10">
        <w:rPr>
          <w:rStyle w:val="NoteChar"/>
          <w:rFonts w:eastAsia="SimSun"/>
        </w:rPr>
        <w:t>, dichas asignaciones se conservarán en la Lista hasta la finalización de la Conferencia Mundial de Radiocomunicaciones inmediatamente posterior al cumplimiento de lo dispuesto en el procedimiento indicado en el § 6.35.</w:t>
      </w:r>
      <w:r w:rsidRPr="00F52C10">
        <w:rPr>
          <w:color w:val="000000"/>
          <w:sz w:val="16"/>
          <w:szCs w:val="16"/>
          <w:lang w:val="es-ES_tradnl"/>
        </w:rPr>
        <w:t>     (CMR-12)</w:t>
      </w:r>
    </w:p>
    <w:p w14:paraId="15FCCD64" w14:textId="77777777" w:rsidR="00B82F75" w:rsidRPr="00F52C10" w:rsidRDefault="00B82F75" w:rsidP="00E4628E">
      <w:pPr>
        <w:pStyle w:val="AppArtNo"/>
        <w:spacing w:before="600" w:line="276" w:lineRule="auto"/>
        <w:rPr>
          <w:lang w:val="es-ES_tradnl"/>
        </w:rPr>
      </w:pPr>
      <w:r w:rsidRPr="00F52C10">
        <w:rPr>
          <w:color w:val="000000"/>
          <w:lang w:val="es-ES_tradnl"/>
        </w:rPr>
        <w:t>                   </w:t>
      </w:r>
      <w:r w:rsidRPr="00F52C10">
        <w:rPr>
          <w:lang w:val="es-ES_tradnl"/>
        </w:rPr>
        <w:t>ARTÍCULO 7</w:t>
      </w:r>
      <w:r w:rsidRPr="00F52C10">
        <w:rPr>
          <w:sz w:val="16"/>
          <w:szCs w:val="16"/>
          <w:lang w:val="es-ES_tradnl"/>
        </w:rPr>
        <w:t>     (</w:t>
      </w:r>
      <w:r w:rsidRPr="00F52C10">
        <w:rPr>
          <w:caps w:val="0"/>
          <w:sz w:val="16"/>
          <w:szCs w:val="16"/>
          <w:lang w:val="es-ES_tradnl"/>
        </w:rPr>
        <w:t>R</w:t>
      </w:r>
      <w:r w:rsidRPr="00F52C10">
        <w:rPr>
          <w:sz w:val="16"/>
          <w:szCs w:val="16"/>
          <w:lang w:val="es-ES_tradnl"/>
        </w:rPr>
        <w:t>ev.CMR-15)</w:t>
      </w:r>
    </w:p>
    <w:p w14:paraId="1E6024FC" w14:textId="77777777" w:rsidR="00B82F75" w:rsidRPr="00F52C10" w:rsidRDefault="00B82F75" w:rsidP="00E4628E">
      <w:pPr>
        <w:pStyle w:val="AppArttitle"/>
        <w:spacing w:line="276" w:lineRule="auto"/>
        <w:rPr>
          <w:color w:val="000000"/>
          <w:lang w:val="es-ES_tradnl"/>
        </w:rPr>
      </w:pPr>
      <w:r w:rsidRPr="00F52C10">
        <w:rPr>
          <w:lang w:val="es-ES_tradnl"/>
        </w:rPr>
        <w:t xml:space="preserve">Procedimiento para la adición de una nueva adjudicación </w:t>
      </w:r>
      <w:r w:rsidRPr="00F52C10">
        <w:rPr>
          <w:lang w:val="es-ES_tradnl"/>
        </w:rPr>
        <w:br/>
        <w:t>en el Plan para un nuevo Estado Miembro de la Unión</w:t>
      </w:r>
    </w:p>
    <w:p w14:paraId="69779F1A" w14:textId="77777777" w:rsidR="00B82F75" w:rsidRPr="00F52C10" w:rsidRDefault="00B82F75" w:rsidP="00E4628E">
      <w:pPr>
        <w:pStyle w:val="Normalaftertitle"/>
        <w:spacing w:before="220" w:line="276" w:lineRule="auto"/>
        <w:rPr>
          <w:color w:val="000000"/>
          <w:lang w:val="es-ES_tradnl"/>
        </w:rPr>
      </w:pPr>
      <w:r w:rsidRPr="00F52C10">
        <w:rPr>
          <w:bCs/>
          <w:lang w:val="es-ES_tradnl"/>
        </w:rPr>
        <w:t>7.1</w:t>
      </w:r>
      <w:r w:rsidRPr="00F52C10">
        <w:rPr>
          <w:bCs/>
          <w:lang w:val="es-ES_tradnl"/>
        </w:rPr>
        <w:tab/>
      </w:r>
      <w:r w:rsidRPr="00F52C10">
        <w:rPr>
          <w:color w:val="000000"/>
          <w:lang w:val="es-ES_tradnl"/>
        </w:rPr>
        <w:t>La administración de un país</w:t>
      </w:r>
      <w:r w:rsidRPr="00F52C10">
        <w:rPr>
          <w:rStyle w:val="Refdenotaalpie"/>
          <w:color w:val="000000"/>
          <w:lang w:val="es-ES_tradnl"/>
        </w:rPr>
        <w:footnoteReference w:customMarkFollows="1" w:id="20"/>
        <w:t>**</w:t>
      </w:r>
      <w:r w:rsidRPr="00F52C10">
        <w:rPr>
          <w:color w:val="000000"/>
          <w:lang w:val="es-ES_tradnl"/>
        </w:rPr>
        <w:t xml:space="preserve"> que se haya incorporado a la Unión como Estado Miembro y no posea una adjudicación nacional en el Plan,</w:t>
      </w:r>
      <w:r w:rsidRPr="00F52C10">
        <w:rPr>
          <w:rStyle w:val="Refdenotaalpie"/>
          <w:color w:val="FFFFFF"/>
          <w:lang w:val="es-ES_tradnl"/>
        </w:rPr>
        <w:footnoteReference w:customMarkFollows="1" w:id="21"/>
        <w:t>9</w:t>
      </w:r>
      <w:r w:rsidRPr="00F52C10">
        <w:rPr>
          <w:color w:val="000000"/>
          <w:lang w:val="es-ES_tradnl"/>
        </w:rPr>
        <w:t xml:space="preserve"> o una asignación resultante de la conversión de una adjudicación, obtendrá una adjudicación nacional mediante la aplicación del siguiente procedimiento.</w:t>
      </w:r>
      <w:r w:rsidRPr="00F52C10">
        <w:rPr>
          <w:color w:val="000000"/>
          <w:sz w:val="16"/>
          <w:szCs w:val="16"/>
          <w:lang w:val="es-ES_tradnl"/>
        </w:rPr>
        <w:t>     (CMR-15)</w:t>
      </w:r>
    </w:p>
    <w:p w14:paraId="2D1F9432" w14:textId="77777777" w:rsidR="00B82F75" w:rsidRPr="00F52C10" w:rsidRDefault="00B82F75" w:rsidP="00E4628E">
      <w:pPr>
        <w:spacing w:before="200" w:line="276" w:lineRule="auto"/>
        <w:rPr>
          <w:color w:val="000000"/>
          <w:lang w:val="es-ES_tradnl"/>
        </w:rPr>
      </w:pPr>
      <w:r w:rsidRPr="00F52C10">
        <w:rPr>
          <w:bCs/>
          <w:lang w:val="es-ES_tradnl"/>
        </w:rPr>
        <w:t>7.2</w:t>
      </w:r>
      <w:r w:rsidRPr="00F52C10">
        <w:rPr>
          <w:bCs/>
          <w:lang w:val="es-ES_tradnl"/>
        </w:rPr>
        <w:tab/>
      </w:r>
      <w:r w:rsidRPr="00F52C10">
        <w:rPr>
          <w:color w:val="000000"/>
          <w:lang w:val="es-ES_tradnl"/>
        </w:rPr>
        <w:t>La administración presentará su petición de una adjudicación a la Oficina con la siguiente información:</w:t>
      </w:r>
    </w:p>
    <w:p w14:paraId="2F84FD49" w14:textId="77777777" w:rsidR="00B82F75" w:rsidRPr="00F52C10" w:rsidRDefault="00B82F75" w:rsidP="00E4628E">
      <w:pPr>
        <w:pStyle w:val="enumlev1"/>
        <w:spacing w:line="276" w:lineRule="auto"/>
        <w:rPr>
          <w:lang w:val="es-ES_tradnl"/>
        </w:rPr>
      </w:pPr>
      <w:r w:rsidRPr="00F52C10">
        <w:rPr>
          <w:i/>
          <w:lang w:val="es-ES_tradnl"/>
        </w:rPr>
        <w:t>a)</w:t>
      </w:r>
      <w:r w:rsidRPr="00F52C10">
        <w:rPr>
          <w:lang w:val="es-ES_tradnl"/>
        </w:rPr>
        <w:tab/>
        <w:t>las coordenadas geográficas de no más de 20 puntos de prueba, con el fin de determinar la elipse mínima necesaria para cubrir su territorio nacional;</w:t>
      </w:r>
    </w:p>
    <w:p w14:paraId="1BF59910" w14:textId="77777777" w:rsidR="00B82F75" w:rsidRPr="00F52C10" w:rsidRDefault="00B82F75" w:rsidP="00E4628E">
      <w:pPr>
        <w:pStyle w:val="enumlev1"/>
        <w:spacing w:line="276" w:lineRule="auto"/>
        <w:rPr>
          <w:lang w:val="es-ES_tradnl"/>
        </w:rPr>
      </w:pPr>
      <w:r w:rsidRPr="00F52C10">
        <w:rPr>
          <w:i/>
          <w:lang w:val="es-ES_tradnl"/>
        </w:rPr>
        <w:t>b)</w:t>
      </w:r>
      <w:r w:rsidRPr="00F52C10">
        <w:rPr>
          <w:lang w:val="es-ES_tradnl"/>
        </w:rPr>
        <w:tab/>
        <w:t>la altura sobre el nivel del mar de cada uno de sus puntos de prueba;</w:t>
      </w:r>
    </w:p>
    <w:p w14:paraId="37FDAF7D" w14:textId="77777777" w:rsidR="00B82F75" w:rsidRPr="00F52C10" w:rsidRDefault="00B82F75" w:rsidP="00E4628E">
      <w:pPr>
        <w:pStyle w:val="enumlev1"/>
        <w:spacing w:line="276" w:lineRule="auto"/>
        <w:rPr>
          <w:lang w:val="es-ES_tradnl"/>
        </w:rPr>
      </w:pPr>
      <w:r w:rsidRPr="00F52C10">
        <w:rPr>
          <w:i/>
          <w:lang w:val="es-ES_tradnl"/>
        </w:rPr>
        <w:t>c)</w:t>
      </w:r>
      <w:r w:rsidRPr="00F52C10">
        <w:rPr>
          <w:lang w:val="es-ES_tradnl"/>
        </w:rPr>
        <w:tab/>
        <w:t>cualquier otro requisito especial que deba tenerse en cuenta, en la medida de lo posible.</w:t>
      </w:r>
    </w:p>
    <w:p w14:paraId="1A421C7D" w14:textId="77777777" w:rsidR="00B82F75" w:rsidRPr="00F52C10" w:rsidRDefault="00B82F75" w:rsidP="00E4628E">
      <w:pPr>
        <w:spacing w:line="276" w:lineRule="auto"/>
        <w:rPr>
          <w:lang w:val="es-ES_tradnl"/>
        </w:rPr>
      </w:pPr>
      <w:r w:rsidRPr="00F52C10">
        <w:rPr>
          <w:lang w:val="es-ES_tradnl"/>
        </w:rPr>
        <w:br w:type="page"/>
      </w:r>
    </w:p>
    <w:p w14:paraId="754BA539" w14:textId="77777777" w:rsidR="00B82F75" w:rsidRPr="00F52C10" w:rsidRDefault="00B82F75" w:rsidP="00E4628E">
      <w:pPr>
        <w:spacing w:line="276" w:lineRule="auto"/>
        <w:rPr>
          <w:color w:val="000000"/>
          <w:lang w:val="es-ES_tradnl"/>
        </w:rPr>
      </w:pPr>
      <w:r w:rsidRPr="00F52C10">
        <w:rPr>
          <w:bCs/>
          <w:lang w:val="es-ES_tradnl"/>
        </w:rPr>
        <w:lastRenderedPageBreak/>
        <w:t>7.3</w:t>
      </w:r>
      <w:r w:rsidRPr="00F52C10">
        <w:rPr>
          <w:bCs/>
          <w:lang w:val="es-ES_tradnl"/>
        </w:rPr>
        <w:tab/>
      </w:r>
      <w:r w:rsidRPr="00F52C10">
        <w:rPr>
          <w:lang w:val="es-ES_tradnl"/>
        </w:rPr>
        <w:t>Al recibir la información completa (mencionada en el § 7.2 anterior) la Oficina, antes de examinar las notificaciones para las que no ha iniciado el examen con arreglo al § 6.5, identificará sin dilación las características técnicas apropiadas y las posiciones orbitales asociadas para una posible adjudicación nacional. La Oficina enviará esta información a la administración solicitante.</w:t>
      </w:r>
    </w:p>
    <w:p w14:paraId="720E7649" w14:textId="77777777" w:rsidR="00B82F75" w:rsidRPr="00F52C10" w:rsidRDefault="00B82F75" w:rsidP="00E4628E">
      <w:pPr>
        <w:spacing w:line="276" w:lineRule="auto"/>
        <w:rPr>
          <w:color w:val="000000"/>
          <w:lang w:val="es-ES_tradnl"/>
        </w:rPr>
      </w:pPr>
      <w:r w:rsidRPr="00F52C10">
        <w:rPr>
          <w:color w:val="000000"/>
          <w:lang w:val="es-ES_tradnl"/>
        </w:rPr>
        <w:t>7.4</w:t>
      </w:r>
      <w:r w:rsidRPr="00F52C10">
        <w:rPr>
          <w:color w:val="000000"/>
          <w:lang w:val="es-ES_tradnl"/>
        </w:rPr>
        <w:tab/>
        <w:t xml:space="preserve">Al recibir la respuesta de la Oficina con arreglo al </w:t>
      </w:r>
      <w:r w:rsidRPr="00F52C10">
        <w:rPr>
          <w:lang w:val="es-ES_tradnl"/>
        </w:rPr>
        <w:t>§ 7.3, la administración solicitante indicará, en un plazo de 30 días, las posiciones orbitales propuestas y parámetros técnicos asociados que seleccionó identificados por la Oficina. Durante este periodo, la administración solicitante podrá pedir en todo momento la asistencia de la Oficina.</w:t>
      </w:r>
    </w:p>
    <w:p w14:paraId="2FDCD504" w14:textId="77777777" w:rsidR="00B82F75" w:rsidRPr="00F52C10" w:rsidRDefault="00B82F75" w:rsidP="00E4628E">
      <w:pPr>
        <w:spacing w:line="276" w:lineRule="auto"/>
        <w:rPr>
          <w:lang w:val="es-ES_tradnl"/>
        </w:rPr>
      </w:pPr>
      <w:r w:rsidRPr="00F52C10">
        <w:rPr>
          <w:lang w:val="es-ES_tradnl"/>
        </w:rPr>
        <w:t>7.4</w:t>
      </w:r>
      <w:r w:rsidRPr="00F52C10">
        <w:rPr>
          <w:i/>
          <w:lang w:val="es-ES_tradnl"/>
        </w:rPr>
        <w:t>bis</w:t>
      </w:r>
      <w:r w:rsidRPr="00F52C10">
        <w:rPr>
          <w:lang w:val="es-ES_tradnl"/>
        </w:rPr>
        <w:tab/>
        <w:t>Si en el plazo especificado no se ha recibido la información correspondiente a la adjudicación, de conformidad con el § 7.4, la Oficina reanudará el examen de las notificaciones con arreglo al § 6.5 o la subsiguiente notificación con arreglo al Artículo 7, según proceda, e informará a la administración solicitante que su solicitud se tramitará con arreglo al § 7.5 una vez se envíe a la Oficina la información correspondiente a la posición orbital seleccionada.</w:t>
      </w:r>
    </w:p>
    <w:p w14:paraId="45E4D617" w14:textId="77777777" w:rsidR="00B82F75" w:rsidRPr="00F52C10" w:rsidRDefault="00B82F75" w:rsidP="00E4628E">
      <w:pPr>
        <w:spacing w:line="276" w:lineRule="auto"/>
        <w:rPr>
          <w:lang w:val="es-ES_tradnl"/>
        </w:rPr>
      </w:pPr>
      <w:r w:rsidRPr="00F52C10">
        <w:rPr>
          <w:lang w:val="es-ES_tradnl"/>
        </w:rPr>
        <w:t>7.5</w:t>
      </w:r>
      <w:r w:rsidRPr="00F52C10">
        <w:rPr>
          <w:lang w:val="es-ES_tradnl"/>
        </w:rPr>
        <w:tab/>
        <w:t>Al recibir una solicitud con arreglo al § 7.4, la Oficina tramitará la solicitud antes que las presentaciones para las que no ha iniciado el examen con arreglo al § 6.5 y, utilizando los Anexos 3 y 4, examinará a su conformidad con:</w:t>
      </w:r>
    </w:p>
    <w:p w14:paraId="76F60FD0" w14:textId="77777777" w:rsidR="00B82F75" w:rsidRPr="00F52C10" w:rsidRDefault="00B82F75" w:rsidP="00E4628E">
      <w:pPr>
        <w:pStyle w:val="enumlev1"/>
        <w:spacing w:line="276" w:lineRule="auto"/>
        <w:rPr>
          <w:lang w:val="es-ES_tradnl"/>
        </w:rPr>
      </w:pPr>
      <w:r w:rsidRPr="00F52C10">
        <w:rPr>
          <w:i/>
          <w:iCs/>
          <w:lang w:val="es-ES_tradnl"/>
        </w:rPr>
        <w:t>a)</w:t>
      </w:r>
      <w:r w:rsidRPr="00F52C10">
        <w:rPr>
          <w:lang w:val="es-ES_tradnl"/>
        </w:rPr>
        <w:tab/>
        <w:t>el Cuadro de atribución de bandas de frecuencias y otras disposiciones</w:t>
      </w:r>
      <w:r w:rsidRPr="00F52C10">
        <w:rPr>
          <w:rStyle w:val="Refdenotaalpie"/>
          <w:lang w:val="es-ES_tradnl"/>
        </w:rPr>
        <w:footnoteReference w:customMarkFollows="1" w:id="22"/>
        <w:t>10</w:t>
      </w:r>
      <w:r w:rsidRPr="00F52C10">
        <w:rPr>
          <w:lang w:val="es-ES_tradnl"/>
        </w:rPr>
        <w:t xml:space="preserve"> del Reglamento de Radiocomunicaciones, salvo las disposiciones relativas a la conformidad con el Plan del servicio fijo por satélite que figuran en el siguiente párrafo;</w:t>
      </w:r>
    </w:p>
    <w:p w14:paraId="58C98823" w14:textId="77777777" w:rsidR="00B82F75" w:rsidRPr="00F52C10" w:rsidRDefault="00B82F75" w:rsidP="00E4628E">
      <w:pPr>
        <w:pStyle w:val="enumlev1"/>
        <w:spacing w:line="276" w:lineRule="auto"/>
        <w:rPr>
          <w:lang w:val="es-ES_tradnl"/>
        </w:rPr>
      </w:pPr>
      <w:r w:rsidRPr="00F52C10">
        <w:rPr>
          <w:i/>
          <w:iCs/>
          <w:lang w:val="es-ES_tradnl"/>
        </w:rPr>
        <w:t>b)</w:t>
      </w:r>
      <w:r w:rsidRPr="00F52C10">
        <w:rPr>
          <w:lang w:val="es-ES_tradnl"/>
        </w:rPr>
        <w:tab/>
        <w:t>las adjudicaciones en el Plan;</w:t>
      </w:r>
    </w:p>
    <w:p w14:paraId="46787E02" w14:textId="77777777" w:rsidR="00B82F75" w:rsidRPr="00F52C10" w:rsidRDefault="00B82F75" w:rsidP="00E4628E">
      <w:pPr>
        <w:pStyle w:val="enumlev1"/>
        <w:spacing w:line="276" w:lineRule="auto"/>
        <w:rPr>
          <w:lang w:val="es-ES_tradnl"/>
        </w:rPr>
      </w:pPr>
      <w:r w:rsidRPr="00F52C10">
        <w:rPr>
          <w:i/>
          <w:iCs/>
          <w:lang w:val="es-ES_tradnl"/>
        </w:rPr>
        <w:t>c)</w:t>
      </w:r>
      <w:r w:rsidRPr="00F52C10">
        <w:rPr>
          <w:lang w:val="es-ES_tradnl"/>
        </w:rPr>
        <w:tab/>
        <w:t>las asignaciones que figuran en la Lista;</w:t>
      </w:r>
    </w:p>
    <w:p w14:paraId="1786DDA8" w14:textId="77777777" w:rsidR="00B82F75" w:rsidRPr="00F52C10" w:rsidRDefault="00B82F75" w:rsidP="00E4628E">
      <w:pPr>
        <w:pStyle w:val="enumlev1"/>
        <w:spacing w:line="276" w:lineRule="auto"/>
        <w:rPr>
          <w:lang w:val="es-ES_tradnl"/>
        </w:rPr>
      </w:pPr>
      <w:r w:rsidRPr="00F52C10">
        <w:rPr>
          <w:i/>
          <w:iCs/>
          <w:lang w:val="es-ES_tradnl"/>
        </w:rPr>
        <w:t>d)</w:t>
      </w:r>
      <w:r w:rsidRPr="00F52C10">
        <w:rPr>
          <w:lang w:val="es-ES_tradnl"/>
        </w:rPr>
        <w:tab/>
        <w:t>las asignaciones para las que la Oficina haya recibido la información completa y hayan sido examinadas o se encuentren en examen, con arreglo al § 6.5.</w:t>
      </w:r>
    </w:p>
    <w:p w14:paraId="2BF24216" w14:textId="77777777" w:rsidR="00B82F75" w:rsidRPr="00F52C10" w:rsidRDefault="00B82F75" w:rsidP="00E4628E">
      <w:pPr>
        <w:spacing w:line="276" w:lineRule="auto"/>
        <w:rPr>
          <w:lang w:val="es-ES_tradnl"/>
        </w:rPr>
      </w:pPr>
      <w:r w:rsidRPr="00F52C10">
        <w:rPr>
          <w:lang w:val="es-ES_tradnl"/>
        </w:rPr>
        <w:t>7.6</w:t>
      </w:r>
      <w:r w:rsidRPr="00F52C10">
        <w:rPr>
          <w:lang w:val="es-ES_tradnl"/>
        </w:rPr>
        <w:tab/>
        <w:t>Si el examen con arreglo al § 7.5 da lugar a una conclusión favorable, la Oficina inscribirá en el Plan la adjudicación nacional del nuevo Estado Miembro de la Unión y publicará las características de la adjudicación en cuestión y el resultado de su examen en una Sección especial de la BR IFIC, con la situación de referencia actualizada.</w:t>
      </w:r>
    </w:p>
    <w:p w14:paraId="07DE077C" w14:textId="77777777" w:rsidR="00B82F75" w:rsidRPr="00F52C10" w:rsidRDefault="00B82F75" w:rsidP="00E4628E">
      <w:pPr>
        <w:spacing w:line="276" w:lineRule="auto"/>
        <w:rPr>
          <w:lang w:val="es-ES_tradnl"/>
        </w:rPr>
      </w:pPr>
      <w:r w:rsidRPr="00F52C10">
        <w:rPr>
          <w:bCs/>
          <w:lang w:val="es-ES_tradnl"/>
        </w:rPr>
        <w:t>7.7</w:t>
      </w:r>
      <w:r w:rsidRPr="00F52C10">
        <w:rPr>
          <w:lang w:val="es-ES_tradnl"/>
        </w:rPr>
        <w:tab/>
        <w:t>Si el examen con arreglo al § 7.5 da lugar a una conclusión desfavorable, la adjudicación propuesta del Estado Miembro se considerará como una notificación con arreglo al § 6.1 y la Oficina la tramitará antes que cualquier otra presentación recibida con arreglo al Artículo 6, salvo las presentaciones que ya esté examinando la Oficina con arreglo al § 6.5 en el momento en que finaliza el examen de la solicitud del nuevo Estado Miembro con arreglo al § 7.5.</w:t>
      </w:r>
    </w:p>
    <w:p w14:paraId="6BD1CA14" w14:textId="77777777" w:rsidR="00B82F75" w:rsidRPr="00F52C10" w:rsidRDefault="00B82F75" w:rsidP="00E4628E">
      <w:pPr>
        <w:spacing w:line="276" w:lineRule="auto"/>
        <w:rPr>
          <w:lang w:val="es-ES_tradnl"/>
        </w:rPr>
      </w:pPr>
      <w:r w:rsidRPr="00F52C10">
        <w:rPr>
          <w:lang w:val="es-ES_tradnl"/>
        </w:rPr>
        <w:br w:type="page"/>
      </w:r>
    </w:p>
    <w:p w14:paraId="6A425DA5" w14:textId="77777777" w:rsidR="00B82F75" w:rsidRPr="00F52C10" w:rsidRDefault="00B82F75" w:rsidP="00E4628E">
      <w:pPr>
        <w:pStyle w:val="AppArtNo"/>
        <w:spacing w:line="276" w:lineRule="auto"/>
        <w:rPr>
          <w:color w:val="000000"/>
          <w:lang w:val="es-ES_tradnl"/>
        </w:rPr>
      </w:pPr>
      <w:r w:rsidRPr="00F52C10">
        <w:rPr>
          <w:color w:val="000000"/>
          <w:lang w:val="es-ES_tradnl"/>
        </w:rPr>
        <w:lastRenderedPageBreak/>
        <w:t>                   </w:t>
      </w:r>
      <w:r w:rsidRPr="00F52C10">
        <w:rPr>
          <w:lang w:val="es-ES_tradnl"/>
        </w:rPr>
        <w:t>ARTÍCULO 8</w:t>
      </w:r>
      <w:r w:rsidRPr="00F52C10">
        <w:rPr>
          <w:sz w:val="16"/>
          <w:szCs w:val="16"/>
          <w:lang w:val="es-ES_tradnl"/>
        </w:rPr>
        <w:t>     (</w:t>
      </w:r>
      <w:r w:rsidRPr="00F52C10">
        <w:rPr>
          <w:caps w:val="0"/>
          <w:sz w:val="16"/>
          <w:szCs w:val="16"/>
          <w:lang w:val="es-ES_tradnl"/>
        </w:rPr>
        <w:t>R</w:t>
      </w:r>
      <w:r w:rsidRPr="00F52C10">
        <w:rPr>
          <w:sz w:val="16"/>
          <w:szCs w:val="16"/>
          <w:lang w:val="es-ES_tradnl"/>
        </w:rPr>
        <w:t>ev.CMR-15)</w:t>
      </w:r>
    </w:p>
    <w:p w14:paraId="0F0F70DD" w14:textId="77777777" w:rsidR="00B82F75" w:rsidRPr="00F52C10" w:rsidRDefault="00B82F75" w:rsidP="00E4628E">
      <w:pPr>
        <w:pStyle w:val="AppArttitle"/>
        <w:spacing w:line="276" w:lineRule="auto"/>
        <w:rPr>
          <w:lang w:val="es-ES_tradnl"/>
        </w:rPr>
      </w:pPr>
      <w:r w:rsidRPr="00F52C10">
        <w:rPr>
          <w:lang w:val="es-ES_tradnl"/>
        </w:rPr>
        <w:t>Procedimiento para la notificación e inscripción en el Registro</w:t>
      </w:r>
      <w:r w:rsidRPr="00F52C10">
        <w:rPr>
          <w:lang w:val="es-ES_tradnl"/>
        </w:rPr>
        <w:br/>
        <w:t>de asignaciones en las bandas planificadas para</w:t>
      </w:r>
      <w:r w:rsidRPr="00F52C10">
        <w:rPr>
          <w:lang w:val="es-ES_tradnl"/>
        </w:rPr>
        <w:br/>
        <w:t>el servicio fijo por satélite</w:t>
      </w:r>
      <w:r w:rsidRPr="00F52C10">
        <w:rPr>
          <w:rStyle w:val="Refdenotaalpie"/>
          <w:b w:val="0"/>
          <w:bCs/>
          <w:lang w:val="es-ES_tradnl"/>
        </w:rPr>
        <w:footnoteReference w:customMarkFollows="1" w:id="23"/>
        <w:t>11,</w:t>
      </w:r>
      <w:r w:rsidRPr="00F52C10">
        <w:rPr>
          <w:b w:val="0"/>
          <w:bCs/>
          <w:lang w:val="es-ES_tradnl"/>
        </w:rPr>
        <w:t xml:space="preserve"> </w:t>
      </w:r>
      <w:r w:rsidRPr="00F52C10">
        <w:rPr>
          <w:rStyle w:val="Refdenotaalpie"/>
          <w:b w:val="0"/>
          <w:bCs/>
          <w:lang w:val="es-ES_tradnl"/>
        </w:rPr>
        <w:footnoteReference w:customMarkFollows="1" w:id="24"/>
        <w:t>12</w:t>
      </w:r>
      <w:r w:rsidRPr="00F52C10">
        <w:rPr>
          <w:b w:val="0"/>
          <w:color w:val="000000"/>
          <w:sz w:val="16"/>
          <w:szCs w:val="16"/>
          <w:lang w:val="es-ES_tradnl"/>
        </w:rPr>
        <w:t>     (CMR</w:t>
      </w:r>
      <w:r w:rsidRPr="00F52C10">
        <w:rPr>
          <w:b w:val="0"/>
          <w:color w:val="000000"/>
          <w:sz w:val="16"/>
          <w:szCs w:val="16"/>
          <w:lang w:val="es-ES_tradnl"/>
        </w:rPr>
        <w:noBreakHyphen/>
        <w:t>15)</w:t>
      </w:r>
    </w:p>
    <w:p w14:paraId="5E6993AB" w14:textId="77777777" w:rsidR="00B82F75" w:rsidRPr="00F52C10" w:rsidRDefault="00B82F75" w:rsidP="00E4628E">
      <w:pPr>
        <w:pStyle w:val="Normalaftertitle"/>
        <w:spacing w:line="276" w:lineRule="auto"/>
        <w:rPr>
          <w:lang w:val="es-ES_tradnl"/>
        </w:rPr>
      </w:pPr>
      <w:r w:rsidRPr="00F52C10">
        <w:rPr>
          <w:color w:val="000000"/>
          <w:lang w:val="es-ES_tradnl"/>
        </w:rPr>
        <w:t>8.1</w:t>
      </w:r>
      <w:r w:rsidRPr="00F52C10">
        <w:rPr>
          <w:color w:val="000000"/>
          <w:lang w:val="es-ES_tradnl"/>
        </w:rPr>
        <w:tab/>
        <w:t>Toda asignación para la cual se ha aplicado satisfactoriamente el procedimiento pertinente del Artículo 6 será notificada a la Oficina utilizando las características pertinentes enumeradas en el Apéndice </w:t>
      </w:r>
      <w:r w:rsidRPr="00F52C10">
        <w:rPr>
          <w:rStyle w:val="Appref"/>
          <w:b/>
          <w:bCs/>
          <w:color w:val="000000"/>
          <w:lang w:val="es-ES_tradnl"/>
        </w:rPr>
        <w:t>4</w:t>
      </w:r>
      <w:r w:rsidRPr="00F52C10">
        <w:rPr>
          <w:color w:val="000000"/>
          <w:lang w:val="es-ES_tradnl"/>
        </w:rPr>
        <w:t>, pero no antes de 3 años respecto a la puesta en servicio de las asignaciones.</w:t>
      </w:r>
      <w:r w:rsidRPr="00F52C10">
        <w:rPr>
          <w:color w:val="000000"/>
          <w:sz w:val="16"/>
          <w:lang w:val="es-ES_tradnl"/>
        </w:rPr>
        <w:t>     (CMR-03)</w:t>
      </w:r>
    </w:p>
    <w:p w14:paraId="1352E89B" w14:textId="77777777" w:rsidR="00B82F75" w:rsidRPr="00F52C10" w:rsidRDefault="00B82F75" w:rsidP="00E4628E">
      <w:pPr>
        <w:spacing w:line="276" w:lineRule="auto"/>
        <w:rPr>
          <w:lang w:val="es-ES_tradnl"/>
        </w:rPr>
      </w:pPr>
      <w:r w:rsidRPr="00F52C10">
        <w:rPr>
          <w:bCs/>
          <w:lang w:val="es-ES_tradnl"/>
        </w:rPr>
        <w:t>8.2</w:t>
      </w:r>
      <w:r w:rsidRPr="00F52C10">
        <w:rPr>
          <w:bCs/>
          <w:lang w:val="es-ES_tradnl"/>
        </w:rPr>
        <w:tab/>
      </w:r>
      <w:r w:rsidRPr="00F52C10">
        <w:rPr>
          <w:color w:val="000000"/>
          <w:lang w:val="es-ES_tradnl"/>
        </w:rPr>
        <w:t>Si la primera notificación a la que se refiere el § </w:t>
      </w:r>
      <w:r w:rsidRPr="00F52C10">
        <w:rPr>
          <w:bCs/>
          <w:color w:val="000000"/>
          <w:lang w:val="es-ES_tradnl"/>
        </w:rPr>
        <w:t>8.1</w:t>
      </w:r>
      <w:r w:rsidRPr="00F52C10">
        <w:rPr>
          <w:b/>
          <w:color w:val="000000"/>
          <w:lang w:val="es-ES_tradnl"/>
        </w:rPr>
        <w:t xml:space="preserve"> </w:t>
      </w:r>
      <w:r w:rsidRPr="00F52C10">
        <w:rPr>
          <w:color w:val="000000"/>
          <w:lang w:val="es-ES_tradnl"/>
        </w:rPr>
        <w:t>no se ha recibido en la Oficina en el periodo de ocho años mencionado en el § 6.1 del Artículo 6, la Oficina y las Administraciones ya no tendrán en cuenta las asignaciones de la Lista. La Oficina actuará entonces como si la asignación de la Lista no se hubiese puesto en servicio conforme al § 6.1 del Artículo 6. La Oficina informará a la administración notificante de sus actuaciones pendientes con tres meses de antelación a la expiración del periodo de ocho años.</w:t>
      </w:r>
      <w:r w:rsidRPr="00F52C10">
        <w:rPr>
          <w:color w:val="000000"/>
          <w:sz w:val="16"/>
          <w:lang w:val="es-ES_tradnl"/>
        </w:rPr>
        <w:t>     (CMR-07)</w:t>
      </w:r>
    </w:p>
    <w:p w14:paraId="6EB241D8" w14:textId="77777777" w:rsidR="00B82F75" w:rsidRPr="00F52C10" w:rsidRDefault="00B82F75" w:rsidP="00E4628E">
      <w:pPr>
        <w:spacing w:line="276" w:lineRule="auto"/>
        <w:rPr>
          <w:color w:val="000000"/>
          <w:sz w:val="16"/>
          <w:lang w:val="es-ES_tradnl"/>
        </w:rPr>
      </w:pPr>
      <w:r w:rsidRPr="00F52C10">
        <w:rPr>
          <w:bCs/>
          <w:color w:val="000000"/>
          <w:lang w:val="es-ES_tradnl"/>
        </w:rPr>
        <w:t>8.3</w:t>
      </w:r>
      <w:r w:rsidRPr="00F52C10">
        <w:rPr>
          <w:color w:val="000000"/>
          <w:lang w:val="es-ES_tradnl"/>
        </w:rPr>
        <w:tab/>
        <w:t>Las notificaciones que no contengan las características especificadas en el Apéndice </w:t>
      </w:r>
      <w:r w:rsidRPr="00F52C10">
        <w:rPr>
          <w:rStyle w:val="Appref"/>
          <w:b/>
          <w:color w:val="000000"/>
          <w:lang w:val="es-ES_tradnl"/>
        </w:rPr>
        <w:t>4</w:t>
      </w:r>
      <w:r w:rsidRPr="00F52C10">
        <w:rPr>
          <w:color w:val="000000"/>
          <w:lang w:val="es-ES_tradnl"/>
        </w:rPr>
        <w:t xml:space="preserve"> como obligatorias o necesarias se devolverán con comentarios para ayudar a la administración notificante a completarlas y volver a presentarlas, a menos que la información no facilitada se envíe inmediatamente como respuesta a una petición de la Oficina.</w:t>
      </w:r>
      <w:r w:rsidRPr="00F52C10">
        <w:rPr>
          <w:color w:val="000000"/>
          <w:sz w:val="16"/>
          <w:lang w:val="es-ES_tradnl"/>
        </w:rPr>
        <w:t>     (CMR-03)</w:t>
      </w:r>
    </w:p>
    <w:p w14:paraId="4794FCDF" w14:textId="77777777" w:rsidR="00B82F75" w:rsidRPr="00F52C10" w:rsidRDefault="00B82F75" w:rsidP="00E4628E">
      <w:pPr>
        <w:spacing w:line="276" w:lineRule="auto"/>
        <w:rPr>
          <w:lang w:val="es-ES_tradnl"/>
        </w:rPr>
      </w:pPr>
      <w:r w:rsidRPr="00F52C10">
        <w:rPr>
          <w:lang w:val="es-ES_tradnl"/>
        </w:rPr>
        <w:t>8.4</w:t>
      </w:r>
      <w:r w:rsidRPr="00F52C10">
        <w:rPr>
          <w:lang w:val="es-ES_tradnl"/>
        </w:rPr>
        <w:tab/>
      </w:r>
      <w:r w:rsidRPr="00F52C10">
        <w:rPr>
          <w:sz w:val="16"/>
          <w:szCs w:val="16"/>
          <w:lang w:val="es-ES_tradnl"/>
        </w:rPr>
        <w:t>(SUP – CMR-07)</w:t>
      </w:r>
    </w:p>
    <w:p w14:paraId="39B5C52A" w14:textId="77777777" w:rsidR="00B82F75" w:rsidRPr="00F52C10" w:rsidRDefault="00B82F75" w:rsidP="00E4628E">
      <w:pPr>
        <w:spacing w:line="276" w:lineRule="auto"/>
        <w:rPr>
          <w:sz w:val="16"/>
          <w:lang w:val="es-ES_tradnl"/>
        </w:rPr>
      </w:pPr>
      <w:r w:rsidRPr="00F52C10">
        <w:rPr>
          <w:lang w:val="es-ES_tradnl"/>
        </w:rPr>
        <w:t>8.5</w:t>
      </w:r>
      <w:r w:rsidRPr="00F52C10">
        <w:rPr>
          <w:lang w:val="es-ES_tradnl"/>
        </w:rPr>
        <w:tab/>
        <w:t>La Oficina marcará las notificaciones completas con su fecha de recepción y las examinará según el orden de llegada. Al recibir una notificación completa, la Oficina publicará, no más tarde de dos meses, su contenido con todos los diagramas y mapas y con la fecha de recepción en su BR IFIC que constituirá para la administración notificante el acuse de recibo de su notificación. Cuando la Oficina no esté en condiciones de cumplir el plazo mencionado, informará periódicamente de ello a las administraciones, dando las razones al efecto.</w:t>
      </w:r>
      <w:r w:rsidRPr="00F52C10">
        <w:rPr>
          <w:sz w:val="16"/>
          <w:lang w:val="es-ES_tradnl"/>
        </w:rPr>
        <w:t>     (CMR-07)</w:t>
      </w:r>
    </w:p>
    <w:p w14:paraId="0D59A10C" w14:textId="77777777" w:rsidR="00B82F75" w:rsidRPr="00F52C10" w:rsidRDefault="00B82F75" w:rsidP="00E4628E">
      <w:pPr>
        <w:spacing w:line="276" w:lineRule="auto"/>
        <w:rPr>
          <w:lang w:val="es-ES_tradnl"/>
        </w:rPr>
      </w:pPr>
      <w:r w:rsidRPr="00F52C10">
        <w:rPr>
          <w:lang w:val="es-ES_tradnl"/>
        </w:rPr>
        <w:t>8.6</w:t>
      </w:r>
      <w:r w:rsidRPr="00F52C10">
        <w:rPr>
          <w:lang w:val="es-ES_tradnl"/>
        </w:rPr>
        <w:tab/>
        <w:t>La Oficina no pospondrá la formulación de una conclusión sobre una notificación completa, a menos que carezca de datos suficientes para llegar a una conclusión al respecto.</w:t>
      </w:r>
      <w:r w:rsidRPr="00F52C10">
        <w:rPr>
          <w:sz w:val="16"/>
          <w:lang w:val="es-ES_tradnl"/>
        </w:rPr>
        <w:t>     (CMR</w:t>
      </w:r>
      <w:r w:rsidRPr="00F52C10">
        <w:rPr>
          <w:sz w:val="16"/>
          <w:lang w:val="es-ES_tradnl"/>
        </w:rPr>
        <w:noBreakHyphen/>
        <w:t>03)</w:t>
      </w:r>
    </w:p>
    <w:p w14:paraId="4283F318" w14:textId="77777777" w:rsidR="00B82F75" w:rsidRPr="00F52C10" w:rsidRDefault="00B82F75" w:rsidP="00E4628E">
      <w:pPr>
        <w:spacing w:line="276" w:lineRule="auto"/>
        <w:rPr>
          <w:lang w:val="es-ES_tradnl"/>
        </w:rPr>
      </w:pPr>
      <w:r w:rsidRPr="00F52C10">
        <w:rPr>
          <w:lang w:val="es-ES_tradnl"/>
        </w:rPr>
        <w:lastRenderedPageBreak/>
        <w:t>8.7</w:t>
      </w:r>
      <w:r w:rsidRPr="00F52C10">
        <w:rPr>
          <w:lang w:val="es-ES_tradnl"/>
        </w:rPr>
        <w:tab/>
        <w:t>Se examinará cada notificación:</w:t>
      </w:r>
      <w:r w:rsidRPr="00F52C10">
        <w:rPr>
          <w:sz w:val="16"/>
          <w:lang w:val="es-ES_tradnl"/>
        </w:rPr>
        <w:t>     (CMR-03)</w:t>
      </w:r>
    </w:p>
    <w:p w14:paraId="5B11C03A" w14:textId="77777777" w:rsidR="00B82F75" w:rsidRPr="00F52C10" w:rsidRDefault="00B82F75" w:rsidP="00E4628E">
      <w:pPr>
        <w:pStyle w:val="enumlev1"/>
        <w:tabs>
          <w:tab w:val="left" w:pos="720"/>
        </w:tabs>
        <w:spacing w:line="276" w:lineRule="auto"/>
        <w:rPr>
          <w:color w:val="000000"/>
          <w:sz w:val="16"/>
          <w:lang w:val="es-ES_tradnl"/>
        </w:rPr>
      </w:pPr>
      <w:r w:rsidRPr="00F52C10">
        <w:rPr>
          <w:lang w:val="es-ES_tradnl"/>
        </w:rPr>
        <w:t>8.8</w:t>
      </w:r>
      <w:r w:rsidRPr="00F52C10">
        <w:rPr>
          <w:lang w:val="es-ES_tradnl"/>
        </w:rPr>
        <w:tab/>
      </w:r>
      <w:r w:rsidRPr="00F52C10">
        <w:rPr>
          <w:i/>
          <w:color w:val="000000"/>
          <w:lang w:val="es-ES_tradnl"/>
        </w:rPr>
        <w:t>a)</w:t>
      </w:r>
      <w:r w:rsidRPr="00F52C10">
        <w:rPr>
          <w:color w:val="000000"/>
          <w:lang w:val="es-ES_tradnl"/>
        </w:rPr>
        <w:tab/>
        <w:t>respecto a su conformidad con el Cuadro de atribución de bandas de frecuencias y las demás disposiciones</w:t>
      </w:r>
      <w:r w:rsidRPr="00F52C10">
        <w:rPr>
          <w:rStyle w:val="Refdenotaalpie"/>
          <w:color w:val="000000"/>
          <w:lang w:val="es-ES_tradnl"/>
        </w:rPr>
        <w:footnoteReference w:customMarkFollows="1" w:id="25"/>
        <w:t>13</w:t>
      </w:r>
      <w:r w:rsidRPr="00F52C10">
        <w:rPr>
          <w:color w:val="000000"/>
          <w:lang w:val="es-ES_tradnl"/>
        </w:rPr>
        <w:t xml:space="preserve"> de este Reglamento, excepto las disposiciones relativas a la conformidad con el Plan del servicio fijo por satélite que son motivo del apartado siguiente;</w:t>
      </w:r>
      <w:r w:rsidRPr="00F52C10">
        <w:rPr>
          <w:color w:val="000000"/>
          <w:sz w:val="16"/>
          <w:lang w:val="es-ES_tradnl"/>
        </w:rPr>
        <w:t>     (CMR-03)</w:t>
      </w:r>
    </w:p>
    <w:p w14:paraId="5308491C" w14:textId="77777777" w:rsidR="00B82F75" w:rsidRPr="00F52C10" w:rsidRDefault="00B82F75" w:rsidP="00E4628E">
      <w:pPr>
        <w:spacing w:line="276" w:lineRule="auto"/>
        <w:rPr>
          <w:lang w:val="es-ES_tradnl"/>
        </w:rPr>
      </w:pPr>
      <w:r w:rsidRPr="00F52C10">
        <w:rPr>
          <w:lang w:val="es-ES_tradnl"/>
        </w:rPr>
        <w:br w:type="page"/>
      </w:r>
    </w:p>
    <w:p w14:paraId="7FE9A16B" w14:textId="77777777" w:rsidR="00B82F75" w:rsidRPr="00F52C10" w:rsidRDefault="00B82F75" w:rsidP="00E4628E">
      <w:pPr>
        <w:pStyle w:val="enumlev1"/>
        <w:tabs>
          <w:tab w:val="left" w:pos="720"/>
        </w:tabs>
        <w:spacing w:line="276" w:lineRule="auto"/>
        <w:rPr>
          <w:color w:val="000000"/>
          <w:sz w:val="16"/>
          <w:lang w:val="es-ES_tradnl"/>
        </w:rPr>
      </w:pPr>
      <w:r w:rsidRPr="00F52C10">
        <w:rPr>
          <w:bCs/>
          <w:lang w:val="es-ES_tradnl"/>
        </w:rPr>
        <w:lastRenderedPageBreak/>
        <w:t>8.9</w:t>
      </w:r>
      <w:r w:rsidRPr="00F52C10">
        <w:rPr>
          <w:b/>
          <w:bCs/>
          <w:lang w:val="es-ES_tradnl"/>
        </w:rPr>
        <w:tab/>
      </w:r>
      <w:r w:rsidRPr="00F52C10">
        <w:rPr>
          <w:i/>
          <w:color w:val="000000"/>
          <w:lang w:val="es-ES_tradnl"/>
        </w:rPr>
        <w:t>b)</w:t>
      </w:r>
      <w:r w:rsidRPr="00F52C10">
        <w:rPr>
          <w:color w:val="000000"/>
          <w:lang w:val="es-ES_tradnl"/>
        </w:rPr>
        <w:tab/>
        <w:t>respecto a su conformidad con el Plan del servicio fijo por satélite y las disposiciones asociadas</w:t>
      </w:r>
      <w:r w:rsidRPr="00F52C10">
        <w:rPr>
          <w:rStyle w:val="Refdenotaalpie"/>
          <w:color w:val="000000"/>
          <w:lang w:val="es-ES_tradnl"/>
        </w:rPr>
        <w:footnoteReference w:customMarkFollows="1" w:id="26"/>
        <w:t>14</w:t>
      </w:r>
      <w:r w:rsidRPr="00F52C10">
        <w:rPr>
          <w:color w:val="000000"/>
          <w:lang w:val="es-ES_tradnl"/>
        </w:rPr>
        <w:t>.</w:t>
      </w:r>
      <w:r w:rsidRPr="00F52C10">
        <w:rPr>
          <w:color w:val="000000"/>
          <w:sz w:val="16"/>
          <w:lang w:val="es-ES_tradnl"/>
        </w:rPr>
        <w:t>     (CMR-07)</w:t>
      </w:r>
    </w:p>
    <w:p w14:paraId="40E27571" w14:textId="77777777" w:rsidR="00B82F75" w:rsidRPr="00F52C10" w:rsidRDefault="00B82F75" w:rsidP="00E4628E">
      <w:pPr>
        <w:spacing w:line="276" w:lineRule="auto"/>
        <w:rPr>
          <w:lang w:val="es-ES_tradnl"/>
        </w:rPr>
      </w:pPr>
      <w:r w:rsidRPr="00F52C10">
        <w:rPr>
          <w:lang w:val="es-ES_tradnl"/>
        </w:rPr>
        <w:t>8.10</w:t>
      </w:r>
      <w:r w:rsidRPr="00F52C10">
        <w:rPr>
          <w:lang w:val="es-ES_tradnl"/>
        </w:rPr>
        <w:tab/>
        <w:t>Cuando el examen respecto al</w:t>
      </w:r>
      <w:r w:rsidRPr="00F52C10">
        <w:rPr>
          <w:rStyle w:val="Artdef"/>
          <w:bCs/>
          <w:color w:val="000000"/>
          <w:lang w:val="es-ES_tradnl"/>
        </w:rPr>
        <w:t xml:space="preserve"> </w:t>
      </w:r>
      <w:r w:rsidRPr="00F52C10">
        <w:rPr>
          <w:lang w:val="es-ES_tradnl"/>
        </w:rPr>
        <w:t>§ 8.8 dé lugar a una conclusión favorable, la asignación volverá a examinarse respecto al § 8.9; en caso contrario, la notificación se devolverá con una indicación de las medidas apropiadas.</w:t>
      </w:r>
      <w:r w:rsidRPr="00F52C10">
        <w:rPr>
          <w:sz w:val="16"/>
          <w:lang w:val="es-ES_tradnl"/>
        </w:rPr>
        <w:t>     (CMR-03)</w:t>
      </w:r>
    </w:p>
    <w:p w14:paraId="4AC0355C" w14:textId="77777777" w:rsidR="00B82F75" w:rsidRPr="00F52C10" w:rsidRDefault="00B82F75" w:rsidP="00E4628E">
      <w:pPr>
        <w:spacing w:line="276" w:lineRule="auto"/>
        <w:rPr>
          <w:lang w:val="es-ES_tradnl"/>
        </w:rPr>
      </w:pPr>
      <w:r w:rsidRPr="00F52C10">
        <w:rPr>
          <w:lang w:val="es-ES_tradnl"/>
        </w:rPr>
        <w:t>8.11</w:t>
      </w:r>
      <w:r w:rsidRPr="00F52C10">
        <w:rPr>
          <w:lang w:val="es-ES_tradnl"/>
        </w:rPr>
        <w:tab/>
        <w:t>Cuando el examen respecto al</w:t>
      </w:r>
      <w:r w:rsidRPr="00F52C10">
        <w:rPr>
          <w:rStyle w:val="Artdef"/>
          <w:bCs/>
          <w:color w:val="000000"/>
          <w:lang w:val="es-ES_tradnl"/>
        </w:rPr>
        <w:t xml:space="preserve"> </w:t>
      </w:r>
      <w:r w:rsidRPr="00F52C10">
        <w:rPr>
          <w:lang w:val="es-ES_tradnl"/>
        </w:rPr>
        <w:t>§ 8.9 dé lugar a una conclusión favorable, la asignación se inscribirá en el Registro. Cuando la conclusión sea desfavorable, la notificación se devolverá a la administración notificante con una indicación de las medidas apropiadas.</w:t>
      </w:r>
      <w:r w:rsidRPr="00F52C10">
        <w:rPr>
          <w:sz w:val="16"/>
          <w:lang w:val="es-ES_tradnl"/>
        </w:rPr>
        <w:t>     (CMR-03)</w:t>
      </w:r>
    </w:p>
    <w:p w14:paraId="4ACBE4EF" w14:textId="77777777" w:rsidR="00B82F75" w:rsidRPr="00F52C10" w:rsidRDefault="00B82F75" w:rsidP="00E4628E">
      <w:pPr>
        <w:spacing w:line="276" w:lineRule="auto"/>
        <w:rPr>
          <w:sz w:val="16"/>
          <w:lang w:val="es-ES_tradnl"/>
        </w:rPr>
      </w:pPr>
      <w:r w:rsidRPr="00F52C10">
        <w:rPr>
          <w:lang w:val="es-ES_tradnl"/>
        </w:rPr>
        <w:t>8.12</w:t>
      </w:r>
      <w:r w:rsidRPr="00F52C10">
        <w:rPr>
          <w:b/>
          <w:bCs/>
          <w:lang w:val="es-ES_tradnl"/>
        </w:rPr>
        <w:tab/>
      </w:r>
      <w:r w:rsidRPr="00F52C10">
        <w:rPr>
          <w:lang w:val="es-ES_tradnl"/>
        </w:rPr>
        <w:t>En todos los casos en que una nueva asignación se inscriba en el Registro, se incluirá, conforme a las disposiciones del Artículo </w:t>
      </w:r>
      <w:r w:rsidRPr="00F52C10">
        <w:rPr>
          <w:rStyle w:val="Artref"/>
          <w:b/>
          <w:bCs/>
          <w:color w:val="000000"/>
          <w:lang w:val="es-ES_tradnl"/>
        </w:rPr>
        <w:t>8</w:t>
      </w:r>
      <w:r w:rsidRPr="00F52C10">
        <w:rPr>
          <w:lang w:val="es-ES_tradnl"/>
        </w:rPr>
        <w:t>, una indicación de la conclusión que refleje el estatuto de la asignación. Esta información también se publicará en la BR IFIC.</w:t>
      </w:r>
      <w:r w:rsidRPr="00F52C10">
        <w:rPr>
          <w:sz w:val="16"/>
          <w:lang w:val="es-ES_tradnl"/>
        </w:rPr>
        <w:t>     (CMR-03)</w:t>
      </w:r>
    </w:p>
    <w:p w14:paraId="0B1A8EDA" w14:textId="77777777" w:rsidR="00B82F75" w:rsidRPr="00F52C10" w:rsidRDefault="00B82F75" w:rsidP="00E4628E">
      <w:pPr>
        <w:spacing w:line="276" w:lineRule="auto"/>
        <w:rPr>
          <w:lang w:val="es-ES_tradnl"/>
        </w:rPr>
      </w:pPr>
      <w:r w:rsidRPr="00F52C10">
        <w:rPr>
          <w:lang w:val="es-ES_tradnl"/>
        </w:rPr>
        <w:t>8.13</w:t>
      </w:r>
      <w:r w:rsidRPr="00F52C10">
        <w:rPr>
          <w:bCs/>
          <w:szCs w:val="24"/>
          <w:lang w:val="es-ES_tradnl" w:eastAsia="fr-FR"/>
        </w:rPr>
        <w:tab/>
      </w:r>
      <w:r w:rsidRPr="00F52C10">
        <w:rPr>
          <w:rStyle w:val="NoteChar"/>
          <w:rFonts w:eastAsia="SimSun"/>
        </w:rPr>
        <w:t>La Oficina examinará una notificación de modificación de las características de una asignación ya inscrita, tal como se especifica en el Apéndice </w:t>
      </w:r>
      <w:r w:rsidRPr="00F52C10">
        <w:rPr>
          <w:rStyle w:val="NoteChar"/>
          <w:rFonts w:eastAsia="SimSun"/>
          <w:b/>
          <w:bCs/>
        </w:rPr>
        <w:t>4</w:t>
      </w:r>
      <w:r w:rsidRPr="00F52C10">
        <w:rPr>
          <w:rStyle w:val="NoteChar"/>
          <w:rFonts w:eastAsia="SimSun"/>
        </w:rPr>
        <w:t>, con arreglo al § 8.8 y al § 8.9, según corresponda. Todo cambio de las características de una asignación que se haya notificado y confirmado su puesta al servicio, se pondrá en servicio en los ocho años que siguen a la fecha de la notificación de la modificación. Todo cambio en las características de una asignación que se haya notificado pero que no se haya puesto aún en servicio, se pondrá en servicio en el periodo previsto en los § 6.1, 6.31 ó 6.31</w:t>
      </w:r>
      <w:r w:rsidRPr="00F52C10">
        <w:rPr>
          <w:rStyle w:val="NoteChar"/>
          <w:rFonts w:eastAsia="SimSun"/>
          <w:i/>
          <w:iCs/>
        </w:rPr>
        <w:t>bis</w:t>
      </w:r>
      <w:r w:rsidRPr="00F52C10">
        <w:rPr>
          <w:rStyle w:val="NoteChar"/>
          <w:rFonts w:eastAsia="SimSun"/>
        </w:rPr>
        <w:t xml:space="preserve"> del Artículo 6.</w:t>
      </w:r>
      <w:r w:rsidRPr="00F52C10">
        <w:rPr>
          <w:color w:val="000000"/>
          <w:sz w:val="16"/>
          <w:szCs w:val="24"/>
          <w:lang w:val="es-ES_tradnl" w:eastAsia="fr-FR"/>
        </w:rPr>
        <w:t>     (CMR-12)</w:t>
      </w:r>
    </w:p>
    <w:p w14:paraId="14E6F580" w14:textId="77777777" w:rsidR="00B82F75" w:rsidRPr="00F52C10" w:rsidRDefault="00B82F75" w:rsidP="00E4628E">
      <w:pPr>
        <w:spacing w:line="276" w:lineRule="auto"/>
        <w:rPr>
          <w:lang w:val="es-ES_tradnl"/>
        </w:rPr>
      </w:pPr>
      <w:r w:rsidRPr="00F52C10">
        <w:rPr>
          <w:lang w:val="es-ES_tradnl"/>
        </w:rPr>
        <w:t>8.14</w:t>
      </w:r>
      <w:r w:rsidRPr="00F52C10">
        <w:rPr>
          <w:lang w:val="es-ES_tradnl"/>
        </w:rPr>
        <w:tab/>
      </w:r>
      <w:r w:rsidRPr="00F52C10">
        <w:rPr>
          <w:sz w:val="16"/>
          <w:szCs w:val="16"/>
          <w:lang w:val="es-ES_tradnl"/>
        </w:rPr>
        <w:t>(SUP – CMR-07)</w:t>
      </w:r>
    </w:p>
    <w:p w14:paraId="7B64DABB" w14:textId="77777777" w:rsidR="00B82F75" w:rsidRPr="00F52C10" w:rsidRDefault="00B82F75" w:rsidP="00E4628E">
      <w:pPr>
        <w:spacing w:line="276" w:lineRule="auto"/>
        <w:rPr>
          <w:lang w:val="es-ES_tradnl"/>
        </w:rPr>
      </w:pPr>
      <w:r w:rsidRPr="00F52C10">
        <w:rPr>
          <w:color w:val="000000"/>
          <w:lang w:val="es-ES_tradnl"/>
        </w:rPr>
        <w:t>8.15</w:t>
      </w:r>
      <w:r w:rsidRPr="00F52C10">
        <w:rPr>
          <w:color w:val="000000"/>
          <w:lang w:val="es-ES_tradnl"/>
        </w:rPr>
        <w:tab/>
        <w:t>Al aplicar las disposiciones de este Artículo, toda notificación vuelta a presentar que se reciba en la Oficina más de seis meses después de la fecha en que la Oficina devolvió la notificación se considerará como nueva notificación.</w:t>
      </w:r>
      <w:r w:rsidRPr="00F52C10">
        <w:rPr>
          <w:color w:val="000000"/>
          <w:sz w:val="16"/>
          <w:lang w:val="es-ES_tradnl"/>
        </w:rPr>
        <w:t>     (CMR-03)</w:t>
      </w:r>
    </w:p>
    <w:p w14:paraId="672830B7" w14:textId="77777777" w:rsidR="00B82F75" w:rsidRPr="00F52C10" w:rsidRDefault="00B82F75" w:rsidP="00E4628E">
      <w:pPr>
        <w:spacing w:line="276" w:lineRule="auto"/>
        <w:rPr>
          <w:lang w:val="es-ES_tradnl"/>
        </w:rPr>
      </w:pPr>
      <w:r w:rsidRPr="00F52C10">
        <w:rPr>
          <w:lang w:val="es-ES_tradnl"/>
        </w:rPr>
        <w:t>8.16</w:t>
      </w:r>
      <w:r w:rsidRPr="00F52C10">
        <w:rPr>
          <w:lang w:val="es-ES_tradnl"/>
        </w:rPr>
        <w:tab/>
      </w:r>
      <w:r w:rsidRPr="00F52C10">
        <w:rPr>
          <w:rStyle w:val="NoteChar"/>
          <w:rFonts w:eastAsia="SimSun"/>
        </w:rPr>
        <w:t>Todas las asignaciones notificadas con antelación a su puesta en servicio se inscribirán provisionalmente en el Registro. Toda asignación de frecuencia inscrita provisionalmente según esta disposición entrará en servicio a más tardar al finalizar el plazo indicado en el § 6.1 o en el § 6.31</w:t>
      </w:r>
      <w:r w:rsidRPr="00F52C10">
        <w:rPr>
          <w:rStyle w:val="NoteChar"/>
          <w:rFonts w:eastAsia="SimSun"/>
          <w:i/>
          <w:iCs/>
        </w:rPr>
        <w:t>bis</w:t>
      </w:r>
      <w:r w:rsidRPr="00F52C10">
        <w:rPr>
          <w:rStyle w:val="NoteChar"/>
          <w:rFonts w:eastAsia="SimSun"/>
        </w:rPr>
        <w:t xml:space="preserve"> en caso de prórroga conforme a dicha disposición. Salvo que la administración notificante haya informado a la Oficina de la puesta en servicio de la asignación, la Oficina enviará, a más tardar 15 días antes de </w:t>
      </w:r>
      <w:r w:rsidRPr="00F52C10">
        <w:rPr>
          <w:rStyle w:val="NoteChar"/>
          <w:rFonts w:eastAsia="SimSun"/>
        </w:rPr>
        <w:lastRenderedPageBreak/>
        <w:t>que finalice el plazo reglamentario estipulado en el § 6.1 o en el § 6.31</w:t>
      </w:r>
      <w:r w:rsidRPr="00F52C10">
        <w:rPr>
          <w:rStyle w:val="NoteChar"/>
          <w:rFonts w:eastAsia="SimSun"/>
          <w:i/>
          <w:iCs/>
        </w:rPr>
        <w:t>bis</w:t>
      </w:r>
      <w:r w:rsidRPr="00F52C10">
        <w:rPr>
          <w:rStyle w:val="NoteChar"/>
          <w:rFonts w:eastAsia="SimSun"/>
        </w:rPr>
        <w:t>, un recordatorio solicitando confirmación de que la asignación se ha puesto en servicio dentro del plazo reglamentario. De no recibir dicha confirmación dentro de los 30 días siguientes al vencimiento del plazo indicado en el § 6.1, o en el § 6.31</w:t>
      </w:r>
      <w:r w:rsidRPr="00F52C10">
        <w:rPr>
          <w:rStyle w:val="NoteChar"/>
          <w:rFonts w:eastAsia="SimSun"/>
          <w:i/>
          <w:iCs/>
        </w:rPr>
        <w:t>bis</w:t>
      </w:r>
      <w:r w:rsidRPr="00F52C10">
        <w:rPr>
          <w:rStyle w:val="NoteChar"/>
          <w:rFonts w:eastAsia="SimSun"/>
        </w:rPr>
        <w:t xml:space="preserve"> en caso de prórroga conforme a dicha disposición, la Oficina anulará la inscripción en el Registro. En caso de que se solicite una prórroga del plazo conforme al § 6.31</w:t>
      </w:r>
      <w:r w:rsidRPr="00F52C10">
        <w:rPr>
          <w:rStyle w:val="NoteChar"/>
          <w:rFonts w:eastAsia="SimSun"/>
          <w:i/>
          <w:iCs/>
        </w:rPr>
        <w:t>bis</w:t>
      </w:r>
      <w:r w:rsidRPr="00F52C10">
        <w:rPr>
          <w:rStyle w:val="NoteChar"/>
          <w:rFonts w:eastAsia="SimSun"/>
        </w:rPr>
        <w:t xml:space="preserve"> pero la Oficina determine que no se cumplen las condiciones necesarias para conceder dicha prórroga, la Oficina comunicará sus conclusiones a la administración y anulará la inscripción en el Registro</w:t>
      </w:r>
      <w:r w:rsidRPr="00F52C10">
        <w:rPr>
          <w:rFonts w:eastAsia="SimSun"/>
          <w:lang w:val="es-ES_tradnl" w:eastAsia="zh-CN"/>
        </w:rPr>
        <w:t>.</w:t>
      </w:r>
      <w:r w:rsidRPr="00F52C10">
        <w:rPr>
          <w:color w:val="000000"/>
          <w:sz w:val="16"/>
          <w:lang w:val="es-ES_tradnl" w:eastAsia="fr-FR"/>
        </w:rPr>
        <w:t>     (CMR-12)</w:t>
      </w:r>
    </w:p>
    <w:p w14:paraId="0BE1D532" w14:textId="77777777" w:rsidR="00B82F75" w:rsidRPr="00F52C10" w:rsidRDefault="00B82F75" w:rsidP="00E4628E">
      <w:pPr>
        <w:spacing w:line="276" w:lineRule="auto"/>
        <w:rPr>
          <w:lang w:val="es-ES_tradnl"/>
        </w:rPr>
      </w:pPr>
      <w:r w:rsidRPr="00F52C10">
        <w:rPr>
          <w:lang w:val="es-ES_tradnl"/>
        </w:rPr>
        <w:br w:type="page"/>
      </w:r>
    </w:p>
    <w:p w14:paraId="71BC842D" w14:textId="77777777" w:rsidR="00B82F75" w:rsidRPr="00F52C10" w:rsidRDefault="00B82F75" w:rsidP="00E4628E">
      <w:pPr>
        <w:spacing w:line="276" w:lineRule="auto"/>
        <w:rPr>
          <w:sz w:val="16"/>
          <w:szCs w:val="16"/>
          <w:lang w:val="es-ES_tradnl"/>
        </w:rPr>
      </w:pPr>
      <w:r w:rsidRPr="00F52C10">
        <w:rPr>
          <w:bCs/>
          <w:lang w:val="es-ES_tradnl"/>
        </w:rPr>
        <w:lastRenderedPageBreak/>
        <w:t>8.17</w:t>
      </w:r>
      <w:r w:rsidRPr="00F52C10">
        <w:rPr>
          <w:bCs/>
          <w:lang w:val="es-ES_tradnl"/>
        </w:rPr>
        <w:tab/>
      </w:r>
      <w:r w:rsidRPr="00F52C10">
        <w:rPr>
          <w:lang w:val="es-ES_tradnl"/>
        </w:rPr>
        <w:t xml:space="preserve">Cuando la utilización de una asignación de frecuencias a una estación espacial inscrita se suspenda durante un periodo superior a seis meses, la administración notificante informará a la Oficina de la fecha en que se suspendió dicha utilización. </w:t>
      </w:r>
      <w:r w:rsidRPr="00F52C10">
        <w:rPr>
          <w:rFonts w:eastAsiaTheme="minorHAnsi"/>
          <w:lang w:val="es-ES_tradnl"/>
        </w:rPr>
        <w:t>Cuando la asignación inscrita vuelva a utilizarse, la administración notificante informará a la Oficina de esa circunstancia a la mayor brevedad. Cuando reciba la información enviada en virtud de esta disposición, la Oficina dará a conocer esa información lo antes posible en el sitio web de la UIT y la publicará en la BR IFIC. La fecha en que se reanude el funcionamiento</w:t>
      </w:r>
      <w:r w:rsidRPr="00F52C10">
        <w:rPr>
          <w:rStyle w:val="Refdenotaalpie"/>
          <w:rFonts w:eastAsiaTheme="minorHAnsi"/>
          <w:lang w:val="es-ES_tradnl"/>
        </w:rPr>
        <w:footnoteReference w:customMarkFollows="1" w:id="27"/>
        <w:t>14</w:t>
      </w:r>
      <w:r w:rsidRPr="00F52C10">
        <w:rPr>
          <w:rStyle w:val="Refdenotaalpie"/>
          <w:rFonts w:eastAsiaTheme="minorHAnsi"/>
          <w:i/>
          <w:iCs/>
          <w:lang w:val="es-ES_tradnl"/>
        </w:rPr>
        <w:t>bis</w:t>
      </w:r>
      <w:r w:rsidRPr="00F52C10">
        <w:rPr>
          <w:rFonts w:eastAsiaTheme="minorHAnsi"/>
          <w:i/>
          <w:iCs/>
          <w:lang w:val="es-ES_tradnl"/>
        </w:rPr>
        <w:t xml:space="preserve"> </w:t>
      </w:r>
      <w:r w:rsidRPr="00F52C10">
        <w:rPr>
          <w:rFonts w:eastAsiaTheme="minorHAnsi"/>
          <w:lang w:val="es-ES_tradnl"/>
        </w:rPr>
        <w:t>de la asignación inscrita no deberá rebasar el periodo de tres años desde la fecha en que se suspendió el uso de la asignación de frecuencias, siempre que la administración notificante informe a la Oficina de la suspensión en el plazo de seis meses a partir de la fecha en que se suspendió el uso. Si la administración notificante informa a la Oficina de la suspensión más de seis meses después de la fecha en que se suspendió el uso de la asignación de frecuencias, este periodo de tres años se reducirá. En tal caso la reducción de dicho periodo de tres años será igual al tiempo transcurrido entre la finalización del periodo de seis meses y la fecha en que la Oficina fue informada de la suspensión. Si la administración notificante informa a la Oficina de la suspensión más de 21 meses después de la fecha en que se suspendió la utilización de la asignación de frecuencias, se suprimirá la asignación de frecuencias</w:t>
      </w:r>
      <w:r w:rsidRPr="00F52C10">
        <w:rPr>
          <w:lang w:val="es-ES_tradnl"/>
        </w:rPr>
        <w:t xml:space="preserve"> del Registro Internacional y la Oficina aplicará el § 6.33.</w:t>
      </w:r>
      <w:r w:rsidRPr="00F52C10">
        <w:rPr>
          <w:sz w:val="16"/>
          <w:szCs w:val="16"/>
          <w:lang w:val="es-ES_tradnl"/>
        </w:rPr>
        <w:t>     </w:t>
      </w:r>
      <w:r w:rsidRPr="00F52C10">
        <w:rPr>
          <w:sz w:val="16"/>
          <w:lang w:val="es-ES_tradnl"/>
        </w:rPr>
        <w:t>(CMR</w:t>
      </w:r>
      <w:r w:rsidRPr="00F52C10">
        <w:rPr>
          <w:sz w:val="16"/>
          <w:szCs w:val="16"/>
          <w:lang w:val="es-ES_tradnl"/>
        </w:rPr>
        <w:noBreakHyphen/>
        <w:t>15)</w:t>
      </w:r>
    </w:p>
    <w:p w14:paraId="6827A835" w14:textId="77777777" w:rsidR="00B82F75" w:rsidRPr="00F52C10" w:rsidRDefault="00B82F75" w:rsidP="00E4628E">
      <w:pPr>
        <w:spacing w:line="276" w:lineRule="auto"/>
        <w:rPr>
          <w:sz w:val="16"/>
          <w:lang w:val="es-ES_tradnl"/>
        </w:rPr>
      </w:pPr>
      <w:r w:rsidRPr="00F52C10">
        <w:rPr>
          <w:lang w:val="es-ES_tradnl"/>
        </w:rPr>
        <w:t>8.18</w:t>
      </w:r>
      <w:r w:rsidRPr="00F52C10">
        <w:rPr>
          <w:lang w:val="es-ES_tradnl"/>
        </w:rPr>
        <w:tab/>
        <w:t>Ninguna disposición de este Apéndice se considerará que modifica los requisitos del Artículo </w:t>
      </w:r>
      <w:r w:rsidRPr="00F52C10">
        <w:rPr>
          <w:rStyle w:val="Appref"/>
          <w:b/>
          <w:bCs/>
          <w:color w:val="000000"/>
          <w:lang w:val="es-ES_tradnl"/>
        </w:rPr>
        <w:t>9</w:t>
      </w:r>
      <w:r w:rsidRPr="00F52C10">
        <w:rPr>
          <w:lang w:val="es-ES_tradnl"/>
        </w:rPr>
        <w:t xml:space="preserve"> en relación con la coordinación entre estaciones terrenas del servicio fijo por satélite y estaciones de los servicios terrenales que comparten las bandas planificadas con carácter primario e igualdad de derechos.</w:t>
      </w:r>
      <w:r w:rsidRPr="00F52C10">
        <w:rPr>
          <w:sz w:val="16"/>
          <w:lang w:val="es-ES_tradnl"/>
        </w:rPr>
        <w:t>     (CMR-03)</w:t>
      </w:r>
    </w:p>
    <w:p w14:paraId="546CEED1" w14:textId="77777777" w:rsidR="00B82F75" w:rsidRPr="00F52C10" w:rsidRDefault="00B82F75" w:rsidP="00E4628E">
      <w:pPr>
        <w:spacing w:line="276" w:lineRule="auto"/>
        <w:rPr>
          <w:sz w:val="16"/>
          <w:lang w:val="es-ES_tradnl"/>
        </w:rPr>
      </w:pPr>
      <w:r w:rsidRPr="00F52C10">
        <w:rPr>
          <w:lang w:val="es-ES_tradnl"/>
        </w:rPr>
        <w:t>8.19</w:t>
      </w:r>
      <w:r w:rsidRPr="00F52C10">
        <w:rPr>
          <w:lang w:val="es-ES_tradnl"/>
        </w:rPr>
        <w:tab/>
        <w:t>La notificación de las asignaciones a una estación terrena específica que utilice asignaciones incluidas en la Lista se efectuará aplicando las disposiciones del Artículo </w:t>
      </w:r>
      <w:r w:rsidRPr="00F52C10">
        <w:rPr>
          <w:rStyle w:val="Appref"/>
          <w:b/>
          <w:bCs/>
          <w:color w:val="000000"/>
          <w:lang w:val="es-ES_tradnl"/>
        </w:rPr>
        <w:t>11</w:t>
      </w:r>
      <w:r w:rsidRPr="00F52C10">
        <w:rPr>
          <w:lang w:val="es-ES_tradnl"/>
        </w:rPr>
        <w:t>.</w:t>
      </w:r>
      <w:r w:rsidRPr="00F52C10">
        <w:rPr>
          <w:sz w:val="16"/>
          <w:lang w:val="es-ES_tradnl"/>
        </w:rPr>
        <w:t>      (CMR</w:t>
      </w:r>
      <w:r w:rsidRPr="00F52C10">
        <w:rPr>
          <w:sz w:val="16"/>
          <w:lang w:val="es-ES_tradnl"/>
        </w:rPr>
        <w:noBreakHyphen/>
        <w:t>03)</w:t>
      </w:r>
    </w:p>
    <w:p w14:paraId="7212A18A" w14:textId="77777777" w:rsidR="00B82F75" w:rsidRPr="00F52C10" w:rsidRDefault="00B82F75" w:rsidP="00E4628E">
      <w:pPr>
        <w:spacing w:line="276" w:lineRule="auto"/>
        <w:rPr>
          <w:lang w:val="es-ES_tradnl"/>
        </w:rPr>
      </w:pPr>
    </w:p>
    <w:p w14:paraId="4FCC0E43" w14:textId="77777777" w:rsidR="00B82F75" w:rsidRPr="00F52C10" w:rsidRDefault="00B82F75" w:rsidP="00E4628E">
      <w:pPr>
        <w:pStyle w:val="AppArtNo"/>
        <w:spacing w:line="276" w:lineRule="auto"/>
        <w:rPr>
          <w:sz w:val="16"/>
          <w:szCs w:val="16"/>
          <w:lang w:val="es-ES_tradnl"/>
        </w:rPr>
      </w:pPr>
      <w:r w:rsidRPr="00F52C10">
        <w:rPr>
          <w:color w:val="000000"/>
          <w:lang w:val="es-ES_tradnl"/>
        </w:rPr>
        <w:lastRenderedPageBreak/>
        <w:t>                   </w:t>
      </w:r>
      <w:r w:rsidRPr="00F52C10">
        <w:rPr>
          <w:lang w:val="es-ES_tradnl"/>
        </w:rPr>
        <w:t>ARTÍCULO 9</w:t>
      </w:r>
      <w:r w:rsidRPr="00F52C10">
        <w:rPr>
          <w:sz w:val="16"/>
          <w:szCs w:val="16"/>
          <w:lang w:val="es-ES_tradnl"/>
        </w:rPr>
        <w:t>     (Rev.CMR-07)</w:t>
      </w:r>
    </w:p>
    <w:p w14:paraId="624C062A" w14:textId="77777777" w:rsidR="00B82F75" w:rsidRPr="00F52C10" w:rsidRDefault="00B82F75" w:rsidP="00E4628E">
      <w:pPr>
        <w:pStyle w:val="Arttitle"/>
        <w:spacing w:line="276" w:lineRule="auto"/>
        <w:rPr>
          <w:color w:val="000000"/>
          <w:lang w:val="es-ES_tradnl"/>
        </w:rPr>
      </w:pPr>
      <w:r w:rsidRPr="00F52C10">
        <w:rPr>
          <w:lang w:val="es-ES_tradnl"/>
        </w:rPr>
        <w:t>Disposiciones generales</w:t>
      </w:r>
    </w:p>
    <w:p w14:paraId="199573B1" w14:textId="77777777" w:rsidR="00B82F75" w:rsidRPr="00F52C10" w:rsidRDefault="00B82F75" w:rsidP="00E4628E">
      <w:pPr>
        <w:pStyle w:val="Normalaftertitle"/>
        <w:spacing w:line="276" w:lineRule="auto"/>
        <w:rPr>
          <w:lang w:val="es-ES_tradnl"/>
        </w:rPr>
      </w:pPr>
      <w:r w:rsidRPr="00F52C10">
        <w:rPr>
          <w:color w:val="000000"/>
          <w:lang w:val="es-ES_tradnl"/>
        </w:rPr>
        <w:t>9.1</w:t>
      </w:r>
      <w:r w:rsidRPr="00F52C10">
        <w:rPr>
          <w:color w:val="000000"/>
          <w:lang w:val="es-ES_tradnl"/>
        </w:rPr>
        <w:tab/>
        <w:t>El Plan está limitado a los sistemas nacionales que proporcionan un servicio interior. Sin embargo, de conformidad con las disposiciones del Artículo 6, las administraciones pueden convertir sus adjudicaciones o proponer sistemas adicionales para proporcionar servicios nacionales o multinacionales.</w:t>
      </w:r>
    </w:p>
    <w:p w14:paraId="15841F80" w14:textId="77777777" w:rsidR="00B82F75" w:rsidRPr="00F52C10" w:rsidRDefault="00B82F75" w:rsidP="00E4628E">
      <w:pPr>
        <w:spacing w:line="276" w:lineRule="auto"/>
        <w:rPr>
          <w:szCs w:val="24"/>
          <w:lang w:val="es-ES_tradnl"/>
        </w:rPr>
      </w:pPr>
      <w:r w:rsidRPr="00F52C10">
        <w:rPr>
          <w:lang w:val="es-ES_tradnl"/>
        </w:rPr>
        <w:t>9.2</w:t>
      </w:r>
      <w:r w:rsidRPr="00F52C10">
        <w:rPr>
          <w:lang w:val="es-ES_tradnl"/>
        </w:rPr>
        <w:tab/>
      </w:r>
      <w:r w:rsidRPr="00F52C10">
        <w:rPr>
          <w:sz w:val="16"/>
          <w:szCs w:val="16"/>
          <w:lang w:val="es-ES_tradnl"/>
        </w:rPr>
        <w:t>(SUP - CMR-07)</w:t>
      </w:r>
    </w:p>
    <w:p w14:paraId="08B92EF2" w14:textId="77777777" w:rsidR="00B82F75" w:rsidRPr="00F52C10" w:rsidRDefault="00B82F75" w:rsidP="00E4628E">
      <w:pPr>
        <w:autoSpaceDE/>
        <w:autoSpaceDN/>
        <w:spacing w:line="276" w:lineRule="auto"/>
        <w:rPr>
          <w:caps/>
          <w:sz w:val="28"/>
          <w:lang w:val="es-ES_tradnl"/>
        </w:rPr>
      </w:pPr>
      <w:r w:rsidRPr="00F52C10">
        <w:rPr>
          <w:lang w:val="es-ES_tradnl"/>
        </w:rPr>
        <w:br w:type="page"/>
      </w:r>
    </w:p>
    <w:p w14:paraId="434AAB4B" w14:textId="77777777" w:rsidR="00B82F75" w:rsidRPr="00F52C10" w:rsidRDefault="00B82F75" w:rsidP="00E4628E">
      <w:pPr>
        <w:pStyle w:val="AppArtNo"/>
        <w:spacing w:line="276" w:lineRule="auto"/>
        <w:rPr>
          <w:sz w:val="16"/>
          <w:szCs w:val="16"/>
          <w:lang w:val="es-ES_tradnl"/>
        </w:rPr>
      </w:pPr>
      <w:r w:rsidRPr="00F52C10">
        <w:rPr>
          <w:color w:val="000000"/>
          <w:lang w:val="es-ES_tradnl"/>
        </w:rPr>
        <w:lastRenderedPageBreak/>
        <w:t>                  </w:t>
      </w:r>
      <w:r w:rsidRPr="00F52C10">
        <w:rPr>
          <w:lang w:val="es-ES_tradnl"/>
        </w:rPr>
        <w:t>ARTÍCULO 10</w:t>
      </w:r>
      <w:r w:rsidRPr="00F52C10">
        <w:rPr>
          <w:sz w:val="16"/>
          <w:szCs w:val="16"/>
          <w:lang w:val="es-ES_tradnl"/>
        </w:rPr>
        <w:t>     (Rev.CMR-15)</w:t>
      </w:r>
    </w:p>
    <w:p w14:paraId="229A2AA0" w14:textId="77777777" w:rsidR="00B82F75" w:rsidRPr="00F52C10" w:rsidRDefault="00B82F75" w:rsidP="00E4628E">
      <w:pPr>
        <w:pStyle w:val="Arttitle"/>
        <w:spacing w:line="276" w:lineRule="auto"/>
        <w:rPr>
          <w:color w:val="000000"/>
          <w:vertAlign w:val="superscript"/>
          <w:lang w:val="es-ES_tradnl"/>
        </w:rPr>
      </w:pPr>
      <w:r w:rsidRPr="00F52C10">
        <w:rPr>
          <w:lang w:val="es-ES_tradnl"/>
        </w:rPr>
        <w:t xml:space="preserve">Plan para el servicio fijo por satélite en las bandas de frecuencias </w:t>
      </w:r>
      <w:r w:rsidRPr="00F52C10">
        <w:rPr>
          <w:lang w:val="es-ES_tradnl"/>
        </w:rPr>
        <w:br/>
        <w:t xml:space="preserve">4 500-4 800 MHz, 6 725-7 025 MHz, 10,70-10,95 GHz, </w:t>
      </w:r>
      <w:r w:rsidRPr="00F52C10">
        <w:rPr>
          <w:lang w:val="es-ES_tradnl"/>
        </w:rPr>
        <w:br/>
        <w:t>11,20-11,45 GHz y 12,75-13,25 GHz</w:t>
      </w:r>
      <w:r w:rsidRPr="00F52C10">
        <w:rPr>
          <w:sz w:val="12"/>
          <w:lang w:val="es-ES_tradnl"/>
        </w:rPr>
        <w:t> </w:t>
      </w:r>
    </w:p>
    <w:p w14:paraId="0F61EF74" w14:textId="77777777" w:rsidR="00B82F75" w:rsidRPr="00F52C10" w:rsidRDefault="00B82F75" w:rsidP="00E4628E">
      <w:pPr>
        <w:pStyle w:val="Normalaftertitle"/>
        <w:spacing w:line="276" w:lineRule="auto"/>
        <w:rPr>
          <w:color w:val="000000"/>
          <w:lang w:val="es-ES_tradnl"/>
        </w:rPr>
      </w:pPr>
      <w:r w:rsidRPr="00F52C10">
        <w:rPr>
          <w:lang w:val="es-ES_tradnl"/>
        </w:rPr>
        <w:t>A.1</w:t>
      </w:r>
      <w:r w:rsidRPr="00F52C10">
        <w:rPr>
          <w:lang w:val="es-ES_tradnl"/>
        </w:rPr>
        <w:tab/>
      </w:r>
      <w:r w:rsidRPr="00F52C10">
        <w:rPr>
          <w:lang w:val="es-ES_tradnl"/>
        </w:rPr>
        <w:tab/>
        <w:t>TÍTULOS DE LAS COLUMNAS DEL PLAN</w:t>
      </w:r>
    </w:p>
    <w:p w14:paraId="3B2BF8E0" w14:textId="77777777" w:rsidR="00B82F75" w:rsidRPr="00F52C10" w:rsidRDefault="00B82F75" w:rsidP="00E4628E">
      <w:pPr>
        <w:spacing w:line="276" w:lineRule="auto"/>
        <w:ind w:left="1134" w:hanging="1134"/>
        <w:rPr>
          <w:color w:val="000000"/>
          <w:lang w:val="es-ES_tradnl"/>
        </w:rPr>
      </w:pPr>
      <w:r w:rsidRPr="00F52C10">
        <w:rPr>
          <w:lang w:val="es-ES_tradnl"/>
        </w:rPr>
        <w:t>Col. 2</w:t>
      </w:r>
      <w:r w:rsidRPr="00F52C10">
        <w:rPr>
          <w:lang w:val="es-ES_tradnl"/>
        </w:rPr>
        <w:tab/>
      </w:r>
      <w:r w:rsidRPr="00F52C10">
        <w:rPr>
          <w:i/>
          <w:lang w:val="es-ES_tradnl"/>
        </w:rPr>
        <w:t>Posición orbital nominal</w:t>
      </w:r>
      <w:r w:rsidRPr="00F52C10">
        <w:rPr>
          <w:lang w:val="es-ES_tradnl"/>
        </w:rPr>
        <w:t>, en grados</w:t>
      </w:r>
    </w:p>
    <w:p w14:paraId="20F78B02" w14:textId="77777777" w:rsidR="00B82F75" w:rsidRPr="00F52C10" w:rsidRDefault="00B82F75" w:rsidP="00E4628E">
      <w:pPr>
        <w:spacing w:line="276" w:lineRule="auto"/>
        <w:ind w:left="1134" w:hanging="1134"/>
        <w:rPr>
          <w:color w:val="000000"/>
          <w:lang w:val="es-ES_tradnl"/>
        </w:rPr>
      </w:pPr>
      <w:r w:rsidRPr="00F52C10">
        <w:rPr>
          <w:lang w:val="es-ES_tradnl"/>
        </w:rPr>
        <w:t>Col. 3</w:t>
      </w:r>
      <w:r w:rsidRPr="00F52C10">
        <w:rPr>
          <w:lang w:val="es-ES_tradnl"/>
        </w:rPr>
        <w:tab/>
      </w:r>
      <w:r w:rsidRPr="00F52C10">
        <w:rPr>
          <w:i/>
          <w:iCs/>
          <w:lang w:val="es-ES_tradnl"/>
        </w:rPr>
        <w:t>Longitud del punto de intersección del eje del haz con la Tierra (eje de puntería)</w:t>
      </w:r>
      <w:r w:rsidRPr="00F52C10">
        <w:rPr>
          <w:lang w:val="es-ES_tradnl"/>
        </w:rPr>
        <w:t>, en grados</w:t>
      </w:r>
    </w:p>
    <w:p w14:paraId="539C9934" w14:textId="77777777" w:rsidR="00B82F75" w:rsidRPr="00F52C10" w:rsidRDefault="00B82F75" w:rsidP="00E4628E">
      <w:pPr>
        <w:spacing w:line="276" w:lineRule="auto"/>
        <w:ind w:left="1134" w:hanging="1134"/>
        <w:rPr>
          <w:color w:val="000000"/>
          <w:lang w:val="es-ES_tradnl"/>
        </w:rPr>
      </w:pPr>
      <w:r w:rsidRPr="00F52C10">
        <w:rPr>
          <w:color w:val="000000"/>
          <w:lang w:val="es-ES_tradnl"/>
        </w:rPr>
        <w:t>Col. 4</w:t>
      </w:r>
      <w:r w:rsidRPr="00F52C10">
        <w:rPr>
          <w:color w:val="000000"/>
          <w:lang w:val="es-ES_tradnl"/>
        </w:rPr>
        <w:tab/>
      </w:r>
      <w:r w:rsidRPr="00F52C10">
        <w:rPr>
          <w:i/>
          <w:color w:val="000000"/>
          <w:lang w:val="es-ES_tradnl"/>
        </w:rPr>
        <w:t>Latitud del punto de intersección del eje del haz con la Tierra (eje de puntería)</w:t>
      </w:r>
      <w:r w:rsidRPr="00F52C10">
        <w:rPr>
          <w:color w:val="000000"/>
          <w:lang w:val="es-ES_tradnl"/>
        </w:rPr>
        <w:t>, en grados</w:t>
      </w:r>
    </w:p>
    <w:p w14:paraId="39AE32B0" w14:textId="77777777" w:rsidR="00B82F75" w:rsidRPr="00F52C10" w:rsidRDefault="00B82F75" w:rsidP="00E4628E">
      <w:pPr>
        <w:spacing w:line="276" w:lineRule="auto"/>
        <w:ind w:left="1134" w:hanging="1134"/>
        <w:rPr>
          <w:color w:val="000000"/>
          <w:lang w:val="es-ES_tradnl"/>
        </w:rPr>
      </w:pPr>
      <w:r w:rsidRPr="00F52C10">
        <w:rPr>
          <w:lang w:val="es-ES_tradnl"/>
        </w:rPr>
        <w:t>Col. 5</w:t>
      </w:r>
      <w:r w:rsidRPr="00F52C10">
        <w:rPr>
          <w:lang w:val="es-ES_tradnl"/>
        </w:rPr>
        <w:tab/>
      </w:r>
      <w:r w:rsidRPr="00F52C10">
        <w:rPr>
          <w:i/>
          <w:lang w:val="es-ES_tradnl"/>
        </w:rPr>
        <w:t>Eje mayor de la sección transversal elíptica del haz a potencia mitad</w:t>
      </w:r>
      <w:r w:rsidRPr="00F52C10">
        <w:rPr>
          <w:lang w:val="es-ES_tradnl"/>
        </w:rPr>
        <w:t>, en grados</w:t>
      </w:r>
    </w:p>
    <w:p w14:paraId="6ADB58C3" w14:textId="77777777" w:rsidR="00B82F75" w:rsidRPr="00F52C10" w:rsidRDefault="00B82F75" w:rsidP="00E4628E">
      <w:pPr>
        <w:spacing w:line="276" w:lineRule="auto"/>
        <w:ind w:left="1134" w:hanging="1134"/>
        <w:rPr>
          <w:color w:val="000000"/>
          <w:lang w:val="es-ES_tradnl"/>
        </w:rPr>
      </w:pPr>
      <w:r w:rsidRPr="00F52C10">
        <w:rPr>
          <w:lang w:val="es-ES_tradnl"/>
        </w:rPr>
        <w:t>Col. 6</w:t>
      </w:r>
      <w:r w:rsidRPr="00F52C10">
        <w:rPr>
          <w:lang w:val="es-ES_tradnl"/>
        </w:rPr>
        <w:tab/>
      </w:r>
      <w:r w:rsidRPr="00F52C10">
        <w:rPr>
          <w:i/>
          <w:lang w:val="es-ES_tradnl"/>
        </w:rPr>
        <w:t>Eje menor de la sección transversal elíptica del haz a potencia mitad</w:t>
      </w:r>
      <w:r w:rsidRPr="00F52C10">
        <w:rPr>
          <w:lang w:val="es-ES_tradnl"/>
        </w:rPr>
        <w:t>, en grados</w:t>
      </w:r>
    </w:p>
    <w:p w14:paraId="7BE90DF9" w14:textId="77777777" w:rsidR="00B82F75" w:rsidRPr="00F52C10" w:rsidRDefault="00B82F75" w:rsidP="00E4628E">
      <w:pPr>
        <w:spacing w:line="276" w:lineRule="auto"/>
        <w:ind w:left="1134" w:hanging="1134"/>
        <w:rPr>
          <w:color w:val="000000"/>
          <w:lang w:val="es-ES_tradnl"/>
        </w:rPr>
      </w:pPr>
      <w:r w:rsidRPr="00F52C10">
        <w:rPr>
          <w:lang w:val="es-ES_tradnl"/>
        </w:rPr>
        <w:t>Col. 7</w:t>
      </w:r>
      <w:r w:rsidRPr="00F52C10">
        <w:rPr>
          <w:lang w:val="es-ES_tradnl"/>
        </w:rPr>
        <w:tab/>
      </w:r>
      <w:r w:rsidRPr="00F52C10">
        <w:rPr>
          <w:i/>
          <w:lang w:val="es-ES_tradnl"/>
        </w:rPr>
        <w:t>Orientación de la elipse</w:t>
      </w:r>
      <w:r w:rsidRPr="00F52C10">
        <w:rPr>
          <w:lang w:val="es-ES_tradnl"/>
        </w:rPr>
        <w:t xml:space="preserve"> determinada como sigue: en un plano perpendicular al eje del haz, la dirección del eje mayor de la elipse se define por el ángulo, medido en el sentido contrario al de las agujas del reloj, a partir de una línea paralela al plano ecuatorial hasta el eje mayor de la elipse, redondeado al grado más próximo</w:t>
      </w:r>
    </w:p>
    <w:p w14:paraId="36CA0145" w14:textId="77777777" w:rsidR="00B82F75" w:rsidRPr="00F52C10" w:rsidRDefault="00B82F75" w:rsidP="00E4628E">
      <w:pPr>
        <w:spacing w:line="276" w:lineRule="auto"/>
        <w:rPr>
          <w:lang w:val="es-ES_tradnl"/>
        </w:rPr>
      </w:pPr>
      <w:r w:rsidRPr="00F52C10">
        <w:rPr>
          <w:lang w:val="es-ES_tradnl"/>
        </w:rPr>
        <w:t>Col. 8</w:t>
      </w:r>
      <w:r w:rsidRPr="00F52C10">
        <w:rPr>
          <w:lang w:val="es-ES_tradnl"/>
        </w:rPr>
        <w:tab/>
        <w:t>Densidad de</w:t>
      </w:r>
      <w:r w:rsidRPr="00F52C10">
        <w:rPr>
          <w:i/>
          <w:lang w:val="es-ES_tradnl"/>
        </w:rPr>
        <w:t xml:space="preserve"> p.i.r.e.</w:t>
      </w:r>
      <w:r w:rsidRPr="00F52C10">
        <w:rPr>
          <w:lang w:val="es-ES_tradnl"/>
        </w:rPr>
        <w:t xml:space="preserve"> de la estación terrena (dB(W/Hz))</w:t>
      </w:r>
    </w:p>
    <w:p w14:paraId="7E9F789F" w14:textId="77777777" w:rsidR="00B82F75" w:rsidRPr="00F52C10" w:rsidRDefault="00B82F75" w:rsidP="00E4628E">
      <w:pPr>
        <w:spacing w:line="276" w:lineRule="auto"/>
        <w:rPr>
          <w:lang w:val="es-ES_tradnl"/>
        </w:rPr>
      </w:pPr>
      <w:r w:rsidRPr="00F52C10">
        <w:rPr>
          <w:lang w:val="es-ES_tradnl"/>
        </w:rPr>
        <w:t>Col. 9</w:t>
      </w:r>
      <w:r w:rsidRPr="00F52C10">
        <w:rPr>
          <w:lang w:val="es-ES_tradnl"/>
        </w:rPr>
        <w:tab/>
        <w:t>Densidad de</w:t>
      </w:r>
      <w:r w:rsidRPr="00F52C10">
        <w:rPr>
          <w:i/>
          <w:lang w:val="es-ES_tradnl"/>
        </w:rPr>
        <w:t xml:space="preserve"> p.i.r.e.</w:t>
      </w:r>
      <w:r w:rsidRPr="00F52C10">
        <w:rPr>
          <w:lang w:val="es-ES_tradnl"/>
        </w:rPr>
        <w:t xml:space="preserve"> del satélite (dB(W/Hz))</w:t>
      </w:r>
    </w:p>
    <w:p w14:paraId="46E373AE" w14:textId="77777777" w:rsidR="00B82F75" w:rsidRPr="00F52C10" w:rsidRDefault="00B82F75" w:rsidP="00E4628E">
      <w:pPr>
        <w:spacing w:line="276" w:lineRule="auto"/>
        <w:rPr>
          <w:lang w:val="es-ES_tradnl"/>
        </w:rPr>
      </w:pPr>
      <w:r w:rsidRPr="00F52C10">
        <w:rPr>
          <w:lang w:val="es-ES_tradnl"/>
        </w:rPr>
        <w:t>Col. 10</w:t>
      </w:r>
      <w:r w:rsidRPr="00F52C10">
        <w:rPr>
          <w:lang w:val="es-ES_tradnl"/>
        </w:rPr>
        <w:tab/>
      </w:r>
      <w:r w:rsidRPr="00F52C10">
        <w:rPr>
          <w:i/>
          <w:iCs/>
          <w:lang w:val="es-ES_tradnl"/>
        </w:rPr>
        <w:t>Observaciones</w:t>
      </w:r>
    </w:p>
    <w:p w14:paraId="1ED9C73C" w14:textId="77777777" w:rsidR="00B82F75" w:rsidRPr="00F52C10" w:rsidRDefault="00B82F75" w:rsidP="00E4628E">
      <w:pPr>
        <w:spacing w:line="276" w:lineRule="auto"/>
        <w:rPr>
          <w:lang w:val="es-ES_tradnl"/>
        </w:rPr>
      </w:pPr>
      <w:r w:rsidRPr="00F52C10">
        <w:rPr>
          <w:lang w:val="es-ES_tradnl"/>
        </w:rPr>
        <w:t>1</w:t>
      </w:r>
      <w:r w:rsidRPr="00F52C10">
        <w:rPr>
          <w:lang w:val="es-ES_tradnl"/>
        </w:rPr>
        <w:tab/>
        <w:t>Asignación convertida a partir de una adjudicación.</w:t>
      </w:r>
    </w:p>
    <w:p w14:paraId="23BD074A" w14:textId="77777777" w:rsidR="00B82F75" w:rsidRPr="00F52C10" w:rsidRDefault="00B82F75" w:rsidP="00E4628E">
      <w:pPr>
        <w:spacing w:line="276" w:lineRule="auto"/>
        <w:rPr>
          <w:lang w:val="es-ES_tradnl"/>
        </w:rPr>
      </w:pPr>
      <w:r w:rsidRPr="00F52C10">
        <w:rPr>
          <w:lang w:val="es-ES_tradnl"/>
        </w:rPr>
        <w:t>2</w:t>
      </w:r>
      <w:r w:rsidRPr="00F52C10">
        <w:rPr>
          <w:lang w:val="es-ES_tradnl"/>
        </w:rPr>
        <w:tab/>
        <w:t>La Administración de Luxemburgo (LUX) acordó explotar la red de satélites LUX</w:t>
      </w:r>
      <w:r w:rsidRPr="00F52C10">
        <w:rPr>
          <w:lang w:val="es-ES_tradnl"/>
        </w:rPr>
        <w:noBreakHyphen/>
        <w:t>30B</w:t>
      </w:r>
      <w:r w:rsidRPr="00F52C10">
        <w:rPr>
          <w:lang w:val="es-ES_tradnl"/>
        </w:rPr>
        <w:noBreakHyphen/>
        <w:t>6 con las características que figuran en la Lista del Apéndice </w:t>
      </w:r>
      <w:r w:rsidRPr="00F52C10">
        <w:rPr>
          <w:b/>
          <w:bCs/>
          <w:lang w:val="es-ES_tradnl"/>
        </w:rPr>
        <w:t>30B</w:t>
      </w:r>
      <w:r w:rsidRPr="00F52C10">
        <w:rPr>
          <w:lang w:val="es-ES_tradnl"/>
        </w:rPr>
        <w:t>, modificada por la CMR</w:t>
      </w:r>
      <w:r w:rsidRPr="00F52C10">
        <w:rPr>
          <w:lang w:val="es-ES_tradnl"/>
        </w:rPr>
        <w:noBreakHyphen/>
        <w:t>07, y eliminar inmediatamente la interferencia que podría causar la red LUX</w:t>
      </w:r>
      <w:r w:rsidRPr="00F52C10">
        <w:rPr>
          <w:lang w:val="es-ES_tradnl"/>
        </w:rPr>
        <w:noBreakHyphen/>
        <w:t>30B</w:t>
      </w:r>
      <w:r w:rsidRPr="00F52C10">
        <w:rPr>
          <w:lang w:val="es-ES_tradnl"/>
        </w:rPr>
        <w:noBreakHyphen/>
        <w:t>6 a la adjudicación de la República Islámica del Irán (IRN00000) (IRN).</w:t>
      </w:r>
    </w:p>
    <w:p w14:paraId="25CD6818" w14:textId="77777777" w:rsidR="00B82F75" w:rsidRPr="00F52C10" w:rsidRDefault="00B82F75" w:rsidP="00E4628E">
      <w:pPr>
        <w:spacing w:line="276" w:lineRule="auto"/>
        <w:rPr>
          <w:lang w:val="es-ES_tradnl"/>
        </w:rPr>
      </w:pPr>
      <w:r w:rsidRPr="00F52C10">
        <w:rPr>
          <w:lang w:val="es-ES_tradnl"/>
        </w:rPr>
        <w:t>3</w:t>
      </w:r>
      <w:r w:rsidRPr="00F52C10">
        <w:rPr>
          <w:lang w:val="es-ES_tradnl"/>
        </w:rPr>
        <w:tab/>
        <w:t>Adjudicación convertida en asignación con un haz conformado y a continuación reincorporada al Plan.</w:t>
      </w:r>
    </w:p>
    <w:p w14:paraId="541F1BC3" w14:textId="77777777" w:rsidR="00B82F75" w:rsidRPr="00F52C10" w:rsidRDefault="00B82F75" w:rsidP="00E4628E">
      <w:pPr>
        <w:spacing w:line="276" w:lineRule="auto"/>
        <w:rPr>
          <w:szCs w:val="24"/>
          <w:lang w:val="es-ES_tradnl"/>
        </w:rPr>
      </w:pPr>
      <w:r w:rsidRPr="00F52C10">
        <w:rPr>
          <w:lang w:val="es-ES_tradnl"/>
        </w:rPr>
        <w:t>4-5</w:t>
      </w:r>
      <w:r w:rsidRPr="00F52C10">
        <w:rPr>
          <w:lang w:val="es-ES_tradnl"/>
        </w:rPr>
        <w:tab/>
      </w:r>
      <w:r w:rsidRPr="00F52C10">
        <w:rPr>
          <w:sz w:val="16"/>
          <w:szCs w:val="16"/>
          <w:lang w:val="es-ES_tradnl"/>
        </w:rPr>
        <w:t>(SUP - CMR-07)</w:t>
      </w:r>
    </w:p>
    <w:p w14:paraId="4878E6C6" w14:textId="77777777" w:rsidR="00B82F75" w:rsidRPr="00F52C10" w:rsidRDefault="00B82F75" w:rsidP="00E4628E">
      <w:pPr>
        <w:spacing w:line="276" w:lineRule="auto"/>
        <w:rPr>
          <w:lang w:val="es-ES_tradnl" w:eastAsia="zh-CN"/>
        </w:rPr>
      </w:pPr>
      <w:r w:rsidRPr="00F52C10">
        <w:rPr>
          <w:lang w:val="es-ES_tradnl" w:eastAsia="zh-CN"/>
        </w:rPr>
        <w:t>6</w:t>
      </w:r>
      <w:r w:rsidRPr="00F52C10">
        <w:rPr>
          <w:lang w:val="es-ES_tradnl" w:eastAsia="zh-CN"/>
        </w:rPr>
        <w:tab/>
        <w:t>Adjudicaciones reinstauradas a partir de asignaciones que se habían inscrito provisionalmente en la Lista de conformidad con el § 6.25. Serán de aplicación los § 6.26 a § 6.29.</w:t>
      </w:r>
      <w:r w:rsidRPr="00F52C10">
        <w:rPr>
          <w:color w:val="000000"/>
          <w:sz w:val="16"/>
          <w:lang w:val="es-ES_tradnl"/>
        </w:rPr>
        <w:t xml:space="preserve">     (CMR</w:t>
      </w:r>
      <w:r w:rsidRPr="00F52C10">
        <w:rPr>
          <w:color w:val="000000"/>
          <w:sz w:val="16"/>
          <w:lang w:val="es-ES_tradnl"/>
        </w:rPr>
        <w:noBreakHyphen/>
        <w:t>15)</w:t>
      </w:r>
    </w:p>
    <w:p w14:paraId="613A1916" w14:textId="77777777" w:rsidR="00B82F75" w:rsidRPr="00F52C10" w:rsidRDefault="00B82F75" w:rsidP="00E4628E">
      <w:pPr>
        <w:pStyle w:val="Note"/>
        <w:spacing w:line="276" w:lineRule="auto"/>
        <w:rPr>
          <w:color w:val="000000"/>
        </w:rPr>
      </w:pPr>
      <w:r w:rsidRPr="00F52C10">
        <w:rPr>
          <w:i/>
          <w:iCs/>
          <w:color w:val="000000"/>
        </w:rPr>
        <w:t>Nota de la Secretaría (aplicable cuando un asterisco (*) se encuentra en la columna 10):</w:t>
      </w:r>
      <w:r w:rsidRPr="00F52C10">
        <w:rPr>
          <w:color w:val="000000"/>
        </w:rPr>
        <w:t xml:space="preserve"> Cabe señalar que este haz se aplicará como parte de una red de haces múltiples, que opere desde una sola posición orbital. En toda red de haces múltiples, la responsabilidad de los haces incumbe a una sola administración, por lo que no se ha tenido en cuenta durante la Conferencia la interferencia entre ellos. </w:t>
      </w:r>
      <w:r w:rsidRPr="00F52C10">
        <w:rPr>
          <w:color w:val="000000"/>
        </w:rPr>
        <w:lastRenderedPageBreak/>
        <w:t>El número que aparece en el código alfanumérico que sigue al asterisco identifica la red de haces múltiples.</w:t>
      </w:r>
    </w:p>
    <w:p w14:paraId="0CE1550F" w14:textId="77777777" w:rsidR="00B82F75" w:rsidRPr="00F52C10" w:rsidRDefault="00B82F75" w:rsidP="00E4628E">
      <w:pPr>
        <w:autoSpaceDE/>
        <w:autoSpaceDN/>
        <w:spacing w:line="276" w:lineRule="auto"/>
        <w:rPr>
          <w:caps/>
          <w:sz w:val="28"/>
          <w:lang w:val="es-ES_tradnl"/>
        </w:rPr>
      </w:pPr>
      <w:r w:rsidRPr="00F52C10">
        <w:rPr>
          <w:lang w:val="es-ES_tradnl"/>
        </w:rPr>
        <w:br w:type="page"/>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076"/>
        <w:gridCol w:w="970"/>
        <w:gridCol w:w="907"/>
        <w:gridCol w:w="907"/>
        <w:gridCol w:w="907"/>
        <w:gridCol w:w="1022"/>
        <w:gridCol w:w="851"/>
        <w:gridCol w:w="907"/>
        <w:gridCol w:w="907"/>
      </w:tblGrid>
      <w:tr w:rsidR="00B82F75" w:rsidRPr="00F52C10" w14:paraId="0D4AC4D9" w14:textId="77777777" w:rsidTr="004473CA">
        <w:trPr>
          <w:tblHeader/>
          <w:jc w:val="center"/>
        </w:trPr>
        <w:tc>
          <w:tcPr>
            <w:tcW w:w="9645" w:type="dxa"/>
            <w:gridSpan w:val="10"/>
            <w:tcBorders>
              <w:top w:val="nil"/>
              <w:left w:val="nil"/>
              <w:bottom w:val="single" w:sz="4" w:space="0" w:color="auto"/>
              <w:right w:val="nil"/>
            </w:tcBorders>
            <w:vAlign w:val="center"/>
          </w:tcPr>
          <w:p w14:paraId="3B88E1CA" w14:textId="77777777" w:rsidR="00B82F75" w:rsidRPr="00F52C10" w:rsidRDefault="00B82F75" w:rsidP="00E4628E">
            <w:pPr>
              <w:pStyle w:val="Tablehead"/>
              <w:spacing w:line="276" w:lineRule="auto"/>
              <w:jc w:val="right"/>
              <w:rPr>
                <w:sz w:val="18"/>
                <w:szCs w:val="18"/>
                <w:lang w:val="en-US"/>
              </w:rPr>
            </w:pPr>
            <w:r w:rsidRPr="00F52C10">
              <w:rPr>
                <w:sz w:val="18"/>
                <w:szCs w:val="18"/>
                <w:lang w:val="en-US"/>
              </w:rPr>
              <w:lastRenderedPageBreak/>
              <w:t>4 500-4 800 MHz, 6 725-7 025 MHz</w:t>
            </w:r>
          </w:p>
        </w:tc>
      </w:tr>
      <w:tr w:rsidR="00B82F75" w:rsidRPr="00F52C10" w14:paraId="240E8FB0" w14:textId="77777777" w:rsidTr="004473CA">
        <w:trPr>
          <w:tblHeader/>
          <w:jc w:val="center"/>
        </w:trPr>
        <w:tc>
          <w:tcPr>
            <w:tcW w:w="1191" w:type="dxa"/>
            <w:tcBorders>
              <w:top w:val="single" w:sz="4" w:space="0" w:color="auto"/>
              <w:left w:val="single" w:sz="4" w:space="0" w:color="auto"/>
              <w:bottom w:val="single" w:sz="4" w:space="0" w:color="auto"/>
              <w:right w:val="single" w:sz="4" w:space="0" w:color="auto"/>
            </w:tcBorders>
            <w:vAlign w:val="center"/>
          </w:tcPr>
          <w:p w14:paraId="086E70BB" w14:textId="77777777" w:rsidR="00B82F75" w:rsidRPr="00F52C10" w:rsidRDefault="00B82F75" w:rsidP="00E4628E">
            <w:pPr>
              <w:pStyle w:val="Tablehead"/>
              <w:spacing w:line="276" w:lineRule="auto"/>
              <w:rPr>
                <w:sz w:val="18"/>
                <w:szCs w:val="18"/>
                <w:lang w:val="en-US"/>
              </w:rPr>
            </w:pPr>
            <w:r w:rsidRPr="00F52C10">
              <w:rPr>
                <w:sz w:val="18"/>
                <w:szCs w:val="18"/>
                <w:lang w:val="en-US"/>
              </w:rPr>
              <w:t>1</w:t>
            </w:r>
          </w:p>
        </w:tc>
        <w:tc>
          <w:tcPr>
            <w:tcW w:w="1076" w:type="dxa"/>
            <w:tcBorders>
              <w:top w:val="single" w:sz="4" w:space="0" w:color="auto"/>
              <w:left w:val="single" w:sz="4" w:space="0" w:color="auto"/>
              <w:bottom w:val="single" w:sz="4" w:space="0" w:color="auto"/>
              <w:right w:val="single" w:sz="4" w:space="0" w:color="auto"/>
            </w:tcBorders>
            <w:vAlign w:val="center"/>
          </w:tcPr>
          <w:p w14:paraId="0FE77CBE" w14:textId="77777777" w:rsidR="00B82F75" w:rsidRPr="00F52C10" w:rsidRDefault="00B82F75" w:rsidP="00E4628E">
            <w:pPr>
              <w:pStyle w:val="Tablehead"/>
              <w:spacing w:line="276" w:lineRule="auto"/>
              <w:rPr>
                <w:sz w:val="18"/>
                <w:szCs w:val="18"/>
                <w:lang w:val="en-US"/>
              </w:rPr>
            </w:pPr>
            <w:r w:rsidRPr="00F52C10">
              <w:rPr>
                <w:sz w:val="18"/>
                <w:szCs w:val="18"/>
                <w:lang w:val="en-US"/>
              </w:rPr>
              <w:t>2</w:t>
            </w:r>
          </w:p>
        </w:tc>
        <w:tc>
          <w:tcPr>
            <w:tcW w:w="970" w:type="dxa"/>
            <w:tcBorders>
              <w:top w:val="single" w:sz="4" w:space="0" w:color="auto"/>
              <w:left w:val="single" w:sz="4" w:space="0" w:color="auto"/>
              <w:bottom w:val="single" w:sz="4" w:space="0" w:color="auto"/>
              <w:right w:val="single" w:sz="4" w:space="0" w:color="auto"/>
            </w:tcBorders>
            <w:vAlign w:val="center"/>
          </w:tcPr>
          <w:p w14:paraId="3EA95173" w14:textId="77777777" w:rsidR="00B82F75" w:rsidRPr="00F52C10" w:rsidRDefault="00B82F75" w:rsidP="00E4628E">
            <w:pPr>
              <w:pStyle w:val="Tablehead"/>
              <w:spacing w:line="276" w:lineRule="auto"/>
              <w:rPr>
                <w:sz w:val="18"/>
                <w:szCs w:val="18"/>
                <w:lang w:val="en-US"/>
              </w:rPr>
            </w:pPr>
            <w:r w:rsidRPr="00F52C10">
              <w:rPr>
                <w:sz w:val="18"/>
                <w:szCs w:val="18"/>
                <w:lang w:val="en-US"/>
              </w:rPr>
              <w:t>3</w:t>
            </w:r>
          </w:p>
        </w:tc>
        <w:tc>
          <w:tcPr>
            <w:tcW w:w="907" w:type="dxa"/>
            <w:tcBorders>
              <w:top w:val="single" w:sz="4" w:space="0" w:color="auto"/>
              <w:left w:val="single" w:sz="4" w:space="0" w:color="auto"/>
              <w:bottom w:val="single" w:sz="4" w:space="0" w:color="auto"/>
              <w:right w:val="single" w:sz="4" w:space="0" w:color="auto"/>
            </w:tcBorders>
            <w:vAlign w:val="center"/>
          </w:tcPr>
          <w:p w14:paraId="00A68D1C" w14:textId="77777777" w:rsidR="00B82F75" w:rsidRPr="00F52C10" w:rsidRDefault="00B82F75" w:rsidP="00E4628E">
            <w:pPr>
              <w:pStyle w:val="Tablehead"/>
              <w:spacing w:line="276" w:lineRule="auto"/>
              <w:rPr>
                <w:sz w:val="18"/>
                <w:szCs w:val="18"/>
                <w:lang w:val="en-US"/>
              </w:rPr>
            </w:pPr>
            <w:r w:rsidRPr="00F52C10">
              <w:rPr>
                <w:sz w:val="18"/>
                <w:szCs w:val="18"/>
                <w:lang w:val="en-US"/>
              </w:rPr>
              <w:t>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center"/>
          </w:tcPr>
          <w:p w14:paraId="108026F8" w14:textId="77777777" w:rsidR="00B82F75" w:rsidRPr="00F52C10" w:rsidRDefault="00B82F75" w:rsidP="00E4628E">
            <w:pPr>
              <w:pStyle w:val="Tablehead"/>
              <w:spacing w:line="276" w:lineRule="auto"/>
              <w:rPr>
                <w:sz w:val="18"/>
                <w:szCs w:val="18"/>
                <w:lang w:val="en-US"/>
              </w:rPr>
            </w:pPr>
            <w:r w:rsidRPr="00F52C10">
              <w:rPr>
                <w:sz w:val="18"/>
                <w:szCs w:val="18"/>
                <w:lang w:val="en-US"/>
              </w:rPr>
              <w:t>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center"/>
          </w:tcPr>
          <w:p w14:paraId="1F63A9A0" w14:textId="77777777" w:rsidR="00B82F75" w:rsidRPr="00F52C10" w:rsidRDefault="00B82F75" w:rsidP="00E4628E">
            <w:pPr>
              <w:pStyle w:val="Tablehead"/>
              <w:spacing w:line="276" w:lineRule="auto"/>
              <w:rPr>
                <w:sz w:val="18"/>
                <w:szCs w:val="18"/>
                <w:lang w:val="en-US"/>
              </w:rPr>
            </w:pPr>
            <w:r w:rsidRPr="00F52C10">
              <w:rPr>
                <w:sz w:val="18"/>
                <w:szCs w:val="18"/>
                <w:lang w:val="en-US"/>
              </w:rPr>
              <w:t>6</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center"/>
          </w:tcPr>
          <w:p w14:paraId="4D6F2093" w14:textId="77777777" w:rsidR="00B82F75" w:rsidRPr="00F52C10" w:rsidRDefault="00B82F75" w:rsidP="00E4628E">
            <w:pPr>
              <w:pStyle w:val="Tablehead"/>
              <w:spacing w:line="276" w:lineRule="auto"/>
              <w:rPr>
                <w:sz w:val="18"/>
                <w:szCs w:val="18"/>
                <w:lang w:val="en-US"/>
              </w:rPr>
            </w:pPr>
            <w:r w:rsidRPr="00F52C10">
              <w:rPr>
                <w:sz w:val="18"/>
                <w:szCs w:val="18"/>
                <w:lang w:val="en-US"/>
              </w:rPr>
              <w:t>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center"/>
          </w:tcPr>
          <w:p w14:paraId="3B418780" w14:textId="77777777" w:rsidR="00B82F75" w:rsidRPr="00F52C10" w:rsidRDefault="00B82F75" w:rsidP="00E4628E">
            <w:pPr>
              <w:pStyle w:val="Tablehead"/>
              <w:spacing w:line="276" w:lineRule="auto"/>
              <w:rPr>
                <w:sz w:val="18"/>
                <w:szCs w:val="18"/>
                <w:lang w:val="en-US"/>
              </w:rPr>
            </w:pPr>
            <w:r w:rsidRPr="00F52C10">
              <w:rPr>
                <w:sz w:val="18"/>
                <w:szCs w:val="18"/>
                <w:lang w:val="en-US"/>
              </w:rPr>
              <w:t>8</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center"/>
          </w:tcPr>
          <w:p w14:paraId="5BF7FE6F" w14:textId="77777777" w:rsidR="00B82F75" w:rsidRPr="00F52C10" w:rsidRDefault="00B82F75" w:rsidP="00E4628E">
            <w:pPr>
              <w:pStyle w:val="Tablehead"/>
              <w:spacing w:line="276" w:lineRule="auto"/>
              <w:rPr>
                <w:sz w:val="18"/>
                <w:szCs w:val="18"/>
                <w:lang w:val="en-US"/>
              </w:rPr>
            </w:pPr>
            <w:r w:rsidRPr="00F52C10">
              <w:rPr>
                <w:sz w:val="18"/>
                <w:szCs w:val="18"/>
                <w:lang w:val="en-US"/>
              </w:rPr>
              <w:t>9</w:t>
            </w:r>
          </w:p>
        </w:tc>
        <w:tc>
          <w:tcPr>
            <w:tcW w:w="907" w:type="dxa"/>
            <w:tcBorders>
              <w:top w:val="single" w:sz="4" w:space="0" w:color="auto"/>
              <w:left w:val="single" w:sz="4" w:space="0" w:color="auto"/>
              <w:bottom w:val="single" w:sz="4" w:space="0" w:color="auto"/>
              <w:right w:val="single" w:sz="4" w:space="0" w:color="auto"/>
            </w:tcBorders>
            <w:vAlign w:val="center"/>
          </w:tcPr>
          <w:p w14:paraId="53E8C65C" w14:textId="77777777" w:rsidR="00B82F75" w:rsidRPr="00F52C10" w:rsidRDefault="00B82F75" w:rsidP="00E4628E">
            <w:pPr>
              <w:pStyle w:val="Tablehead"/>
              <w:spacing w:line="276" w:lineRule="auto"/>
              <w:rPr>
                <w:sz w:val="18"/>
                <w:szCs w:val="18"/>
                <w:lang w:val="en-US"/>
              </w:rPr>
            </w:pPr>
            <w:r w:rsidRPr="00F52C10">
              <w:rPr>
                <w:sz w:val="18"/>
                <w:szCs w:val="18"/>
                <w:lang w:val="en-US"/>
              </w:rPr>
              <w:t>10</w:t>
            </w:r>
          </w:p>
        </w:tc>
      </w:tr>
      <w:tr w:rsidR="00B82F75" w:rsidRPr="00F52C10" w14:paraId="418E4A7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DAB2BBA" w14:textId="77777777" w:rsidR="00B82F75" w:rsidRPr="00F52C10" w:rsidRDefault="00B82F75" w:rsidP="00E4628E">
            <w:pPr>
              <w:pStyle w:val="Tabletext0"/>
              <w:spacing w:before="34" w:after="34" w:line="276" w:lineRule="auto"/>
              <w:rPr>
                <w:sz w:val="18"/>
                <w:szCs w:val="18"/>
              </w:rPr>
            </w:pPr>
            <w:r w:rsidRPr="00F52C10">
              <w:rPr>
                <w:sz w:val="18"/>
                <w:szCs w:val="18"/>
              </w:rPr>
              <w:t>ABW00000</w:t>
            </w:r>
          </w:p>
        </w:tc>
        <w:tc>
          <w:tcPr>
            <w:tcW w:w="1076" w:type="dxa"/>
            <w:tcBorders>
              <w:top w:val="single" w:sz="4" w:space="0" w:color="auto"/>
              <w:left w:val="single" w:sz="4" w:space="0" w:color="auto"/>
              <w:bottom w:val="single" w:sz="4" w:space="0" w:color="auto"/>
              <w:right w:val="single" w:sz="4" w:space="0" w:color="auto"/>
            </w:tcBorders>
          </w:tcPr>
          <w:p w14:paraId="0AB961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−98,20</w:t>
            </w:r>
          </w:p>
        </w:tc>
        <w:tc>
          <w:tcPr>
            <w:tcW w:w="970" w:type="dxa"/>
            <w:tcBorders>
              <w:top w:val="single" w:sz="4" w:space="0" w:color="auto"/>
              <w:left w:val="single" w:sz="4" w:space="0" w:color="auto"/>
              <w:bottom w:val="single" w:sz="4" w:space="0" w:color="auto"/>
              <w:right w:val="single" w:sz="4" w:space="0" w:color="auto"/>
            </w:tcBorders>
          </w:tcPr>
          <w:p w14:paraId="04E8D5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−69,10</w:t>
            </w:r>
          </w:p>
        </w:tc>
        <w:tc>
          <w:tcPr>
            <w:tcW w:w="907" w:type="dxa"/>
            <w:tcBorders>
              <w:top w:val="single" w:sz="4" w:space="0" w:color="auto"/>
              <w:left w:val="single" w:sz="4" w:space="0" w:color="auto"/>
              <w:bottom w:val="single" w:sz="4" w:space="0" w:color="auto"/>
              <w:right w:val="single" w:sz="4" w:space="0" w:color="auto"/>
            </w:tcBorders>
          </w:tcPr>
          <w:p w14:paraId="735930A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FAC26F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60E4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2F75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B737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CE0949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−41,4</w:t>
            </w:r>
          </w:p>
        </w:tc>
        <w:tc>
          <w:tcPr>
            <w:tcW w:w="907" w:type="dxa"/>
            <w:tcBorders>
              <w:top w:val="single" w:sz="4" w:space="0" w:color="auto"/>
              <w:left w:val="single" w:sz="4" w:space="0" w:color="auto"/>
              <w:bottom w:val="single" w:sz="4" w:space="0" w:color="auto"/>
              <w:right w:val="single" w:sz="4" w:space="0" w:color="auto"/>
            </w:tcBorders>
          </w:tcPr>
          <w:p w14:paraId="6EB219A2" w14:textId="77777777" w:rsidR="00B82F75" w:rsidRPr="00F52C10" w:rsidRDefault="00B82F75" w:rsidP="00E4628E">
            <w:pPr>
              <w:pStyle w:val="Tabletext0"/>
              <w:spacing w:before="34" w:after="34" w:line="276" w:lineRule="auto"/>
              <w:rPr>
                <w:sz w:val="18"/>
                <w:szCs w:val="18"/>
                <w:lang w:val="en-CA"/>
              </w:rPr>
            </w:pPr>
          </w:p>
        </w:tc>
      </w:tr>
      <w:tr w:rsidR="00B82F75" w:rsidRPr="00F52C10" w14:paraId="7A79E5D0"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ACAD527" w14:textId="77777777" w:rsidR="00B82F75" w:rsidRPr="00F52C10" w:rsidRDefault="00B82F75" w:rsidP="00E4628E">
            <w:pPr>
              <w:pStyle w:val="Tabletext0"/>
              <w:spacing w:before="34" w:after="34" w:line="276" w:lineRule="auto"/>
              <w:rPr>
                <w:sz w:val="18"/>
                <w:szCs w:val="18"/>
              </w:rPr>
            </w:pPr>
            <w:r w:rsidRPr="00F52C10">
              <w:rPr>
                <w:sz w:val="18"/>
                <w:szCs w:val="18"/>
              </w:rPr>
              <w:t>ADL00000</w:t>
            </w:r>
          </w:p>
        </w:tc>
        <w:tc>
          <w:tcPr>
            <w:tcW w:w="1076" w:type="dxa"/>
            <w:tcBorders>
              <w:top w:val="single" w:sz="4" w:space="0" w:color="auto"/>
              <w:left w:val="single" w:sz="4" w:space="0" w:color="auto"/>
              <w:bottom w:val="single" w:sz="4" w:space="0" w:color="auto"/>
              <w:right w:val="single" w:sz="4" w:space="0" w:color="auto"/>
            </w:tcBorders>
          </w:tcPr>
          <w:p w14:paraId="225FF5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70" w:type="dxa"/>
            <w:tcBorders>
              <w:top w:val="single" w:sz="4" w:space="0" w:color="auto"/>
              <w:left w:val="single" w:sz="4" w:space="0" w:color="auto"/>
              <w:bottom w:val="single" w:sz="4" w:space="0" w:color="auto"/>
              <w:right w:val="single" w:sz="4" w:space="0" w:color="auto"/>
            </w:tcBorders>
          </w:tcPr>
          <w:p w14:paraId="565C58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140,00</w:t>
            </w:r>
          </w:p>
        </w:tc>
        <w:tc>
          <w:tcPr>
            <w:tcW w:w="907" w:type="dxa"/>
            <w:tcBorders>
              <w:top w:val="single" w:sz="4" w:space="0" w:color="auto"/>
              <w:left w:val="single" w:sz="4" w:space="0" w:color="auto"/>
              <w:bottom w:val="single" w:sz="4" w:space="0" w:color="auto"/>
              <w:right w:val="single" w:sz="4" w:space="0" w:color="auto"/>
            </w:tcBorders>
          </w:tcPr>
          <w:p w14:paraId="2FB1646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660AF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CBF01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A24F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D586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9EE3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07" w:type="dxa"/>
            <w:tcBorders>
              <w:top w:val="single" w:sz="4" w:space="0" w:color="auto"/>
              <w:left w:val="single" w:sz="4" w:space="0" w:color="auto"/>
              <w:bottom w:val="single" w:sz="4" w:space="0" w:color="auto"/>
              <w:right w:val="single" w:sz="4" w:space="0" w:color="auto"/>
            </w:tcBorders>
          </w:tcPr>
          <w:p w14:paraId="0F95A224" w14:textId="77777777" w:rsidR="00B82F75" w:rsidRPr="00F52C10" w:rsidRDefault="00B82F75" w:rsidP="00E4628E">
            <w:pPr>
              <w:pStyle w:val="Tabletext0"/>
              <w:spacing w:before="34" w:after="34" w:line="276" w:lineRule="auto"/>
              <w:rPr>
                <w:sz w:val="18"/>
                <w:szCs w:val="18"/>
              </w:rPr>
            </w:pPr>
            <w:r w:rsidRPr="00F52C10">
              <w:rPr>
                <w:sz w:val="18"/>
                <w:szCs w:val="18"/>
              </w:rPr>
              <w:t>*/MB1</w:t>
            </w:r>
          </w:p>
        </w:tc>
      </w:tr>
      <w:tr w:rsidR="00B82F75" w:rsidRPr="00F52C10" w14:paraId="308C0BF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172593F" w14:textId="77777777" w:rsidR="00B82F75" w:rsidRPr="00F52C10" w:rsidRDefault="00B82F75" w:rsidP="00E4628E">
            <w:pPr>
              <w:pStyle w:val="Tabletext0"/>
              <w:spacing w:before="34" w:after="34" w:line="276" w:lineRule="auto"/>
              <w:rPr>
                <w:sz w:val="18"/>
                <w:szCs w:val="18"/>
              </w:rPr>
            </w:pPr>
            <w:r w:rsidRPr="00F52C10">
              <w:rPr>
                <w:sz w:val="18"/>
                <w:szCs w:val="18"/>
              </w:rPr>
              <w:t>AFG00000</w:t>
            </w:r>
          </w:p>
        </w:tc>
        <w:tc>
          <w:tcPr>
            <w:tcW w:w="1076" w:type="dxa"/>
            <w:tcBorders>
              <w:top w:val="single" w:sz="4" w:space="0" w:color="auto"/>
              <w:left w:val="single" w:sz="4" w:space="0" w:color="auto"/>
              <w:bottom w:val="single" w:sz="4" w:space="0" w:color="auto"/>
              <w:right w:val="single" w:sz="4" w:space="0" w:color="auto"/>
            </w:tcBorders>
          </w:tcPr>
          <w:p w14:paraId="0AD682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50,00</w:t>
            </w:r>
          </w:p>
        </w:tc>
        <w:tc>
          <w:tcPr>
            <w:tcW w:w="970" w:type="dxa"/>
            <w:tcBorders>
              <w:top w:val="single" w:sz="4" w:space="0" w:color="auto"/>
              <w:left w:val="single" w:sz="4" w:space="0" w:color="auto"/>
              <w:bottom w:val="single" w:sz="4" w:space="0" w:color="auto"/>
              <w:right w:val="single" w:sz="4" w:space="0" w:color="auto"/>
            </w:tcBorders>
          </w:tcPr>
          <w:p w14:paraId="626AA5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66,40</w:t>
            </w:r>
          </w:p>
        </w:tc>
        <w:tc>
          <w:tcPr>
            <w:tcW w:w="907" w:type="dxa"/>
            <w:tcBorders>
              <w:top w:val="single" w:sz="4" w:space="0" w:color="auto"/>
              <w:left w:val="single" w:sz="4" w:space="0" w:color="auto"/>
              <w:bottom w:val="single" w:sz="4" w:space="0" w:color="auto"/>
              <w:right w:val="single" w:sz="4" w:space="0" w:color="auto"/>
            </w:tcBorders>
          </w:tcPr>
          <w:p w14:paraId="306B71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4FD5C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6CD7D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6210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1186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524B3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−39,4</w:t>
            </w:r>
          </w:p>
        </w:tc>
        <w:tc>
          <w:tcPr>
            <w:tcW w:w="907" w:type="dxa"/>
            <w:tcBorders>
              <w:top w:val="single" w:sz="4" w:space="0" w:color="auto"/>
              <w:left w:val="single" w:sz="4" w:space="0" w:color="auto"/>
              <w:bottom w:val="single" w:sz="4" w:space="0" w:color="auto"/>
              <w:right w:val="single" w:sz="4" w:space="0" w:color="auto"/>
            </w:tcBorders>
          </w:tcPr>
          <w:p w14:paraId="581B7609" w14:textId="77777777" w:rsidR="00B82F75" w:rsidRPr="00F52C10" w:rsidRDefault="00B82F75" w:rsidP="00E4628E">
            <w:pPr>
              <w:pStyle w:val="Tabletext0"/>
              <w:spacing w:before="34" w:after="34" w:line="276" w:lineRule="auto"/>
              <w:rPr>
                <w:sz w:val="18"/>
                <w:szCs w:val="18"/>
                <w:lang w:val="en-CA"/>
              </w:rPr>
            </w:pPr>
          </w:p>
        </w:tc>
      </w:tr>
      <w:tr w:rsidR="00B82F75" w:rsidRPr="00F52C10" w14:paraId="78C1E23E"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7B2D9C5" w14:textId="77777777" w:rsidR="00B82F75" w:rsidRPr="00F52C10" w:rsidRDefault="00B82F75" w:rsidP="00E4628E">
            <w:pPr>
              <w:pStyle w:val="Tabletext0"/>
              <w:spacing w:before="34" w:after="34" w:line="276" w:lineRule="auto"/>
              <w:rPr>
                <w:sz w:val="18"/>
                <w:szCs w:val="18"/>
              </w:rPr>
            </w:pPr>
            <w:r w:rsidRPr="00F52C10">
              <w:rPr>
                <w:sz w:val="18"/>
                <w:szCs w:val="18"/>
              </w:rPr>
              <w:t>AFS00000</w:t>
            </w:r>
          </w:p>
        </w:tc>
        <w:tc>
          <w:tcPr>
            <w:tcW w:w="1076" w:type="dxa"/>
            <w:tcBorders>
              <w:top w:val="single" w:sz="4" w:space="0" w:color="auto"/>
              <w:left w:val="single" w:sz="4" w:space="0" w:color="auto"/>
              <w:bottom w:val="single" w:sz="4" w:space="0" w:color="auto"/>
              <w:right w:val="single" w:sz="4" w:space="0" w:color="auto"/>
            </w:tcBorders>
          </w:tcPr>
          <w:p w14:paraId="73591D6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71,00</w:t>
            </w:r>
          </w:p>
        </w:tc>
        <w:tc>
          <w:tcPr>
            <w:tcW w:w="970" w:type="dxa"/>
            <w:tcBorders>
              <w:top w:val="single" w:sz="4" w:space="0" w:color="auto"/>
              <w:left w:val="single" w:sz="4" w:space="0" w:color="auto"/>
              <w:bottom w:val="single" w:sz="4" w:space="0" w:color="auto"/>
              <w:right w:val="single" w:sz="4" w:space="0" w:color="auto"/>
            </w:tcBorders>
          </w:tcPr>
          <w:p w14:paraId="3CC9D3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27,20</w:t>
            </w:r>
          </w:p>
        </w:tc>
        <w:tc>
          <w:tcPr>
            <w:tcW w:w="907" w:type="dxa"/>
            <w:tcBorders>
              <w:top w:val="single" w:sz="4" w:space="0" w:color="auto"/>
              <w:left w:val="single" w:sz="4" w:space="0" w:color="auto"/>
              <w:bottom w:val="single" w:sz="4" w:space="0" w:color="auto"/>
              <w:right w:val="single" w:sz="4" w:space="0" w:color="auto"/>
            </w:tcBorders>
          </w:tcPr>
          <w:p w14:paraId="25B67E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51333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A213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0C7ED3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128,00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0E40E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0775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−38,6</w:t>
            </w:r>
          </w:p>
        </w:tc>
        <w:tc>
          <w:tcPr>
            <w:tcW w:w="907" w:type="dxa"/>
            <w:tcBorders>
              <w:top w:val="single" w:sz="4" w:space="0" w:color="auto"/>
              <w:left w:val="single" w:sz="4" w:space="0" w:color="auto"/>
              <w:bottom w:val="single" w:sz="4" w:space="0" w:color="auto"/>
              <w:right w:val="single" w:sz="4" w:space="0" w:color="auto"/>
            </w:tcBorders>
          </w:tcPr>
          <w:p w14:paraId="5131A633" w14:textId="77777777" w:rsidR="00B82F75" w:rsidRPr="00F52C10" w:rsidRDefault="00B82F75" w:rsidP="00E4628E">
            <w:pPr>
              <w:pStyle w:val="Tabletext0"/>
              <w:spacing w:before="34" w:after="34" w:line="276" w:lineRule="auto"/>
              <w:rPr>
                <w:sz w:val="18"/>
                <w:szCs w:val="18"/>
                <w:lang w:val="en-CA"/>
              </w:rPr>
            </w:pPr>
          </w:p>
        </w:tc>
      </w:tr>
      <w:tr w:rsidR="00B82F75" w:rsidRPr="00F52C10" w14:paraId="6F8EDAD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1115E0F" w14:textId="77777777" w:rsidR="00B82F75" w:rsidRPr="00F52C10" w:rsidRDefault="00B82F75" w:rsidP="00E4628E">
            <w:pPr>
              <w:pStyle w:val="Tabletext0"/>
              <w:spacing w:before="34" w:after="34" w:line="276" w:lineRule="auto"/>
              <w:rPr>
                <w:sz w:val="18"/>
                <w:szCs w:val="18"/>
              </w:rPr>
            </w:pPr>
            <w:r w:rsidRPr="00F52C10">
              <w:rPr>
                <w:sz w:val="18"/>
                <w:szCs w:val="18"/>
              </w:rPr>
              <w:t>AGL00000</w:t>
            </w:r>
          </w:p>
        </w:tc>
        <w:tc>
          <w:tcPr>
            <w:tcW w:w="1076" w:type="dxa"/>
            <w:tcBorders>
              <w:top w:val="single" w:sz="4" w:space="0" w:color="auto"/>
              <w:left w:val="single" w:sz="4" w:space="0" w:color="auto"/>
              <w:bottom w:val="single" w:sz="4" w:space="0" w:color="auto"/>
              <w:right w:val="single" w:sz="4" w:space="0" w:color="auto"/>
            </w:tcBorders>
          </w:tcPr>
          <w:p w14:paraId="525230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−36,10</w:t>
            </w:r>
          </w:p>
        </w:tc>
        <w:tc>
          <w:tcPr>
            <w:tcW w:w="970" w:type="dxa"/>
            <w:tcBorders>
              <w:top w:val="single" w:sz="4" w:space="0" w:color="auto"/>
              <w:left w:val="single" w:sz="4" w:space="0" w:color="auto"/>
              <w:bottom w:val="single" w:sz="4" w:space="0" w:color="auto"/>
              <w:right w:val="single" w:sz="4" w:space="0" w:color="auto"/>
            </w:tcBorders>
          </w:tcPr>
          <w:p w14:paraId="362AE46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w:t>
            </w:r>
          </w:p>
        </w:tc>
        <w:tc>
          <w:tcPr>
            <w:tcW w:w="907" w:type="dxa"/>
            <w:tcBorders>
              <w:top w:val="single" w:sz="4" w:space="0" w:color="auto"/>
              <w:left w:val="single" w:sz="4" w:space="0" w:color="auto"/>
              <w:bottom w:val="single" w:sz="4" w:space="0" w:color="auto"/>
              <w:right w:val="single" w:sz="4" w:space="0" w:color="auto"/>
            </w:tcBorders>
          </w:tcPr>
          <w:p w14:paraId="268874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FC21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28F39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B94B6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32938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F7B43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−39,1</w:t>
            </w:r>
          </w:p>
        </w:tc>
        <w:tc>
          <w:tcPr>
            <w:tcW w:w="907" w:type="dxa"/>
            <w:tcBorders>
              <w:top w:val="single" w:sz="4" w:space="0" w:color="auto"/>
              <w:left w:val="single" w:sz="4" w:space="0" w:color="auto"/>
              <w:bottom w:val="single" w:sz="4" w:space="0" w:color="auto"/>
              <w:right w:val="single" w:sz="4" w:space="0" w:color="auto"/>
            </w:tcBorders>
          </w:tcPr>
          <w:p w14:paraId="26C85C6F" w14:textId="77777777" w:rsidR="00B82F75" w:rsidRPr="00F52C10" w:rsidRDefault="00B82F75" w:rsidP="00E4628E">
            <w:pPr>
              <w:pStyle w:val="Tabletext0"/>
              <w:spacing w:before="34" w:after="34" w:line="276" w:lineRule="auto"/>
              <w:rPr>
                <w:sz w:val="18"/>
                <w:szCs w:val="18"/>
                <w:lang w:val="en-CA"/>
              </w:rPr>
            </w:pPr>
          </w:p>
        </w:tc>
      </w:tr>
      <w:tr w:rsidR="00B82F75" w:rsidRPr="00F52C10" w14:paraId="62FFD4F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66DBBF3" w14:textId="77777777" w:rsidR="00B82F75" w:rsidRPr="00F52C10" w:rsidRDefault="00B82F75" w:rsidP="00E4628E">
            <w:pPr>
              <w:pStyle w:val="Tabletext0"/>
              <w:spacing w:before="34" w:after="34" w:line="276" w:lineRule="auto"/>
              <w:rPr>
                <w:sz w:val="18"/>
                <w:szCs w:val="18"/>
              </w:rPr>
            </w:pPr>
            <w:r w:rsidRPr="00F52C10">
              <w:rPr>
                <w:sz w:val="18"/>
                <w:szCs w:val="18"/>
              </w:rPr>
              <w:t>ALB00000</w:t>
            </w:r>
          </w:p>
        </w:tc>
        <w:tc>
          <w:tcPr>
            <w:tcW w:w="1076" w:type="dxa"/>
            <w:tcBorders>
              <w:top w:val="single" w:sz="4" w:space="0" w:color="auto"/>
              <w:left w:val="single" w:sz="4" w:space="0" w:color="auto"/>
              <w:bottom w:val="single" w:sz="4" w:space="0" w:color="auto"/>
              <w:right w:val="single" w:sz="4" w:space="0" w:color="auto"/>
            </w:tcBorders>
          </w:tcPr>
          <w:p w14:paraId="4AD037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70" w:type="dxa"/>
            <w:tcBorders>
              <w:top w:val="single" w:sz="4" w:space="0" w:color="auto"/>
              <w:left w:val="single" w:sz="4" w:space="0" w:color="auto"/>
              <w:bottom w:val="single" w:sz="4" w:space="0" w:color="auto"/>
              <w:right w:val="single" w:sz="4" w:space="0" w:color="auto"/>
            </w:tcBorders>
          </w:tcPr>
          <w:p w14:paraId="30E6D0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20,00</w:t>
            </w:r>
          </w:p>
        </w:tc>
        <w:tc>
          <w:tcPr>
            <w:tcW w:w="907" w:type="dxa"/>
            <w:tcBorders>
              <w:top w:val="single" w:sz="4" w:space="0" w:color="auto"/>
              <w:left w:val="single" w:sz="4" w:space="0" w:color="auto"/>
              <w:bottom w:val="single" w:sz="4" w:space="0" w:color="auto"/>
              <w:right w:val="single" w:sz="4" w:space="0" w:color="auto"/>
            </w:tcBorders>
          </w:tcPr>
          <w:p w14:paraId="21D2FF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69936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CE38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67F2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D06E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3874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−41,4</w:t>
            </w:r>
          </w:p>
        </w:tc>
        <w:tc>
          <w:tcPr>
            <w:tcW w:w="907" w:type="dxa"/>
            <w:tcBorders>
              <w:top w:val="single" w:sz="4" w:space="0" w:color="auto"/>
              <w:left w:val="single" w:sz="4" w:space="0" w:color="auto"/>
              <w:bottom w:val="single" w:sz="4" w:space="0" w:color="auto"/>
              <w:right w:val="single" w:sz="4" w:space="0" w:color="auto"/>
            </w:tcBorders>
          </w:tcPr>
          <w:p w14:paraId="61DC7EF8" w14:textId="77777777" w:rsidR="00B82F75" w:rsidRPr="00F52C10" w:rsidRDefault="00B82F75" w:rsidP="00E4628E">
            <w:pPr>
              <w:pStyle w:val="Tabletext0"/>
              <w:spacing w:before="34" w:after="34" w:line="276" w:lineRule="auto"/>
              <w:rPr>
                <w:sz w:val="18"/>
                <w:szCs w:val="18"/>
                <w:lang w:val="en-CA"/>
              </w:rPr>
            </w:pPr>
          </w:p>
        </w:tc>
      </w:tr>
      <w:tr w:rsidR="00B82F75" w:rsidRPr="00F52C10" w14:paraId="43394188"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B99347D" w14:textId="77777777" w:rsidR="00B82F75" w:rsidRPr="00F52C10" w:rsidRDefault="00B82F75" w:rsidP="00E4628E">
            <w:pPr>
              <w:pStyle w:val="Tabletext0"/>
              <w:spacing w:before="34" w:after="34" w:line="276" w:lineRule="auto"/>
              <w:rPr>
                <w:sz w:val="18"/>
                <w:szCs w:val="18"/>
              </w:rPr>
            </w:pPr>
            <w:r w:rsidRPr="00F52C10">
              <w:rPr>
                <w:sz w:val="18"/>
                <w:szCs w:val="18"/>
              </w:rPr>
              <w:t>ALG00000</w:t>
            </w:r>
          </w:p>
        </w:tc>
        <w:tc>
          <w:tcPr>
            <w:tcW w:w="1076" w:type="dxa"/>
            <w:tcBorders>
              <w:top w:val="single" w:sz="4" w:space="0" w:color="auto"/>
              <w:left w:val="single" w:sz="4" w:space="0" w:color="auto"/>
              <w:bottom w:val="single" w:sz="4" w:space="0" w:color="auto"/>
              <w:right w:val="single" w:sz="4" w:space="0" w:color="auto"/>
            </w:tcBorders>
          </w:tcPr>
          <w:p w14:paraId="0F7F5A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−33,50</w:t>
            </w:r>
          </w:p>
        </w:tc>
        <w:tc>
          <w:tcPr>
            <w:tcW w:w="970" w:type="dxa"/>
            <w:tcBorders>
              <w:top w:val="single" w:sz="4" w:space="0" w:color="auto"/>
              <w:left w:val="single" w:sz="4" w:space="0" w:color="auto"/>
              <w:bottom w:val="single" w:sz="4" w:space="0" w:color="auto"/>
              <w:right w:val="single" w:sz="4" w:space="0" w:color="auto"/>
            </w:tcBorders>
          </w:tcPr>
          <w:p w14:paraId="23BDF31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Pr>
          <w:p w14:paraId="4922FF1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E9FD6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F547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BCCA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133,00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B9600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A540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w:t>
            </w:r>
          </w:p>
        </w:tc>
        <w:tc>
          <w:tcPr>
            <w:tcW w:w="907" w:type="dxa"/>
            <w:tcBorders>
              <w:top w:val="single" w:sz="4" w:space="0" w:color="auto"/>
              <w:left w:val="single" w:sz="4" w:space="0" w:color="auto"/>
              <w:bottom w:val="single" w:sz="4" w:space="0" w:color="auto"/>
              <w:right w:val="single" w:sz="4" w:space="0" w:color="auto"/>
            </w:tcBorders>
          </w:tcPr>
          <w:p w14:paraId="059F16C5" w14:textId="77777777" w:rsidR="00B82F75" w:rsidRPr="00F52C10" w:rsidRDefault="00B82F75" w:rsidP="00E4628E">
            <w:pPr>
              <w:pStyle w:val="Tabletext0"/>
              <w:spacing w:before="34" w:after="34" w:line="276" w:lineRule="auto"/>
              <w:rPr>
                <w:sz w:val="18"/>
                <w:szCs w:val="18"/>
                <w:lang w:val="en-CA"/>
              </w:rPr>
            </w:pPr>
          </w:p>
        </w:tc>
      </w:tr>
      <w:tr w:rsidR="00B82F75" w:rsidRPr="00F52C10" w14:paraId="5336615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693E091" w14:textId="77777777" w:rsidR="00B82F75" w:rsidRPr="00F52C10" w:rsidRDefault="00B82F75" w:rsidP="00E4628E">
            <w:pPr>
              <w:pStyle w:val="Tabletext0"/>
              <w:spacing w:before="34" w:after="34" w:line="276" w:lineRule="auto"/>
              <w:rPr>
                <w:sz w:val="18"/>
                <w:szCs w:val="18"/>
              </w:rPr>
            </w:pPr>
            <w:r w:rsidRPr="00F52C10">
              <w:rPr>
                <w:sz w:val="18"/>
                <w:szCs w:val="18"/>
              </w:rPr>
              <w:t>ALS00000</w:t>
            </w:r>
          </w:p>
        </w:tc>
        <w:tc>
          <w:tcPr>
            <w:tcW w:w="1076" w:type="dxa"/>
            <w:tcBorders>
              <w:top w:val="single" w:sz="4" w:space="0" w:color="auto"/>
              <w:left w:val="single" w:sz="4" w:space="0" w:color="auto"/>
              <w:bottom w:val="single" w:sz="4" w:space="0" w:color="auto"/>
              <w:right w:val="single" w:sz="4" w:space="0" w:color="auto"/>
            </w:tcBorders>
          </w:tcPr>
          <w:p w14:paraId="721ACC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0918C3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−158,60</w:t>
            </w:r>
          </w:p>
        </w:tc>
        <w:tc>
          <w:tcPr>
            <w:tcW w:w="907" w:type="dxa"/>
            <w:tcBorders>
              <w:top w:val="single" w:sz="4" w:space="0" w:color="auto"/>
              <w:left w:val="single" w:sz="4" w:space="0" w:color="auto"/>
              <w:bottom w:val="single" w:sz="4" w:space="0" w:color="auto"/>
              <w:right w:val="single" w:sz="4" w:space="0" w:color="auto"/>
            </w:tcBorders>
          </w:tcPr>
          <w:p w14:paraId="160573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2695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5326D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B0A7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618560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A98F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−38,8</w:t>
            </w:r>
          </w:p>
        </w:tc>
        <w:tc>
          <w:tcPr>
            <w:tcW w:w="907" w:type="dxa"/>
            <w:tcBorders>
              <w:top w:val="single" w:sz="4" w:space="0" w:color="auto"/>
              <w:left w:val="single" w:sz="4" w:space="0" w:color="auto"/>
              <w:bottom w:val="single" w:sz="4" w:space="0" w:color="auto"/>
              <w:right w:val="single" w:sz="4" w:space="0" w:color="auto"/>
            </w:tcBorders>
          </w:tcPr>
          <w:p w14:paraId="39F6FC35"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7C55427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841D3AC" w14:textId="77777777" w:rsidR="00B82F75" w:rsidRPr="00F52C10" w:rsidRDefault="00B82F75" w:rsidP="00E4628E">
            <w:pPr>
              <w:pStyle w:val="Tabletext0"/>
              <w:spacing w:before="34" w:after="34" w:line="276" w:lineRule="auto"/>
              <w:rPr>
                <w:sz w:val="18"/>
                <w:szCs w:val="18"/>
              </w:rPr>
            </w:pPr>
            <w:r w:rsidRPr="00F52C10">
              <w:rPr>
                <w:sz w:val="18"/>
                <w:szCs w:val="18"/>
              </w:rPr>
              <w:t>AND00000</w:t>
            </w:r>
          </w:p>
        </w:tc>
        <w:tc>
          <w:tcPr>
            <w:tcW w:w="1076" w:type="dxa"/>
            <w:tcBorders>
              <w:top w:val="single" w:sz="4" w:space="0" w:color="auto"/>
              <w:left w:val="single" w:sz="4" w:space="0" w:color="auto"/>
              <w:bottom w:val="single" w:sz="4" w:space="0" w:color="auto"/>
              <w:right w:val="single" w:sz="4" w:space="0" w:color="auto"/>
            </w:tcBorders>
          </w:tcPr>
          <w:p w14:paraId="406251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−41,00</w:t>
            </w:r>
          </w:p>
        </w:tc>
        <w:tc>
          <w:tcPr>
            <w:tcW w:w="970" w:type="dxa"/>
            <w:tcBorders>
              <w:top w:val="single" w:sz="4" w:space="0" w:color="auto"/>
              <w:left w:val="single" w:sz="4" w:space="0" w:color="auto"/>
              <w:bottom w:val="single" w:sz="4" w:space="0" w:color="auto"/>
              <w:right w:val="single" w:sz="4" w:space="0" w:color="auto"/>
            </w:tcBorders>
          </w:tcPr>
          <w:p w14:paraId="16E69A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907" w:type="dxa"/>
            <w:tcBorders>
              <w:top w:val="single" w:sz="4" w:space="0" w:color="auto"/>
              <w:left w:val="single" w:sz="4" w:space="0" w:color="auto"/>
              <w:bottom w:val="single" w:sz="4" w:space="0" w:color="auto"/>
              <w:right w:val="single" w:sz="4" w:space="0" w:color="auto"/>
            </w:tcBorders>
          </w:tcPr>
          <w:p w14:paraId="27CF52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AA04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077DE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1A944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C2C4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0588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−41,4</w:t>
            </w:r>
          </w:p>
        </w:tc>
        <w:tc>
          <w:tcPr>
            <w:tcW w:w="907" w:type="dxa"/>
            <w:tcBorders>
              <w:top w:val="single" w:sz="4" w:space="0" w:color="auto"/>
              <w:left w:val="single" w:sz="4" w:space="0" w:color="auto"/>
              <w:bottom w:val="single" w:sz="4" w:space="0" w:color="auto"/>
              <w:right w:val="single" w:sz="4" w:space="0" w:color="auto"/>
            </w:tcBorders>
          </w:tcPr>
          <w:p w14:paraId="6B5378FC" w14:textId="77777777" w:rsidR="00B82F75" w:rsidRPr="00F52C10" w:rsidRDefault="00B82F75" w:rsidP="00E4628E">
            <w:pPr>
              <w:pStyle w:val="Tabletext0"/>
              <w:spacing w:before="34" w:after="34" w:line="276" w:lineRule="auto"/>
              <w:rPr>
                <w:sz w:val="18"/>
                <w:szCs w:val="18"/>
                <w:lang w:val="en-CA"/>
              </w:rPr>
            </w:pPr>
          </w:p>
        </w:tc>
      </w:tr>
      <w:tr w:rsidR="00B82F75" w:rsidRPr="00F52C10" w14:paraId="3227057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DE4F227" w14:textId="77777777" w:rsidR="00B82F75" w:rsidRPr="00F52C10" w:rsidRDefault="00B82F75" w:rsidP="00E4628E">
            <w:pPr>
              <w:pStyle w:val="Tabletext0"/>
              <w:spacing w:before="34" w:after="34" w:line="276" w:lineRule="auto"/>
              <w:rPr>
                <w:sz w:val="18"/>
                <w:szCs w:val="18"/>
              </w:rPr>
            </w:pPr>
            <w:r w:rsidRPr="00F52C10">
              <w:rPr>
                <w:sz w:val="18"/>
                <w:szCs w:val="18"/>
              </w:rPr>
              <w:t>ARG00000</w:t>
            </w:r>
          </w:p>
        </w:tc>
        <w:tc>
          <w:tcPr>
            <w:tcW w:w="1076" w:type="dxa"/>
            <w:tcBorders>
              <w:top w:val="single" w:sz="4" w:space="0" w:color="auto"/>
              <w:left w:val="single" w:sz="4" w:space="0" w:color="auto"/>
              <w:bottom w:val="single" w:sz="4" w:space="0" w:color="auto"/>
              <w:right w:val="single" w:sz="4" w:space="0" w:color="auto"/>
            </w:tcBorders>
          </w:tcPr>
          <w:p w14:paraId="032AB14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−51,00</w:t>
            </w:r>
          </w:p>
        </w:tc>
        <w:tc>
          <w:tcPr>
            <w:tcW w:w="970" w:type="dxa"/>
            <w:tcBorders>
              <w:top w:val="single" w:sz="4" w:space="0" w:color="auto"/>
              <w:left w:val="single" w:sz="4" w:space="0" w:color="auto"/>
              <w:bottom w:val="single" w:sz="4" w:space="0" w:color="auto"/>
              <w:right w:val="single" w:sz="4" w:space="0" w:color="auto"/>
            </w:tcBorders>
          </w:tcPr>
          <w:p w14:paraId="17E025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−62,00</w:t>
            </w:r>
          </w:p>
        </w:tc>
        <w:tc>
          <w:tcPr>
            <w:tcW w:w="907" w:type="dxa"/>
            <w:tcBorders>
              <w:top w:val="single" w:sz="4" w:space="0" w:color="auto"/>
              <w:left w:val="single" w:sz="4" w:space="0" w:color="auto"/>
              <w:bottom w:val="single" w:sz="4" w:space="0" w:color="auto"/>
              <w:right w:val="single" w:sz="4" w:space="0" w:color="auto"/>
            </w:tcBorders>
          </w:tcPr>
          <w:p w14:paraId="0D14DD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7952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502F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3FE8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93,00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BA61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737BD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−38,1</w:t>
            </w:r>
          </w:p>
        </w:tc>
        <w:tc>
          <w:tcPr>
            <w:tcW w:w="907" w:type="dxa"/>
            <w:tcBorders>
              <w:top w:val="single" w:sz="4" w:space="0" w:color="auto"/>
              <w:left w:val="single" w:sz="4" w:space="0" w:color="auto"/>
              <w:bottom w:val="single" w:sz="4" w:space="0" w:color="auto"/>
              <w:right w:val="single" w:sz="4" w:space="0" w:color="auto"/>
            </w:tcBorders>
          </w:tcPr>
          <w:p w14:paraId="707E238F" w14:textId="77777777" w:rsidR="00B82F75" w:rsidRPr="00F52C10" w:rsidRDefault="00B82F75" w:rsidP="00E4628E">
            <w:pPr>
              <w:pStyle w:val="Tabletext0"/>
              <w:spacing w:before="34" w:after="34" w:line="276" w:lineRule="auto"/>
              <w:rPr>
                <w:sz w:val="18"/>
                <w:szCs w:val="18"/>
              </w:rPr>
            </w:pPr>
            <w:r w:rsidRPr="00F52C10">
              <w:rPr>
                <w:sz w:val="18"/>
                <w:szCs w:val="18"/>
              </w:rPr>
              <w:t>*/MB3</w:t>
            </w:r>
          </w:p>
        </w:tc>
      </w:tr>
      <w:tr w:rsidR="00B82F75" w:rsidRPr="00F52C10" w14:paraId="219589C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E09318C" w14:textId="77777777" w:rsidR="00B82F75" w:rsidRPr="00F52C10" w:rsidRDefault="00B82F75" w:rsidP="00E4628E">
            <w:pPr>
              <w:pStyle w:val="Tabletext0"/>
              <w:spacing w:before="34" w:after="34" w:line="276" w:lineRule="auto"/>
              <w:rPr>
                <w:sz w:val="18"/>
                <w:szCs w:val="18"/>
              </w:rPr>
            </w:pPr>
            <w:r w:rsidRPr="00F52C10">
              <w:rPr>
                <w:sz w:val="18"/>
                <w:szCs w:val="18"/>
              </w:rPr>
              <w:t>ARGINSUL</w:t>
            </w:r>
          </w:p>
        </w:tc>
        <w:tc>
          <w:tcPr>
            <w:tcW w:w="1076" w:type="dxa"/>
            <w:tcBorders>
              <w:top w:val="single" w:sz="4" w:space="0" w:color="auto"/>
              <w:left w:val="single" w:sz="4" w:space="0" w:color="auto"/>
              <w:bottom w:val="single" w:sz="4" w:space="0" w:color="auto"/>
              <w:right w:val="single" w:sz="4" w:space="0" w:color="auto"/>
            </w:tcBorders>
          </w:tcPr>
          <w:p w14:paraId="61BE8B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−51,00</w:t>
            </w:r>
          </w:p>
        </w:tc>
        <w:tc>
          <w:tcPr>
            <w:tcW w:w="970" w:type="dxa"/>
            <w:tcBorders>
              <w:top w:val="single" w:sz="4" w:space="0" w:color="auto"/>
              <w:left w:val="single" w:sz="4" w:space="0" w:color="auto"/>
              <w:bottom w:val="single" w:sz="4" w:space="0" w:color="auto"/>
              <w:right w:val="single" w:sz="4" w:space="0" w:color="auto"/>
            </w:tcBorders>
          </w:tcPr>
          <w:p w14:paraId="6603E7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−60,00</w:t>
            </w:r>
          </w:p>
        </w:tc>
        <w:tc>
          <w:tcPr>
            <w:tcW w:w="907" w:type="dxa"/>
            <w:tcBorders>
              <w:top w:val="single" w:sz="4" w:space="0" w:color="auto"/>
              <w:left w:val="single" w:sz="4" w:space="0" w:color="auto"/>
              <w:bottom w:val="single" w:sz="4" w:space="0" w:color="auto"/>
              <w:right w:val="single" w:sz="4" w:space="0" w:color="auto"/>
            </w:tcBorders>
          </w:tcPr>
          <w:p w14:paraId="3ED8777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6B70B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CED7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3688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154,00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1155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08C3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−38,5</w:t>
            </w:r>
          </w:p>
        </w:tc>
        <w:tc>
          <w:tcPr>
            <w:tcW w:w="907" w:type="dxa"/>
            <w:tcBorders>
              <w:top w:val="single" w:sz="4" w:space="0" w:color="auto"/>
              <w:left w:val="single" w:sz="4" w:space="0" w:color="auto"/>
              <w:bottom w:val="single" w:sz="4" w:space="0" w:color="auto"/>
              <w:right w:val="single" w:sz="4" w:space="0" w:color="auto"/>
            </w:tcBorders>
          </w:tcPr>
          <w:p w14:paraId="41457B3C" w14:textId="77777777" w:rsidR="00B82F75" w:rsidRPr="00F52C10" w:rsidRDefault="00B82F75" w:rsidP="00E4628E">
            <w:pPr>
              <w:pStyle w:val="Tabletext0"/>
              <w:spacing w:before="34" w:after="34" w:line="276" w:lineRule="auto"/>
              <w:rPr>
                <w:sz w:val="18"/>
                <w:szCs w:val="18"/>
              </w:rPr>
            </w:pPr>
            <w:r w:rsidRPr="00F52C10">
              <w:rPr>
                <w:sz w:val="18"/>
                <w:szCs w:val="18"/>
              </w:rPr>
              <w:t>*/MB3</w:t>
            </w:r>
          </w:p>
        </w:tc>
      </w:tr>
      <w:tr w:rsidR="00B82F75" w:rsidRPr="00F52C10" w14:paraId="38E2E2C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0D3A776" w14:textId="77777777" w:rsidR="00B82F75" w:rsidRPr="00F52C10" w:rsidRDefault="00B82F75" w:rsidP="00E4628E">
            <w:pPr>
              <w:pStyle w:val="Tabletext0"/>
              <w:spacing w:before="34" w:after="34" w:line="276" w:lineRule="auto"/>
              <w:rPr>
                <w:sz w:val="18"/>
                <w:szCs w:val="18"/>
              </w:rPr>
            </w:pPr>
            <w:r w:rsidRPr="00F52C10">
              <w:rPr>
                <w:sz w:val="18"/>
                <w:szCs w:val="18"/>
              </w:rPr>
              <w:t>ARM00000</w:t>
            </w:r>
          </w:p>
        </w:tc>
        <w:tc>
          <w:tcPr>
            <w:tcW w:w="1076" w:type="dxa"/>
            <w:tcBorders>
              <w:top w:val="single" w:sz="4" w:space="0" w:color="auto"/>
              <w:left w:val="single" w:sz="4" w:space="0" w:color="auto"/>
              <w:bottom w:val="single" w:sz="4" w:space="0" w:color="auto"/>
              <w:right w:val="single" w:sz="4" w:space="0" w:color="auto"/>
            </w:tcBorders>
          </w:tcPr>
          <w:p w14:paraId="52CBF9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71,40</w:t>
            </w:r>
          </w:p>
        </w:tc>
        <w:tc>
          <w:tcPr>
            <w:tcW w:w="970" w:type="dxa"/>
            <w:tcBorders>
              <w:top w:val="single" w:sz="4" w:space="0" w:color="auto"/>
              <w:left w:val="single" w:sz="4" w:space="0" w:color="auto"/>
              <w:bottom w:val="single" w:sz="4" w:space="0" w:color="auto"/>
              <w:right w:val="single" w:sz="4" w:space="0" w:color="auto"/>
            </w:tcBorders>
          </w:tcPr>
          <w:p w14:paraId="76265D4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45,13</w:t>
            </w:r>
          </w:p>
        </w:tc>
        <w:tc>
          <w:tcPr>
            <w:tcW w:w="907" w:type="dxa"/>
            <w:tcBorders>
              <w:top w:val="single" w:sz="4" w:space="0" w:color="auto"/>
              <w:left w:val="single" w:sz="4" w:space="0" w:color="auto"/>
              <w:bottom w:val="single" w:sz="4" w:space="0" w:color="auto"/>
              <w:right w:val="single" w:sz="4" w:space="0" w:color="auto"/>
            </w:tcBorders>
          </w:tcPr>
          <w:p w14:paraId="38D62F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40,12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BF214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032D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1FBA7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E5004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EC211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−40,4</w:t>
            </w:r>
          </w:p>
        </w:tc>
        <w:tc>
          <w:tcPr>
            <w:tcW w:w="907" w:type="dxa"/>
            <w:tcBorders>
              <w:top w:val="single" w:sz="4" w:space="0" w:color="auto"/>
              <w:left w:val="single" w:sz="4" w:space="0" w:color="auto"/>
              <w:bottom w:val="single" w:sz="4" w:space="0" w:color="auto"/>
              <w:right w:val="single" w:sz="4" w:space="0" w:color="auto"/>
            </w:tcBorders>
          </w:tcPr>
          <w:p w14:paraId="162C3466" w14:textId="77777777" w:rsidR="00B82F75" w:rsidRPr="00F52C10" w:rsidRDefault="00B82F75" w:rsidP="00E4628E">
            <w:pPr>
              <w:pStyle w:val="Tabletext0"/>
              <w:spacing w:before="34" w:after="34" w:line="276" w:lineRule="auto"/>
              <w:rPr>
                <w:sz w:val="18"/>
                <w:szCs w:val="18"/>
                <w:lang w:val="en-CA"/>
              </w:rPr>
            </w:pPr>
          </w:p>
        </w:tc>
      </w:tr>
      <w:tr w:rsidR="00B82F75" w:rsidRPr="00F52C10" w14:paraId="29CACC5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322CF32" w14:textId="77777777" w:rsidR="00B82F75" w:rsidRPr="00F52C10" w:rsidRDefault="00B82F75" w:rsidP="00E4628E">
            <w:pPr>
              <w:pStyle w:val="Tabletext0"/>
              <w:spacing w:before="34" w:after="34" w:line="276" w:lineRule="auto"/>
              <w:rPr>
                <w:sz w:val="18"/>
                <w:szCs w:val="18"/>
              </w:rPr>
            </w:pPr>
            <w:r w:rsidRPr="00F52C10">
              <w:rPr>
                <w:sz w:val="18"/>
                <w:szCs w:val="18"/>
              </w:rPr>
              <w:t>ARS00000</w:t>
            </w:r>
          </w:p>
        </w:tc>
        <w:tc>
          <w:tcPr>
            <w:tcW w:w="1076" w:type="dxa"/>
            <w:tcBorders>
              <w:top w:val="single" w:sz="4" w:space="0" w:color="auto"/>
              <w:left w:val="single" w:sz="4" w:space="0" w:color="auto"/>
              <w:bottom w:val="single" w:sz="4" w:space="0" w:color="auto"/>
              <w:right w:val="single" w:sz="4" w:space="0" w:color="auto"/>
            </w:tcBorders>
          </w:tcPr>
          <w:p w14:paraId="1973A86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51,90</w:t>
            </w:r>
          </w:p>
        </w:tc>
        <w:tc>
          <w:tcPr>
            <w:tcW w:w="970" w:type="dxa"/>
            <w:tcBorders>
              <w:top w:val="single" w:sz="4" w:space="0" w:color="auto"/>
              <w:left w:val="single" w:sz="4" w:space="0" w:color="auto"/>
              <w:bottom w:val="single" w:sz="4" w:space="0" w:color="auto"/>
              <w:right w:val="single" w:sz="4" w:space="0" w:color="auto"/>
            </w:tcBorders>
          </w:tcPr>
          <w:p w14:paraId="050F44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45,70</w:t>
            </w:r>
          </w:p>
        </w:tc>
        <w:tc>
          <w:tcPr>
            <w:tcW w:w="907" w:type="dxa"/>
            <w:tcBorders>
              <w:top w:val="single" w:sz="4" w:space="0" w:color="auto"/>
              <w:left w:val="single" w:sz="4" w:space="0" w:color="auto"/>
              <w:bottom w:val="single" w:sz="4" w:space="0" w:color="auto"/>
              <w:right w:val="single" w:sz="4" w:space="0" w:color="auto"/>
            </w:tcBorders>
          </w:tcPr>
          <w:p w14:paraId="35C072A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FBF3F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CC4A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64DAB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153,00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BDEA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E56D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−39,3</w:t>
            </w:r>
          </w:p>
        </w:tc>
        <w:tc>
          <w:tcPr>
            <w:tcW w:w="907" w:type="dxa"/>
            <w:tcBorders>
              <w:top w:val="single" w:sz="4" w:space="0" w:color="auto"/>
              <w:left w:val="single" w:sz="4" w:space="0" w:color="auto"/>
              <w:bottom w:val="single" w:sz="4" w:space="0" w:color="auto"/>
              <w:right w:val="single" w:sz="4" w:space="0" w:color="auto"/>
            </w:tcBorders>
          </w:tcPr>
          <w:p w14:paraId="78A695B9" w14:textId="77777777" w:rsidR="00B82F75" w:rsidRPr="00F52C10" w:rsidRDefault="00B82F75" w:rsidP="00E4628E">
            <w:pPr>
              <w:pStyle w:val="Tabletext0"/>
              <w:spacing w:before="34" w:after="34" w:line="276" w:lineRule="auto"/>
              <w:rPr>
                <w:sz w:val="18"/>
                <w:szCs w:val="18"/>
                <w:lang w:val="en-CA"/>
              </w:rPr>
            </w:pPr>
          </w:p>
        </w:tc>
      </w:tr>
      <w:tr w:rsidR="00B82F75" w:rsidRPr="00F52C10" w14:paraId="638DA50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40D5834" w14:textId="77777777" w:rsidR="00B82F75" w:rsidRPr="00F52C10" w:rsidRDefault="00B82F75" w:rsidP="00E4628E">
            <w:pPr>
              <w:pStyle w:val="Tabletext0"/>
              <w:spacing w:before="34" w:after="34" w:line="276" w:lineRule="auto"/>
              <w:rPr>
                <w:sz w:val="18"/>
                <w:szCs w:val="18"/>
              </w:rPr>
            </w:pPr>
            <w:r w:rsidRPr="00F52C10">
              <w:rPr>
                <w:sz w:val="18"/>
                <w:szCs w:val="18"/>
              </w:rPr>
              <w:t>ASCSTHTC</w:t>
            </w:r>
          </w:p>
        </w:tc>
        <w:tc>
          <w:tcPr>
            <w:tcW w:w="1076" w:type="dxa"/>
            <w:tcBorders>
              <w:top w:val="single" w:sz="4" w:space="0" w:color="auto"/>
              <w:left w:val="single" w:sz="4" w:space="0" w:color="auto"/>
              <w:bottom w:val="single" w:sz="4" w:space="0" w:color="auto"/>
              <w:right w:val="single" w:sz="4" w:space="0" w:color="auto"/>
            </w:tcBorders>
          </w:tcPr>
          <w:p w14:paraId="6EFDAA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−37,10</w:t>
            </w:r>
          </w:p>
        </w:tc>
        <w:tc>
          <w:tcPr>
            <w:tcW w:w="970" w:type="dxa"/>
            <w:tcBorders>
              <w:top w:val="single" w:sz="4" w:space="0" w:color="auto"/>
              <w:left w:val="single" w:sz="4" w:space="0" w:color="auto"/>
              <w:bottom w:val="single" w:sz="4" w:space="0" w:color="auto"/>
              <w:right w:val="single" w:sz="4" w:space="0" w:color="auto"/>
            </w:tcBorders>
          </w:tcPr>
          <w:p w14:paraId="148C0B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−11,80</w:t>
            </w:r>
          </w:p>
        </w:tc>
        <w:tc>
          <w:tcPr>
            <w:tcW w:w="907" w:type="dxa"/>
            <w:tcBorders>
              <w:top w:val="single" w:sz="4" w:space="0" w:color="auto"/>
              <w:left w:val="single" w:sz="4" w:space="0" w:color="auto"/>
              <w:bottom w:val="single" w:sz="4" w:space="0" w:color="auto"/>
              <w:right w:val="single" w:sz="4" w:space="0" w:color="auto"/>
            </w:tcBorders>
          </w:tcPr>
          <w:p w14:paraId="5B9F04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E75D9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A143C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5891E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E25A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3BBBB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907" w:type="dxa"/>
            <w:tcBorders>
              <w:top w:val="single" w:sz="4" w:space="0" w:color="auto"/>
              <w:left w:val="single" w:sz="4" w:space="0" w:color="auto"/>
              <w:bottom w:val="single" w:sz="4" w:space="0" w:color="auto"/>
              <w:right w:val="single" w:sz="4" w:space="0" w:color="auto"/>
            </w:tcBorders>
          </w:tcPr>
          <w:p w14:paraId="24080AA8" w14:textId="77777777" w:rsidR="00B82F75" w:rsidRPr="00F52C10" w:rsidRDefault="00B82F75" w:rsidP="00E4628E">
            <w:pPr>
              <w:pStyle w:val="Tabletext0"/>
              <w:spacing w:before="34" w:after="34" w:line="276" w:lineRule="auto"/>
              <w:rPr>
                <w:sz w:val="18"/>
                <w:szCs w:val="18"/>
              </w:rPr>
            </w:pPr>
            <w:r w:rsidRPr="00F52C10">
              <w:rPr>
                <w:sz w:val="18"/>
                <w:szCs w:val="18"/>
              </w:rPr>
              <w:t>*/MB4</w:t>
            </w:r>
          </w:p>
        </w:tc>
      </w:tr>
      <w:tr w:rsidR="00B82F75" w:rsidRPr="00F52C10" w14:paraId="1700325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C01AB47" w14:textId="77777777" w:rsidR="00B82F75" w:rsidRPr="00F52C10" w:rsidRDefault="00B82F75" w:rsidP="00E4628E">
            <w:pPr>
              <w:pStyle w:val="Tabletext0"/>
              <w:spacing w:before="34" w:after="34" w:line="276" w:lineRule="auto"/>
              <w:rPr>
                <w:sz w:val="18"/>
                <w:szCs w:val="18"/>
              </w:rPr>
            </w:pPr>
            <w:r w:rsidRPr="00F52C10">
              <w:rPr>
                <w:sz w:val="18"/>
                <w:szCs w:val="18"/>
              </w:rPr>
              <w:t>ATG00000</w:t>
            </w:r>
          </w:p>
        </w:tc>
        <w:tc>
          <w:tcPr>
            <w:tcW w:w="1076" w:type="dxa"/>
            <w:tcBorders>
              <w:top w:val="single" w:sz="4" w:space="0" w:color="auto"/>
              <w:left w:val="single" w:sz="4" w:space="0" w:color="auto"/>
              <w:bottom w:val="single" w:sz="4" w:space="0" w:color="auto"/>
              <w:right w:val="single" w:sz="4" w:space="0" w:color="auto"/>
            </w:tcBorders>
          </w:tcPr>
          <w:p w14:paraId="7714AE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−77,70</w:t>
            </w:r>
          </w:p>
        </w:tc>
        <w:tc>
          <w:tcPr>
            <w:tcW w:w="970" w:type="dxa"/>
            <w:tcBorders>
              <w:top w:val="single" w:sz="4" w:space="0" w:color="auto"/>
              <w:left w:val="single" w:sz="4" w:space="0" w:color="auto"/>
              <w:bottom w:val="single" w:sz="4" w:space="0" w:color="auto"/>
              <w:right w:val="single" w:sz="4" w:space="0" w:color="auto"/>
            </w:tcBorders>
          </w:tcPr>
          <w:p w14:paraId="6F78C59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−61,80</w:t>
            </w:r>
          </w:p>
        </w:tc>
        <w:tc>
          <w:tcPr>
            <w:tcW w:w="907" w:type="dxa"/>
            <w:tcBorders>
              <w:top w:val="single" w:sz="4" w:space="0" w:color="auto"/>
              <w:left w:val="single" w:sz="4" w:space="0" w:color="auto"/>
              <w:bottom w:val="single" w:sz="4" w:space="0" w:color="auto"/>
              <w:right w:val="single" w:sz="4" w:space="0" w:color="auto"/>
            </w:tcBorders>
          </w:tcPr>
          <w:p w14:paraId="0741FE0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9BA9B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DFB7E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9F1F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9080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A08F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w:t>
            </w:r>
          </w:p>
        </w:tc>
        <w:tc>
          <w:tcPr>
            <w:tcW w:w="907" w:type="dxa"/>
            <w:tcBorders>
              <w:top w:val="single" w:sz="4" w:space="0" w:color="auto"/>
              <w:left w:val="single" w:sz="4" w:space="0" w:color="auto"/>
              <w:bottom w:val="single" w:sz="4" w:space="0" w:color="auto"/>
              <w:right w:val="single" w:sz="4" w:space="0" w:color="auto"/>
            </w:tcBorders>
          </w:tcPr>
          <w:p w14:paraId="4AB18320" w14:textId="77777777" w:rsidR="00B82F75" w:rsidRPr="00F52C10" w:rsidRDefault="00B82F75" w:rsidP="00E4628E">
            <w:pPr>
              <w:pStyle w:val="Tabletext0"/>
              <w:spacing w:before="34" w:after="34" w:line="276" w:lineRule="auto"/>
              <w:rPr>
                <w:sz w:val="18"/>
                <w:szCs w:val="18"/>
                <w:lang w:val="en-CA"/>
              </w:rPr>
            </w:pPr>
          </w:p>
        </w:tc>
      </w:tr>
      <w:tr w:rsidR="00B82F75" w:rsidRPr="00F52C10" w14:paraId="483F6238"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D98645C" w14:textId="77777777" w:rsidR="00B82F75" w:rsidRPr="00F52C10" w:rsidRDefault="00B82F75" w:rsidP="00E4628E">
            <w:pPr>
              <w:pStyle w:val="Tabletext0"/>
              <w:spacing w:before="34" w:after="34" w:line="276" w:lineRule="auto"/>
              <w:rPr>
                <w:sz w:val="18"/>
                <w:szCs w:val="18"/>
              </w:rPr>
            </w:pPr>
            <w:r w:rsidRPr="00F52C10">
              <w:rPr>
                <w:sz w:val="18"/>
                <w:szCs w:val="18"/>
              </w:rPr>
              <w:t>AUS00001</w:t>
            </w:r>
          </w:p>
        </w:tc>
        <w:tc>
          <w:tcPr>
            <w:tcW w:w="1076" w:type="dxa"/>
            <w:tcBorders>
              <w:top w:val="single" w:sz="4" w:space="0" w:color="auto"/>
              <w:left w:val="single" w:sz="4" w:space="0" w:color="auto"/>
              <w:bottom w:val="single" w:sz="4" w:space="0" w:color="auto"/>
              <w:right w:val="single" w:sz="4" w:space="0" w:color="auto"/>
            </w:tcBorders>
          </w:tcPr>
          <w:p w14:paraId="5A4F0A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144,10</w:t>
            </w:r>
          </w:p>
        </w:tc>
        <w:tc>
          <w:tcPr>
            <w:tcW w:w="970" w:type="dxa"/>
            <w:tcBorders>
              <w:top w:val="single" w:sz="4" w:space="0" w:color="auto"/>
              <w:left w:val="single" w:sz="4" w:space="0" w:color="auto"/>
              <w:bottom w:val="single" w:sz="4" w:space="0" w:color="auto"/>
              <w:right w:val="single" w:sz="4" w:space="0" w:color="auto"/>
            </w:tcBorders>
          </w:tcPr>
          <w:p w14:paraId="254216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134,30</w:t>
            </w:r>
          </w:p>
        </w:tc>
        <w:tc>
          <w:tcPr>
            <w:tcW w:w="907" w:type="dxa"/>
            <w:tcBorders>
              <w:top w:val="single" w:sz="4" w:space="0" w:color="auto"/>
              <w:left w:val="single" w:sz="4" w:space="0" w:color="auto"/>
              <w:bottom w:val="single" w:sz="4" w:space="0" w:color="auto"/>
              <w:right w:val="single" w:sz="4" w:space="0" w:color="auto"/>
            </w:tcBorders>
          </w:tcPr>
          <w:p w14:paraId="736DB9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7CDE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73EB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1E3A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146,00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A9F4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F0C7F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−38,2</w:t>
            </w:r>
          </w:p>
        </w:tc>
        <w:tc>
          <w:tcPr>
            <w:tcW w:w="907" w:type="dxa"/>
            <w:tcBorders>
              <w:top w:val="single" w:sz="4" w:space="0" w:color="auto"/>
              <w:left w:val="single" w:sz="4" w:space="0" w:color="auto"/>
              <w:bottom w:val="single" w:sz="4" w:space="0" w:color="auto"/>
              <w:right w:val="single" w:sz="4" w:space="0" w:color="auto"/>
            </w:tcBorders>
          </w:tcPr>
          <w:p w14:paraId="6D754E07" w14:textId="77777777" w:rsidR="00B82F75" w:rsidRPr="00F52C10" w:rsidRDefault="00B82F75" w:rsidP="00E4628E">
            <w:pPr>
              <w:pStyle w:val="Tabletext0"/>
              <w:spacing w:before="34" w:after="34" w:line="276" w:lineRule="auto"/>
              <w:rPr>
                <w:sz w:val="18"/>
                <w:szCs w:val="18"/>
              </w:rPr>
            </w:pPr>
            <w:r w:rsidRPr="00F52C10">
              <w:rPr>
                <w:sz w:val="18"/>
                <w:szCs w:val="18"/>
              </w:rPr>
              <w:t>*/MB6</w:t>
            </w:r>
          </w:p>
        </w:tc>
      </w:tr>
      <w:tr w:rsidR="00B82F75" w:rsidRPr="00F52C10" w14:paraId="74CD0B78"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2A7EBF7" w14:textId="77777777" w:rsidR="00B82F75" w:rsidRPr="00F52C10" w:rsidRDefault="00B82F75" w:rsidP="00E4628E">
            <w:pPr>
              <w:pStyle w:val="Tabletext0"/>
              <w:spacing w:before="34" w:after="34" w:line="276" w:lineRule="auto"/>
              <w:rPr>
                <w:sz w:val="18"/>
                <w:szCs w:val="18"/>
              </w:rPr>
            </w:pPr>
            <w:r w:rsidRPr="00F52C10">
              <w:rPr>
                <w:sz w:val="18"/>
                <w:szCs w:val="18"/>
              </w:rPr>
              <w:t>AUS00002</w:t>
            </w:r>
          </w:p>
        </w:tc>
        <w:tc>
          <w:tcPr>
            <w:tcW w:w="1076" w:type="dxa"/>
            <w:tcBorders>
              <w:top w:val="single" w:sz="4" w:space="0" w:color="auto"/>
              <w:left w:val="single" w:sz="4" w:space="0" w:color="auto"/>
              <w:bottom w:val="single" w:sz="4" w:space="0" w:color="auto"/>
              <w:right w:val="single" w:sz="4" w:space="0" w:color="auto"/>
            </w:tcBorders>
          </w:tcPr>
          <w:p w14:paraId="3F1432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144,10</w:t>
            </w:r>
          </w:p>
        </w:tc>
        <w:tc>
          <w:tcPr>
            <w:tcW w:w="970" w:type="dxa"/>
            <w:tcBorders>
              <w:top w:val="single" w:sz="4" w:space="0" w:color="auto"/>
              <w:left w:val="single" w:sz="4" w:space="0" w:color="auto"/>
              <w:bottom w:val="single" w:sz="4" w:space="0" w:color="auto"/>
              <w:right w:val="single" w:sz="4" w:space="0" w:color="auto"/>
            </w:tcBorders>
          </w:tcPr>
          <w:p w14:paraId="04E62F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163,60</w:t>
            </w:r>
          </w:p>
        </w:tc>
        <w:tc>
          <w:tcPr>
            <w:tcW w:w="907" w:type="dxa"/>
            <w:tcBorders>
              <w:top w:val="single" w:sz="4" w:space="0" w:color="auto"/>
              <w:left w:val="single" w:sz="4" w:space="0" w:color="auto"/>
              <w:bottom w:val="single" w:sz="4" w:space="0" w:color="auto"/>
              <w:right w:val="single" w:sz="4" w:space="0" w:color="auto"/>
            </w:tcBorders>
          </w:tcPr>
          <w:p w14:paraId="0DC8E2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E94CF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DE89B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FAE7DC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41B7D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B230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−39,5</w:t>
            </w:r>
          </w:p>
        </w:tc>
        <w:tc>
          <w:tcPr>
            <w:tcW w:w="907" w:type="dxa"/>
            <w:tcBorders>
              <w:top w:val="single" w:sz="4" w:space="0" w:color="auto"/>
              <w:left w:val="single" w:sz="4" w:space="0" w:color="auto"/>
              <w:bottom w:val="single" w:sz="4" w:space="0" w:color="auto"/>
              <w:right w:val="single" w:sz="4" w:space="0" w:color="auto"/>
            </w:tcBorders>
          </w:tcPr>
          <w:p w14:paraId="47F7498A" w14:textId="77777777" w:rsidR="00B82F75" w:rsidRPr="00F52C10" w:rsidRDefault="00B82F75" w:rsidP="00E4628E">
            <w:pPr>
              <w:pStyle w:val="Tabletext0"/>
              <w:spacing w:before="34" w:after="34" w:line="276" w:lineRule="auto"/>
              <w:rPr>
                <w:sz w:val="18"/>
                <w:szCs w:val="18"/>
              </w:rPr>
            </w:pPr>
            <w:r w:rsidRPr="00F52C10">
              <w:rPr>
                <w:sz w:val="18"/>
                <w:szCs w:val="18"/>
              </w:rPr>
              <w:t>*/MB6</w:t>
            </w:r>
          </w:p>
        </w:tc>
      </w:tr>
      <w:tr w:rsidR="00B82F75" w:rsidRPr="00F52C10" w14:paraId="2599D1A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93E00B6" w14:textId="77777777" w:rsidR="00B82F75" w:rsidRPr="00F52C10" w:rsidRDefault="00B82F75" w:rsidP="00E4628E">
            <w:pPr>
              <w:pStyle w:val="Tabletext0"/>
              <w:spacing w:before="34" w:after="34" w:line="276" w:lineRule="auto"/>
              <w:rPr>
                <w:sz w:val="18"/>
                <w:szCs w:val="18"/>
              </w:rPr>
            </w:pPr>
            <w:r w:rsidRPr="00F52C10">
              <w:rPr>
                <w:sz w:val="18"/>
                <w:szCs w:val="18"/>
              </w:rPr>
              <w:t>AUS00003</w:t>
            </w:r>
          </w:p>
        </w:tc>
        <w:tc>
          <w:tcPr>
            <w:tcW w:w="1076" w:type="dxa"/>
            <w:tcBorders>
              <w:top w:val="single" w:sz="4" w:space="0" w:color="auto"/>
              <w:left w:val="single" w:sz="4" w:space="0" w:color="auto"/>
              <w:bottom w:val="single" w:sz="4" w:space="0" w:color="auto"/>
              <w:right w:val="single" w:sz="4" w:space="0" w:color="auto"/>
            </w:tcBorders>
          </w:tcPr>
          <w:p w14:paraId="5AAE4BB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144,10</w:t>
            </w:r>
          </w:p>
        </w:tc>
        <w:tc>
          <w:tcPr>
            <w:tcW w:w="970" w:type="dxa"/>
            <w:tcBorders>
              <w:top w:val="single" w:sz="4" w:space="0" w:color="auto"/>
              <w:left w:val="single" w:sz="4" w:space="0" w:color="auto"/>
              <w:bottom w:val="single" w:sz="4" w:space="0" w:color="auto"/>
              <w:right w:val="single" w:sz="4" w:space="0" w:color="auto"/>
            </w:tcBorders>
          </w:tcPr>
          <w:p w14:paraId="6B9B80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101,50</w:t>
            </w:r>
          </w:p>
        </w:tc>
        <w:tc>
          <w:tcPr>
            <w:tcW w:w="907" w:type="dxa"/>
            <w:tcBorders>
              <w:top w:val="single" w:sz="4" w:space="0" w:color="auto"/>
              <w:left w:val="single" w:sz="4" w:space="0" w:color="auto"/>
              <w:bottom w:val="single" w:sz="4" w:space="0" w:color="auto"/>
              <w:right w:val="single" w:sz="4" w:space="0" w:color="auto"/>
            </w:tcBorders>
          </w:tcPr>
          <w:p w14:paraId="4792F5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BD7A3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B558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A03C3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6F34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E3B25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−40,5</w:t>
            </w:r>
          </w:p>
        </w:tc>
        <w:tc>
          <w:tcPr>
            <w:tcW w:w="907" w:type="dxa"/>
            <w:tcBorders>
              <w:top w:val="single" w:sz="4" w:space="0" w:color="auto"/>
              <w:left w:val="single" w:sz="4" w:space="0" w:color="auto"/>
              <w:bottom w:val="single" w:sz="4" w:space="0" w:color="auto"/>
              <w:right w:val="single" w:sz="4" w:space="0" w:color="auto"/>
            </w:tcBorders>
          </w:tcPr>
          <w:p w14:paraId="1E11A2A8" w14:textId="77777777" w:rsidR="00B82F75" w:rsidRPr="00F52C10" w:rsidRDefault="00B82F75" w:rsidP="00E4628E">
            <w:pPr>
              <w:pStyle w:val="Tabletext0"/>
              <w:spacing w:before="34" w:after="34" w:line="276" w:lineRule="auto"/>
              <w:rPr>
                <w:sz w:val="18"/>
                <w:szCs w:val="18"/>
              </w:rPr>
            </w:pPr>
            <w:r w:rsidRPr="00F52C10">
              <w:rPr>
                <w:sz w:val="18"/>
                <w:szCs w:val="18"/>
              </w:rPr>
              <w:t>*/MB6</w:t>
            </w:r>
          </w:p>
        </w:tc>
      </w:tr>
      <w:tr w:rsidR="00B82F75" w:rsidRPr="00F52C10" w14:paraId="161CF82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90D16F0" w14:textId="77777777" w:rsidR="00B82F75" w:rsidRPr="00F52C10" w:rsidRDefault="00B82F75" w:rsidP="00E4628E">
            <w:pPr>
              <w:pStyle w:val="Tabletext0"/>
              <w:spacing w:before="34" w:after="34" w:line="276" w:lineRule="auto"/>
              <w:rPr>
                <w:sz w:val="18"/>
                <w:szCs w:val="18"/>
              </w:rPr>
            </w:pPr>
            <w:r w:rsidRPr="00F52C10">
              <w:rPr>
                <w:sz w:val="18"/>
                <w:szCs w:val="18"/>
              </w:rPr>
              <w:t>AUS00004</w:t>
            </w:r>
          </w:p>
        </w:tc>
        <w:tc>
          <w:tcPr>
            <w:tcW w:w="1076" w:type="dxa"/>
            <w:tcBorders>
              <w:top w:val="single" w:sz="4" w:space="0" w:color="auto"/>
              <w:left w:val="single" w:sz="4" w:space="0" w:color="auto"/>
              <w:bottom w:val="single" w:sz="4" w:space="0" w:color="auto"/>
              <w:right w:val="single" w:sz="4" w:space="0" w:color="auto"/>
            </w:tcBorders>
          </w:tcPr>
          <w:p w14:paraId="2635C7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144,10</w:t>
            </w:r>
          </w:p>
        </w:tc>
        <w:tc>
          <w:tcPr>
            <w:tcW w:w="970" w:type="dxa"/>
            <w:tcBorders>
              <w:top w:val="single" w:sz="4" w:space="0" w:color="auto"/>
              <w:left w:val="single" w:sz="4" w:space="0" w:color="auto"/>
              <w:bottom w:val="single" w:sz="4" w:space="0" w:color="auto"/>
              <w:right w:val="single" w:sz="4" w:space="0" w:color="auto"/>
            </w:tcBorders>
          </w:tcPr>
          <w:p w14:paraId="78263E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07" w:type="dxa"/>
            <w:tcBorders>
              <w:top w:val="single" w:sz="4" w:space="0" w:color="auto"/>
              <w:left w:val="single" w:sz="4" w:space="0" w:color="auto"/>
              <w:bottom w:val="single" w:sz="4" w:space="0" w:color="auto"/>
              <w:right w:val="single" w:sz="4" w:space="0" w:color="auto"/>
            </w:tcBorders>
          </w:tcPr>
          <w:p w14:paraId="6E43D5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B6FD9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F5CE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D09312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B0899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9BB5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−41,6</w:t>
            </w:r>
          </w:p>
        </w:tc>
        <w:tc>
          <w:tcPr>
            <w:tcW w:w="907" w:type="dxa"/>
            <w:tcBorders>
              <w:top w:val="single" w:sz="4" w:space="0" w:color="auto"/>
              <w:left w:val="single" w:sz="4" w:space="0" w:color="auto"/>
              <w:bottom w:val="single" w:sz="4" w:space="0" w:color="auto"/>
              <w:right w:val="single" w:sz="4" w:space="0" w:color="auto"/>
            </w:tcBorders>
          </w:tcPr>
          <w:p w14:paraId="3785766D" w14:textId="77777777" w:rsidR="00B82F75" w:rsidRPr="00F52C10" w:rsidRDefault="00B82F75" w:rsidP="00E4628E">
            <w:pPr>
              <w:pStyle w:val="Tabletext0"/>
              <w:spacing w:before="34" w:after="34" w:line="276" w:lineRule="auto"/>
              <w:rPr>
                <w:sz w:val="18"/>
                <w:szCs w:val="18"/>
              </w:rPr>
            </w:pPr>
            <w:r w:rsidRPr="00F52C10">
              <w:rPr>
                <w:sz w:val="18"/>
                <w:szCs w:val="18"/>
              </w:rPr>
              <w:t>*/MB6</w:t>
            </w:r>
          </w:p>
        </w:tc>
      </w:tr>
      <w:tr w:rsidR="00B82F75" w:rsidRPr="00F52C10" w14:paraId="1345C43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068F816" w14:textId="77777777" w:rsidR="00B82F75" w:rsidRPr="00F52C10" w:rsidRDefault="00B82F75" w:rsidP="00E4628E">
            <w:pPr>
              <w:pStyle w:val="Tabletext0"/>
              <w:spacing w:before="34" w:after="34" w:line="276" w:lineRule="auto"/>
              <w:rPr>
                <w:sz w:val="18"/>
                <w:szCs w:val="18"/>
              </w:rPr>
            </w:pPr>
            <w:r w:rsidRPr="00F52C10">
              <w:rPr>
                <w:sz w:val="18"/>
                <w:szCs w:val="18"/>
              </w:rPr>
              <w:t>AUS00005</w:t>
            </w:r>
          </w:p>
        </w:tc>
        <w:tc>
          <w:tcPr>
            <w:tcW w:w="1076" w:type="dxa"/>
            <w:tcBorders>
              <w:top w:val="single" w:sz="4" w:space="0" w:color="auto"/>
              <w:left w:val="single" w:sz="4" w:space="0" w:color="auto"/>
              <w:bottom w:val="single" w:sz="4" w:space="0" w:color="auto"/>
              <w:right w:val="single" w:sz="4" w:space="0" w:color="auto"/>
            </w:tcBorders>
          </w:tcPr>
          <w:p w14:paraId="060250D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144,10</w:t>
            </w:r>
          </w:p>
        </w:tc>
        <w:tc>
          <w:tcPr>
            <w:tcW w:w="970" w:type="dxa"/>
            <w:tcBorders>
              <w:top w:val="single" w:sz="4" w:space="0" w:color="auto"/>
              <w:left w:val="single" w:sz="4" w:space="0" w:color="auto"/>
              <w:bottom w:val="single" w:sz="4" w:space="0" w:color="auto"/>
              <w:right w:val="single" w:sz="4" w:space="0" w:color="auto"/>
            </w:tcBorders>
          </w:tcPr>
          <w:p w14:paraId="21E505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110,40</w:t>
            </w:r>
          </w:p>
        </w:tc>
        <w:tc>
          <w:tcPr>
            <w:tcW w:w="907" w:type="dxa"/>
            <w:tcBorders>
              <w:top w:val="single" w:sz="4" w:space="0" w:color="auto"/>
              <w:left w:val="single" w:sz="4" w:space="0" w:color="auto"/>
              <w:bottom w:val="single" w:sz="4" w:space="0" w:color="auto"/>
              <w:right w:val="single" w:sz="4" w:space="0" w:color="auto"/>
            </w:tcBorders>
          </w:tcPr>
          <w:p w14:paraId="6A084A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13D62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30B7C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AB4D8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EE0C2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564D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07" w:type="dxa"/>
            <w:tcBorders>
              <w:top w:val="single" w:sz="4" w:space="0" w:color="auto"/>
              <w:left w:val="single" w:sz="4" w:space="0" w:color="auto"/>
              <w:bottom w:val="single" w:sz="4" w:space="0" w:color="auto"/>
              <w:right w:val="single" w:sz="4" w:space="0" w:color="auto"/>
            </w:tcBorders>
          </w:tcPr>
          <w:p w14:paraId="5AE80CF4" w14:textId="77777777" w:rsidR="00B82F75" w:rsidRPr="00F52C10" w:rsidRDefault="00B82F75" w:rsidP="00E4628E">
            <w:pPr>
              <w:pStyle w:val="Tabletext0"/>
              <w:spacing w:before="34" w:after="34" w:line="276" w:lineRule="auto"/>
              <w:rPr>
                <w:sz w:val="18"/>
                <w:szCs w:val="18"/>
              </w:rPr>
            </w:pPr>
            <w:r w:rsidRPr="00F52C10">
              <w:rPr>
                <w:sz w:val="18"/>
                <w:szCs w:val="18"/>
              </w:rPr>
              <w:t>*/MB6</w:t>
            </w:r>
          </w:p>
        </w:tc>
      </w:tr>
      <w:tr w:rsidR="00B82F75" w:rsidRPr="00F52C10" w14:paraId="571C229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685F23B" w14:textId="77777777" w:rsidR="00B82F75" w:rsidRPr="00F52C10" w:rsidRDefault="00B82F75" w:rsidP="00E4628E">
            <w:pPr>
              <w:pStyle w:val="Tabletext0"/>
              <w:spacing w:before="34" w:after="34" w:line="276" w:lineRule="auto"/>
              <w:rPr>
                <w:sz w:val="18"/>
                <w:szCs w:val="18"/>
              </w:rPr>
            </w:pPr>
            <w:r w:rsidRPr="00F52C10">
              <w:rPr>
                <w:sz w:val="18"/>
                <w:szCs w:val="18"/>
              </w:rPr>
              <w:t>AUT00000</w:t>
            </w:r>
          </w:p>
        </w:tc>
        <w:tc>
          <w:tcPr>
            <w:tcW w:w="1076" w:type="dxa"/>
            <w:tcBorders>
              <w:top w:val="single" w:sz="4" w:space="0" w:color="auto"/>
              <w:left w:val="single" w:sz="4" w:space="0" w:color="auto"/>
              <w:bottom w:val="single" w:sz="4" w:space="0" w:color="auto"/>
              <w:right w:val="single" w:sz="4" w:space="0" w:color="auto"/>
            </w:tcBorders>
          </w:tcPr>
          <w:p w14:paraId="0BAAC9B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−11,40</w:t>
            </w:r>
          </w:p>
        </w:tc>
        <w:tc>
          <w:tcPr>
            <w:tcW w:w="970" w:type="dxa"/>
            <w:tcBorders>
              <w:top w:val="single" w:sz="4" w:space="0" w:color="auto"/>
              <w:left w:val="single" w:sz="4" w:space="0" w:color="auto"/>
              <w:bottom w:val="single" w:sz="4" w:space="0" w:color="auto"/>
              <w:right w:val="single" w:sz="4" w:space="0" w:color="auto"/>
            </w:tcBorders>
          </w:tcPr>
          <w:p w14:paraId="3209CDF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13,20</w:t>
            </w:r>
          </w:p>
        </w:tc>
        <w:tc>
          <w:tcPr>
            <w:tcW w:w="907" w:type="dxa"/>
            <w:tcBorders>
              <w:top w:val="single" w:sz="4" w:space="0" w:color="auto"/>
              <w:left w:val="single" w:sz="4" w:space="0" w:color="auto"/>
              <w:bottom w:val="single" w:sz="4" w:space="0" w:color="auto"/>
              <w:right w:val="single" w:sz="4" w:space="0" w:color="auto"/>
            </w:tcBorders>
          </w:tcPr>
          <w:p w14:paraId="3D3078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79B9B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7AC25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33FE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FAAB4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E7F0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−40,8</w:t>
            </w:r>
          </w:p>
        </w:tc>
        <w:tc>
          <w:tcPr>
            <w:tcW w:w="907" w:type="dxa"/>
            <w:tcBorders>
              <w:top w:val="single" w:sz="4" w:space="0" w:color="auto"/>
              <w:left w:val="single" w:sz="4" w:space="0" w:color="auto"/>
              <w:bottom w:val="single" w:sz="4" w:space="0" w:color="auto"/>
              <w:right w:val="single" w:sz="4" w:space="0" w:color="auto"/>
            </w:tcBorders>
          </w:tcPr>
          <w:p w14:paraId="67021CEA" w14:textId="77777777" w:rsidR="00B82F75" w:rsidRPr="00F52C10" w:rsidRDefault="00B82F75" w:rsidP="00E4628E">
            <w:pPr>
              <w:pStyle w:val="Tabletext0"/>
              <w:spacing w:before="34" w:after="34" w:line="276" w:lineRule="auto"/>
              <w:rPr>
                <w:sz w:val="18"/>
                <w:szCs w:val="18"/>
                <w:lang w:val="en-CA"/>
              </w:rPr>
            </w:pPr>
          </w:p>
        </w:tc>
      </w:tr>
      <w:tr w:rsidR="00B82F75" w:rsidRPr="00F52C10" w14:paraId="29353C4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vAlign w:val="bottom"/>
          </w:tcPr>
          <w:p w14:paraId="6D68A03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AZE00000</w:t>
            </w:r>
          </w:p>
        </w:tc>
        <w:tc>
          <w:tcPr>
            <w:tcW w:w="1076" w:type="dxa"/>
            <w:tcBorders>
              <w:top w:val="single" w:sz="4" w:space="0" w:color="auto"/>
              <w:left w:val="single" w:sz="4" w:space="0" w:color="auto"/>
              <w:bottom w:val="single" w:sz="4" w:space="0" w:color="auto"/>
              <w:right w:val="single" w:sz="4" w:space="0" w:color="auto"/>
            </w:tcBorders>
            <w:vAlign w:val="bottom"/>
          </w:tcPr>
          <w:p w14:paraId="61D6A316"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95,90</w:t>
            </w:r>
          </w:p>
        </w:tc>
        <w:tc>
          <w:tcPr>
            <w:tcW w:w="970" w:type="dxa"/>
            <w:tcBorders>
              <w:top w:val="single" w:sz="4" w:space="0" w:color="auto"/>
              <w:left w:val="single" w:sz="4" w:space="0" w:color="auto"/>
              <w:bottom w:val="single" w:sz="4" w:space="0" w:color="auto"/>
              <w:right w:val="single" w:sz="4" w:space="0" w:color="auto"/>
            </w:tcBorders>
            <w:vAlign w:val="bottom"/>
          </w:tcPr>
          <w:p w14:paraId="023B65D4"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47,20</w:t>
            </w:r>
          </w:p>
        </w:tc>
        <w:tc>
          <w:tcPr>
            <w:tcW w:w="907" w:type="dxa"/>
            <w:tcBorders>
              <w:top w:val="single" w:sz="4" w:space="0" w:color="auto"/>
              <w:left w:val="single" w:sz="4" w:space="0" w:color="auto"/>
              <w:bottom w:val="single" w:sz="4" w:space="0" w:color="auto"/>
              <w:right w:val="single" w:sz="4" w:space="0" w:color="auto"/>
            </w:tcBorders>
            <w:vAlign w:val="bottom"/>
          </w:tcPr>
          <w:p w14:paraId="3BBE1988"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40,34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06E653FF"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4D312318"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711C382B"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62A3AB67"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3BF369E8"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−42,2</w:t>
            </w:r>
          </w:p>
        </w:tc>
        <w:tc>
          <w:tcPr>
            <w:tcW w:w="907" w:type="dxa"/>
            <w:tcBorders>
              <w:top w:val="single" w:sz="4" w:space="0" w:color="auto"/>
              <w:left w:val="single" w:sz="4" w:space="0" w:color="auto"/>
              <w:bottom w:val="single" w:sz="4" w:space="0" w:color="auto"/>
              <w:right w:val="single" w:sz="4" w:space="0" w:color="auto"/>
            </w:tcBorders>
            <w:vAlign w:val="bottom"/>
          </w:tcPr>
          <w:p w14:paraId="0432BAC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26ACFB5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A56B959" w14:textId="77777777" w:rsidR="00B82F75" w:rsidRPr="00F52C10" w:rsidRDefault="00B82F75" w:rsidP="00E4628E">
            <w:pPr>
              <w:pStyle w:val="Tabletext0"/>
              <w:spacing w:before="34" w:after="34" w:line="276" w:lineRule="auto"/>
              <w:rPr>
                <w:sz w:val="18"/>
                <w:szCs w:val="18"/>
              </w:rPr>
            </w:pPr>
            <w:r w:rsidRPr="00F52C10">
              <w:rPr>
                <w:sz w:val="18"/>
                <w:szCs w:val="18"/>
              </w:rPr>
              <w:t>AZR00000</w:t>
            </w:r>
          </w:p>
        </w:tc>
        <w:tc>
          <w:tcPr>
            <w:tcW w:w="1076" w:type="dxa"/>
            <w:tcBorders>
              <w:top w:val="single" w:sz="4" w:space="0" w:color="auto"/>
              <w:left w:val="single" w:sz="4" w:space="0" w:color="auto"/>
              <w:bottom w:val="single" w:sz="4" w:space="0" w:color="auto"/>
              <w:right w:val="single" w:sz="4" w:space="0" w:color="auto"/>
            </w:tcBorders>
          </w:tcPr>
          <w:p w14:paraId="6C117C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−10,60</w:t>
            </w:r>
          </w:p>
        </w:tc>
        <w:tc>
          <w:tcPr>
            <w:tcW w:w="970" w:type="dxa"/>
            <w:tcBorders>
              <w:top w:val="single" w:sz="4" w:space="0" w:color="auto"/>
              <w:left w:val="single" w:sz="4" w:space="0" w:color="auto"/>
              <w:bottom w:val="single" w:sz="4" w:space="0" w:color="auto"/>
              <w:right w:val="single" w:sz="4" w:space="0" w:color="auto"/>
            </w:tcBorders>
          </w:tcPr>
          <w:p w14:paraId="75E9B2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−28,00</w:t>
            </w:r>
          </w:p>
        </w:tc>
        <w:tc>
          <w:tcPr>
            <w:tcW w:w="907" w:type="dxa"/>
            <w:tcBorders>
              <w:top w:val="single" w:sz="4" w:space="0" w:color="auto"/>
              <w:left w:val="single" w:sz="4" w:space="0" w:color="auto"/>
              <w:bottom w:val="single" w:sz="4" w:space="0" w:color="auto"/>
              <w:right w:val="single" w:sz="4" w:space="0" w:color="auto"/>
            </w:tcBorders>
          </w:tcPr>
          <w:p w14:paraId="21633A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B63E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9A5F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54C90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5CC4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EC02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−41,1</w:t>
            </w:r>
          </w:p>
        </w:tc>
        <w:tc>
          <w:tcPr>
            <w:tcW w:w="907" w:type="dxa"/>
            <w:tcBorders>
              <w:top w:val="single" w:sz="4" w:space="0" w:color="auto"/>
              <w:left w:val="single" w:sz="4" w:space="0" w:color="auto"/>
              <w:bottom w:val="single" w:sz="4" w:space="0" w:color="auto"/>
              <w:right w:val="single" w:sz="4" w:space="0" w:color="auto"/>
            </w:tcBorders>
          </w:tcPr>
          <w:p w14:paraId="0321119A" w14:textId="77777777" w:rsidR="00B82F75" w:rsidRPr="00F52C10" w:rsidRDefault="00B82F75" w:rsidP="00E4628E">
            <w:pPr>
              <w:pStyle w:val="Tabletext0"/>
              <w:spacing w:before="34" w:after="34" w:line="276" w:lineRule="auto"/>
              <w:rPr>
                <w:sz w:val="18"/>
                <w:szCs w:val="18"/>
              </w:rPr>
            </w:pPr>
            <w:r w:rsidRPr="00F52C10">
              <w:rPr>
                <w:sz w:val="18"/>
                <w:szCs w:val="18"/>
              </w:rPr>
              <w:t>*/MB7</w:t>
            </w:r>
          </w:p>
        </w:tc>
      </w:tr>
      <w:tr w:rsidR="00B82F75" w:rsidRPr="00F52C10" w14:paraId="3ECA472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5321902" w14:textId="77777777" w:rsidR="00B82F75" w:rsidRPr="00F52C10" w:rsidRDefault="00B82F75" w:rsidP="00E4628E">
            <w:pPr>
              <w:pStyle w:val="Tabletext0"/>
              <w:spacing w:before="34" w:after="34" w:line="276" w:lineRule="auto"/>
              <w:rPr>
                <w:sz w:val="18"/>
                <w:szCs w:val="18"/>
              </w:rPr>
            </w:pPr>
            <w:r w:rsidRPr="00F52C10">
              <w:rPr>
                <w:sz w:val="18"/>
                <w:szCs w:val="18"/>
              </w:rPr>
              <w:t>B  00001</w:t>
            </w:r>
          </w:p>
        </w:tc>
        <w:tc>
          <w:tcPr>
            <w:tcW w:w="1076" w:type="dxa"/>
            <w:tcBorders>
              <w:top w:val="single" w:sz="4" w:space="0" w:color="auto"/>
              <w:left w:val="single" w:sz="4" w:space="0" w:color="auto"/>
              <w:bottom w:val="single" w:sz="4" w:space="0" w:color="auto"/>
              <w:right w:val="single" w:sz="4" w:space="0" w:color="auto"/>
            </w:tcBorders>
          </w:tcPr>
          <w:p w14:paraId="7DF656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−66,25</w:t>
            </w:r>
          </w:p>
        </w:tc>
        <w:tc>
          <w:tcPr>
            <w:tcW w:w="970" w:type="dxa"/>
            <w:tcBorders>
              <w:top w:val="single" w:sz="4" w:space="0" w:color="auto"/>
              <w:left w:val="single" w:sz="4" w:space="0" w:color="auto"/>
              <w:bottom w:val="single" w:sz="4" w:space="0" w:color="auto"/>
              <w:right w:val="single" w:sz="4" w:space="0" w:color="auto"/>
            </w:tcBorders>
          </w:tcPr>
          <w:p w14:paraId="6E65AC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−62,60</w:t>
            </w:r>
          </w:p>
        </w:tc>
        <w:tc>
          <w:tcPr>
            <w:tcW w:w="907" w:type="dxa"/>
            <w:tcBorders>
              <w:top w:val="single" w:sz="4" w:space="0" w:color="auto"/>
              <w:left w:val="single" w:sz="4" w:space="0" w:color="auto"/>
              <w:bottom w:val="single" w:sz="4" w:space="0" w:color="auto"/>
              <w:right w:val="single" w:sz="4" w:space="0" w:color="auto"/>
            </w:tcBorders>
          </w:tcPr>
          <w:p w14:paraId="4D9DB1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A8A6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0B45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64A9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1C9C8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26C2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−38,7</w:t>
            </w:r>
          </w:p>
        </w:tc>
        <w:tc>
          <w:tcPr>
            <w:tcW w:w="907" w:type="dxa"/>
            <w:tcBorders>
              <w:top w:val="single" w:sz="4" w:space="0" w:color="auto"/>
              <w:left w:val="single" w:sz="4" w:space="0" w:color="auto"/>
              <w:bottom w:val="single" w:sz="4" w:space="0" w:color="auto"/>
              <w:right w:val="single" w:sz="4" w:space="0" w:color="auto"/>
            </w:tcBorders>
          </w:tcPr>
          <w:p w14:paraId="4B0CA2B1" w14:textId="77777777" w:rsidR="00B82F75" w:rsidRPr="00F52C10" w:rsidRDefault="00B82F75" w:rsidP="00E4628E">
            <w:pPr>
              <w:pStyle w:val="Tabletext0"/>
              <w:spacing w:before="34" w:after="34" w:line="276" w:lineRule="auto"/>
              <w:rPr>
                <w:sz w:val="18"/>
                <w:szCs w:val="18"/>
                <w:lang w:val="en-CA"/>
              </w:rPr>
            </w:pPr>
          </w:p>
        </w:tc>
      </w:tr>
      <w:tr w:rsidR="00B82F75" w:rsidRPr="00F52C10" w14:paraId="493D844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119723F" w14:textId="77777777" w:rsidR="00B82F75" w:rsidRPr="00F52C10" w:rsidRDefault="00B82F75" w:rsidP="00E4628E">
            <w:pPr>
              <w:pStyle w:val="Tabletext0"/>
              <w:spacing w:before="34" w:after="34" w:line="276" w:lineRule="auto"/>
              <w:rPr>
                <w:sz w:val="18"/>
                <w:szCs w:val="18"/>
              </w:rPr>
            </w:pPr>
            <w:r w:rsidRPr="00F52C10">
              <w:rPr>
                <w:sz w:val="18"/>
                <w:szCs w:val="18"/>
              </w:rPr>
              <w:t>B  00002</w:t>
            </w:r>
          </w:p>
        </w:tc>
        <w:tc>
          <w:tcPr>
            <w:tcW w:w="1076" w:type="dxa"/>
            <w:tcBorders>
              <w:top w:val="single" w:sz="4" w:space="0" w:color="auto"/>
              <w:left w:val="single" w:sz="4" w:space="0" w:color="auto"/>
              <w:bottom w:val="single" w:sz="4" w:space="0" w:color="auto"/>
              <w:right w:val="single" w:sz="4" w:space="0" w:color="auto"/>
            </w:tcBorders>
          </w:tcPr>
          <w:p w14:paraId="7840C0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−63,60</w:t>
            </w:r>
          </w:p>
        </w:tc>
        <w:tc>
          <w:tcPr>
            <w:tcW w:w="970" w:type="dxa"/>
            <w:tcBorders>
              <w:top w:val="single" w:sz="4" w:space="0" w:color="auto"/>
              <w:left w:val="single" w:sz="4" w:space="0" w:color="auto"/>
              <w:bottom w:val="single" w:sz="4" w:space="0" w:color="auto"/>
              <w:right w:val="single" w:sz="4" w:space="0" w:color="auto"/>
            </w:tcBorders>
          </w:tcPr>
          <w:p w14:paraId="671701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−45,40</w:t>
            </w:r>
          </w:p>
        </w:tc>
        <w:tc>
          <w:tcPr>
            <w:tcW w:w="907" w:type="dxa"/>
            <w:tcBorders>
              <w:top w:val="single" w:sz="4" w:space="0" w:color="auto"/>
              <w:left w:val="single" w:sz="4" w:space="0" w:color="auto"/>
              <w:bottom w:val="single" w:sz="4" w:space="0" w:color="auto"/>
              <w:right w:val="single" w:sz="4" w:space="0" w:color="auto"/>
            </w:tcBorders>
          </w:tcPr>
          <w:p w14:paraId="78A784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88FB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314A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127E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152,00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983D3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66B6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−38,6</w:t>
            </w:r>
          </w:p>
        </w:tc>
        <w:tc>
          <w:tcPr>
            <w:tcW w:w="907" w:type="dxa"/>
            <w:tcBorders>
              <w:top w:val="single" w:sz="4" w:space="0" w:color="auto"/>
              <w:left w:val="single" w:sz="4" w:space="0" w:color="auto"/>
              <w:bottom w:val="single" w:sz="4" w:space="0" w:color="auto"/>
              <w:right w:val="single" w:sz="4" w:space="0" w:color="auto"/>
            </w:tcBorders>
          </w:tcPr>
          <w:p w14:paraId="4C71EA7C" w14:textId="77777777" w:rsidR="00B82F75" w:rsidRPr="00F52C10" w:rsidRDefault="00B82F75" w:rsidP="00E4628E">
            <w:pPr>
              <w:pStyle w:val="Tabletext0"/>
              <w:spacing w:before="34" w:after="34" w:line="276" w:lineRule="auto"/>
              <w:rPr>
                <w:sz w:val="18"/>
                <w:szCs w:val="18"/>
                <w:lang w:val="en-CA"/>
              </w:rPr>
            </w:pPr>
          </w:p>
        </w:tc>
      </w:tr>
      <w:tr w:rsidR="00B82F75" w:rsidRPr="00F52C10" w14:paraId="7CBE7F40"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80904A4" w14:textId="77777777" w:rsidR="00B82F75" w:rsidRPr="00F52C10" w:rsidRDefault="00B82F75" w:rsidP="00E4628E">
            <w:pPr>
              <w:pStyle w:val="Tabletext0"/>
              <w:spacing w:before="34" w:after="34" w:line="276" w:lineRule="auto"/>
              <w:rPr>
                <w:sz w:val="18"/>
                <w:szCs w:val="18"/>
              </w:rPr>
            </w:pPr>
            <w:r w:rsidRPr="00F52C10">
              <w:rPr>
                <w:sz w:val="18"/>
                <w:szCs w:val="18"/>
              </w:rPr>
              <w:t>B  00003</w:t>
            </w:r>
          </w:p>
        </w:tc>
        <w:tc>
          <w:tcPr>
            <w:tcW w:w="1076" w:type="dxa"/>
            <w:tcBorders>
              <w:top w:val="single" w:sz="4" w:space="0" w:color="auto"/>
              <w:left w:val="single" w:sz="4" w:space="0" w:color="auto"/>
              <w:bottom w:val="single" w:sz="4" w:space="0" w:color="auto"/>
              <w:right w:val="single" w:sz="4" w:space="0" w:color="auto"/>
            </w:tcBorders>
          </w:tcPr>
          <w:p w14:paraId="6D03E7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−69,45</w:t>
            </w:r>
          </w:p>
        </w:tc>
        <w:tc>
          <w:tcPr>
            <w:tcW w:w="970" w:type="dxa"/>
            <w:tcBorders>
              <w:top w:val="single" w:sz="4" w:space="0" w:color="auto"/>
              <w:left w:val="single" w:sz="4" w:space="0" w:color="auto"/>
              <w:bottom w:val="single" w:sz="4" w:space="0" w:color="auto"/>
              <w:right w:val="single" w:sz="4" w:space="0" w:color="auto"/>
            </w:tcBorders>
          </w:tcPr>
          <w:p w14:paraId="49DFEC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−50,00</w:t>
            </w:r>
          </w:p>
        </w:tc>
        <w:tc>
          <w:tcPr>
            <w:tcW w:w="907" w:type="dxa"/>
            <w:tcBorders>
              <w:top w:val="single" w:sz="4" w:space="0" w:color="auto"/>
              <w:left w:val="single" w:sz="4" w:space="0" w:color="auto"/>
              <w:bottom w:val="single" w:sz="4" w:space="0" w:color="auto"/>
              <w:right w:val="single" w:sz="4" w:space="0" w:color="auto"/>
            </w:tcBorders>
          </w:tcPr>
          <w:p w14:paraId="2E82B1A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6E6BB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CBF50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78C0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D76A0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AEC5D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−38,5</w:t>
            </w:r>
          </w:p>
        </w:tc>
        <w:tc>
          <w:tcPr>
            <w:tcW w:w="907" w:type="dxa"/>
            <w:tcBorders>
              <w:top w:val="single" w:sz="4" w:space="0" w:color="auto"/>
              <w:left w:val="single" w:sz="4" w:space="0" w:color="auto"/>
              <w:bottom w:val="single" w:sz="4" w:space="0" w:color="auto"/>
              <w:right w:val="single" w:sz="4" w:space="0" w:color="auto"/>
            </w:tcBorders>
          </w:tcPr>
          <w:p w14:paraId="28CDDDB0" w14:textId="77777777" w:rsidR="00B82F75" w:rsidRPr="00F52C10" w:rsidRDefault="00B82F75" w:rsidP="00E4628E">
            <w:pPr>
              <w:pStyle w:val="Tabletext0"/>
              <w:spacing w:before="34" w:after="34" w:line="276" w:lineRule="auto"/>
              <w:rPr>
                <w:sz w:val="18"/>
                <w:szCs w:val="18"/>
                <w:lang w:val="en-CA"/>
              </w:rPr>
            </w:pPr>
          </w:p>
        </w:tc>
      </w:tr>
      <w:tr w:rsidR="00B82F75" w:rsidRPr="00F52C10" w14:paraId="12182DC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324C40B" w14:textId="77777777" w:rsidR="00B82F75" w:rsidRPr="00F52C10" w:rsidRDefault="00B82F75" w:rsidP="00E4628E">
            <w:pPr>
              <w:pStyle w:val="Tabletext0"/>
              <w:spacing w:before="34" w:after="34" w:line="276" w:lineRule="auto"/>
              <w:rPr>
                <w:sz w:val="18"/>
                <w:szCs w:val="18"/>
              </w:rPr>
            </w:pPr>
            <w:r w:rsidRPr="00F52C10">
              <w:rPr>
                <w:sz w:val="18"/>
                <w:szCs w:val="18"/>
              </w:rPr>
              <w:lastRenderedPageBreak/>
              <w:t>BAH00000</w:t>
            </w:r>
          </w:p>
        </w:tc>
        <w:tc>
          <w:tcPr>
            <w:tcW w:w="1076" w:type="dxa"/>
            <w:tcBorders>
              <w:top w:val="single" w:sz="4" w:space="0" w:color="auto"/>
              <w:left w:val="single" w:sz="4" w:space="0" w:color="auto"/>
              <w:bottom w:val="single" w:sz="4" w:space="0" w:color="auto"/>
              <w:right w:val="single" w:sz="4" w:space="0" w:color="auto"/>
            </w:tcBorders>
          </w:tcPr>
          <w:p w14:paraId="2481B5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−74,30</w:t>
            </w:r>
          </w:p>
        </w:tc>
        <w:tc>
          <w:tcPr>
            <w:tcW w:w="970" w:type="dxa"/>
            <w:tcBorders>
              <w:top w:val="single" w:sz="4" w:space="0" w:color="auto"/>
              <w:left w:val="single" w:sz="4" w:space="0" w:color="auto"/>
              <w:bottom w:val="single" w:sz="4" w:space="0" w:color="auto"/>
              <w:right w:val="single" w:sz="4" w:space="0" w:color="auto"/>
            </w:tcBorders>
          </w:tcPr>
          <w:p w14:paraId="1F1667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−75,80</w:t>
            </w:r>
          </w:p>
        </w:tc>
        <w:tc>
          <w:tcPr>
            <w:tcW w:w="907" w:type="dxa"/>
            <w:tcBorders>
              <w:top w:val="single" w:sz="4" w:space="0" w:color="auto"/>
              <w:left w:val="single" w:sz="4" w:space="0" w:color="auto"/>
              <w:bottom w:val="single" w:sz="4" w:space="0" w:color="auto"/>
              <w:right w:val="single" w:sz="4" w:space="0" w:color="auto"/>
            </w:tcBorders>
          </w:tcPr>
          <w:p w14:paraId="399A03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48D32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E40D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F1D4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133,00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687B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4C7A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−39,4</w:t>
            </w:r>
          </w:p>
        </w:tc>
        <w:tc>
          <w:tcPr>
            <w:tcW w:w="907" w:type="dxa"/>
            <w:tcBorders>
              <w:top w:val="single" w:sz="4" w:space="0" w:color="auto"/>
              <w:left w:val="single" w:sz="4" w:space="0" w:color="auto"/>
              <w:bottom w:val="single" w:sz="4" w:space="0" w:color="auto"/>
              <w:right w:val="single" w:sz="4" w:space="0" w:color="auto"/>
            </w:tcBorders>
          </w:tcPr>
          <w:p w14:paraId="2A0161F8" w14:textId="77777777" w:rsidR="00B82F75" w:rsidRPr="00F52C10" w:rsidRDefault="00B82F75" w:rsidP="00E4628E">
            <w:pPr>
              <w:pStyle w:val="Tabletext0"/>
              <w:spacing w:before="34" w:after="34" w:line="276" w:lineRule="auto"/>
              <w:rPr>
                <w:sz w:val="18"/>
                <w:szCs w:val="18"/>
                <w:lang w:val="en-CA"/>
              </w:rPr>
            </w:pPr>
          </w:p>
        </w:tc>
      </w:tr>
      <w:tr w:rsidR="00B82F75" w:rsidRPr="00F52C10" w14:paraId="6A165DC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4A0039B" w14:textId="77777777" w:rsidR="00B82F75" w:rsidRPr="00F52C10" w:rsidRDefault="00B82F75" w:rsidP="00E4628E">
            <w:pPr>
              <w:pStyle w:val="Tabletext0"/>
              <w:spacing w:before="34" w:after="34" w:line="276" w:lineRule="auto"/>
              <w:rPr>
                <w:sz w:val="18"/>
                <w:szCs w:val="18"/>
              </w:rPr>
            </w:pPr>
            <w:r w:rsidRPr="00F52C10">
              <w:rPr>
                <w:sz w:val="18"/>
                <w:szCs w:val="18"/>
              </w:rPr>
              <w:t>BDI00000</w:t>
            </w:r>
          </w:p>
        </w:tc>
        <w:tc>
          <w:tcPr>
            <w:tcW w:w="1076" w:type="dxa"/>
            <w:tcBorders>
              <w:top w:val="single" w:sz="4" w:space="0" w:color="auto"/>
              <w:left w:val="single" w:sz="4" w:space="0" w:color="auto"/>
              <w:bottom w:val="single" w:sz="4" w:space="0" w:color="auto"/>
              <w:right w:val="single" w:sz="4" w:space="0" w:color="auto"/>
            </w:tcBorders>
          </w:tcPr>
          <w:p w14:paraId="49B717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w:t>
            </w:r>
          </w:p>
        </w:tc>
        <w:tc>
          <w:tcPr>
            <w:tcW w:w="970" w:type="dxa"/>
            <w:tcBorders>
              <w:top w:val="single" w:sz="4" w:space="0" w:color="auto"/>
              <w:left w:val="single" w:sz="4" w:space="0" w:color="auto"/>
              <w:bottom w:val="single" w:sz="4" w:space="0" w:color="auto"/>
              <w:right w:val="single" w:sz="4" w:space="0" w:color="auto"/>
            </w:tcBorders>
          </w:tcPr>
          <w:p w14:paraId="100E04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29,90</w:t>
            </w:r>
          </w:p>
        </w:tc>
        <w:tc>
          <w:tcPr>
            <w:tcW w:w="907" w:type="dxa"/>
            <w:tcBorders>
              <w:top w:val="single" w:sz="4" w:space="0" w:color="auto"/>
              <w:left w:val="single" w:sz="4" w:space="0" w:color="auto"/>
              <w:bottom w:val="single" w:sz="4" w:space="0" w:color="auto"/>
              <w:right w:val="single" w:sz="4" w:space="0" w:color="auto"/>
            </w:tcBorders>
          </w:tcPr>
          <w:p w14:paraId="04CA1C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8AEAE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5E68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0CA55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4676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3C77A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−41,6</w:t>
            </w:r>
          </w:p>
        </w:tc>
        <w:tc>
          <w:tcPr>
            <w:tcW w:w="907" w:type="dxa"/>
            <w:tcBorders>
              <w:top w:val="single" w:sz="4" w:space="0" w:color="auto"/>
              <w:left w:val="single" w:sz="4" w:space="0" w:color="auto"/>
              <w:bottom w:val="single" w:sz="4" w:space="0" w:color="auto"/>
              <w:right w:val="single" w:sz="4" w:space="0" w:color="auto"/>
            </w:tcBorders>
          </w:tcPr>
          <w:p w14:paraId="01C7D3D6" w14:textId="77777777" w:rsidR="00B82F75" w:rsidRPr="00F52C10" w:rsidRDefault="00B82F75" w:rsidP="00E4628E">
            <w:pPr>
              <w:pStyle w:val="Tabletext0"/>
              <w:spacing w:before="34" w:after="34" w:line="276" w:lineRule="auto"/>
              <w:rPr>
                <w:sz w:val="18"/>
                <w:szCs w:val="18"/>
                <w:lang w:val="en-CA"/>
              </w:rPr>
            </w:pPr>
          </w:p>
        </w:tc>
      </w:tr>
      <w:tr w:rsidR="00B82F75" w:rsidRPr="00F52C10" w14:paraId="3CD88CD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717AAFA" w14:textId="77777777" w:rsidR="00B82F75" w:rsidRPr="00F52C10" w:rsidRDefault="00B82F75" w:rsidP="00E4628E">
            <w:pPr>
              <w:pStyle w:val="Tabletext0"/>
              <w:spacing w:before="34" w:after="34" w:line="276" w:lineRule="auto"/>
              <w:rPr>
                <w:sz w:val="18"/>
                <w:szCs w:val="18"/>
              </w:rPr>
            </w:pPr>
            <w:r w:rsidRPr="00F52C10">
              <w:rPr>
                <w:sz w:val="18"/>
                <w:szCs w:val="18"/>
              </w:rPr>
              <w:t>BEL00000</w:t>
            </w:r>
          </w:p>
        </w:tc>
        <w:tc>
          <w:tcPr>
            <w:tcW w:w="1076" w:type="dxa"/>
            <w:tcBorders>
              <w:top w:val="single" w:sz="4" w:space="0" w:color="auto"/>
              <w:left w:val="single" w:sz="4" w:space="0" w:color="auto"/>
              <w:bottom w:val="single" w:sz="4" w:space="0" w:color="auto"/>
              <w:right w:val="single" w:sz="4" w:space="0" w:color="auto"/>
            </w:tcBorders>
          </w:tcPr>
          <w:p w14:paraId="62071E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54,55</w:t>
            </w:r>
          </w:p>
        </w:tc>
        <w:tc>
          <w:tcPr>
            <w:tcW w:w="970" w:type="dxa"/>
            <w:tcBorders>
              <w:top w:val="single" w:sz="4" w:space="0" w:color="auto"/>
              <w:left w:val="single" w:sz="4" w:space="0" w:color="auto"/>
              <w:bottom w:val="single" w:sz="4" w:space="0" w:color="auto"/>
              <w:right w:val="single" w:sz="4" w:space="0" w:color="auto"/>
            </w:tcBorders>
          </w:tcPr>
          <w:p w14:paraId="463B19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5,20</w:t>
            </w:r>
          </w:p>
        </w:tc>
        <w:tc>
          <w:tcPr>
            <w:tcW w:w="907" w:type="dxa"/>
            <w:tcBorders>
              <w:top w:val="single" w:sz="4" w:space="0" w:color="auto"/>
              <w:left w:val="single" w:sz="4" w:space="0" w:color="auto"/>
              <w:bottom w:val="single" w:sz="4" w:space="0" w:color="auto"/>
              <w:right w:val="single" w:sz="4" w:space="0" w:color="auto"/>
            </w:tcBorders>
          </w:tcPr>
          <w:p w14:paraId="645EAE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F596C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92D26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9E0B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D2B86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9E663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−41,2</w:t>
            </w:r>
          </w:p>
        </w:tc>
        <w:tc>
          <w:tcPr>
            <w:tcW w:w="907" w:type="dxa"/>
            <w:tcBorders>
              <w:top w:val="single" w:sz="4" w:space="0" w:color="auto"/>
              <w:left w:val="single" w:sz="4" w:space="0" w:color="auto"/>
              <w:bottom w:val="single" w:sz="4" w:space="0" w:color="auto"/>
              <w:right w:val="single" w:sz="4" w:space="0" w:color="auto"/>
            </w:tcBorders>
          </w:tcPr>
          <w:p w14:paraId="668FFC8D" w14:textId="77777777" w:rsidR="00B82F75" w:rsidRPr="00F52C10" w:rsidRDefault="00B82F75" w:rsidP="00E4628E">
            <w:pPr>
              <w:pStyle w:val="Tabletext0"/>
              <w:spacing w:before="34" w:after="34" w:line="276" w:lineRule="auto"/>
              <w:rPr>
                <w:sz w:val="18"/>
                <w:szCs w:val="18"/>
                <w:lang w:val="en-CA"/>
              </w:rPr>
            </w:pPr>
          </w:p>
        </w:tc>
      </w:tr>
      <w:tr w:rsidR="00B82F75" w:rsidRPr="00F52C10" w14:paraId="0F6C8E4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A9F9886" w14:textId="77777777" w:rsidR="00B82F75" w:rsidRPr="00F52C10" w:rsidRDefault="00B82F75" w:rsidP="00E4628E">
            <w:pPr>
              <w:pStyle w:val="Tabletext0"/>
              <w:spacing w:before="34" w:after="34" w:line="276" w:lineRule="auto"/>
              <w:rPr>
                <w:sz w:val="18"/>
                <w:szCs w:val="18"/>
              </w:rPr>
            </w:pPr>
            <w:r w:rsidRPr="00F52C10">
              <w:rPr>
                <w:sz w:val="18"/>
                <w:szCs w:val="18"/>
              </w:rPr>
              <w:t>BEN00000</w:t>
            </w:r>
          </w:p>
        </w:tc>
        <w:tc>
          <w:tcPr>
            <w:tcW w:w="1076" w:type="dxa"/>
            <w:tcBorders>
              <w:top w:val="single" w:sz="4" w:space="0" w:color="auto"/>
              <w:left w:val="single" w:sz="4" w:space="0" w:color="auto"/>
              <w:bottom w:val="single" w:sz="4" w:space="0" w:color="auto"/>
              <w:right w:val="single" w:sz="4" w:space="0" w:color="auto"/>
            </w:tcBorders>
          </w:tcPr>
          <w:p w14:paraId="37AB420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−30,60</w:t>
            </w:r>
          </w:p>
        </w:tc>
        <w:tc>
          <w:tcPr>
            <w:tcW w:w="970" w:type="dxa"/>
            <w:tcBorders>
              <w:top w:val="single" w:sz="4" w:space="0" w:color="auto"/>
              <w:left w:val="single" w:sz="4" w:space="0" w:color="auto"/>
              <w:bottom w:val="single" w:sz="4" w:space="0" w:color="auto"/>
              <w:right w:val="single" w:sz="4" w:space="0" w:color="auto"/>
            </w:tcBorders>
          </w:tcPr>
          <w:p w14:paraId="40107E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07" w:type="dxa"/>
            <w:tcBorders>
              <w:top w:val="single" w:sz="4" w:space="0" w:color="auto"/>
              <w:left w:val="single" w:sz="4" w:space="0" w:color="auto"/>
              <w:bottom w:val="single" w:sz="4" w:space="0" w:color="auto"/>
              <w:right w:val="single" w:sz="4" w:space="0" w:color="auto"/>
            </w:tcBorders>
          </w:tcPr>
          <w:p w14:paraId="53D2CA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8A2DE9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B4304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1834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CAE53F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6D927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−39,9</w:t>
            </w:r>
          </w:p>
        </w:tc>
        <w:tc>
          <w:tcPr>
            <w:tcW w:w="907" w:type="dxa"/>
            <w:tcBorders>
              <w:top w:val="single" w:sz="4" w:space="0" w:color="auto"/>
              <w:left w:val="single" w:sz="4" w:space="0" w:color="auto"/>
              <w:bottom w:val="single" w:sz="4" w:space="0" w:color="auto"/>
              <w:right w:val="single" w:sz="4" w:space="0" w:color="auto"/>
            </w:tcBorders>
          </w:tcPr>
          <w:p w14:paraId="33DF0FC4" w14:textId="77777777" w:rsidR="00B82F75" w:rsidRPr="00F52C10" w:rsidRDefault="00B82F75" w:rsidP="00E4628E">
            <w:pPr>
              <w:pStyle w:val="Tabletext0"/>
              <w:spacing w:before="34" w:after="34" w:line="276" w:lineRule="auto"/>
              <w:rPr>
                <w:sz w:val="18"/>
                <w:szCs w:val="18"/>
                <w:lang w:val="en-CA"/>
              </w:rPr>
            </w:pPr>
          </w:p>
        </w:tc>
      </w:tr>
      <w:tr w:rsidR="00B82F75" w:rsidRPr="00F52C10" w14:paraId="7E3F76F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29BC702" w14:textId="77777777" w:rsidR="00B82F75" w:rsidRPr="00F52C10" w:rsidRDefault="00B82F75" w:rsidP="00E4628E">
            <w:pPr>
              <w:pStyle w:val="Tabletext0"/>
              <w:spacing w:before="34" w:after="34" w:line="276" w:lineRule="auto"/>
              <w:rPr>
                <w:sz w:val="18"/>
                <w:szCs w:val="18"/>
              </w:rPr>
            </w:pPr>
            <w:r w:rsidRPr="00F52C10">
              <w:rPr>
                <w:sz w:val="18"/>
                <w:szCs w:val="18"/>
              </w:rPr>
              <w:t>BERCAYS</w:t>
            </w:r>
          </w:p>
        </w:tc>
        <w:tc>
          <w:tcPr>
            <w:tcW w:w="1076" w:type="dxa"/>
            <w:tcBorders>
              <w:top w:val="single" w:sz="4" w:space="0" w:color="auto"/>
              <w:left w:val="single" w:sz="4" w:space="0" w:color="auto"/>
              <w:bottom w:val="single" w:sz="4" w:space="0" w:color="auto"/>
              <w:right w:val="single" w:sz="4" w:space="0" w:color="auto"/>
            </w:tcBorders>
          </w:tcPr>
          <w:p w14:paraId="3D2E89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−37,10</w:t>
            </w:r>
          </w:p>
        </w:tc>
        <w:tc>
          <w:tcPr>
            <w:tcW w:w="970" w:type="dxa"/>
            <w:tcBorders>
              <w:top w:val="single" w:sz="4" w:space="0" w:color="auto"/>
              <w:left w:val="single" w:sz="4" w:space="0" w:color="auto"/>
              <w:bottom w:val="single" w:sz="4" w:space="0" w:color="auto"/>
              <w:right w:val="single" w:sz="4" w:space="0" w:color="auto"/>
            </w:tcBorders>
          </w:tcPr>
          <w:p w14:paraId="3D6DCF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−68,60</w:t>
            </w:r>
          </w:p>
        </w:tc>
        <w:tc>
          <w:tcPr>
            <w:tcW w:w="907" w:type="dxa"/>
            <w:tcBorders>
              <w:top w:val="single" w:sz="4" w:space="0" w:color="auto"/>
              <w:left w:val="single" w:sz="4" w:space="0" w:color="auto"/>
              <w:bottom w:val="single" w:sz="4" w:space="0" w:color="auto"/>
              <w:right w:val="single" w:sz="4" w:space="0" w:color="auto"/>
            </w:tcBorders>
          </w:tcPr>
          <w:p w14:paraId="38B7333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7338D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FC1C8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2284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F4EE1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031C5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−38,2</w:t>
            </w:r>
          </w:p>
        </w:tc>
        <w:tc>
          <w:tcPr>
            <w:tcW w:w="907" w:type="dxa"/>
            <w:tcBorders>
              <w:top w:val="single" w:sz="4" w:space="0" w:color="auto"/>
              <w:left w:val="single" w:sz="4" w:space="0" w:color="auto"/>
              <w:bottom w:val="single" w:sz="4" w:space="0" w:color="auto"/>
              <w:right w:val="single" w:sz="4" w:space="0" w:color="auto"/>
            </w:tcBorders>
          </w:tcPr>
          <w:p w14:paraId="106B44EA" w14:textId="77777777" w:rsidR="00B82F75" w:rsidRPr="00F52C10" w:rsidRDefault="00B82F75" w:rsidP="00E4628E">
            <w:pPr>
              <w:pStyle w:val="Tabletext0"/>
              <w:spacing w:before="34" w:after="34" w:line="276" w:lineRule="auto"/>
              <w:rPr>
                <w:sz w:val="18"/>
                <w:szCs w:val="18"/>
              </w:rPr>
            </w:pPr>
            <w:r w:rsidRPr="00F52C10">
              <w:rPr>
                <w:sz w:val="18"/>
                <w:szCs w:val="18"/>
              </w:rPr>
              <w:t>*/MB4</w:t>
            </w:r>
          </w:p>
        </w:tc>
      </w:tr>
      <w:tr w:rsidR="00B82F75" w:rsidRPr="00F52C10" w14:paraId="1A22D8D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3C48FAC" w14:textId="77777777" w:rsidR="00B82F75" w:rsidRPr="00F52C10" w:rsidRDefault="00B82F75" w:rsidP="00E4628E">
            <w:pPr>
              <w:pStyle w:val="Tabletext0"/>
              <w:spacing w:before="34" w:after="34" w:line="276" w:lineRule="auto"/>
              <w:rPr>
                <w:sz w:val="18"/>
                <w:szCs w:val="18"/>
              </w:rPr>
            </w:pPr>
            <w:r w:rsidRPr="00F52C10">
              <w:rPr>
                <w:sz w:val="18"/>
                <w:szCs w:val="18"/>
              </w:rPr>
              <w:t>BFA00000</w:t>
            </w:r>
          </w:p>
        </w:tc>
        <w:tc>
          <w:tcPr>
            <w:tcW w:w="1076" w:type="dxa"/>
            <w:tcBorders>
              <w:top w:val="single" w:sz="4" w:space="0" w:color="auto"/>
              <w:left w:val="single" w:sz="4" w:space="0" w:color="auto"/>
              <w:bottom w:val="single" w:sz="4" w:space="0" w:color="auto"/>
              <w:right w:val="single" w:sz="4" w:space="0" w:color="auto"/>
            </w:tcBorders>
          </w:tcPr>
          <w:p w14:paraId="06C89B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10,79</w:t>
            </w:r>
          </w:p>
        </w:tc>
        <w:tc>
          <w:tcPr>
            <w:tcW w:w="970" w:type="dxa"/>
            <w:tcBorders>
              <w:top w:val="single" w:sz="4" w:space="0" w:color="auto"/>
              <w:left w:val="single" w:sz="4" w:space="0" w:color="auto"/>
              <w:bottom w:val="single" w:sz="4" w:space="0" w:color="auto"/>
              <w:right w:val="single" w:sz="4" w:space="0" w:color="auto"/>
            </w:tcBorders>
          </w:tcPr>
          <w:p w14:paraId="590A9A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907" w:type="dxa"/>
            <w:tcBorders>
              <w:top w:val="single" w:sz="4" w:space="0" w:color="auto"/>
              <w:left w:val="single" w:sz="4" w:space="0" w:color="auto"/>
              <w:bottom w:val="single" w:sz="4" w:space="0" w:color="auto"/>
              <w:right w:val="single" w:sz="4" w:space="0" w:color="auto"/>
            </w:tcBorders>
          </w:tcPr>
          <w:p w14:paraId="06CFD3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FD0A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F9933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6492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452CC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77CF17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−39,5</w:t>
            </w:r>
          </w:p>
        </w:tc>
        <w:tc>
          <w:tcPr>
            <w:tcW w:w="907" w:type="dxa"/>
            <w:tcBorders>
              <w:top w:val="single" w:sz="4" w:space="0" w:color="auto"/>
              <w:left w:val="single" w:sz="4" w:space="0" w:color="auto"/>
              <w:bottom w:val="single" w:sz="4" w:space="0" w:color="auto"/>
              <w:right w:val="single" w:sz="4" w:space="0" w:color="auto"/>
            </w:tcBorders>
          </w:tcPr>
          <w:p w14:paraId="5F494D2E" w14:textId="77777777" w:rsidR="00B82F75" w:rsidRPr="00F52C10" w:rsidRDefault="00B82F75" w:rsidP="00E4628E">
            <w:pPr>
              <w:pStyle w:val="Tabletext0"/>
              <w:spacing w:before="34" w:after="34" w:line="276" w:lineRule="auto"/>
              <w:rPr>
                <w:sz w:val="18"/>
                <w:szCs w:val="18"/>
                <w:lang w:val="en-CA"/>
              </w:rPr>
            </w:pPr>
          </w:p>
        </w:tc>
      </w:tr>
      <w:tr w:rsidR="00B82F75" w:rsidRPr="00F52C10" w14:paraId="0CF80A9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5E4B479" w14:textId="77777777" w:rsidR="00B82F75" w:rsidRPr="00F52C10" w:rsidRDefault="00B82F75" w:rsidP="00E4628E">
            <w:pPr>
              <w:pStyle w:val="Tabletext0"/>
              <w:spacing w:before="34" w:after="34" w:line="276" w:lineRule="auto"/>
              <w:rPr>
                <w:sz w:val="18"/>
                <w:szCs w:val="18"/>
              </w:rPr>
            </w:pPr>
            <w:r w:rsidRPr="00F52C10">
              <w:rPr>
                <w:sz w:val="18"/>
                <w:szCs w:val="18"/>
              </w:rPr>
              <w:t>BGD00000</w:t>
            </w:r>
          </w:p>
        </w:tc>
        <w:tc>
          <w:tcPr>
            <w:tcW w:w="1076" w:type="dxa"/>
            <w:tcBorders>
              <w:top w:val="single" w:sz="4" w:space="0" w:color="auto"/>
              <w:left w:val="single" w:sz="4" w:space="0" w:color="auto"/>
              <w:bottom w:val="single" w:sz="4" w:space="0" w:color="auto"/>
              <w:right w:val="single" w:sz="4" w:space="0" w:color="auto"/>
            </w:tcBorders>
          </w:tcPr>
          <w:p w14:paraId="71EC6B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133,00</w:t>
            </w:r>
          </w:p>
        </w:tc>
        <w:tc>
          <w:tcPr>
            <w:tcW w:w="970" w:type="dxa"/>
            <w:tcBorders>
              <w:top w:val="single" w:sz="4" w:space="0" w:color="auto"/>
              <w:left w:val="single" w:sz="4" w:space="0" w:color="auto"/>
              <w:bottom w:val="single" w:sz="4" w:space="0" w:color="auto"/>
              <w:right w:val="single" w:sz="4" w:space="0" w:color="auto"/>
            </w:tcBorders>
          </w:tcPr>
          <w:p w14:paraId="15D3136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90,20</w:t>
            </w:r>
          </w:p>
        </w:tc>
        <w:tc>
          <w:tcPr>
            <w:tcW w:w="907" w:type="dxa"/>
            <w:tcBorders>
              <w:top w:val="single" w:sz="4" w:space="0" w:color="auto"/>
              <w:left w:val="single" w:sz="4" w:space="0" w:color="auto"/>
              <w:bottom w:val="single" w:sz="4" w:space="0" w:color="auto"/>
              <w:right w:val="single" w:sz="4" w:space="0" w:color="auto"/>
            </w:tcBorders>
          </w:tcPr>
          <w:p w14:paraId="5D9B6BA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7D79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E97C9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1DA8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E2BA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134F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−40,3</w:t>
            </w:r>
          </w:p>
        </w:tc>
        <w:tc>
          <w:tcPr>
            <w:tcW w:w="907" w:type="dxa"/>
            <w:tcBorders>
              <w:top w:val="single" w:sz="4" w:space="0" w:color="auto"/>
              <w:left w:val="single" w:sz="4" w:space="0" w:color="auto"/>
              <w:bottom w:val="single" w:sz="4" w:space="0" w:color="auto"/>
              <w:right w:val="single" w:sz="4" w:space="0" w:color="auto"/>
            </w:tcBorders>
          </w:tcPr>
          <w:p w14:paraId="4CE1C965" w14:textId="77777777" w:rsidR="00B82F75" w:rsidRPr="00F52C10" w:rsidRDefault="00B82F75" w:rsidP="00E4628E">
            <w:pPr>
              <w:pStyle w:val="Tabletext0"/>
              <w:spacing w:before="34" w:after="34" w:line="276" w:lineRule="auto"/>
              <w:rPr>
                <w:sz w:val="18"/>
                <w:szCs w:val="18"/>
                <w:lang w:val="en-CA"/>
              </w:rPr>
            </w:pPr>
          </w:p>
        </w:tc>
      </w:tr>
      <w:tr w:rsidR="00B82F75" w:rsidRPr="00F52C10" w14:paraId="6CA1536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2BB606F" w14:textId="77777777" w:rsidR="00B82F75" w:rsidRPr="00F52C10" w:rsidRDefault="00B82F75" w:rsidP="00E4628E">
            <w:pPr>
              <w:pStyle w:val="Tabletext0"/>
              <w:spacing w:before="34" w:after="34" w:line="276" w:lineRule="auto"/>
              <w:rPr>
                <w:sz w:val="18"/>
                <w:szCs w:val="18"/>
              </w:rPr>
            </w:pPr>
            <w:r w:rsidRPr="00F52C10">
              <w:rPr>
                <w:sz w:val="18"/>
                <w:szCs w:val="18"/>
              </w:rPr>
              <w:t>BHR00000</w:t>
            </w:r>
          </w:p>
        </w:tc>
        <w:tc>
          <w:tcPr>
            <w:tcW w:w="1076" w:type="dxa"/>
            <w:tcBorders>
              <w:top w:val="single" w:sz="4" w:space="0" w:color="auto"/>
              <w:left w:val="single" w:sz="4" w:space="0" w:color="auto"/>
              <w:bottom w:val="single" w:sz="4" w:space="0" w:color="auto"/>
              <w:right w:val="single" w:sz="4" w:space="0" w:color="auto"/>
            </w:tcBorders>
          </w:tcPr>
          <w:p w14:paraId="096F35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13,60</w:t>
            </w:r>
          </w:p>
        </w:tc>
        <w:tc>
          <w:tcPr>
            <w:tcW w:w="970" w:type="dxa"/>
            <w:tcBorders>
              <w:top w:val="single" w:sz="4" w:space="0" w:color="auto"/>
              <w:left w:val="single" w:sz="4" w:space="0" w:color="auto"/>
              <w:bottom w:val="single" w:sz="4" w:space="0" w:color="auto"/>
              <w:right w:val="single" w:sz="4" w:space="0" w:color="auto"/>
            </w:tcBorders>
          </w:tcPr>
          <w:p w14:paraId="0A616B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50,60</w:t>
            </w:r>
          </w:p>
        </w:tc>
        <w:tc>
          <w:tcPr>
            <w:tcW w:w="907" w:type="dxa"/>
            <w:tcBorders>
              <w:top w:val="single" w:sz="4" w:space="0" w:color="auto"/>
              <w:left w:val="single" w:sz="4" w:space="0" w:color="auto"/>
              <w:bottom w:val="single" w:sz="4" w:space="0" w:color="auto"/>
              <w:right w:val="single" w:sz="4" w:space="0" w:color="auto"/>
            </w:tcBorders>
          </w:tcPr>
          <w:p w14:paraId="567112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DADF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9C081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92A01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7F18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DB79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−41,9</w:t>
            </w:r>
          </w:p>
        </w:tc>
        <w:tc>
          <w:tcPr>
            <w:tcW w:w="907" w:type="dxa"/>
            <w:tcBorders>
              <w:top w:val="single" w:sz="4" w:space="0" w:color="auto"/>
              <w:left w:val="single" w:sz="4" w:space="0" w:color="auto"/>
              <w:bottom w:val="single" w:sz="4" w:space="0" w:color="auto"/>
              <w:right w:val="single" w:sz="4" w:space="0" w:color="auto"/>
            </w:tcBorders>
          </w:tcPr>
          <w:p w14:paraId="3FD5155C" w14:textId="77777777" w:rsidR="00B82F75" w:rsidRPr="00F52C10" w:rsidRDefault="00B82F75" w:rsidP="00E4628E">
            <w:pPr>
              <w:pStyle w:val="Tabletext0"/>
              <w:spacing w:before="34" w:after="34" w:line="276" w:lineRule="auto"/>
              <w:rPr>
                <w:sz w:val="18"/>
                <w:szCs w:val="18"/>
                <w:lang w:val="en-CA"/>
              </w:rPr>
            </w:pPr>
          </w:p>
        </w:tc>
      </w:tr>
      <w:tr w:rsidR="00B82F75" w:rsidRPr="00F52C10" w14:paraId="17381DF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vAlign w:val="bottom"/>
          </w:tcPr>
          <w:p w14:paraId="040935E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BLR00000</w:t>
            </w:r>
          </w:p>
        </w:tc>
        <w:tc>
          <w:tcPr>
            <w:tcW w:w="1076" w:type="dxa"/>
            <w:tcBorders>
              <w:top w:val="single" w:sz="4" w:space="0" w:color="auto"/>
              <w:left w:val="single" w:sz="4" w:space="0" w:color="auto"/>
              <w:bottom w:val="single" w:sz="4" w:space="0" w:color="auto"/>
              <w:right w:val="single" w:sz="4" w:space="0" w:color="auto"/>
            </w:tcBorders>
            <w:vAlign w:val="bottom"/>
          </w:tcPr>
          <w:p w14:paraId="70652A64"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64,40</w:t>
            </w:r>
          </w:p>
        </w:tc>
        <w:tc>
          <w:tcPr>
            <w:tcW w:w="970" w:type="dxa"/>
            <w:tcBorders>
              <w:top w:val="single" w:sz="4" w:space="0" w:color="auto"/>
              <w:left w:val="single" w:sz="4" w:space="0" w:color="auto"/>
              <w:bottom w:val="single" w:sz="4" w:space="0" w:color="auto"/>
              <w:right w:val="single" w:sz="4" w:space="0" w:color="auto"/>
            </w:tcBorders>
            <w:vAlign w:val="bottom"/>
          </w:tcPr>
          <w:p w14:paraId="741831DD"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27,01</w:t>
            </w:r>
          </w:p>
        </w:tc>
        <w:tc>
          <w:tcPr>
            <w:tcW w:w="907" w:type="dxa"/>
            <w:tcBorders>
              <w:top w:val="single" w:sz="4" w:space="0" w:color="auto"/>
              <w:left w:val="single" w:sz="4" w:space="0" w:color="auto"/>
              <w:bottom w:val="single" w:sz="4" w:space="0" w:color="auto"/>
              <w:right w:val="single" w:sz="4" w:space="0" w:color="auto"/>
            </w:tcBorders>
            <w:vAlign w:val="bottom"/>
          </w:tcPr>
          <w:p w14:paraId="5F3DEF15"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53,60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6609E5F3"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24C775A5"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12F8F0AB"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73358CA9"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−9,4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6862269A"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−41,3</w:t>
            </w:r>
          </w:p>
        </w:tc>
        <w:tc>
          <w:tcPr>
            <w:tcW w:w="907" w:type="dxa"/>
            <w:tcBorders>
              <w:top w:val="single" w:sz="4" w:space="0" w:color="auto"/>
              <w:left w:val="single" w:sz="4" w:space="0" w:color="auto"/>
              <w:bottom w:val="single" w:sz="4" w:space="0" w:color="auto"/>
              <w:right w:val="single" w:sz="4" w:space="0" w:color="auto"/>
            </w:tcBorders>
            <w:vAlign w:val="bottom"/>
          </w:tcPr>
          <w:p w14:paraId="186FE1D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0756700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EE38325" w14:textId="77777777" w:rsidR="00B82F75" w:rsidRPr="00F52C10" w:rsidRDefault="00B82F75" w:rsidP="00E4628E">
            <w:pPr>
              <w:pStyle w:val="Tabletext0"/>
              <w:spacing w:before="34" w:after="34" w:line="276" w:lineRule="auto"/>
              <w:rPr>
                <w:sz w:val="18"/>
                <w:szCs w:val="18"/>
              </w:rPr>
            </w:pPr>
            <w:r w:rsidRPr="00F52C10">
              <w:rPr>
                <w:sz w:val="18"/>
                <w:szCs w:val="18"/>
              </w:rPr>
              <w:t>BLZ00000</w:t>
            </w:r>
          </w:p>
        </w:tc>
        <w:tc>
          <w:tcPr>
            <w:tcW w:w="1076" w:type="dxa"/>
            <w:tcBorders>
              <w:top w:val="single" w:sz="4" w:space="0" w:color="auto"/>
              <w:left w:val="single" w:sz="4" w:space="0" w:color="auto"/>
              <w:bottom w:val="single" w:sz="4" w:space="0" w:color="auto"/>
              <w:right w:val="single" w:sz="4" w:space="0" w:color="auto"/>
            </w:tcBorders>
          </w:tcPr>
          <w:p w14:paraId="592B15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−90,80</w:t>
            </w:r>
          </w:p>
        </w:tc>
        <w:tc>
          <w:tcPr>
            <w:tcW w:w="970" w:type="dxa"/>
            <w:tcBorders>
              <w:top w:val="single" w:sz="4" w:space="0" w:color="auto"/>
              <w:left w:val="single" w:sz="4" w:space="0" w:color="auto"/>
              <w:bottom w:val="single" w:sz="4" w:space="0" w:color="auto"/>
              <w:right w:val="single" w:sz="4" w:space="0" w:color="auto"/>
            </w:tcBorders>
          </w:tcPr>
          <w:p w14:paraId="64E5DC3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−88,60</w:t>
            </w:r>
          </w:p>
        </w:tc>
        <w:tc>
          <w:tcPr>
            <w:tcW w:w="907" w:type="dxa"/>
            <w:tcBorders>
              <w:top w:val="single" w:sz="4" w:space="0" w:color="auto"/>
              <w:left w:val="single" w:sz="4" w:space="0" w:color="auto"/>
              <w:bottom w:val="single" w:sz="4" w:space="0" w:color="auto"/>
              <w:right w:val="single" w:sz="4" w:space="0" w:color="auto"/>
            </w:tcBorders>
          </w:tcPr>
          <w:p w14:paraId="613F2E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E9FD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EA8C0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AFA77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B91F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F3BA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−41,6</w:t>
            </w:r>
          </w:p>
        </w:tc>
        <w:tc>
          <w:tcPr>
            <w:tcW w:w="907" w:type="dxa"/>
            <w:tcBorders>
              <w:top w:val="single" w:sz="4" w:space="0" w:color="auto"/>
              <w:left w:val="single" w:sz="4" w:space="0" w:color="auto"/>
              <w:bottom w:val="single" w:sz="4" w:space="0" w:color="auto"/>
              <w:right w:val="single" w:sz="4" w:space="0" w:color="auto"/>
            </w:tcBorders>
          </w:tcPr>
          <w:p w14:paraId="4642AF93" w14:textId="77777777" w:rsidR="00B82F75" w:rsidRPr="00F52C10" w:rsidRDefault="00B82F75" w:rsidP="00E4628E">
            <w:pPr>
              <w:pStyle w:val="Tabletext0"/>
              <w:spacing w:before="34" w:after="34" w:line="276" w:lineRule="auto"/>
              <w:rPr>
                <w:sz w:val="18"/>
                <w:szCs w:val="18"/>
                <w:lang w:val="en-CA"/>
              </w:rPr>
            </w:pPr>
          </w:p>
        </w:tc>
      </w:tr>
      <w:tr w:rsidR="00B82F75" w:rsidRPr="00F52C10" w14:paraId="310FD9D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A154771" w14:textId="77777777" w:rsidR="00B82F75" w:rsidRPr="00F52C10" w:rsidRDefault="00B82F75" w:rsidP="00E4628E">
            <w:pPr>
              <w:pStyle w:val="Tabletext0"/>
              <w:spacing w:before="34" w:after="34" w:line="276" w:lineRule="auto"/>
              <w:rPr>
                <w:sz w:val="18"/>
                <w:szCs w:val="18"/>
              </w:rPr>
            </w:pPr>
            <w:r w:rsidRPr="00F52C10">
              <w:rPr>
                <w:sz w:val="18"/>
                <w:szCs w:val="18"/>
              </w:rPr>
              <w:t>BOL00000</w:t>
            </w:r>
          </w:p>
        </w:tc>
        <w:tc>
          <w:tcPr>
            <w:tcW w:w="1076" w:type="dxa"/>
            <w:tcBorders>
              <w:top w:val="single" w:sz="4" w:space="0" w:color="auto"/>
              <w:left w:val="single" w:sz="4" w:space="0" w:color="auto"/>
              <w:bottom w:val="single" w:sz="4" w:space="0" w:color="auto"/>
              <w:right w:val="single" w:sz="4" w:space="0" w:color="auto"/>
            </w:tcBorders>
          </w:tcPr>
          <w:p w14:paraId="3D626D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−34,80</w:t>
            </w:r>
          </w:p>
        </w:tc>
        <w:tc>
          <w:tcPr>
            <w:tcW w:w="970" w:type="dxa"/>
            <w:tcBorders>
              <w:top w:val="single" w:sz="4" w:space="0" w:color="auto"/>
              <w:left w:val="single" w:sz="4" w:space="0" w:color="auto"/>
              <w:bottom w:val="single" w:sz="4" w:space="0" w:color="auto"/>
              <w:right w:val="single" w:sz="4" w:space="0" w:color="auto"/>
            </w:tcBorders>
          </w:tcPr>
          <w:p w14:paraId="041665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−64,40</w:t>
            </w:r>
          </w:p>
        </w:tc>
        <w:tc>
          <w:tcPr>
            <w:tcW w:w="907" w:type="dxa"/>
            <w:tcBorders>
              <w:top w:val="single" w:sz="4" w:space="0" w:color="auto"/>
              <w:left w:val="single" w:sz="4" w:space="0" w:color="auto"/>
              <w:bottom w:val="single" w:sz="4" w:space="0" w:color="auto"/>
              <w:right w:val="single" w:sz="4" w:space="0" w:color="auto"/>
            </w:tcBorders>
          </w:tcPr>
          <w:p w14:paraId="6A3F0A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F8877A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162B9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7904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129,00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4B9EA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B6F37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−38,6</w:t>
            </w:r>
          </w:p>
        </w:tc>
        <w:tc>
          <w:tcPr>
            <w:tcW w:w="907" w:type="dxa"/>
            <w:tcBorders>
              <w:top w:val="single" w:sz="4" w:space="0" w:color="auto"/>
              <w:left w:val="single" w:sz="4" w:space="0" w:color="auto"/>
              <w:bottom w:val="single" w:sz="4" w:space="0" w:color="auto"/>
              <w:right w:val="single" w:sz="4" w:space="0" w:color="auto"/>
            </w:tcBorders>
          </w:tcPr>
          <w:p w14:paraId="34BC2623" w14:textId="77777777" w:rsidR="00B82F75" w:rsidRPr="00F52C10" w:rsidRDefault="00B82F75" w:rsidP="00E4628E">
            <w:pPr>
              <w:pStyle w:val="Tabletext0"/>
              <w:spacing w:before="34" w:after="34" w:line="276" w:lineRule="auto"/>
              <w:rPr>
                <w:sz w:val="18"/>
                <w:szCs w:val="18"/>
                <w:lang w:val="en-CA"/>
              </w:rPr>
            </w:pPr>
          </w:p>
        </w:tc>
      </w:tr>
      <w:tr w:rsidR="00B82F75" w:rsidRPr="00F52C10" w14:paraId="6C5AB9D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823FD3E" w14:textId="77777777" w:rsidR="00B82F75" w:rsidRPr="00F52C10" w:rsidRDefault="00B82F75" w:rsidP="00E4628E">
            <w:pPr>
              <w:pStyle w:val="Tabletext0"/>
              <w:spacing w:before="34" w:after="34" w:line="276" w:lineRule="auto"/>
              <w:rPr>
                <w:sz w:val="18"/>
                <w:szCs w:val="18"/>
              </w:rPr>
            </w:pPr>
            <w:r w:rsidRPr="00F52C10">
              <w:rPr>
                <w:sz w:val="18"/>
                <w:szCs w:val="18"/>
              </w:rPr>
              <w:t>BOT00000</w:t>
            </w:r>
          </w:p>
        </w:tc>
        <w:tc>
          <w:tcPr>
            <w:tcW w:w="1076" w:type="dxa"/>
            <w:tcBorders>
              <w:top w:val="single" w:sz="4" w:space="0" w:color="auto"/>
              <w:left w:val="single" w:sz="4" w:space="0" w:color="auto"/>
              <w:bottom w:val="single" w:sz="4" w:space="0" w:color="auto"/>
              <w:right w:val="single" w:sz="4" w:space="0" w:color="auto"/>
            </w:tcBorders>
          </w:tcPr>
          <w:p w14:paraId="27B716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21,20</w:t>
            </w:r>
          </w:p>
        </w:tc>
        <w:tc>
          <w:tcPr>
            <w:tcW w:w="970" w:type="dxa"/>
            <w:tcBorders>
              <w:top w:val="single" w:sz="4" w:space="0" w:color="auto"/>
              <w:left w:val="single" w:sz="4" w:space="0" w:color="auto"/>
              <w:bottom w:val="single" w:sz="4" w:space="0" w:color="auto"/>
              <w:right w:val="single" w:sz="4" w:space="0" w:color="auto"/>
            </w:tcBorders>
          </w:tcPr>
          <w:p w14:paraId="35F869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24,00</w:t>
            </w:r>
          </w:p>
        </w:tc>
        <w:tc>
          <w:tcPr>
            <w:tcW w:w="907" w:type="dxa"/>
            <w:tcBorders>
              <w:top w:val="single" w:sz="4" w:space="0" w:color="auto"/>
              <w:left w:val="single" w:sz="4" w:space="0" w:color="auto"/>
              <w:bottom w:val="single" w:sz="4" w:space="0" w:color="auto"/>
              <w:right w:val="single" w:sz="4" w:space="0" w:color="auto"/>
            </w:tcBorders>
          </w:tcPr>
          <w:p w14:paraId="1603A5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0040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B251D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FB142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3FFA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6A6F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07" w:type="dxa"/>
            <w:tcBorders>
              <w:top w:val="single" w:sz="4" w:space="0" w:color="auto"/>
              <w:left w:val="single" w:sz="4" w:space="0" w:color="auto"/>
              <w:bottom w:val="single" w:sz="4" w:space="0" w:color="auto"/>
              <w:right w:val="single" w:sz="4" w:space="0" w:color="auto"/>
            </w:tcBorders>
          </w:tcPr>
          <w:p w14:paraId="723B69E7" w14:textId="77777777" w:rsidR="00B82F75" w:rsidRPr="00F52C10" w:rsidRDefault="00B82F75" w:rsidP="00E4628E">
            <w:pPr>
              <w:pStyle w:val="Tabletext0"/>
              <w:spacing w:before="34" w:after="34" w:line="276" w:lineRule="auto"/>
              <w:rPr>
                <w:sz w:val="18"/>
                <w:szCs w:val="18"/>
                <w:lang w:val="en-CA"/>
              </w:rPr>
            </w:pPr>
          </w:p>
        </w:tc>
      </w:tr>
      <w:tr w:rsidR="00B82F75" w:rsidRPr="00F52C10" w14:paraId="1CB38C1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F97DE0B" w14:textId="77777777" w:rsidR="00B82F75" w:rsidRPr="00F52C10" w:rsidRDefault="00B82F75" w:rsidP="00E4628E">
            <w:pPr>
              <w:pStyle w:val="Tabletext0"/>
              <w:spacing w:before="34" w:after="34" w:line="276" w:lineRule="auto"/>
              <w:rPr>
                <w:sz w:val="18"/>
                <w:szCs w:val="18"/>
              </w:rPr>
            </w:pPr>
            <w:r w:rsidRPr="00F52C10">
              <w:rPr>
                <w:sz w:val="18"/>
                <w:szCs w:val="18"/>
              </w:rPr>
              <w:t>BRB00000</w:t>
            </w:r>
          </w:p>
        </w:tc>
        <w:tc>
          <w:tcPr>
            <w:tcW w:w="1076" w:type="dxa"/>
            <w:tcBorders>
              <w:top w:val="single" w:sz="4" w:space="0" w:color="auto"/>
              <w:left w:val="single" w:sz="4" w:space="0" w:color="auto"/>
              <w:bottom w:val="single" w:sz="4" w:space="0" w:color="auto"/>
              <w:right w:val="single" w:sz="4" w:space="0" w:color="auto"/>
            </w:tcBorders>
          </w:tcPr>
          <w:p w14:paraId="302E38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−29,60</w:t>
            </w:r>
          </w:p>
        </w:tc>
        <w:tc>
          <w:tcPr>
            <w:tcW w:w="970" w:type="dxa"/>
            <w:tcBorders>
              <w:top w:val="single" w:sz="4" w:space="0" w:color="auto"/>
              <w:left w:val="single" w:sz="4" w:space="0" w:color="auto"/>
              <w:bottom w:val="single" w:sz="4" w:space="0" w:color="auto"/>
              <w:right w:val="single" w:sz="4" w:space="0" w:color="auto"/>
            </w:tcBorders>
          </w:tcPr>
          <w:p w14:paraId="7842B3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−59,60</w:t>
            </w:r>
          </w:p>
        </w:tc>
        <w:tc>
          <w:tcPr>
            <w:tcW w:w="907" w:type="dxa"/>
            <w:tcBorders>
              <w:top w:val="single" w:sz="4" w:space="0" w:color="auto"/>
              <w:left w:val="single" w:sz="4" w:space="0" w:color="auto"/>
              <w:bottom w:val="single" w:sz="4" w:space="0" w:color="auto"/>
              <w:right w:val="single" w:sz="4" w:space="0" w:color="auto"/>
            </w:tcBorders>
          </w:tcPr>
          <w:p w14:paraId="31FC5C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96A85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6A05D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29AB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ACA46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82AF9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−41,6</w:t>
            </w:r>
          </w:p>
        </w:tc>
        <w:tc>
          <w:tcPr>
            <w:tcW w:w="907" w:type="dxa"/>
            <w:tcBorders>
              <w:top w:val="single" w:sz="4" w:space="0" w:color="auto"/>
              <w:left w:val="single" w:sz="4" w:space="0" w:color="auto"/>
              <w:bottom w:val="single" w:sz="4" w:space="0" w:color="auto"/>
              <w:right w:val="single" w:sz="4" w:space="0" w:color="auto"/>
            </w:tcBorders>
          </w:tcPr>
          <w:p w14:paraId="13B187CD" w14:textId="77777777" w:rsidR="00B82F75" w:rsidRPr="00F52C10" w:rsidRDefault="00B82F75" w:rsidP="00E4628E">
            <w:pPr>
              <w:pStyle w:val="Tabletext0"/>
              <w:spacing w:before="34" w:after="34" w:line="276" w:lineRule="auto"/>
              <w:rPr>
                <w:sz w:val="18"/>
                <w:szCs w:val="18"/>
                <w:lang w:val="en-CA"/>
              </w:rPr>
            </w:pPr>
          </w:p>
        </w:tc>
      </w:tr>
      <w:tr w:rsidR="00B82F75" w:rsidRPr="00F52C10" w14:paraId="12D7F0F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F11B57B" w14:textId="77777777" w:rsidR="00B82F75" w:rsidRPr="00F52C10" w:rsidRDefault="00B82F75" w:rsidP="00E4628E">
            <w:pPr>
              <w:pStyle w:val="Tabletext0"/>
              <w:spacing w:before="34" w:after="34" w:line="276" w:lineRule="auto"/>
              <w:rPr>
                <w:sz w:val="18"/>
                <w:szCs w:val="18"/>
              </w:rPr>
            </w:pPr>
            <w:r w:rsidRPr="00F52C10">
              <w:rPr>
                <w:sz w:val="18"/>
                <w:szCs w:val="18"/>
              </w:rPr>
              <w:t>BRM00000</w:t>
            </w:r>
          </w:p>
        </w:tc>
        <w:tc>
          <w:tcPr>
            <w:tcW w:w="1076" w:type="dxa"/>
            <w:tcBorders>
              <w:top w:val="single" w:sz="4" w:space="0" w:color="auto"/>
              <w:left w:val="single" w:sz="4" w:space="0" w:color="auto"/>
              <w:bottom w:val="single" w:sz="4" w:space="0" w:color="auto"/>
              <w:right w:val="single" w:sz="4" w:space="0" w:color="auto"/>
            </w:tcBorders>
          </w:tcPr>
          <w:p w14:paraId="556BFD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111,50</w:t>
            </w:r>
          </w:p>
        </w:tc>
        <w:tc>
          <w:tcPr>
            <w:tcW w:w="970" w:type="dxa"/>
            <w:tcBorders>
              <w:top w:val="single" w:sz="4" w:space="0" w:color="auto"/>
              <w:left w:val="single" w:sz="4" w:space="0" w:color="auto"/>
              <w:bottom w:val="single" w:sz="4" w:space="0" w:color="auto"/>
              <w:right w:val="single" w:sz="4" w:space="0" w:color="auto"/>
            </w:tcBorders>
          </w:tcPr>
          <w:p w14:paraId="2AF5BF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97,00</w:t>
            </w:r>
          </w:p>
        </w:tc>
        <w:tc>
          <w:tcPr>
            <w:tcW w:w="907" w:type="dxa"/>
            <w:tcBorders>
              <w:top w:val="single" w:sz="4" w:space="0" w:color="auto"/>
              <w:left w:val="single" w:sz="4" w:space="0" w:color="auto"/>
              <w:bottom w:val="single" w:sz="4" w:space="0" w:color="auto"/>
              <w:right w:val="single" w:sz="4" w:space="0" w:color="auto"/>
            </w:tcBorders>
          </w:tcPr>
          <w:p w14:paraId="30C16E2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7AB3B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19C1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A2268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15BE3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2FEF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−38,8</w:t>
            </w:r>
          </w:p>
        </w:tc>
        <w:tc>
          <w:tcPr>
            <w:tcW w:w="907" w:type="dxa"/>
            <w:tcBorders>
              <w:top w:val="single" w:sz="4" w:space="0" w:color="auto"/>
              <w:left w:val="single" w:sz="4" w:space="0" w:color="auto"/>
              <w:bottom w:val="single" w:sz="4" w:space="0" w:color="auto"/>
              <w:right w:val="single" w:sz="4" w:space="0" w:color="auto"/>
            </w:tcBorders>
          </w:tcPr>
          <w:p w14:paraId="7FFFC93C" w14:textId="77777777" w:rsidR="00B82F75" w:rsidRPr="00F52C10" w:rsidRDefault="00B82F75" w:rsidP="00E4628E">
            <w:pPr>
              <w:pStyle w:val="Tabletext0"/>
              <w:spacing w:before="34" w:after="34" w:line="276" w:lineRule="auto"/>
              <w:rPr>
                <w:sz w:val="18"/>
                <w:szCs w:val="18"/>
                <w:lang w:val="en-CA"/>
              </w:rPr>
            </w:pPr>
          </w:p>
        </w:tc>
      </w:tr>
      <w:tr w:rsidR="00B82F75" w:rsidRPr="00F52C10" w14:paraId="7722EAE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14327FE" w14:textId="77777777" w:rsidR="00B82F75" w:rsidRPr="00F52C10" w:rsidRDefault="00B82F75" w:rsidP="00E4628E">
            <w:pPr>
              <w:pStyle w:val="Tabletext0"/>
              <w:spacing w:before="34" w:after="34" w:line="276" w:lineRule="auto"/>
              <w:rPr>
                <w:sz w:val="18"/>
                <w:szCs w:val="18"/>
              </w:rPr>
            </w:pPr>
            <w:r w:rsidRPr="00F52C10">
              <w:rPr>
                <w:sz w:val="18"/>
                <w:szCs w:val="18"/>
              </w:rPr>
              <w:t>BRU00000</w:t>
            </w:r>
          </w:p>
        </w:tc>
        <w:tc>
          <w:tcPr>
            <w:tcW w:w="1076" w:type="dxa"/>
            <w:tcBorders>
              <w:top w:val="single" w:sz="4" w:space="0" w:color="auto"/>
              <w:left w:val="single" w:sz="4" w:space="0" w:color="auto"/>
              <w:bottom w:val="single" w:sz="4" w:space="0" w:color="auto"/>
              <w:right w:val="single" w:sz="4" w:space="0" w:color="auto"/>
            </w:tcBorders>
          </w:tcPr>
          <w:p w14:paraId="0861F7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157,30</w:t>
            </w:r>
          </w:p>
        </w:tc>
        <w:tc>
          <w:tcPr>
            <w:tcW w:w="970" w:type="dxa"/>
            <w:tcBorders>
              <w:top w:val="single" w:sz="4" w:space="0" w:color="auto"/>
              <w:left w:val="single" w:sz="4" w:space="0" w:color="auto"/>
              <w:bottom w:val="single" w:sz="4" w:space="0" w:color="auto"/>
              <w:right w:val="single" w:sz="4" w:space="0" w:color="auto"/>
            </w:tcBorders>
          </w:tcPr>
          <w:p w14:paraId="31729D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114,60</w:t>
            </w:r>
          </w:p>
        </w:tc>
        <w:tc>
          <w:tcPr>
            <w:tcW w:w="907" w:type="dxa"/>
            <w:tcBorders>
              <w:top w:val="single" w:sz="4" w:space="0" w:color="auto"/>
              <w:left w:val="single" w:sz="4" w:space="0" w:color="auto"/>
              <w:bottom w:val="single" w:sz="4" w:space="0" w:color="auto"/>
              <w:right w:val="single" w:sz="4" w:space="0" w:color="auto"/>
            </w:tcBorders>
          </w:tcPr>
          <w:p w14:paraId="1511AD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40AA7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5D772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3F39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875F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5C01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−40,9</w:t>
            </w:r>
          </w:p>
        </w:tc>
        <w:tc>
          <w:tcPr>
            <w:tcW w:w="907" w:type="dxa"/>
            <w:tcBorders>
              <w:top w:val="single" w:sz="4" w:space="0" w:color="auto"/>
              <w:left w:val="single" w:sz="4" w:space="0" w:color="auto"/>
              <w:bottom w:val="single" w:sz="4" w:space="0" w:color="auto"/>
              <w:right w:val="single" w:sz="4" w:space="0" w:color="auto"/>
            </w:tcBorders>
          </w:tcPr>
          <w:p w14:paraId="55C163EA" w14:textId="77777777" w:rsidR="00B82F75" w:rsidRPr="00F52C10" w:rsidRDefault="00B82F75" w:rsidP="00E4628E">
            <w:pPr>
              <w:pStyle w:val="Tabletext0"/>
              <w:spacing w:before="34" w:after="34" w:line="276" w:lineRule="auto"/>
              <w:rPr>
                <w:sz w:val="18"/>
                <w:szCs w:val="18"/>
                <w:lang w:val="en-CA"/>
              </w:rPr>
            </w:pPr>
          </w:p>
        </w:tc>
      </w:tr>
      <w:tr w:rsidR="00B82F75" w:rsidRPr="00F52C10" w14:paraId="552CBE6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19AE3DC" w14:textId="77777777" w:rsidR="00B82F75" w:rsidRPr="00F52C10" w:rsidRDefault="00B82F75" w:rsidP="00E4628E">
            <w:pPr>
              <w:pStyle w:val="Tabletext0"/>
              <w:spacing w:before="34" w:after="34" w:line="276" w:lineRule="auto"/>
              <w:rPr>
                <w:sz w:val="18"/>
                <w:szCs w:val="18"/>
              </w:rPr>
            </w:pPr>
            <w:r w:rsidRPr="00F52C10">
              <w:rPr>
                <w:sz w:val="18"/>
                <w:szCs w:val="18"/>
              </w:rPr>
              <w:t>BTN00000</w:t>
            </w:r>
          </w:p>
        </w:tc>
        <w:tc>
          <w:tcPr>
            <w:tcW w:w="1076" w:type="dxa"/>
            <w:tcBorders>
              <w:top w:val="single" w:sz="4" w:space="0" w:color="auto"/>
              <w:left w:val="single" w:sz="4" w:space="0" w:color="auto"/>
              <w:bottom w:val="single" w:sz="4" w:space="0" w:color="auto"/>
              <w:right w:val="single" w:sz="4" w:space="0" w:color="auto"/>
            </w:tcBorders>
          </w:tcPr>
          <w:p w14:paraId="7E24221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59,10</w:t>
            </w:r>
          </w:p>
        </w:tc>
        <w:tc>
          <w:tcPr>
            <w:tcW w:w="970" w:type="dxa"/>
            <w:tcBorders>
              <w:top w:val="single" w:sz="4" w:space="0" w:color="auto"/>
              <w:left w:val="single" w:sz="4" w:space="0" w:color="auto"/>
              <w:bottom w:val="single" w:sz="4" w:space="0" w:color="auto"/>
              <w:right w:val="single" w:sz="4" w:space="0" w:color="auto"/>
            </w:tcBorders>
          </w:tcPr>
          <w:p w14:paraId="4B3CF53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90,40</w:t>
            </w:r>
          </w:p>
        </w:tc>
        <w:tc>
          <w:tcPr>
            <w:tcW w:w="907" w:type="dxa"/>
            <w:tcBorders>
              <w:top w:val="single" w:sz="4" w:space="0" w:color="auto"/>
              <w:left w:val="single" w:sz="4" w:space="0" w:color="auto"/>
              <w:bottom w:val="single" w:sz="4" w:space="0" w:color="auto"/>
              <w:right w:val="single" w:sz="4" w:space="0" w:color="auto"/>
            </w:tcBorders>
          </w:tcPr>
          <w:p w14:paraId="7C9935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CA816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774E4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6C09F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DC6C6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B0AC0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−41,5</w:t>
            </w:r>
          </w:p>
        </w:tc>
        <w:tc>
          <w:tcPr>
            <w:tcW w:w="907" w:type="dxa"/>
            <w:tcBorders>
              <w:top w:val="single" w:sz="4" w:space="0" w:color="auto"/>
              <w:left w:val="single" w:sz="4" w:space="0" w:color="auto"/>
              <w:bottom w:val="single" w:sz="4" w:space="0" w:color="auto"/>
              <w:right w:val="single" w:sz="4" w:space="0" w:color="auto"/>
            </w:tcBorders>
          </w:tcPr>
          <w:p w14:paraId="0DC4E25D" w14:textId="77777777" w:rsidR="00B82F75" w:rsidRPr="00F52C10" w:rsidRDefault="00B82F75" w:rsidP="00E4628E">
            <w:pPr>
              <w:pStyle w:val="Tabletext0"/>
              <w:spacing w:before="34" w:after="34" w:line="276" w:lineRule="auto"/>
              <w:rPr>
                <w:sz w:val="18"/>
                <w:szCs w:val="18"/>
                <w:lang w:val="en-CA"/>
              </w:rPr>
            </w:pPr>
          </w:p>
        </w:tc>
      </w:tr>
      <w:tr w:rsidR="00B82F75" w:rsidRPr="00F52C10" w14:paraId="10BB7AC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090A313" w14:textId="77777777" w:rsidR="00B82F75" w:rsidRPr="00F52C10" w:rsidRDefault="00B82F75" w:rsidP="00E4628E">
            <w:pPr>
              <w:pStyle w:val="Tabletext0"/>
              <w:spacing w:before="34" w:after="34" w:line="276" w:lineRule="auto"/>
              <w:rPr>
                <w:sz w:val="18"/>
                <w:szCs w:val="18"/>
              </w:rPr>
            </w:pPr>
            <w:r w:rsidRPr="00F52C10">
              <w:rPr>
                <w:sz w:val="18"/>
                <w:szCs w:val="18"/>
              </w:rPr>
              <w:t>BUL00000</w:t>
            </w:r>
          </w:p>
        </w:tc>
        <w:tc>
          <w:tcPr>
            <w:tcW w:w="1076" w:type="dxa"/>
            <w:tcBorders>
              <w:top w:val="single" w:sz="4" w:space="0" w:color="auto"/>
              <w:left w:val="single" w:sz="4" w:space="0" w:color="auto"/>
              <w:bottom w:val="single" w:sz="4" w:space="0" w:color="auto"/>
              <w:right w:val="single" w:sz="4" w:space="0" w:color="auto"/>
            </w:tcBorders>
          </w:tcPr>
          <w:p w14:paraId="37CCD1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56,02</w:t>
            </w:r>
          </w:p>
        </w:tc>
        <w:tc>
          <w:tcPr>
            <w:tcW w:w="970" w:type="dxa"/>
            <w:tcBorders>
              <w:top w:val="single" w:sz="4" w:space="0" w:color="auto"/>
              <w:left w:val="single" w:sz="4" w:space="0" w:color="auto"/>
              <w:bottom w:val="single" w:sz="4" w:space="0" w:color="auto"/>
              <w:right w:val="single" w:sz="4" w:space="0" w:color="auto"/>
            </w:tcBorders>
          </w:tcPr>
          <w:p w14:paraId="479AF8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25,60</w:t>
            </w:r>
          </w:p>
        </w:tc>
        <w:tc>
          <w:tcPr>
            <w:tcW w:w="907" w:type="dxa"/>
            <w:tcBorders>
              <w:top w:val="single" w:sz="4" w:space="0" w:color="auto"/>
              <w:left w:val="single" w:sz="4" w:space="0" w:color="auto"/>
              <w:bottom w:val="single" w:sz="4" w:space="0" w:color="auto"/>
              <w:right w:val="single" w:sz="4" w:space="0" w:color="auto"/>
            </w:tcBorders>
          </w:tcPr>
          <w:p w14:paraId="1F4D65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74C4B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FE361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76E82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9ACA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E5881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−40,8</w:t>
            </w:r>
          </w:p>
        </w:tc>
        <w:tc>
          <w:tcPr>
            <w:tcW w:w="907" w:type="dxa"/>
            <w:tcBorders>
              <w:top w:val="single" w:sz="4" w:space="0" w:color="auto"/>
              <w:left w:val="single" w:sz="4" w:space="0" w:color="auto"/>
              <w:bottom w:val="single" w:sz="4" w:space="0" w:color="auto"/>
              <w:right w:val="single" w:sz="4" w:space="0" w:color="auto"/>
            </w:tcBorders>
          </w:tcPr>
          <w:p w14:paraId="546DBB69" w14:textId="77777777" w:rsidR="00B82F75" w:rsidRPr="00F52C10" w:rsidRDefault="00B82F75" w:rsidP="00E4628E">
            <w:pPr>
              <w:pStyle w:val="Tabletext0"/>
              <w:spacing w:before="34" w:after="34" w:line="276" w:lineRule="auto"/>
              <w:rPr>
                <w:sz w:val="18"/>
                <w:szCs w:val="18"/>
                <w:lang w:val="en-CA"/>
              </w:rPr>
            </w:pPr>
          </w:p>
        </w:tc>
      </w:tr>
      <w:tr w:rsidR="00B82F75" w:rsidRPr="00F52C10" w14:paraId="3E1429CE"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3629AD0" w14:textId="77777777" w:rsidR="00B82F75" w:rsidRPr="00F52C10" w:rsidRDefault="00B82F75" w:rsidP="00E4628E">
            <w:pPr>
              <w:pStyle w:val="Tabletext0"/>
              <w:spacing w:before="34" w:after="34" w:line="276" w:lineRule="auto"/>
              <w:rPr>
                <w:sz w:val="18"/>
                <w:szCs w:val="18"/>
              </w:rPr>
            </w:pPr>
            <w:r w:rsidRPr="00F52C10">
              <w:rPr>
                <w:sz w:val="18"/>
                <w:szCs w:val="18"/>
              </w:rPr>
              <w:t>CAF00000</w:t>
            </w:r>
          </w:p>
        </w:tc>
        <w:tc>
          <w:tcPr>
            <w:tcW w:w="1076" w:type="dxa"/>
            <w:tcBorders>
              <w:top w:val="single" w:sz="4" w:space="0" w:color="auto"/>
              <w:left w:val="single" w:sz="4" w:space="0" w:color="auto"/>
              <w:bottom w:val="single" w:sz="4" w:space="0" w:color="auto"/>
              <w:right w:val="single" w:sz="4" w:space="0" w:color="auto"/>
            </w:tcBorders>
          </w:tcPr>
          <w:p w14:paraId="78D9C19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14,40</w:t>
            </w:r>
          </w:p>
        </w:tc>
        <w:tc>
          <w:tcPr>
            <w:tcW w:w="970" w:type="dxa"/>
            <w:tcBorders>
              <w:top w:val="single" w:sz="4" w:space="0" w:color="auto"/>
              <w:left w:val="single" w:sz="4" w:space="0" w:color="auto"/>
              <w:bottom w:val="single" w:sz="4" w:space="0" w:color="auto"/>
              <w:right w:val="single" w:sz="4" w:space="0" w:color="auto"/>
            </w:tcBorders>
          </w:tcPr>
          <w:p w14:paraId="54E518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21,50</w:t>
            </w:r>
          </w:p>
        </w:tc>
        <w:tc>
          <w:tcPr>
            <w:tcW w:w="907" w:type="dxa"/>
            <w:tcBorders>
              <w:top w:val="single" w:sz="4" w:space="0" w:color="auto"/>
              <w:left w:val="single" w:sz="4" w:space="0" w:color="auto"/>
              <w:bottom w:val="single" w:sz="4" w:space="0" w:color="auto"/>
              <w:right w:val="single" w:sz="4" w:space="0" w:color="auto"/>
            </w:tcBorders>
          </w:tcPr>
          <w:p w14:paraId="73FADA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99397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15B0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0DBC5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FFA6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8924D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−39,1</w:t>
            </w:r>
          </w:p>
        </w:tc>
        <w:tc>
          <w:tcPr>
            <w:tcW w:w="907" w:type="dxa"/>
            <w:tcBorders>
              <w:top w:val="single" w:sz="4" w:space="0" w:color="auto"/>
              <w:left w:val="single" w:sz="4" w:space="0" w:color="auto"/>
              <w:bottom w:val="single" w:sz="4" w:space="0" w:color="auto"/>
              <w:right w:val="single" w:sz="4" w:space="0" w:color="auto"/>
            </w:tcBorders>
          </w:tcPr>
          <w:p w14:paraId="0FAEC04E" w14:textId="77777777" w:rsidR="00B82F75" w:rsidRPr="00F52C10" w:rsidRDefault="00B82F75" w:rsidP="00E4628E">
            <w:pPr>
              <w:pStyle w:val="Tabletext0"/>
              <w:spacing w:before="34" w:after="34" w:line="276" w:lineRule="auto"/>
              <w:rPr>
                <w:sz w:val="18"/>
                <w:szCs w:val="18"/>
                <w:lang w:val="en-CA"/>
              </w:rPr>
            </w:pPr>
          </w:p>
        </w:tc>
      </w:tr>
      <w:tr w:rsidR="00B82F75" w:rsidRPr="00F52C10" w14:paraId="00ACD9C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694A9E4" w14:textId="77777777" w:rsidR="00B82F75" w:rsidRPr="00F52C10" w:rsidRDefault="00B82F75" w:rsidP="00E4628E">
            <w:pPr>
              <w:pStyle w:val="Tabletext0"/>
              <w:spacing w:before="34" w:after="34" w:line="276" w:lineRule="auto"/>
              <w:rPr>
                <w:sz w:val="18"/>
                <w:szCs w:val="18"/>
              </w:rPr>
            </w:pPr>
            <w:r w:rsidRPr="00F52C10">
              <w:rPr>
                <w:sz w:val="18"/>
                <w:szCs w:val="18"/>
              </w:rPr>
              <w:t>CAN0CENT</w:t>
            </w:r>
          </w:p>
        </w:tc>
        <w:tc>
          <w:tcPr>
            <w:tcW w:w="1076" w:type="dxa"/>
            <w:tcBorders>
              <w:top w:val="single" w:sz="4" w:space="0" w:color="auto"/>
              <w:left w:val="single" w:sz="4" w:space="0" w:color="auto"/>
              <w:bottom w:val="single" w:sz="4" w:space="0" w:color="auto"/>
              <w:right w:val="single" w:sz="4" w:space="0" w:color="auto"/>
            </w:tcBorders>
          </w:tcPr>
          <w:p w14:paraId="304652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−111,10</w:t>
            </w:r>
          </w:p>
        </w:tc>
        <w:tc>
          <w:tcPr>
            <w:tcW w:w="970" w:type="dxa"/>
            <w:tcBorders>
              <w:top w:val="single" w:sz="4" w:space="0" w:color="auto"/>
              <w:left w:val="single" w:sz="4" w:space="0" w:color="auto"/>
              <w:bottom w:val="single" w:sz="4" w:space="0" w:color="auto"/>
              <w:right w:val="single" w:sz="4" w:space="0" w:color="auto"/>
            </w:tcBorders>
          </w:tcPr>
          <w:p w14:paraId="14D57EE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−96,10</w:t>
            </w:r>
          </w:p>
        </w:tc>
        <w:tc>
          <w:tcPr>
            <w:tcW w:w="907" w:type="dxa"/>
            <w:tcBorders>
              <w:top w:val="single" w:sz="4" w:space="0" w:color="auto"/>
              <w:left w:val="single" w:sz="4" w:space="0" w:color="auto"/>
              <w:bottom w:val="single" w:sz="4" w:space="0" w:color="auto"/>
              <w:right w:val="single" w:sz="4" w:space="0" w:color="auto"/>
            </w:tcBorders>
          </w:tcPr>
          <w:p w14:paraId="5D7189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7A2C5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6F93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8A57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7449A1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DD737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−38,4</w:t>
            </w:r>
          </w:p>
        </w:tc>
        <w:tc>
          <w:tcPr>
            <w:tcW w:w="907" w:type="dxa"/>
            <w:tcBorders>
              <w:top w:val="single" w:sz="4" w:space="0" w:color="auto"/>
              <w:left w:val="single" w:sz="4" w:space="0" w:color="auto"/>
              <w:bottom w:val="single" w:sz="4" w:space="0" w:color="auto"/>
              <w:right w:val="single" w:sz="4" w:space="0" w:color="auto"/>
            </w:tcBorders>
          </w:tcPr>
          <w:p w14:paraId="24703BA4" w14:textId="77777777" w:rsidR="00B82F75" w:rsidRPr="00F52C10" w:rsidRDefault="00B82F75" w:rsidP="00E4628E">
            <w:pPr>
              <w:pStyle w:val="Tabletext0"/>
              <w:spacing w:before="34" w:after="34" w:line="276" w:lineRule="auto"/>
              <w:rPr>
                <w:sz w:val="18"/>
                <w:szCs w:val="18"/>
                <w:lang w:val="en-CA"/>
              </w:rPr>
            </w:pPr>
          </w:p>
        </w:tc>
      </w:tr>
      <w:tr w:rsidR="00B82F75" w:rsidRPr="00F52C10" w14:paraId="4E9652D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22C2B13" w14:textId="77777777" w:rsidR="00B82F75" w:rsidRPr="00F52C10" w:rsidRDefault="00B82F75" w:rsidP="00E4628E">
            <w:pPr>
              <w:pStyle w:val="Tabletext0"/>
              <w:spacing w:before="34" w:after="34" w:line="276" w:lineRule="auto"/>
              <w:rPr>
                <w:sz w:val="18"/>
                <w:szCs w:val="18"/>
              </w:rPr>
            </w:pPr>
            <w:r w:rsidRPr="00F52C10">
              <w:rPr>
                <w:sz w:val="18"/>
                <w:szCs w:val="18"/>
              </w:rPr>
              <w:t>CAN0EAST</w:t>
            </w:r>
          </w:p>
        </w:tc>
        <w:tc>
          <w:tcPr>
            <w:tcW w:w="1076" w:type="dxa"/>
            <w:tcBorders>
              <w:top w:val="single" w:sz="4" w:space="0" w:color="auto"/>
              <w:left w:val="single" w:sz="4" w:space="0" w:color="auto"/>
              <w:bottom w:val="single" w:sz="4" w:space="0" w:color="auto"/>
              <w:right w:val="single" w:sz="4" w:space="0" w:color="auto"/>
            </w:tcBorders>
          </w:tcPr>
          <w:p w14:paraId="737D21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−107,30</w:t>
            </w:r>
          </w:p>
        </w:tc>
        <w:tc>
          <w:tcPr>
            <w:tcW w:w="970" w:type="dxa"/>
            <w:tcBorders>
              <w:top w:val="single" w:sz="4" w:space="0" w:color="auto"/>
              <w:left w:val="single" w:sz="4" w:space="0" w:color="auto"/>
              <w:bottom w:val="single" w:sz="4" w:space="0" w:color="auto"/>
              <w:right w:val="single" w:sz="4" w:space="0" w:color="auto"/>
            </w:tcBorders>
          </w:tcPr>
          <w:p w14:paraId="2283361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−76,60</w:t>
            </w:r>
          </w:p>
        </w:tc>
        <w:tc>
          <w:tcPr>
            <w:tcW w:w="907" w:type="dxa"/>
            <w:tcBorders>
              <w:top w:val="single" w:sz="4" w:space="0" w:color="auto"/>
              <w:left w:val="single" w:sz="4" w:space="0" w:color="auto"/>
              <w:bottom w:val="single" w:sz="4" w:space="0" w:color="auto"/>
              <w:right w:val="single" w:sz="4" w:space="0" w:color="auto"/>
            </w:tcBorders>
          </w:tcPr>
          <w:p w14:paraId="1EBF02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C8E83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8088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C11BF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154,00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FA84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B3A5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−38,3</w:t>
            </w:r>
          </w:p>
        </w:tc>
        <w:tc>
          <w:tcPr>
            <w:tcW w:w="907" w:type="dxa"/>
            <w:tcBorders>
              <w:top w:val="single" w:sz="4" w:space="0" w:color="auto"/>
              <w:left w:val="single" w:sz="4" w:space="0" w:color="auto"/>
              <w:bottom w:val="single" w:sz="4" w:space="0" w:color="auto"/>
              <w:right w:val="single" w:sz="4" w:space="0" w:color="auto"/>
            </w:tcBorders>
          </w:tcPr>
          <w:p w14:paraId="1ED438DE" w14:textId="77777777" w:rsidR="00B82F75" w:rsidRPr="00F52C10" w:rsidRDefault="00B82F75" w:rsidP="00E4628E">
            <w:pPr>
              <w:pStyle w:val="Tabletext0"/>
              <w:spacing w:before="34" w:after="34" w:line="276" w:lineRule="auto"/>
              <w:rPr>
                <w:sz w:val="18"/>
                <w:szCs w:val="18"/>
                <w:lang w:val="en-CA"/>
              </w:rPr>
            </w:pPr>
          </w:p>
        </w:tc>
      </w:tr>
      <w:tr w:rsidR="00B82F75" w:rsidRPr="00F52C10" w14:paraId="7540340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7F428A3" w14:textId="77777777" w:rsidR="00B82F75" w:rsidRPr="00F52C10" w:rsidRDefault="00B82F75" w:rsidP="00E4628E">
            <w:pPr>
              <w:pStyle w:val="Tabletext0"/>
              <w:spacing w:before="34" w:after="34" w:line="276" w:lineRule="auto"/>
              <w:rPr>
                <w:sz w:val="18"/>
                <w:szCs w:val="18"/>
              </w:rPr>
            </w:pPr>
            <w:r w:rsidRPr="00F52C10">
              <w:rPr>
                <w:sz w:val="18"/>
                <w:szCs w:val="18"/>
              </w:rPr>
              <w:t>CAN0WEST</w:t>
            </w:r>
          </w:p>
        </w:tc>
        <w:tc>
          <w:tcPr>
            <w:tcW w:w="1076" w:type="dxa"/>
            <w:tcBorders>
              <w:top w:val="single" w:sz="4" w:space="0" w:color="auto"/>
              <w:left w:val="single" w:sz="4" w:space="0" w:color="auto"/>
              <w:bottom w:val="single" w:sz="4" w:space="0" w:color="auto"/>
              <w:right w:val="single" w:sz="4" w:space="0" w:color="auto"/>
            </w:tcBorders>
          </w:tcPr>
          <w:p w14:paraId="6CC7FA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−114,90</w:t>
            </w:r>
          </w:p>
        </w:tc>
        <w:tc>
          <w:tcPr>
            <w:tcW w:w="970" w:type="dxa"/>
            <w:tcBorders>
              <w:top w:val="single" w:sz="4" w:space="0" w:color="auto"/>
              <w:left w:val="single" w:sz="4" w:space="0" w:color="auto"/>
              <w:bottom w:val="single" w:sz="4" w:space="0" w:color="auto"/>
              <w:right w:val="single" w:sz="4" w:space="0" w:color="auto"/>
            </w:tcBorders>
          </w:tcPr>
          <w:p w14:paraId="4ED113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−120,10</w:t>
            </w:r>
          </w:p>
        </w:tc>
        <w:tc>
          <w:tcPr>
            <w:tcW w:w="907" w:type="dxa"/>
            <w:tcBorders>
              <w:top w:val="single" w:sz="4" w:space="0" w:color="auto"/>
              <w:left w:val="single" w:sz="4" w:space="0" w:color="auto"/>
              <w:bottom w:val="single" w:sz="4" w:space="0" w:color="auto"/>
              <w:right w:val="single" w:sz="4" w:space="0" w:color="auto"/>
            </w:tcBorders>
          </w:tcPr>
          <w:p w14:paraId="45E9C2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C655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B89B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72018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173,00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6593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DA38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−38,7</w:t>
            </w:r>
          </w:p>
        </w:tc>
        <w:tc>
          <w:tcPr>
            <w:tcW w:w="907" w:type="dxa"/>
            <w:tcBorders>
              <w:top w:val="single" w:sz="4" w:space="0" w:color="auto"/>
              <w:left w:val="single" w:sz="4" w:space="0" w:color="auto"/>
              <w:bottom w:val="single" w:sz="4" w:space="0" w:color="auto"/>
              <w:right w:val="single" w:sz="4" w:space="0" w:color="auto"/>
            </w:tcBorders>
          </w:tcPr>
          <w:p w14:paraId="02B85923" w14:textId="77777777" w:rsidR="00B82F75" w:rsidRPr="00F52C10" w:rsidRDefault="00B82F75" w:rsidP="00E4628E">
            <w:pPr>
              <w:pStyle w:val="Tabletext0"/>
              <w:spacing w:before="34" w:after="34" w:line="276" w:lineRule="auto"/>
              <w:rPr>
                <w:sz w:val="18"/>
                <w:szCs w:val="18"/>
                <w:lang w:val="en-CA"/>
              </w:rPr>
            </w:pPr>
          </w:p>
        </w:tc>
      </w:tr>
      <w:tr w:rsidR="00B82F75" w:rsidRPr="00F52C10" w14:paraId="7F8D61A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B181595" w14:textId="77777777" w:rsidR="00B82F75" w:rsidRPr="00F52C10" w:rsidRDefault="00B82F75" w:rsidP="00E4628E">
            <w:pPr>
              <w:pStyle w:val="Tabletext0"/>
              <w:spacing w:before="34" w:after="34" w:line="276" w:lineRule="auto"/>
              <w:rPr>
                <w:sz w:val="18"/>
                <w:szCs w:val="18"/>
              </w:rPr>
            </w:pPr>
            <w:r w:rsidRPr="00F52C10">
              <w:rPr>
                <w:sz w:val="18"/>
                <w:szCs w:val="18"/>
              </w:rPr>
              <w:t>CBG00000</w:t>
            </w:r>
          </w:p>
        </w:tc>
        <w:tc>
          <w:tcPr>
            <w:tcW w:w="1076" w:type="dxa"/>
            <w:tcBorders>
              <w:top w:val="single" w:sz="4" w:space="0" w:color="auto"/>
              <w:left w:val="single" w:sz="4" w:space="0" w:color="auto"/>
              <w:bottom w:val="single" w:sz="4" w:space="0" w:color="auto"/>
              <w:right w:val="single" w:sz="4" w:space="0" w:color="auto"/>
            </w:tcBorders>
          </w:tcPr>
          <w:p w14:paraId="2600D2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96,10</w:t>
            </w:r>
          </w:p>
        </w:tc>
        <w:tc>
          <w:tcPr>
            <w:tcW w:w="970" w:type="dxa"/>
            <w:tcBorders>
              <w:top w:val="single" w:sz="4" w:space="0" w:color="auto"/>
              <w:left w:val="single" w:sz="4" w:space="0" w:color="auto"/>
              <w:bottom w:val="single" w:sz="4" w:space="0" w:color="auto"/>
              <w:right w:val="single" w:sz="4" w:space="0" w:color="auto"/>
            </w:tcBorders>
          </w:tcPr>
          <w:p w14:paraId="08950B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105,10</w:t>
            </w:r>
          </w:p>
        </w:tc>
        <w:tc>
          <w:tcPr>
            <w:tcW w:w="907" w:type="dxa"/>
            <w:tcBorders>
              <w:top w:val="single" w:sz="4" w:space="0" w:color="auto"/>
              <w:left w:val="single" w:sz="4" w:space="0" w:color="auto"/>
              <w:bottom w:val="single" w:sz="4" w:space="0" w:color="auto"/>
              <w:right w:val="single" w:sz="4" w:space="0" w:color="auto"/>
            </w:tcBorders>
          </w:tcPr>
          <w:p w14:paraId="58F32C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016F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629C22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B09B6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A345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8B0C23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−40,4</w:t>
            </w:r>
          </w:p>
        </w:tc>
        <w:tc>
          <w:tcPr>
            <w:tcW w:w="907" w:type="dxa"/>
            <w:tcBorders>
              <w:top w:val="single" w:sz="4" w:space="0" w:color="auto"/>
              <w:left w:val="single" w:sz="4" w:space="0" w:color="auto"/>
              <w:bottom w:val="single" w:sz="4" w:space="0" w:color="auto"/>
              <w:right w:val="single" w:sz="4" w:space="0" w:color="auto"/>
            </w:tcBorders>
          </w:tcPr>
          <w:p w14:paraId="60177917" w14:textId="77777777" w:rsidR="00B82F75" w:rsidRPr="00F52C10" w:rsidRDefault="00B82F75" w:rsidP="00E4628E">
            <w:pPr>
              <w:pStyle w:val="Tabletext0"/>
              <w:spacing w:before="34" w:after="34" w:line="276" w:lineRule="auto"/>
              <w:rPr>
                <w:sz w:val="18"/>
                <w:szCs w:val="18"/>
                <w:lang w:val="en-CA"/>
              </w:rPr>
            </w:pPr>
          </w:p>
        </w:tc>
      </w:tr>
      <w:tr w:rsidR="00B82F75" w:rsidRPr="00F52C10" w14:paraId="2668523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DE794D6" w14:textId="77777777" w:rsidR="00B82F75" w:rsidRPr="00F52C10" w:rsidRDefault="00B82F75" w:rsidP="00E4628E">
            <w:pPr>
              <w:pStyle w:val="Tabletext0"/>
              <w:spacing w:before="34" w:after="34" w:line="276" w:lineRule="auto"/>
              <w:rPr>
                <w:sz w:val="18"/>
                <w:szCs w:val="18"/>
              </w:rPr>
            </w:pPr>
            <w:r w:rsidRPr="00F52C10">
              <w:rPr>
                <w:sz w:val="18"/>
                <w:szCs w:val="18"/>
              </w:rPr>
              <w:t>CHL00000</w:t>
            </w:r>
          </w:p>
        </w:tc>
        <w:tc>
          <w:tcPr>
            <w:tcW w:w="1076" w:type="dxa"/>
            <w:tcBorders>
              <w:top w:val="single" w:sz="4" w:space="0" w:color="auto"/>
              <w:left w:val="single" w:sz="4" w:space="0" w:color="auto"/>
              <w:bottom w:val="single" w:sz="4" w:space="0" w:color="auto"/>
              <w:right w:val="single" w:sz="4" w:space="0" w:color="auto"/>
            </w:tcBorders>
          </w:tcPr>
          <w:p w14:paraId="6845C1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−74,90</w:t>
            </w:r>
          </w:p>
        </w:tc>
        <w:tc>
          <w:tcPr>
            <w:tcW w:w="970" w:type="dxa"/>
            <w:tcBorders>
              <w:top w:val="single" w:sz="4" w:space="0" w:color="auto"/>
              <w:left w:val="single" w:sz="4" w:space="0" w:color="auto"/>
              <w:bottom w:val="single" w:sz="4" w:space="0" w:color="auto"/>
              <w:right w:val="single" w:sz="4" w:space="0" w:color="auto"/>
            </w:tcBorders>
          </w:tcPr>
          <w:p w14:paraId="572B19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−82,60</w:t>
            </w:r>
          </w:p>
        </w:tc>
        <w:tc>
          <w:tcPr>
            <w:tcW w:w="907" w:type="dxa"/>
            <w:tcBorders>
              <w:top w:val="single" w:sz="4" w:space="0" w:color="auto"/>
              <w:left w:val="single" w:sz="4" w:space="0" w:color="auto"/>
              <w:bottom w:val="single" w:sz="4" w:space="0" w:color="auto"/>
              <w:right w:val="single" w:sz="4" w:space="0" w:color="auto"/>
            </w:tcBorders>
          </w:tcPr>
          <w:p w14:paraId="2B7737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87EC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49730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2F8A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E0A6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65C21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−38,4</w:t>
            </w:r>
          </w:p>
        </w:tc>
        <w:tc>
          <w:tcPr>
            <w:tcW w:w="907" w:type="dxa"/>
            <w:tcBorders>
              <w:top w:val="single" w:sz="4" w:space="0" w:color="auto"/>
              <w:left w:val="single" w:sz="4" w:space="0" w:color="auto"/>
              <w:bottom w:val="single" w:sz="4" w:space="0" w:color="auto"/>
              <w:right w:val="single" w:sz="4" w:space="0" w:color="auto"/>
            </w:tcBorders>
          </w:tcPr>
          <w:p w14:paraId="676B9CB9" w14:textId="77777777" w:rsidR="00B82F75" w:rsidRPr="00F52C10" w:rsidRDefault="00B82F75" w:rsidP="00E4628E">
            <w:pPr>
              <w:pStyle w:val="Tabletext0"/>
              <w:spacing w:before="34" w:after="34" w:line="276" w:lineRule="auto"/>
              <w:rPr>
                <w:sz w:val="18"/>
                <w:szCs w:val="18"/>
                <w:lang w:val="en-CA"/>
              </w:rPr>
            </w:pPr>
          </w:p>
        </w:tc>
      </w:tr>
      <w:tr w:rsidR="00B82F75" w:rsidRPr="00F52C10" w14:paraId="50993CF0"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B275FED" w14:textId="77777777" w:rsidR="00B82F75" w:rsidRPr="00F52C10" w:rsidRDefault="00B82F75" w:rsidP="00E4628E">
            <w:pPr>
              <w:pStyle w:val="Tabletext0"/>
              <w:spacing w:before="34" w:after="34" w:line="276" w:lineRule="auto"/>
              <w:rPr>
                <w:sz w:val="18"/>
                <w:szCs w:val="18"/>
              </w:rPr>
            </w:pPr>
            <w:r w:rsidRPr="00F52C10">
              <w:rPr>
                <w:sz w:val="18"/>
                <w:szCs w:val="18"/>
              </w:rPr>
              <w:t>CHN00001</w:t>
            </w:r>
          </w:p>
        </w:tc>
        <w:tc>
          <w:tcPr>
            <w:tcW w:w="1076" w:type="dxa"/>
            <w:tcBorders>
              <w:top w:val="single" w:sz="4" w:space="0" w:color="auto"/>
              <w:left w:val="single" w:sz="4" w:space="0" w:color="auto"/>
              <w:bottom w:val="single" w:sz="4" w:space="0" w:color="auto"/>
              <w:right w:val="single" w:sz="4" w:space="0" w:color="auto"/>
            </w:tcBorders>
          </w:tcPr>
          <w:p w14:paraId="0097CD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101,40</w:t>
            </w:r>
          </w:p>
        </w:tc>
        <w:tc>
          <w:tcPr>
            <w:tcW w:w="970" w:type="dxa"/>
            <w:tcBorders>
              <w:top w:val="single" w:sz="4" w:space="0" w:color="auto"/>
              <w:left w:val="single" w:sz="4" w:space="0" w:color="auto"/>
              <w:bottom w:val="single" w:sz="4" w:space="0" w:color="auto"/>
              <w:right w:val="single" w:sz="4" w:space="0" w:color="auto"/>
            </w:tcBorders>
          </w:tcPr>
          <w:p w14:paraId="5AAC0A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103,70</w:t>
            </w:r>
          </w:p>
        </w:tc>
        <w:tc>
          <w:tcPr>
            <w:tcW w:w="907" w:type="dxa"/>
            <w:tcBorders>
              <w:top w:val="single" w:sz="4" w:space="0" w:color="auto"/>
              <w:left w:val="single" w:sz="4" w:space="0" w:color="auto"/>
              <w:bottom w:val="single" w:sz="4" w:space="0" w:color="auto"/>
              <w:right w:val="single" w:sz="4" w:space="0" w:color="auto"/>
            </w:tcBorders>
          </w:tcPr>
          <w:p w14:paraId="1524F9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69616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EEE4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B442F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F7A463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E56E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−38,3</w:t>
            </w:r>
          </w:p>
        </w:tc>
        <w:tc>
          <w:tcPr>
            <w:tcW w:w="907" w:type="dxa"/>
            <w:tcBorders>
              <w:top w:val="single" w:sz="4" w:space="0" w:color="auto"/>
              <w:left w:val="single" w:sz="4" w:space="0" w:color="auto"/>
              <w:bottom w:val="single" w:sz="4" w:space="0" w:color="auto"/>
              <w:right w:val="single" w:sz="4" w:space="0" w:color="auto"/>
            </w:tcBorders>
          </w:tcPr>
          <w:p w14:paraId="0CD48905" w14:textId="77777777" w:rsidR="00B82F75" w:rsidRPr="00F52C10" w:rsidRDefault="00B82F75" w:rsidP="00E4628E">
            <w:pPr>
              <w:pStyle w:val="Tabletext0"/>
              <w:spacing w:before="34" w:after="34" w:line="276" w:lineRule="auto"/>
              <w:rPr>
                <w:sz w:val="18"/>
                <w:szCs w:val="18"/>
                <w:lang w:val="en-CA"/>
              </w:rPr>
            </w:pPr>
          </w:p>
        </w:tc>
      </w:tr>
      <w:tr w:rsidR="00B82F75" w:rsidRPr="00F52C10" w14:paraId="751808D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1C39EE7" w14:textId="77777777" w:rsidR="00B82F75" w:rsidRPr="00F52C10" w:rsidRDefault="00B82F75" w:rsidP="00E4628E">
            <w:pPr>
              <w:pStyle w:val="Tabletext0"/>
              <w:spacing w:before="34" w:after="34" w:line="276" w:lineRule="auto"/>
              <w:rPr>
                <w:sz w:val="18"/>
                <w:szCs w:val="18"/>
              </w:rPr>
            </w:pPr>
            <w:r w:rsidRPr="00F52C10">
              <w:rPr>
                <w:sz w:val="18"/>
                <w:szCs w:val="18"/>
              </w:rPr>
              <w:t>CHN00002</w:t>
            </w:r>
          </w:p>
        </w:tc>
        <w:tc>
          <w:tcPr>
            <w:tcW w:w="1076" w:type="dxa"/>
            <w:tcBorders>
              <w:top w:val="single" w:sz="4" w:space="0" w:color="auto"/>
              <w:left w:val="single" w:sz="4" w:space="0" w:color="auto"/>
              <w:bottom w:val="single" w:sz="4" w:space="0" w:color="auto"/>
              <w:right w:val="single" w:sz="4" w:space="0" w:color="auto"/>
            </w:tcBorders>
          </w:tcPr>
          <w:p w14:paraId="68B3C3F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135,50</w:t>
            </w:r>
          </w:p>
        </w:tc>
        <w:tc>
          <w:tcPr>
            <w:tcW w:w="970" w:type="dxa"/>
            <w:tcBorders>
              <w:top w:val="single" w:sz="4" w:space="0" w:color="auto"/>
              <w:left w:val="single" w:sz="4" w:space="0" w:color="auto"/>
              <w:bottom w:val="single" w:sz="4" w:space="0" w:color="auto"/>
              <w:right w:val="single" w:sz="4" w:space="0" w:color="auto"/>
            </w:tcBorders>
          </w:tcPr>
          <w:p w14:paraId="537259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114,80</w:t>
            </w:r>
          </w:p>
        </w:tc>
        <w:tc>
          <w:tcPr>
            <w:tcW w:w="907" w:type="dxa"/>
            <w:tcBorders>
              <w:top w:val="single" w:sz="4" w:space="0" w:color="auto"/>
              <w:left w:val="single" w:sz="4" w:space="0" w:color="auto"/>
              <w:bottom w:val="single" w:sz="4" w:space="0" w:color="auto"/>
              <w:right w:val="single" w:sz="4" w:space="0" w:color="auto"/>
            </w:tcBorders>
          </w:tcPr>
          <w:p w14:paraId="64E599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4A5A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8401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2CD1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791B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0FDE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−38,7</w:t>
            </w:r>
          </w:p>
        </w:tc>
        <w:tc>
          <w:tcPr>
            <w:tcW w:w="907" w:type="dxa"/>
            <w:tcBorders>
              <w:top w:val="single" w:sz="4" w:space="0" w:color="auto"/>
              <w:left w:val="single" w:sz="4" w:space="0" w:color="auto"/>
              <w:bottom w:val="single" w:sz="4" w:space="0" w:color="auto"/>
              <w:right w:val="single" w:sz="4" w:space="0" w:color="auto"/>
            </w:tcBorders>
          </w:tcPr>
          <w:p w14:paraId="63E220FA" w14:textId="77777777" w:rsidR="00B82F75" w:rsidRPr="00F52C10" w:rsidRDefault="00B82F75" w:rsidP="00E4628E">
            <w:pPr>
              <w:pStyle w:val="Tabletext0"/>
              <w:spacing w:before="34" w:after="34" w:line="276" w:lineRule="auto"/>
              <w:rPr>
                <w:sz w:val="18"/>
                <w:szCs w:val="18"/>
                <w:lang w:val="en-CA"/>
              </w:rPr>
            </w:pPr>
          </w:p>
        </w:tc>
      </w:tr>
      <w:tr w:rsidR="00B82F75" w:rsidRPr="00F52C10" w14:paraId="2EAEBCB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618CB4C" w14:textId="77777777" w:rsidR="00B82F75" w:rsidRPr="00F52C10" w:rsidRDefault="00B82F75" w:rsidP="00E4628E">
            <w:pPr>
              <w:pStyle w:val="Tabletext0"/>
              <w:spacing w:before="34" w:after="34" w:line="276" w:lineRule="auto"/>
              <w:rPr>
                <w:sz w:val="18"/>
                <w:szCs w:val="18"/>
              </w:rPr>
            </w:pPr>
            <w:r w:rsidRPr="00F52C10">
              <w:rPr>
                <w:sz w:val="18"/>
                <w:szCs w:val="18"/>
              </w:rPr>
              <w:t>CLM00000</w:t>
            </w:r>
          </w:p>
        </w:tc>
        <w:tc>
          <w:tcPr>
            <w:tcW w:w="1076" w:type="dxa"/>
            <w:tcBorders>
              <w:top w:val="single" w:sz="4" w:space="0" w:color="auto"/>
              <w:left w:val="single" w:sz="4" w:space="0" w:color="auto"/>
              <w:bottom w:val="single" w:sz="4" w:space="0" w:color="auto"/>
              <w:right w:val="single" w:sz="4" w:space="0" w:color="auto"/>
            </w:tcBorders>
          </w:tcPr>
          <w:p w14:paraId="703BE1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−70,90</w:t>
            </w:r>
          </w:p>
        </w:tc>
        <w:tc>
          <w:tcPr>
            <w:tcW w:w="970" w:type="dxa"/>
            <w:tcBorders>
              <w:top w:val="single" w:sz="4" w:space="0" w:color="auto"/>
              <w:left w:val="single" w:sz="4" w:space="0" w:color="auto"/>
              <w:bottom w:val="single" w:sz="4" w:space="0" w:color="auto"/>
              <w:right w:val="single" w:sz="4" w:space="0" w:color="auto"/>
            </w:tcBorders>
          </w:tcPr>
          <w:p w14:paraId="444008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−74,00</w:t>
            </w:r>
          </w:p>
        </w:tc>
        <w:tc>
          <w:tcPr>
            <w:tcW w:w="907" w:type="dxa"/>
            <w:tcBorders>
              <w:top w:val="single" w:sz="4" w:space="0" w:color="auto"/>
              <w:left w:val="single" w:sz="4" w:space="0" w:color="auto"/>
              <w:bottom w:val="single" w:sz="4" w:space="0" w:color="auto"/>
              <w:right w:val="single" w:sz="4" w:space="0" w:color="auto"/>
            </w:tcBorders>
          </w:tcPr>
          <w:p w14:paraId="6789ED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7298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44F220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AD883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F3367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18D9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w:t>
            </w:r>
          </w:p>
        </w:tc>
        <w:tc>
          <w:tcPr>
            <w:tcW w:w="907" w:type="dxa"/>
            <w:tcBorders>
              <w:top w:val="single" w:sz="4" w:space="0" w:color="auto"/>
              <w:left w:val="single" w:sz="4" w:space="0" w:color="auto"/>
              <w:bottom w:val="single" w:sz="4" w:space="0" w:color="auto"/>
              <w:right w:val="single" w:sz="4" w:space="0" w:color="auto"/>
            </w:tcBorders>
          </w:tcPr>
          <w:p w14:paraId="5E639DEF" w14:textId="77777777" w:rsidR="00B82F75" w:rsidRPr="00F52C10" w:rsidRDefault="00B82F75" w:rsidP="00E4628E">
            <w:pPr>
              <w:pStyle w:val="Tabletext0"/>
              <w:spacing w:before="34" w:after="34" w:line="276" w:lineRule="auto"/>
              <w:rPr>
                <w:sz w:val="18"/>
                <w:szCs w:val="18"/>
                <w:lang w:val="en-CA"/>
              </w:rPr>
            </w:pPr>
          </w:p>
        </w:tc>
      </w:tr>
      <w:tr w:rsidR="00B82F75" w:rsidRPr="00F52C10" w14:paraId="4A412B6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08B22C9" w14:textId="77777777" w:rsidR="00B82F75" w:rsidRPr="00F52C10" w:rsidRDefault="00B82F75" w:rsidP="00E4628E">
            <w:pPr>
              <w:pStyle w:val="Tabletext0"/>
              <w:spacing w:before="34" w:after="34" w:line="276" w:lineRule="auto"/>
              <w:rPr>
                <w:sz w:val="18"/>
                <w:szCs w:val="18"/>
              </w:rPr>
            </w:pPr>
            <w:r w:rsidRPr="00F52C10">
              <w:rPr>
                <w:sz w:val="18"/>
                <w:szCs w:val="18"/>
              </w:rPr>
              <w:lastRenderedPageBreak/>
              <w:t>CLN00000</w:t>
            </w:r>
          </w:p>
        </w:tc>
        <w:tc>
          <w:tcPr>
            <w:tcW w:w="1076" w:type="dxa"/>
            <w:tcBorders>
              <w:top w:val="single" w:sz="4" w:space="0" w:color="auto"/>
              <w:left w:val="single" w:sz="4" w:space="0" w:color="auto"/>
              <w:bottom w:val="single" w:sz="4" w:space="0" w:color="auto"/>
              <w:right w:val="single" w:sz="4" w:space="0" w:color="auto"/>
            </w:tcBorders>
          </w:tcPr>
          <w:p w14:paraId="74C22C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121,50</w:t>
            </w:r>
          </w:p>
        </w:tc>
        <w:tc>
          <w:tcPr>
            <w:tcW w:w="970" w:type="dxa"/>
            <w:tcBorders>
              <w:top w:val="single" w:sz="4" w:space="0" w:color="auto"/>
              <w:left w:val="single" w:sz="4" w:space="0" w:color="auto"/>
              <w:bottom w:val="single" w:sz="4" w:space="0" w:color="auto"/>
              <w:right w:val="single" w:sz="4" w:space="0" w:color="auto"/>
            </w:tcBorders>
          </w:tcPr>
          <w:p w14:paraId="582376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80,10</w:t>
            </w:r>
          </w:p>
        </w:tc>
        <w:tc>
          <w:tcPr>
            <w:tcW w:w="907" w:type="dxa"/>
            <w:tcBorders>
              <w:top w:val="single" w:sz="4" w:space="0" w:color="auto"/>
              <w:left w:val="single" w:sz="4" w:space="0" w:color="auto"/>
              <w:bottom w:val="single" w:sz="4" w:space="0" w:color="auto"/>
              <w:right w:val="single" w:sz="4" w:space="0" w:color="auto"/>
            </w:tcBorders>
          </w:tcPr>
          <w:p w14:paraId="638439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A84D0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9FA3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53AB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E636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B526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−41,2</w:t>
            </w:r>
          </w:p>
        </w:tc>
        <w:tc>
          <w:tcPr>
            <w:tcW w:w="907" w:type="dxa"/>
            <w:tcBorders>
              <w:top w:val="single" w:sz="4" w:space="0" w:color="auto"/>
              <w:left w:val="single" w:sz="4" w:space="0" w:color="auto"/>
              <w:bottom w:val="single" w:sz="4" w:space="0" w:color="auto"/>
              <w:right w:val="single" w:sz="4" w:space="0" w:color="auto"/>
            </w:tcBorders>
          </w:tcPr>
          <w:p w14:paraId="169AC340" w14:textId="77777777" w:rsidR="00B82F75" w:rsidRPr="00F52C10" w:rsidRDefault="00B82F75" w:rsidP="00E4628E">
            <w:pPr>
              <w:pStyle w:val="Tabletext0"/>
              <w:spacing w:before="34" w:after="34" w:line="276" w:lineRule="auto"/>
              <w:rPr>
                <w:sz w:val="18"/>
                <w:szCs w:val="18"/>
                <w:lang w:val="en-CA"/>
              </w:rPr>
            </w:pPr>
          </w:p>
        </w:tc>
      </w:tr>
      <w:tr w:rsidR="00B82F75" w:rsidRPr="00F52C10" w14:paraId="59441B2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12A7D8F" w14:textId="77777777" w:rsidR="00B82F75" w:rsidRPr="00F52C10" w:rsidRDefault="00B82F75" w:rsidP="00E4628E">
            <w:pPr>
              <w:pStyle w:val="Tabletext0"/>
              <w:spacing w:before="34" w:after="34" w:line="276" w:lineRule="auto"/>
              <w:rPr>
                <w:sz w:val="18"/>
                <w:szCs w:val="18"/>
              </w:rPr>
            </w:pPr>
            <w:r w:rsidRPr="00F52C10">
              <w:rPr>
                <w:sz w:val="18"/>
                <w:szCs w:val="18"/>
              </w:rPr>
              <w:t>CME00000</w:t>
            </w:r>
          </w:p>
        </w:tc>
        <w:tc>
          <w:tcPr>
            <w:tcW w:w="1076" w:type="dxa"/>
            <w:tcBorders>
              <w:top w:val="single" w:sz="4" w:space="0" w:color="auto"/>
              <w:left w:val="single" w:sz="4" w:space="0" w:color="auto"/>
              <w:bottom w:val="single" w:sz="4" w:space="0" w:color="auto"/>
              <w:right w:val="single" w:sz="4" w:space="0" w:color="auto"/>
            </w:tcBorders>
          </w:tcPr>
          <w:p w14:paraId="161FB5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7,98</w:t>
            </w:r>
          </w:p>
        </w:tc>
        <w:tc>
          <w:tcPr>
            <w:tcW w:w="970" w:type="dxa"/>
            <w:tcBorders>
              <w:top w:val="single" w:sz="4" w:space="0" w:color="auto"/>
              <w:left w:val="single" w:sz="4" w:space="0" w:color="auto"/>
              <w:bottom w:val="single" w:sz="4" w:space="0" w:color="auto"/>
              <w:right w:val="single" w:sz="4" w:space="0" w:color="auto"/>
            </w:tcBorders>
          </w:tcPr>
          <w:p w14:paraId="598E9E6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12,90</w:t>
            </w:r>
          </w:p>
        </w:tc>
        <w:tc>
          <w:tcPr>
            <w:tcW w:w="907" w:type="dxa"/>
            <w:tcBorders>
              <w:top w:val="single" w:sz="4" w:space="0" w:color="auto"/>
              <w:left w:val="single" w:sz="4" w:space="0" w:color="auto"/>
              <w:bottom w:val="single" w:sz="4" w:space="0" w:color="auto"/>
              <w:right w:val="single" w:sz="4" w:space="0" w:color="auto"/>
            </w:tcBorders>
          </w:tcPr>
          <w:p w14:paraId="4F5F34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607D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AAD47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967A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EFB6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3245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−39,5</w:t>
            </w:r>
          </w:p>
        </w:tc>
        <w:tc>
          <w:tcPr>
            <w:tcW w:w="907" w:type="dxa"/>
            <w:tcBorders>
              <w:top w:val="single" w:sz="4" w:space="0" w:color="auto"/>
              <w:left w:val="single" w:sz="4" w:space="0" w:color="auto"/>
              <w:bottom w:val="single" w:sz="4" w:space="0" w:color="auto"/>
              <w:right w:val="single" w:sz="4" w:space="0" w:color="auto"/>
            </w:tcBorders>
          </w:tcPr>
          <w:p w14:paraId="61AD87EB" w14:textId="77777777" w:rsidR="00B82F75" w:rsidRPr="00F52C10" w:rsidRDefault="00B82F75" w:rsidP="00E4628E">
            <w:pPr>
              <w:pStyle w:val="Tabletext0"/>
              <w:spacing w:before="34" w:after="34" w:line="276" w:lineRule="auto"/>
              <w:rPr>
                <w:sz w:val="18"/>
                <w:szCs w:val="18"/>
                <w:lang w:val="en-CA"/>
              </w:rPr>
            </w:pPr>
          </w:p>
        </w:tc>
      </w:tr>
      <w:tr w:rsidR="00B82F75" w:rsidRPr="00F52C10" w14:paraId="46B66E1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4D2D71A" w14:textId="77777777" w:rsidR="00B82F75" w:rsidRPr="00F52C10" w:rsidRDefault="00B82F75" w:rsidP="00E4628E">
            <w:pPr>
              <w:pStyle w:val="Tabletext0"/>
              <w:spacing w:before="34" w:after="34" w:line="276" w:lineRule="auto"/>
              <w:rPr>
                <w:sz w:val="18"/>
                <w:szCs w:val="18"/>
              </w:rPr>
            </w:pPr>
            <w:r w:rsidRPr="00F52C10">
              <w:rPr>
                <w:sz w:val="18"/>
                <w:szCs w:val="18"/>
              </w:rPr>
              <w:t>CNR00000</w:t>
            </w:r>
          </w:p>
        </w:tc>
        <w:tc>
          <w:tcPr>
            <w:tcW w:w="1076" w:type="dxa"/>
            <w:tcBorders>
              <w:top w:val="single" w:sz="4" w:space="0" w:color="auto"/>
              <w:left w:val="single" w:sz="4" w:space="0" w:color="auto"/>
              <w:bottom w:val="single" w:sz="4" w:space="0" w:color="auto"/>
              <w:right w:val="single" w:sz="4" w:space="0" w:color="auto"/>
            </w:tcBorders>
          </w:tcPr>
          <w:p w14:paraId="4792C6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−30,00</w:t>
            </w:r>
          </w:p>
        </w:tc>
        <w:tc>
          <w:tcPr>
            <w:tcW w:w="970" w:type="dxa"/>
            <w:tcBorders>
              <w:top w:val="single" w:sz="4" w:space="0" w:color="auto"/>
              <w:left w:val="single" w:sz="4" w:space="0" w:color="auto"/>
              <w:bottom w:val="single" w:sz="4" w:space="0" w:color="auto"/>
              <w:right w:val="single" w:sz="4" w:space="0" w:color="auto"/>
            </w:tcBorders>
          </w:tcPr>
          <w:p w14:paraId="64E195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w:t>
            </w:r>
          </w:p>
        </w:tc>
        <w:tc>
          <w:tcPr>
            <w:tcW w:w="907" w:type="dxa"/>
            <w:tcBorders>
              <w:top w:val="single" w:sz="4" w:space="0" w:color="auto"/>
              <w:left w:val="single" w:sz="4" w:space="0" w:color="auto"/>
              <w:bottom w:val="single" w:sz="4" w:space="0" w:color="auto"/>
              <w:right w:val="single" w:sz="4" w:space="0" w:color="auto"/>
            </w:tcBorders>
          </w:tcPr>
          <w:p w14:paraId="3D3D49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3E124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F5127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5FB2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D6261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3366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07" w:type="dxa"/>
            <w:tcBorders>
              <w:top w:val="single" w:sz="4" w:space="0" w:color="auto"/>
              <w:left w:val="single" w:sz="4" w:space="0" w:color="auto"/>
              <w:bottom w:val="single" w:sz="4" w:space="0" w:color="auto"/>
              <w:right w:val="single" w:sz="4" w:space="0" w:color="auto"/>
            </w:tcBorders>
          </w:tcPr>
          <w:p w14:paraId="58E7911A" w14:textId="77777777" w:rsidR="00B82F75" w:rsidRPr="00F52C10" w:rsidRDefault="00B82F75" w:rsidP="00E4628E">
            <w:pPr>
              <w:pStyle w:val="Tabletext0"/>
              <w:spacing w:before="34" w:after="34" w:line="276" w:lineRule="auto"/>
              <w:rPr>
                <w:sz w:val="18"/>
                <w:szCs w:val="18"/>
              </w:rPr>
            </w:pPr>
            <w:r w:rsidRPr="00F52C10">
              <w:rPr>
                <w:sz w:val="18"/>
                <w:szCs w:val="18"/>
              </w:rPr>
              <w:t>*/MB8</w:t>
            </w:r>
          </w:p>
        </w:tc>
      </w:tr>
      <w:tr w:rsidR="00B82F75" w:rsidRPr="00F52C10" w14:paraId="70A4F48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FA9FB16" w14:textId="77777777" w:rsidR="00B82F75" w:rsidRPr="00F52C10" w:rsidRDefault="00B82F75" w:rsidP="00E4628E">
            <w:pPr>
              <w:pStyle w:val="Tabletext0"/>
              <w:spacing w:before="34" w:after="34" w:line="276" w:lineRule="auto"/>
              <w:rPr>
                <w:sz w:val="18"/>
                <w:szCs w:val="18"/>
              </w:rPr>
            </w:pPr>
            <w:r w:rsidRPr="00F52C10">
              <w:rPr>
                <w:sz w:val="18"/>
                <w:szCs w:val="18"/>
              </w:rPr>
              <w:t>COD00000</w:t>
            </w:r>
          </w:p>
        </w:tc>
        <w:tc>
          <w:tcPr>
            <w:tcW w:w="1076" w:type="dxa"/>
            <w:tcBorders>
              <w:top w:val="single" w:sz="4" w:space="0" w:color="auto"/>
              <w:left w:val="single" w:sz="4" w:space="0" w:color="auto"/>
              <w:bottom w:val="single" w:sz="4" w:space="0" w:color="auto"/>
              <w:right w:val="single" w:sz="4" w:space="0" w:color="auto"/>
            </w:tcBorders>
          </w:tcPr>
          <w:p w14:paraId="171264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50,95</w:t>
            </w:r>
          </w:p>
        </w:tc>
        <w:tc>
          <w:tcPr>
            <w:tcW w:w="970" w:type="dxa"/>
            <w:tcBorders>
              <w:top w:val="single" w:sz="4" w:space="0" w:color="auto"/>
              <w:left w:val="single" w:sz="4" w:space="0" w:color="auto"/>
              <w:bottom w:val="single" w:sz="4" w:space="0" w:color="auto"/>
              <w:right w:val="single" w:sz="4" w:space="0" w:color="auto"/>
            </w:tcBorders>
          </w:tcPr>
          <w:p w14:paraId="37A8E5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24,40</w:t>
            </w:r>
          </w:p>
        </w:tc>
        <w:tc>
          <w:tcPr>
            <w:tcW w:w="907" w:type="dxa"/>
            <w:tcBorders>
              <w:top w:val="single" w:sz="4" w:space="0" w:color="auto"/>
              <w:left w:val="single" w:sz="4" w:space="0" w:color="auto"/>
              <w:bottom w:val="single" w:sz="4" w:space="0" w:color="auto"/>
              <w:right w:val="single" w:sz="4" w:space="0" w:color="auto"/>
            </w:tcBorders>
          </w:tcPr>
          <w:p w14:paraId="658846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7F816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7DEF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149CC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92,00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3901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0FAB7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−38,5</w:t>
            </w:r>
          </w:p>
        </w:tc>
        <w:tc>
          <w:tcPr>
            <w:tcW w:w="907" w:type="dxa"/>
            <w:tcBorders>
              <w:top w:val="single" w:sz="4" w:space="0" w:color="auto"/>
              <w:left w:val="single" w:sz="4" w:space="0" w:color="auto"/>
              <w:bottom w:val="single" w:sz="4" w:space="0" w:color="auto"/>
              <w:right w:val="single" w:sz="4" w:space="0" w:color="auto"/>
            </w:tcBorders>
          </w:tcPr>
          <w:p w14:paraId="2D6757ED" w14:textId="77777777" w:rsidR="00B82F75" w:rsidRPr="00F52C10" w:rsidRDefault="00B82F75" w:rsidP="00E4628E">
            <w:pPr>
              <w:pStyle w:val="Tabletext0"/>
              <w:spacing w:before="34" w:after="34" w:line="276" w:lineRule="auto"/>
              <w:rPr>
                <w:sz w:val="18"/>
                <w:szCs w:val="18"/>
                <w:lang w:val="en-CA"/>
              </w:rPr>
            </w:pPr>
          </w:p>
        </w:tc>
      </w:tr>
      <w:tr w:rsidR="00B82F75" w:rsidRPr="00F52C10" w14:paraId="75713F1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34553FF" w14:textId="77777777" w:rsidR="00B82F75" w:rsidRPr="00F52C10" w:rsidRDefault="00B82F75" w:rsidP="00E4628E">
            <w:pPr>
              <w:pStyle w:val="Tabletext0"/>
              <w:spacing w:before="34" w:after="34" w:line="276" w:lineRule="auto"/>
              <w:rPr>
                <w:sz w:val="18"/>
                <w:szCs w:val="18"/>
              </w:rPr>
            </w:pPr>
            <w:r w:rsidRPr="00F52C10">
              <w:rPr>
                <w:sz w:val="18"/>
                <w:szCs w:val="18"/>
              </w:rPr>
              <w:t>COG00000</w:t>
            </w:r>
          </w:p>
        </w:tc>
        <w:tc>
          <w:tcPr>
            <w:tcW w:w="1076" w:type="dxa"/>
            <w:tcBorders>
              <w:top w:val="single" w:sz="4" w:space="0" w:color="auto"/>
              <w:left w:val="single" w:sz="4" w:space="0" w:color="auto"/>
              <w:bottom w:val="single" w:sz="4" w:space="0" w:color="auto"/>
              <w:right w:val="single" w:sz="4" w:space="0" w:color="auto"/>
            </w:tcBorders>
          </w:tcPr>
          <w:p w14:paraId="15B406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−16,35</w:t>
            </w:r>
          </w:p>
        </w:tc>
        <w:tc>
          <w:tcPr>
            <w:tcW w:w="970" w:type="dxa"/>
            <w:tcBorders>
              <w:top w:val="single" w:sz="4" w:space="0" w:color="auto"/>
              <w:left w:val="single" w:sz="4" w:space="0" w:color="auto"/>
              <w:bottom w:val="single" w:sz="4" w:space="0" w:color="auto"/>
              <w:right w:val="single" w:sz="4" w:space="0" w:color="auto"/>
            </w:tcBorders>
          </w:tcPr>
          <w:p w14:paraId="3657EA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14,80</w:t>
            </w:r>
          </w:p>
        </w:tc>
        <w:tc>
          <w:tcPr>
            <w:tcW w:w="907" w:type="dxa"/>
            <w:tcBorders>
              <w:top w:val="single" w:sz="4" w:space="0" w:color="auto"/>
              <w:left w:val="single" w:sz="4" w:space="0" w:color="auto"/>
              <w:bottom w:val="single" w:sz="4" w:space="0" w:color="auto"/>
              <w:right w:val="single" w:sz="4" w:space="0" w:color="auto"/>
            </w:tcBorders>
          </w:tcPr>
          <w:p w14:paraId="65C644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4B53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ECD6C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9BC98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3448A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8243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−38,8</w:t>
            </w:r>
          </w:p>
        </w:tc>
        <w:tc>
          <w:tcPr>
            <w:tcW w:w="907" w:type="dxa"/>
            <w:tcBorders>
              <w:top w:val="single" w:sz="4" w:space="0" w:color="auto"/>
              <w:left w:val="single" w:sz="4" w:space="0" w:color="auto"/>
              <w:bottom w:val="single" w:sz="4" w:space="0" w:color="auto"/>
              <w:right w:val="single" w:sz="4" w:space="0" w:color="auto"/>
            </w:tcBorders>
          </w:tcPr>
          <w:p w14:paraId="3B6D9170" w14:textId="77777777" w:rsidR="00B82F75" w:rsidRPr="00F52C10" w:rsidRDefault="00B82F75" w:rsidP="00E4628E">
            <w:pPr>
              <w:pStyle w:val="Tabletext0"/>
              <w:spacing w:before="34" w:after="34" w:line="276" w:lineRule="auto"/>
              <w:rPr>
                <w:sz w:val="18"/>
                <w:szCs w:val="18"/>
                <w:lang w:val="en-CA"/>
              </w:rPr>
            </w:pPr>
          </w:p>
        </w:tc>
      </w:tr>
      <w:tr w:rsidR="00B82F75" w:rsidRPr="00F52C10" w14:paraId="14F862D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48F3C0A" w14:textId="77777777" w:rsidR="00B82F75" w:rsidRPr="00F52C10" w:rsidRDefault="00B82F75" w:rsidP="00E4628E">
            <w:pPr>
              <w:pStyle w:val="Tabletext0"/>
              <w:spacing w:before="34" w:after="34" w:line="276" w:lineRule="auto"/>
              <w:rPr>
                <w:sz w:val="18"/>
                <w:szCs w:val="18"/>
              </w:rPr>
            </w:pPr>
            <w:r w:rsidRPr="00F52C10">
              <w:rPr>
                <w:sz w:val="18"/>
                <w:szCs w:val="18"/>
              </w:rPr>
              <w:t>COM00000</w:t>
            </w:r>
          </w:p>
        </w:tc>
        <w:tc>
          <w:tcPr>
            <w:tcW w:w="1076" w:type="dxa"/>
            <w:tcBorders>
              <w:top w:val="single" w:sz="4" w:space="0" w:color="auto"/>
              <w:left w:val="single" w:sz="4" w:space="0" w:color="auto"/>
              <w:bottom w:val="single" w:sz="4" w:space="0" w:color="auto"/>
              <w:right w:val="single" w:sz="4" w:space="0" w:color="auto"/>
            </w:tcBorders>
          </w:tcPr>
          <w:p w14:paraId="55FF12E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94,50</w:t>
            </w:r>
          </w:p>
        </w:tc>
        <w:tc>
          <w:tcPr>
            <w:tcW w:w="970" w:type="dxa"/>
            <w:tcBorders>
              <w:top w:val="single" w:sz="4" w:space="0" w:color="auto"/>
              <w:left w:val="single" w:sz="4" w:space="0" w:color="auto"/>
              <w:bottom w:val="single" w:sz="4" w:space="0" w:color="auto"/>
              <w:right w:val="single" w:sz="4" w:space="0" w:color="auto"/>
            </w:tcBorders>
          </w:tcPr>
          <w:p w14:paraId="358484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44,10</w:t>
            </w:r>
          </w:p>
        </w:tc>
        <w:tc>
          <w:tcPr>
            <w:tcW w:w="907" w:type="dxa"/>
            <w:tcBorders>
              <w:top w:val="single" w:sz="4" w:space="0" w:color="auto"/>
              <w:left w:val="single" w:sz="4" w:space="0" w:color="auto"/>
              <w:bottom w:val="single" w:sz="4" w:space="0" w:color="auto"/>
              <w:right w:val="single" w:sz="4" w:space="0" w:color="auto"/>
            </w:tcBorders>
          </w:tcPr>
          <w:p w14:paraId="37E3B8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63CCC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84F1F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843B1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7F2DAC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ABF12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w:t>
            </w:r>
          </w:p>
        </w:tc>
        <w:tc>
          <w:tcPr>
            <w:tcW w:w="907" w:type="dxa"/>
            <w:tcBorders>
              <w:top w:val="single" w:sz="4" w:space="0" w:color="auto"/>
              <w:left w:val="single" w:sz="4" w:space="0" w:color="auto"/>
              <w:bottom w:val="single" w:sz="4" w:space="0" w:color="auto"/>
              <w:right w:val="single" w:sz="4" w:space="0" w:color="auto"/>
            </w:tcBorders>
          </w:tcPr>
          <w:p w14:paraId="5F31CFA9" w14:textId="77777777" w:rsidR="00B82F75" w:rsidRPr="00F52C10" w:rsidRDefault="00B82F75" w:rsidP="00E4628E">
            <w:pPr>
              <w:pStyle w:val="Tabletext0"/>
              <w:spacing w:before="34" w:after="34" w:line="276" w:lineRule="auto"/>
              <w:rPr>
                <w:sz w:val="18"/>
                <w:szCs w:val="18"/>
                <w:lang w:val="en-CA"/>
              </w:rPr>
            </w:pPr>
          </w:p>
        </w:tc>
      </w:tr>
      <w:tr w:rsidR="00B82F75" w:rsidRPr="00F52C10" w14:paraId="74844E20"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7F54AF2" w14:textId="77777777" w:rsidR="00B82F75" w:rsidRPr="00F52C10" w:rsidRDefault="00B82F75" w:rsidP="00E4628E">
            <w:pPr>
              <w:pStyle w:val="Tabletext0"/>
              <w:spacing w:before="34" w:after="34" w:line="276" w:lineRule="auto"/>
              <w:rPr>
                <w:sz w:val="18"/>
                <w:szCs w:val="18"/>
              </w:rPr>
            </w:pPr>
            <w:r w:rsidRPr="00F52C10">
              <w:rPr>
                <w:sz w:val="18"/>
                <w:szCs w:val="18"/>
              </w:rPr>
              <w:t>CPV00000</w:t>
            </w:r>
          </w:p>
        </w:tc>
        <w:tc>
          <w:tcPr>
            <w:tcW w:w="1076" w:type="dxa"/>
            <w:tcBorders>
              <w:top w:val="single" w:sz="4" w:space="0" w:color="auto"/>
              <w:left w:val="single" w:sz="4" w:space="0" w:color="auto"/>
              <w:bottom w:val="single" w:sz="4" w:space="0" w:color="auto"/>
              <w:right w:val="single" w:sz="4" w:space="0" w:color="auto"/>
            </w:tcBorders>
          </w:tcPr>
          <w:p w14:paraId="3848E2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−85,70</w:t>
            </w:r>
          </w:p>
        </w:tc>
        <w:tc>
          <w:tcPr>
            <w:tcW w:w="970" w:type="dxa"/>
            <w:tcBorders>
              <w:top w:val="single" w:sz="4" w:space="0" w:color="auto"/>
              <w:left w:val="single" w:sz="4" w:space="0" w:color="auto"/>
              <w:bottom w:val="single" w:sz="4" w:space="0" w:color="auto"/>
              <w:right w:val="single" w:sz="4" w:space="0" w:color="auto"/>
            </w:tcBorders>
          </w:tcPr>
          <w:p w14:paraId="5F18F3D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−24,10</w:t>
            </w:r>
          </w:p>
        </w:tc>
        <w:tc>
          <w:tcPr>
            <w:tcW w:w="907" w:type="dxa"/>
            <w:tcBorders>
              <w:top w:val="single" w:sz="4" w:space="0" w:color="auto"/>
              <w:left w:val="single" w:sz="4" w:space="0" w:color="auto"/>
              <w:bottom w:val="single" w:sz="4" w:space="0" w:color="auto"/>
              <w:right w:val="single" w:sz="4" w:space="0" w:color="auto"/>
            </w:tcBorders>
          </w:tcPr>
          <w:p w14:paraId="5B5075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BC42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94773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273A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D0155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729E6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07" w:type="dxa"/>
            <w:tcBorders>
              <w:top w:val="single" w:sz="4" w:space="0" w:color="auto"/>
              <w:left w:val="single" w:sz="4" w:space="0" w:color="auto"/>
              <w:bottom w:val="single" w:sz="4" w:space="0" w:color="auto"/>
              <w:right w:val="single" w:sz="4" w:space="0" w:color="auto"/>
            </w:tcBorders>
          </w:tcPr>
          <w:p w14:paraId="1D80E2AA" w14:textId="77777777" w:rsidR="00B82F75" w:rsidRPr="00F52C10" w:rsidRDefault="00B82F75" w:rsidP="00E4628E">
            <w:pPr>
              <w:pStyle w:val="Tabletext0"/>
              <w:spacing w:before="34" w:after="34" w:line="276" w:lineRule="auto"/>
              <w:rPr>
                <w:sz w:val="18"/>
                <w:szCs w:val="18"/>
                <w:lang w:val="en-CA"/>
              </w:rPr>
            </w:pPr>
          </w:p>
        </w:tc>
      </w:tr>
      <w:tr w:rsidR="00B82F75" w:rsidRPr="00F52C10" w14:paraId="109DFF1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2B60E93" w14:textId="77777777" w:rsidR="00B82F75" w:rsidRPr="00F52C10" w:rsidRDefault="00B82F75" w:rsidP="00E4628E">
            <w:pPr>
              <w:pStyle w:val="Tabletext0"/>
              <w:spacing w:before="34" w:after="34" w:line="276" w:lineRule="auto"/>
              <w:rPr>
                <w:sz w:val="18"/>
                <w:szCs w:val="18"/>
              </w:rPr>
            </w:pPr>
            <w:r w:rsidRPr="00F52C10">
              <w:rPr>
                <w:sz w:val="18"/>
                <w:szCs w:val="18"/>
              </w:rPr>
              <w:t>CTI00000</w:t>
            </w:r>
          </w:p>
        </w:tc>
        <w:tc>
          <w:tcPr>
            <w:tcW w:w="1076" w:type="dxa"/>
            <w:tcBorders>
              <w:top w:val="single" w:sz="4" w:space="0" w:color="auto"/>
              <w:left w:val="single" w:sz="4" w:space="0" w:color="auto"/>
              <w:bottom w:val="single" w:sz="4" w:space="0" w:color="auto"/>
              <w:right w:val="single" w:sz="4" w:space="0" w:color="auto"/>
            </w:tcBorders>
          </w:tcPr>
          <w:p w14:paraId="6D59D5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−15,76</w:t>
            </w:r>
          </w:p>
        </w:tc>
        <w:tc>
          <w:tcPr>
            <w:tcW w:w="970" w:type="dxa"/>
            <w:tcBorders>
              <w:top w:val="single" w:sz="4" w:space="0" w:color="auto"/>
              <w:left w:val="single" w:sz="4" w:space="0" w:color="auto"/>
              <w:bottom w:val="single" w:sz="4" w:space="0" w:color="auto"/>
              <w:right w:val="single" w:sz="4" w:space="0" w:color="auto"/>
            </w:tcBorders>
          </w:tcPr>
          <w:p w14:paraId="2A5012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−5,90</w:t>
            </w:r>
          </w:p>
        </w:tc>
        <w:tc>
          <w:tcPr>
            <w:tcW w:w="907" w:type="dxa"/>
            <w:tcBorders>
              <w:top w:val="single" w:sz="4" w:space="0" w:color="auto"/>
              <w:left w:val="single" w:sz="4" w:space="0" w:color="auto"/>
              <w:bottom w:val="single" w:sz="4" w:space="0" w:color="auto"/>
              <w:right w:val="single" w:sz="4" w:space="0" w:color="auto"/>
            </w:tcBorders>
          </w:tcPr>
          <w:p w14:paraId="5CD5D4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48631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E0E4D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CCD4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DFFF5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F7E18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07" w:type="dxa"/>
            <w:tcBorders>
              <w:top w:val="single" w:sz="4" w:space="0" w:color="auto"/>
              <w:left w:val="single" w:sz="4" w:space="0" w:color="auto"/>
              <w:bottom w:val="single" w:sz="4" w:space="0" w:color="auto"/>
              <w:right w:val="single" w:sz="4" w:space="0" w:color="auto"/>
            </w:tcBorders>
          </w:tcPr>
          <w:p w14:paraId="2379BEEB" w14:textId="77777777" w:rsidR="00B82F75" w:rsidRPr="00F52C10" w:rsidRDefault="00B82F75" w:rsidP="00E4628E">
            <w:pPr>
              <w:pStyle w:val="Tabletext0"/>
              <w:spacing w:before="34" w:after="34" w:line="276" w:lineRule="auto"/>
              <w:rPr>
                <w:sz w:val="18"/>
                <w:szCs w:val="18"/>
                <w:lang w:val="en-CA"/>
              </w:rPr>
            </w:pPr>
          </w:p>
        </w:tc>
      </w:tr>
      <w:tr w:rsidR="00B82F75" w:rsidRPr="00F52C10" w14:paraId="1975081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84FADEF" w14:textId="77777777" w:rsidR="00B82F75" w:rsidRPr="00F52C10" w:rsidRDefault="00B82F75" w:rsidP="00E4628E">
            <w:pPr>
              <w:pStyle w:val="Tabletext0"/>
              <w:spacing w:before="34" w:after="34" w:line="276" w:lineRule="auto"/>
              <w:rPr>
                <w:sz w:val="18"/>
                <w:szCs w:val="18"/>
              </w:rPr>
            </w:pPr>
            <w:r w:rsidRPr="00F52C10">
              <w:rPr>
                <w:sz w:val="18"/>
                <w:szCs w:val="18"/>
              </w:rPr>
              <w:t>CTR00000</w:t>
            </w:r>
          </w:p>
        </w:tc>
        <w:tc>
          <w:tcPr>
            <w:tcW w:w="1076" w:type="dxa"/>
            <w:tcBorders>
              <w:top w:val="single" w:sz="4" w:space="0" w:color="auto"/>
              <w:left w:val="single" w:sz="4" w:space="0" w:color="auto"/>
              <w:bottom w:val="single" w:sz="4" w:space="0" w:color="auto"/>
              <w:right w:val="single" w:sz="4" w:space="0" w:color="auto"/>
            </w:tcBorders>
          </w:tcPr>
          <w:p w14:paraId="43D073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−96,00</w:t>
            </w:r>
          </w:p>
        </w:tc>
        <w:tc>
          <w:tcPr>
            <w:tcW w:w="970" w:type="dxa"/>
            <w:tcBorders>
              <w:top w:val="single" w:sz="4" w:space="0" w:color="auto"/>
              <w:left w:val="single" w:sz="4" w:space="0" w:color="auto"/>
              <w:bottom w:val="single" w:sz="4" w:space="0" w:color="auto"/>
              <w:right w:val="single" w:sz="4" w:space="0" w:color="auto"/>
            </w:tcBorders>
          </w:tcPr>
          <w:p w14:paraId="2EEAFE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−85,30</w:t>
            </w:r>
          </w:p>
        </w:tc>
        <w:tc>
          <w:tcPr>
            <w:tcW w:w="907" w:type="dxa"/>
            <w:tcBorders>
              <w:top w:val="single" w:sz="4" w:space="0" w:color="auto"/>
              <w:left w:val="single" w:sz="4" w:space="0" w:color="auto"/>
              <w:bottom w:val="single" w:sz="4" w:space="0" w:color="auto"/>
              <w:right w:val="single" w:sz="4" w:space="0" w:color="auto"/>
            </w:tcBorders>
          </w:tcPr>
          <w:p w14:paraId="082D16F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D6F2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137A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5A3D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BF9E2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C7288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−40,2</w:t>
            </w:r>
          </w:p>
        </w:tc>
        <w:tc>
          <w:tcPr>
            <w:tcW w:w="907" w:type="dxa"/>
            <w:tcBorders>
              <w:top w:val="single" w:sz="4" w:space="0" w:color="auto"/>
              <w:left w:val="single" w:sz="4" w:space="0" w:color="auto"/>
              <w:bottom w:val="single" w:sz="4" w:space="0" w:color="auto"/>
              <w:right w:val="single" w:sz="4" w:space="0" w:color="auto"/>
            </w:tcBorders>
          </w:tcPr>
          <w:p w14:paraId="50FD1E02" w14:textId="77777777" w:rsidR="00B82F75" w:rsidRPr="00F52C10" w:rsidRDefault="00B82F75" w:rsidP="00E4628E">
            <w:pPr>
              <w:pStyle w:val="Tabletext0"/>
              <w:spacing w:before="34" w:after="34" w:line="276" w:lineRule="auto"/>
              <w:rPr>
                <w:sz w:val="18"/>
                <w:szCs w:val="18"/>
                <w:lang w:val="en-CA"/>
              </w:rPr>
            </w:pPr>
          </w:p>
        </w:tc>
      </w:tr>
      <w:tr w:rsidR="00B82F75" w:rsidRPr="00F52C10" w14:paraId="39B8921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9C3701C" w14:textId="77777777" w:rsidR="00B82F75" w:rsidRPr="00F52C10" w:rsidRDefault="00B82F75" w:rsidP="00E4628E">
            <w:pPr>
              <w:pStyle w:val="Tabletext0"/>
              <w:spacing w:before="34" w:after="34" w:line="276" w:lineRule="auto"/>
              <w:rPr>
                <w:sz w:val="18"/>
                <w:szCs w:val="18"/>
              </w:rPr>
            </w:pPr>
            <w:r w:rsidRPr="00F52C10">
              <w:rPr>
                <w:sz w:val="18"/>
                <w:szCs w:val="18"/>
              </w:rPr>
              <w:t>CUB00000</w:t>
            </w:r>
          </w:p>
        </w:tc>
        <w:tc>
          <w:tcPr>
            <w:tcW w:w="1076" w:type="dxa"/>
            <w:tcBorders>
              <w:top w:val="single" w:sz="4" w:space="0" w:color="auto"/>
              <w:left w:val="single" w:sz="4" w:space="0" w:color="auto"/>
              <w:bottom w:val="single" w:sz="4" w:space="0" w:color="auto"/>
              <w:right w:val="single" w:sz="4" w:space="0" w:color="auto"/>
            </w:tcBorders>
          </w:tcPr>
          <w:p w14:paraId="19B0A6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−80,60</w:t>
            </w:r>
          </w:p>
        </w:tc>
        <w:tc>
          <w:tcPr>
            <w:tcW w:w="970" w:type="dxa"/>
            <w:tcBorders>
              <w:top w:val="single" w:sz="4" w:space="0" w:color="auto"/>
              <w:left w:val="single" w:sz="4" w:space="0" w:color="auto"/>
              <w:bottom w:val="single" w:sz="4" w:space="0" w:color="auto"/>
              <w:right w:val="single" w:sz="4" w:space="0" w:color="auto"/>
            </w:tcBorders>
          </w:tcPr>
          <w:p w14:paraId="28E7F6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−79,50</w:t>
            </w:r>
          </w:p>
        </w:tc>
        <w:tc>
          <w:tcPr>
            <w:tcW w:w="907" w:type="dxa"/>
            <w:tcBorders>
              <w:top w:val="single" w:sz="4" w:space="0" w:color="auto"/>
              <w:left w:val="single" w:sz="4" w:space="0" w:color="auto"/>
              <w:bottom w:val="single" w:sz="4" w:space="0" w:color="auto"/>
              <w:right w:val="single" w:sz="4" w:space="0" w:color="auto"/>
            </w:tcBorders>
          </w:tcPr>
          <w:p w14:paraId="65DF6D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8964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CEF09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93E6C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E527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32A3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−39,3</w:t>
            </w:r>
          </w:p>
        </w:tc>
        <w:tc>
          <w:tcPr>
            <w:tcW w:w="907" w:type="dxa"/>
            <w:tcBorders>
              <w:top w:val="single" w:sz="4" w:space="0" w:color="auto"/>
              <w:left w:val="single" w:sz="4" w:space="0" w:color="auto"/>
              <w:bottom w:val="single" w:sz="4" w:space="0" w:color="auto"/>
              <w:right w:val="single" w:sz="4" w:space="0" w:color="auto"/>
            </w:tcBorders>
          </w:tcPr>
          <w:p w14:paraId="55A518E3" w14:textId="77777777" w:rsidR="00B82F75" w:rsidRPr="00F52C10" w:rsidRDefault="00B82F75" w:rsidP="00E4628E">
            <w:pPr>
              <w:pStyle w:val="Tabletext0"/>
              <w:spacing w:before="34" w:after="34" w:line="276" w:lineRule="auto"/>
              <w:rPr>
                <w:sz w:val="18"/>
                <w:szCs w:val="18"/>
                <w:lang w:val="en-CA"/>
              </w:rPr>
            </w:pPr>
          </w:p>
        </w:tc>
      </w:tr>
      <w:tr w:rsidR="00B82F75" w:rsidRPr="00F52C10" w14:paraId="2530FFB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8CA073F" w14:textId="77777777" w:rsidR="00B82F75" w:rsidRPr="00F52C10" w:rsidRDefault="00B82F75" w:rsidP="00E4628E">
            <w:pPr>
              <w:pStyle w:val="Tabletext0"/>
              <w:spacing w:before="34" w:after="34" w:line="276" w:lineRule="auto"/>
              <w:rPr>
                <w:sz w:val="18"/>
                <w:szCs w:val="18"/>
              </w:rPr>
            </w:pPr>
            <w:r w:rsidRPr="00F52C10">
              <w:rPr>
                <w:sz w:val="18"/>
                <w:szCs w:val="18"/>
              </w:rPr>
              <w:t>CVA00000</w:t>
            </w:r>
          </w:p>
        </w:tc>
        <w:tc>
          <w:tcPr>
            <w:tcW w:w="1076" w:type="dxa"/>
            <w:tcBorders>
              <w:top w:val="single" w:sz="4" w:space="0" w:color="auto"/>
              <w:left w:val="single" w:sz="4" w:space="0" w:color="auto"/>
              <w:bottom w:val="single" w:sz="4" w:space="0" w:color="auto"/>
              <w:right w:val="single" w:sz="4" w:space="0" w:color="auto"/>
            </w:tcBorders>
          </w:tcPr>
          <w:p w14:paraId="7984FC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59,00</w:t>
            </w:r>
          </w:p>
        </w:tc>
        <w:tc>
          <w:tcPr>
            <w:tcW w:w="970" w:type="dxa"/>
            <w:tcBorders>
              <w:top w:val="single" w:sz="4" w:space="0" w:color="auto"/>
              <w:left w:val="single" w:sz="4" w:space="0" w:color="auto"/>
              <w:bottom w:val="single" w:sz="4" w:space="0" w:color="auto"/>
              <w:right w:val="single" w:sz="4" w:space="0" w:color="auto"/>
            </w:tcBorders>
          </w:tcPr>
          <w:p w14:paraId="7DCD8F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12,50</w:t>
            </w:r>
          </w:p>
        </w:tc>
        <w:tc>
          <w:tcPr>
            <w:tcW w:w="907" w:type="dxa"/>
            <w:tcBorders>
              <w:top w:val="single" w:sz="4" w:space="0" w:color="auto"/>
              <w:left w:val="single" w:sz="4" w:space="0" w:color="auto"/>
              <w:bottom w:val="single" w:sz="4" w:space="0" w:color="auto"/>
              <w:right w:val="single" w:sz="4" w:space="0" w:color="auto"/>
            </w:tcBorders>
          </w:tcPr>
          <w:p w14:paraId="521429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8F0A4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C8AA72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E3C51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B1241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5F28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07" w:type="dxa"/>
            <w:tcBorders>
              <w:top w:val="single" w:sz="4" w:space="0" w:color="auto"/>
              <w:left w:val="single" w:sz="4" w:space="0" w:color="auto"/>
              <w:bottom w:val="single" w:sz="4" w:space="0" w:color="auto"/>
              <w:right w:val="single" w:sz="4" w:space="0" w:color="auto"/>
            </w:tcBorders>
          </w:tcPr>
          <w:p w14:paraId="3BA43278" w14:textId="77777777" w:rsidR="00B82F75" w:rsidRPr="00F52C10" w:rsidRDefault="00B82F75" w:rsidP="00E4628E">
            <w:pPr>
              <w:pStyle w:val="Tabletext0"/>
              <w:spacing w:before="34" w:after="34" w:line="276" w:lineRule="auto"/>
              <w:rPr>
                <w:sz w:val="18"/>
                <w:szCs w:val="18"/>
                <w:lang w:val="en-CA"/>
              </w:rPr>
            </w:pPr>
          </w:p>
        </w:tc>
      </w:tr>
      <w:tr w:rsidR="00B82F75" w:rsidRPr="00F52C10" w14:paraId="3B3250A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3CF967A" w14:textId="77777777" w:rsidR="00B82F75" w:rsidRPr="00F52C10" w:rsidRDefault="00B82F75" w:rsidP="00E4628E">
            <w:pPr>
              <w:pStyle w:val="Tabletext0"/>
              <w:spacing w:before="34" w:after="34" w:line="276" w:lineRule="auto"/>
              <w:rPr>
                <w:sz w:val="18"/>
                <w:szCs w:val="18"/>
              </w:rPr>
            </w:pPr>
            <w:r w:rsidRPr="00F52C10">
              <w:rPr>
                <w:sz w:val="18"/>
                <w:szCs w:val="18"/>
              </w:rPr>
              <w:t>CYP00000</w:t>
            </w:r>
          </w:p>
        </w:tc>
        <w:tc>
          <w:tcPr>
            <w:tcW w:w="1076" w:type="dxa"/>
            <w:tcBorders>
              <w:top w:val="single" w:sz="4" w:space="0" w:color="auto"/>
              <w:left w:val="single" w:sz="4" w:space="0" w:color="auto"/>
              <w:bottom w:val="single" w:sz="4" w:space="0" w:color="auto"/>
              <w:right w:val="single" w:sz="4" w:space="0" w:color="auto"/>
            </w:tcBorders>
          </w:tcPr>
          <w:p w14:paraId="2DCCB5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0,50</w:t>
            </w:r>
          </w:p>
        </w:tc>
        <w:tc>
          <w:tcPr>
            <w:tcW w:w="970" w:type="dxa"/>
            <w:tcBorders>
              <w:top w:val="single" w:sz="4" w:space="0" w:color="auto"/>
              <w:left w:val="single" w:sz="4" w:space="0" w:color="auto"/>
              <w:bottom w:val="single" w:sz="4" w:space="0" w:color="auto"/>
              <w:right w:val="single" w:sz="4" w:space="0" w:color="auto"/>
            </w:tcBorders>
          </w:tcPr>
          <w:p w14:paraId="215F31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33,20</w:t>
            </w:r>
          </w:p>
        </w:tc>
        <w:tc>
          <w:tcPr>
            <w:tcW w:w="907" w:type="dxa"/>
            <w:tcBorders>
              <w:top w:val="single" w:sz="4" w:space="0" w:color="auto"/>
              <w:left w:val="single" w:sz="4" w:space="0" w:color="auto"/>
              <w:bottom w:val="single" w:sz="4" w:space="0" w:color="auto"/>
              <w:right w:val="single" w:sz="4" w:space="0" w:color="auto"/>
            </w:tcBorders>
          </w:tcPr>
          <w:p w14:paraId="5BFDDE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58FE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242A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08716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96BA8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22927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−41,6</w:t>
            </w:r>
          </w:p>
        </w:tc>
        <w:tc>
          <w:tcPr>
            <w:tcW w:w="907" w:type="dxa"/>
            <w:tcBorders>
              <w:top w:val="single" w:sz="4" w:space="0" w:color="auto"/>
              <w:left w:val="single" w:sz="4" w:space="0" w:color="auto"/>
              <w:bottom w:val="single" w:sz="4" w:space="0" w:color="auto"/>
              <w:right w:val="single" w:sz="4" w:space="0" w:color="auto"/>
            </w:tcBorders>
          </w:tcPr>
          <w:p w14:paraId="3FE7D064" w14:textId="77777777" w:rsidR="00B82F75" w:rsidRPr="00F52C10" w:rsidRDefault="00B82F75" w:rsidP="00E4628E">
            <w:pPr>
              <w:pStyle w:val="Tabletext0"/>
              <w:spacing w:before="34" w:after="34" w:line="276" w:lineRule="auto"/>
              <w:rPr>
                <w:sz w:val="18"/>
                <w:szCs w:val="18"/>
                <w:lang w:val="en-CA"/>
              </w:rPr>
            </w:pPr>
          </w:p>
        </w:tc>
      </w:tr>
      <w:tr w:rsidR="00B82F75" w:rsidRPr="00F52C10" w14:paraId="7F85DB6E"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44D566A" w14:textId="77777777" w:rsidR="00B82F75" w:rsidRPr="00F52C10" w:rsidRDefault="00B82F75" w:rsidP="00E4628E">
            <w:pPr>
              <w:pStyle w:val="Tabletext0"/>
              <w:spacing w:before="34" w:after="34" w:line="276" w:lineRule="auto"/>
              <w:rPr>
                <w:sz w:val="18"/>
                <w:szCs w:val="18"/>
              </w:rPr>
            </w:pPr>
            <w:r w:rsidRPr="00F52C10">
              <w:rPr>
                <w:sz w:val="18"/>
                <w:szCs w:val="18"/>
              </w:rPr>
              <w:t>CYPSBA00</w:t>
            </w:r>
          </w:p>
        </w:tc>
        <w:tc>
          <w:tcPr>
            <w:tcW w:w="1076" w:type="dxa"/>
            <w:tcBorders>
              <w:top w:val="single" w:sz="4" w:space="0" w:color="auto"/>
              <w:left w:val="single" w:sz="4" w:space="0" w:color="auto"/>
              <w:bottom w:val="single" w:sz="4" w:space="0" w:color="auto"/>
              <w:right w:val="single" w:sz="4" w:space="0" w:color="auto"/>
            </w:tcBorders>
          </w:tcPr>
          <w:p w14:paraId="75F8CD0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970" w:type="dxa"/>
            <w:tcBorders>
              <w:top w:val="single" w:sz="4" w:space="0" w:color="auto"/>
              <w:left w:val="single" w:sz="4" w:space="0" w:color="auto"/>
              <w:bottom w:val="single" w:sz="4" w:space="0" w:color="auto"/>
              <w:right w:val="single" w:sz="4" w:space="0" w:color="auto"/>
            </w:tcBorders>
          </w:tcPr>
          <w:p w14:paraId="64DDE83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32,90</w:t>
            </w:r>
          </w:p>
        </w:tc>
        <w:tc>
          <w:tcPr>
            <w:tcW w:w="907" w:type="dxa"/>
            <w:tcBorders>
              <w:top w:val="single" w:sz="4" w:space="0" w:color="auto"/>
              <w:left w:val="single" w:sz="4" w:space="0" w:color="auto"/>
              <w:bottom w:val="single" w:sz="4" w:space="0" w:color="auto"/>
              <w:right w:val="single" w:sz="4" w:space="0" w:color="auto"/>
            </w:tcBorders>
          </w:tcPr>
          <w:p w14:paraId="302391F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A3FC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1BF0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D347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F5F84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78C6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−41,7</w:t>
            </w:r>
          </w:p>
        </w:tc>
        <w:tc>
          <w:tcPr>
            <w:tcW w:w="907" w:type="dxa"/>
            <w:tcBorders>
              <w:top w:val="single" w:sz="4" w:space="0" w:color="auto"/>
              <w:left w:val="single" w:sz="4" w:space="0" w:color="auto"/>
              <w:bottom w:val="single" w:sz="4" w:space="0" w:color="auto"/>
              <w:right w:val="single" w:sz="4" w:space="0" w:color="auto"/>
            </w:tcBorders>
          </w:tcPr>
          <w:p w14:paraId="6A55FADD" w14:textId="77777777" w:rsidR="00B82F75" w:rsidRPr="00F52C10" w:rsidRDefault="00B82F75" w:rsidP="00E4628E">
            <w:pPr>
              <w:pStyle w:val="Tabletext0"/>
              <w:spacing w:before="34" w:after="34" w:line="276" w:lineRule="auto"/>
              <w:rPr>
                <w:sz w:val="18"/>
                <w:szCs w:val="18"/>
              </w:rPr>
            </w:pPr>
            <w:r w:rsidRPr="00F52C10">
              <w:rPr>
                <w:sz w:val="18"/>
                <w:szCs w:val="18"/>
              </w:rPr>
              <w:t>*/MB9</w:t>
            </w:r>
          </w:p>
        </w:tc>
      </w:tr>
      <w:tr w:rsidR="00B82F75" w:rsidRPr="00F52C10" w14:paraId="379A672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vAlign w:val="bottom"/>
          </w:tcPr>
          <w:p w14:paraId="4D40016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CZE00000</w:t>
            </w:r>
          </w:p>
        </w:tc>
        <w:tc>
          <w:tcPr>
            <w:tcW w:w="1076" w:type="dxa"/>
            <w:tcBorders>
              <w:top w:val="single" w:sz="4" w:space="0" w:color="auto"/>
              <w:left w:val="single" w:sz="4" w:space="0" w:color="auto"/>
              <w:bottom w:val="single" w:sz="4" w:space="0" w:color="auto"/>
              <w:right w:val="single" w:sz="4" w:space="0" w:color="auto"/>
            </w:tcBorders>
            <w:vAlign w:val="bottom"/>
          </w:tcPr>
          <w:p w14:paraId="2B836CD2"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−31,90</w:t>
            </w:r>
          </w:p>
        </w:tc>
        <w:tc>
          <w:tcPr>
            <w:tcW w:w="970" w:type="dxa"/>
            <w:tcBorders>
              <w:top w:val="single" w:sz="4" w:space="0" w:color="auto"/>
              <w:left w:val="single" w:sz="4" w:space="0" w:color="auto"/>
              <w:bottom w:val="single" w:sz="4" w:space="0" w:color="auto"/>
              <w:right w:val="single" w:sz="4" w:space="0" w:color="auto"/>
            </w:tcBorders>
            <w:vAlign w:val="bottom"/>
          </w:tcPr>
          <w:p w14:paraId="6BF26CEF"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15,68</w:t>
            </w:r>
          </w:p>
        </w:tc>
        <w:tc>
          <w:tcPr>
            <w:tcW w:w="907" w:type="dxa"/>
            <w:tcBorders>
              <w:top w:val="single" w:sz="4" w:space="0" w:color="auto"/>
              <w:left w:val="single" w:sz="4" w:space="0" w:color="auto"/>
              <w:bottom w:val="single" w:sz="4" w:space="0" w:color="auto"/>
              <w:right w:val="single" w:sz="4" w:space="0" w:color="auto"/>
            </w:tcBorders>
            <w:vAlign w:val="bottom"/>
          </w:tcPr>
          <w:p w14:paraId="4E49F2F3"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49,81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05FA444D"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6D1AE04A"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3B1B5811"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230E4E48"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76DDEC48"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−41,3</w:t>
            </w:r>
          </w:p>
        </w:tc>
        <w:tc>
          <w:tcPr>
            <w:tcW w:w="907" w:type="dxa"/>
            <w:tcBorders>
              <w:top w:val="single" w:sz="4" w:space="0" w:color="auto"/>
              <w:left w:val="single" w:sz="4" w:space="0" w:color="auto"/>
              <w:bottom w:val="single" w:sz="4" w:space="0" w:color="auto"/>
              <w:right w:val="single" w:sz="4" w:space="0" w:color="auto"/>
            </w:tcBorders>
            <w:vAlign w:val="bottom"/>
          </w:tcPr>
          <w:p w14:paraId="3ABE74F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7FE37DB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974E059" w14:textId="77777777" w:rsidR="00B82F75" w:rsidRPr="00F52C10" w:rsidRDefault="00B82F75" w:rsidP="00E4628E">
            <w:pPr>
              <w:pStyle w:val="Tabletext0"/>
              <w:spacing w:before="34" w:after="34" w:line="276" w:lineRule="auto"/>
              <w:rPr>
                <w:sz w:val="18"/>
                <w:szCs w:val="18"/>
              </w:rPr>
            </w:pPr>
            <w:r w:rsidRPr="00F52C10">
              <w:rPr>
                <w:sz w:val="18"/>
                <w:szCs w:val="18"/>
              </w:rPr>
              <w:t>D  00001</w:t>
            </w:r>
          </w:p>
        </w:tc>
        <w:tc>
          <w:tcPr>
            <w:tcW w:w="1076" w:type="dxa"/>
            <w:tcBorders>
              <w:top w:val="single" w:sz="4" w:space="0" w:color="auto"/>
              <w:left w:val="single" w:sz="4" w:space="0" w:color="auto"/>
              <w:bottom w:val="single" w:sz="4" w:space="0" w:color="auto"/>
              <w:right w:val="single" w:sz="4" w:space="0" w:color="auto"/>
            </w:tcBorders>
          </w:tcPr>
          <w:p w14:paraId="53CF76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26,40</w:t>
            </w:r>
          </w:p>
        </w:tc>
        <w:tc>
          <w:tcPr>
            <w:tcW w:w="970" w:type="dxa"/>
            <w:tcBorders>
              <w:top w:val="single" w:sz="4" w:space="0" w:color="auto"/>
              <w:left w:val="single" w:sz="4" w:space="0" w:color="auto"/>
              <w:bottom w:val="single" w:sz="4" w:space="0" w:color="auto"/>
              <w:right w:val="single" w:sz="4" w:space="0" w:color="auto"/>
            </w:tcBorders>
          </w:tcPr>
          <w:p w14:paraId="58F8266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9,70</w:t>
            </w:r>
          </w:p>
        </w:tc>
        <w:tc>
          <w:tcPr>
            <w:tcW w:w="907" w:type="dxa"/>
            <w:tcBorders>
              <w:top w:val="single" w:sz="4" w:space="0" w:color="auto"/>
              <w:left w:val="single" w:sz="4" w:space="0" w:color="auto"/>
              <w:bottom w:val="single" w:sz="4" w:space="0" w:color="auto"/>
              <w:right w:val="single" w:sz="4" w:space="0" w:color="auto"/>
            </w:tcBorders>
          </w:tcPr>
          <w:p w14:paraId="42E61D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0FD064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E7A0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1650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D0C27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44DD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−40,5</w:t>
            </w:r>
          </w:p>
        </w:tc>
        <w:tc>
          <w:tcPr>
            <w:tcW w:w="907" w:type="dxa"/>
            <w:tcBorders>
              <w:top w:val="single" w:sz="4" w:space="0" w:color="auto"/>
              <w:left w:val="single" w:sz="4" w:space="0" w:color="auto"/>
              <w:bottom w:val="single" w:sz="4" w:space="0" w:color="auto"/>
              <w:right w:val="single" w:sz="4" w:space="0" w:color="auto"/>
            </w:tcBorders>
          </w:tcPr>
          <w:p w14:paraId="4AF6FA0C" w14:textId="77777777" w:rsidR="00B82F75" w:rsidRPr="00F52C10" w:rsidRDefault="00B82F75" w:rsidP="00E4628E">
            <w:pPr>
              <w:pStyle w:val="Tabletext0"/>
              <w:spacing w:before="34" w:after="34" w:line="276" w:lineRule="auto"/>
              <w:rPr>
                <w:sz w:val="18"/>
                <w:szCs w:val="18"/>
                <w:lang w:val="en-CA"/>
              </w:rPr>
            </w:pPr>
          </w:p>
        </w:tc>
      </w:tr>
      <w:tr w:rsidR="00B82F75" w:rsidRPr="00F52C10" w14:paraId="3AE7612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55BC4A1" w14:textId="77777777" w:rsidR="00B82F75" w:rsidRPr="00F52C10" w:rsidRDefault="00B82F75" w:rsidP="00E4628E">
            <w:pPr>
              <w:pStyle w:val="Tabletext0"/>
              <w:spacing w:before="34" w:after="34" w:line="276" w:lineRule="auto"/>
              <w:rPr>
                <w:sz w:val="18"/>
                <w:szCs w:val="18"/>
              </w:rPr>
            </w:pPr>
            <w:r w:rsidRPr="00F52C10">
              <w:rPr>
                <w:sz w:val="18"/>
                <w:szCs w:val="18"/>
              </w:rPr>
              <w:t>D  00002</w:t>
            </w:r>
          </w:p>
        </w:tc>
        <w:tc>
          <w:tcPr>
            <w:tcW w:w="1076" w:type="dxa"/>
            <w:tcBorders>
              <w:top w:val="single" w:sz="4" w:space="0" w:color="auto"/>
              <w:left w:val="single" w:sz="4" w:space="0" w:color="auto"/>
              <w:bottom w:val="single" w:sz="4" w:space="0" w:color="auto"/>
              <w:right w:val="single" w:sz="4" w:space="0" w:color="auto"/>
            </w:tcBorders>
          </w:tcPr>
          <w:p w14:paraId="3C932F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37,20</w:t>
            </w:r>
          </w:p>
        </w:tc>
        <w:tc>
          <w:tcPr>
            <w:tcW w:w="970" w:type="dxa"/>
            <w:tcBorders>
              <w:top w:val="single" w:sz="4" w:space="0" w:color="auto"/>
              <w:left w:val="single" w:sz="4" w:space="0" w:color="auto"/>
              <w:bottom w:val="single" w:sz="4" w:space="0" w:color="auto"/>
              <w:right w:val="single" w:sz="4" w:space="0" w:color="auto"/>
            </w:tcBorders>
          </w:tcPr>
          <w:p w14:paraId="759E9B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12,60</w:t>
            </w:r>
          </w:p>
        </w:tc>
        <w:tc>
          <w:tcPr>
            <w:tcW w:w="907" w:type="dxa"/>
            <w:tcBorders>
              <w:top w:val="single" w:sz="4" w:space="0" w:color="auto"/>
              <w:left w:val="single" w:sz="4" w:space="0" w:color="auto"/>
              <w:bottom w:val="single" w:sz="4" w:space="0" w:color="auto"/>
              <w:right w:val="single" w:sz="4" w:space="0" w:color="auto"/>
            </w:tcBorders>
          </w:tcPr>
          <w:p w14:paraId="60C436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7107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34A0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EFF2C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6621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F2940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−40,8</w:t>
            </w:r>
          </w:p>
        </w:tc>
        <w:tc>
          <w:tcPr>
            <w:tcW w:w="907" w:type="dxa"/>
            <w:tcBorders>
              <w:top w:val="single" w:sz="4" w:space="0" w:color="auto"/>
              <w:left w:val="single" w:sz="4" w:space="0" w:color="auto"/>
              <w:bottom w:val="single" w:sz="4" w:space="0" w:color="auto"/>
              <w:right w:val="single" w:sz="4" w:space="0" w:color="auto"/>
            </w:tcBorders>
          </w:tcPr>
          <w:p w14:paraId="2C93BDDC" w14:textId="77777777" w:rsidR="00B82F75" w:rsidRPr="00F52C10" w:rsidRDefault="00B82F75" w:rsidP="00E4628E">
            <w:pPr>
              <w:pStyle w:val="Tabletext0"/>
              <w:spacing w:before="34" w:after="34" w:line="276" w:lineRule="auto"/>
              <w:rPr>
                <w:sz w:val="18"/>
                <w:szCs w:val="18"/>
                <w:lang w:val="en-CA"/>
              </w:rPr>
            </w:pPr>
          </w:p>
        </w:tc>
      </w:tr>
      <w:tr w:rsidR="00B82F75" w:rsidRPr="00F52C10" w14:paraId="6EC0B31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98648BD" w14:textId="77777777" w:rsidR="00B82F75" w:rsidRPr="00F52C10" w:rsidRDefault="00B82F75" w:rsidP="00E4628E">
            <w:pPr>
              <w:pStyle w:val="Tabletext0"/>
              <w:spacing w:before="34" w:after="34" w:line="276" w:lineRule="auto"/>
              <w:rPr>
                <w:sz w:val="18"/>
                <w:szCs w:val="18"/>
              </w:rPr>
            </w:pPr>
            <w:r w:rsidRPr="00F52C10">
              <w:rPr>
                <w:sz w:val="18"/>
                <w:szCs w:val="18"/>
              </w:rPr>
              <w:t>DJI00000</w:t>
            </w:r>
          </w:p>
        </w:tc>
        <w:tc>
          <w:tcPr>
            <w:tcW w:w="1076" w:type="dxa"/>
            <w:tcBorders>
              <w:top w:val="single" w:sz="4" w:space="0" w:color="auto"/>
              <w:left w:val="single" w:sz="4" w:space="0" w:color="auto"/>
              <w:bottom w:val="single" w:sz="4" w:space="0" w:color="auto"/>
              <w:right w:val="single" w:sz="4" w:space="0" w:color="auto"/>
            </w:tcBorders>
          </w:tcPr>
          <w:p w14:paraId="0FA170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−17,46</w:t>
            </w:r>
          </w:p>
        </w:tc>
        <w:tc>
          <w:tcPr>
            <w:tcW w:w="970" w:type="dxa"/>
            <w:tcBorders>
              <w:top w:val="single" w:sz="4" w:space="0" w:color="auto"/>
              <w:left w:val="single" w:sz="4" w:space="0" w:color="auto"/>
              <w:bottom w:val="single" w:sz="4" w:space="0" w:color="auto"/>
              <w:right w:val="single" w:sz="4" w:space="0" w:color="auto"/>
            </w:tcBorders>
          </w:tcPr>
          <w:p w14:paraId="3F60D41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42,60</w:t>
            </w:r>
          </w:p>
        </w:tc>
        <w:tc>
          <w:tcPr>
            <w:tcW w:w="907" w:type="dxa"/>
            <w:tcBorders>
              <w:top w:val="single" w:sz="4" w:space="0" w:color="auto"/>
              <w:left w:val="single" w:sz="4" w:space="0" w:color="auto"/>
              <w:bottom w:val="single" w:sz="4" w:space="0" w:color="auto"/>
              <w:right w:val="single" w:sz="4" w:space="0" w:color="auto"/>
            </w:tcBorders>
          </w:tcPr>
          <w:p w14:paraId="00B444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EBC6D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DC2C0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5E74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99CBE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D3DF1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07" w:type="dxa"/>
            <w:tcBorders>
              <w:top w:val="single" w:sz="4" w:space="0" w:color="auto"/>
              <w:left w:val="single" w:sz="4" w:space="0" w:color="auto"/>
              <w:bottom w:val="single" w:sz="4" w:space="0" w:color="auto"/>
              <w:right w:val="single" w:sz="4" w:space="0" w:color="auto"/>
            </w:tcBorders>
          </w:tcPr>
          <w:p w14:paraId="2C69B7E6" w14:textId="77777777" w:rsidR="00B82F75" w:rsidRPr="00F52C10" w:rsidRDefault="00B82F75" w:rsidP="00E4628E">
            <w:pPr>
              <w:pStyle w:val="Tabletext0"/>
              <w:spacing w:before="34" w:after="34" w:line="276" w:lineRule="auto"/>
              <w:rPr>
                <w:sz w:val="18"/>
                <w:szCs w:val="18"/>
                <w:lang w:val="en-CA"/>
              </w:rPr>
            </w:pPr>
          </w:p>
        </w:tc>
      </w:tr>
      <w:tr w:rsidR="00B82F75" w:rsidRPr="00F52C10" w14:paraId="26462D7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1A27C13" w14:textId="77777777" w:rsidR="00B82F75" w:rsidRPr="00F52C10" w:rsidRDefault="00B82F75" w:rsidP="00E4628E">
            <w:pPr>
              <w:pStyle w:val="Tabletext0"/>
              <w:spacing w:before="34" w:after="34" w:line="276" w:lineRule="auto"/>
              <w:rPr>
                <w:sz w:val="18"/>
                <w:szCs w:val="18"/>
              </w:rPr>
            </w:pPr>
            <w:r w:rsidRPr="00F52C10">
              <w:rPr>
                <w:sz w:val="18"/>
                <w:szCs w:val="18"/>
              </w:rPr>
              <w:t>DMA00000</w:t>
            </w:r>
          </w:p>
        </w:tc>
        <w:tc>
          <w:tcPr>
            <w:tcW w:w="1076" w:type="dxa"/>
            <w:tcBorders>
              <w:top w:val="single" w:sz="4" w:space="0" w:color="auto"/>
              <w:left w:val="single" w:sz="4" w:space="0" w:color="auto"/>
              <w:bottom w:val="single" w:sz="4" w:space="0" w:color="auto"/>
              <w:right w:val="single" w:sz="4" w:space="0" w:color="auto"/>
            </w:tcBorders>
          </w:tcPr>
          <w:p w14:paraId="017ECA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−70,00</w:t>
            </w:r>
          </w:p>
        </w:tc>
        <w:tc>
          <w:tcPr>
            <w:tcW w:w="970" w:type="dxa"/>
            <w:tcBorders>
              <w:top w:val="single" w:sz="4" w:space="0" w:color="auto"/>
              <w:left w:val="single" w:sz="4" w:space="0" w:color="auto"/>
              <w:bottom w:val="single" w:sz="4" w:space="0" w:color="auto"/>
              <w:right w:val="single" w:sz="4" w:space="0" w:color="auto"/>
            </w:tcBorders>
          </w:tcPr>
          <w:p w14:paraId="781D3D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−61,30</w:t>
            </w:r>
          </w:p>
        </w:tc>
        <w:tc>
          <w:tcPr>
            <w:tcW w:w="907" w:type="dxa"/>
            <w:tcBorders>
              <w:top w:val="single" w:sz="4" w:space="0" w:color="auto"/>
              <w:left w:val="single" w:sz="4" w:space="0" w:color="auto"/>
              <w:bottom w:val="single" w:sz="4" w:space="0" w:color="auto"/>
              <w:right w:val="single" w:sz="4" w:space="0" w:color="auto"/>
            </w:tcBorders>
          </w:tcPr>
          <w:p w14:paraId="14BE55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4DB79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2D3563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09E57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84A26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5770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w:t>
            </w:r>
          </w:p>
        </w:tc>
        <w:tc>
          <w:tcPr>
            <w:tcW w:w="907" w:type="dxa"/>
            <w:tcBorders>
              <w:top w:val="single" w:sz="4" w:space="0" w:color="auto"/>
              <w:left w:val="single" w:sz="4" w:space="0" w:color="auto"/>
              <w:bottom w:val="single" w:sz="4" w:space="0" w:color="auto"/>
              <w:right w:val="single" w:sz="4" w:space="0" w:color="auto"/>
            </w:tcBorders>
          </w:tcPr>
          <w:p w14:paraId="717B67B3" w14:textId="77777777" w:rsidR="00B82F75" w:rsidRPr="00F52C10" w:rsidRDefault="00B82F75" w:rsidP="00E4628E">
            <w:pPr>
              <w:pStyle w:val="Tabletext0"/>
              <w:spacing w:before="34" w:after="34" w:line="276" w:lineRule="auto"/>
              <w:rPr>
                <w:sz w:val="18"/>
                <w:szCs w:val="18"/>
                <w:lang w:val="en-CA"/>
              </w:rPr>
            </w:pPr>
          </w:p>
        </w:tc>
      </w:tr>
      <w:tr w:rsidR="00B82F75" w:rsidRPr="00F52C10" w14:paraId="3ABCD09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D4A4C26" w14:textId="77777777" w:rsidR="00B82F75" w:rsidRPr="00F52C10" w:rsidRDefault="00B82F75" w:rsidP="00E4628E">
            <w:pPr>
              <w:pStyle w:val="Tabletext0"/>
              <w:spacing w:before="34" w:after="34" w:line="276" w:lineRule="auto"/>
              <w:rPr>
                <w:sz w:val="18"/>
                <w:szCs w:val="18"/>
              </w:rPr>
            </w:pPr>
            <w:r w:rsidRPr="00F52C10">
              <w:rPr>
                <w:sz w:val="18"/>
                <w:szCs w:val="18"/>
              </w:rPr>
              <w:t>DNK00001</w:t>
            </w:r>
          </w:p>
        </w:tc>
        <w:tc>
          <w:tcPr>
            <w:tcW w:w="1076" w:type="dxa"/>
            <w:tcBorders>
              <w:top w:val="single" w:sz="4" w:space="0" w:color="auto"/>
              <w:left w:val="single" w:sz="4" w:space="0" w:color="auto"/>
              <w:bottom w:val="single" w:sz="4" w:space="0" w:color="auto"/>
              <w:right w:val="single" w:sz="4" w:space="0" w:color="auto"/>
            </w:tcBorders>
          </w:tcPr>
          <w:p w14:paraId="565830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32,28</w:t>
            </w:r>
          </w:p>
        </w:tc>
        <w:tc>
          <w:tcPr>
            <w:tcW w:w="970" w:type="dxa"/>
            <w:tcBorders>
              <w:top w:val="single" w:sz="4" w:space="0" w:color="auto"/>
              <w:left w:val="single" w:sz="4" w:space="0" w:color="auto"/>
              <w:bottom w:val="single" w:sz="4" w:space="0" w:color="auto"/>
              <w:right w:val="single" w:sz="4" w:space="0" w:color="auto"/>
            </w:tcBorders>
          </w:tcPr>
          <w:p w14:paraId="104BC7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11,60</w:t>
            </w:r>
          </w:p>
        </w:tc>
        <w:tc>
          <w:tcPr>
            <w:tcW w:w="907" w:type="dxa"/>
            <w:tcBorders>
              <w:top w:val="single" w:sz="4" w:space="0" w:color="auto"/>
              <w:left w:val="single" w:sz="4" w:space="0" w:color="auto"/>
              <w:bottom w:val="single" w:sz="4" w:space="0" w:color="auto"/>
              <w:right w:val="single" w:sz="4" w:space="0" w:color="auto"/>
            </w:tcBorders>
          </w:tcPr>
          <w:p w14:paraId="462C77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E405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0BCCC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6069D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6CFCF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D5D1A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−40,9</w:t>
            </w:r>
          </w:p>
        </w:tc>
        <w:tc>
          <w:tcPr>
            <w:tcW w:w="907" w:type="dxa"/>
            <w:tcBorders>
              <w:top w:val="single" w:sz="4" w:space="0" w:color="auto"/>
              <w:left w:val="single" w:sz="4" w:space="0" w:color="auto"/>
              <w:bottom w:val="single" w:sz="4" w:space="0" w:color="auto"/>
              <w:right w:val="single" w:sz="4" w:space="0" w:color="auto"/>
            </w:tcBorders>
          </w:tcPr>
          <w:p w14:paraId="37E080E0" w14:textId="77777777" w:rsidR="00B82F75" w:rsidRPr="00F52C10" w:rsidRDefault="00B82F75" w:rsidP="00E4628E">
            <w:pPr>
              <w:pStyle w:val="Tabletext0"/>
              <w:spacing w:before="34" w:after="34" w:line="276" w:lineRule="auto"/>
              <w:rPr>
                <w:sz w:val="18"/>
                <w:szCs w:val="18"/>
                <w:lang w:val="en-CA"/>
              </w:rPr>
            </w:pPr>
          </w:p>
        </w:tc>
      </w:tr>
      <w:tr w:rsidR="00B82F75" w:rsidRPr="00F52C10" w14:paraId="096B569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89BFC8F" w14:textId="77777777" w:rsidR="00B82F75" w:rsidRPr="00F52C10" w:rsidRDefault="00B82F75" w:rsidP="00E4628E">
            <w:pPr>
              <w:pStyle w:val="Tabletext0"/>
              <w:spacing w:before="34" w:after="34" w:line="276" w:lineRule="auto"/>
              <w:rPr>
                <w:sz w:val="18"/>
                <w:szCs w:val="18"/>
              </w:rPr>
            </w:pPr>
            <w:r w:rsidRPr="00F52C10">
              <w:rPr>
                <w:sz w:val="18"/>
                <w:szCs w:val="18"/>
              </w:rPr>
              <w:t>DNK00002</w:t>
            </w:r>
          </w:p>
        </w:tc>
        <w:tc>
          <w:tcPr>
            <w:tcW w:w="1076" w:type="dxa"/>
            <w:tcBorders>
              <w:top w:val="single" w:sz="4" w:space="0" w:color="auto"/>
              <w:left w:val="single" w:sz="4" w:space="0" w:color="auto"/>
              <w:bottom w:val="single" w:sz="4" w:space="0" w:color="auto"/>
              <w:right w:val="single" w:sz="4" w:space="0" w:color="auto"/>
            </w:tcBorders>
          </w:tcPr>
          <w:p w14:paraId="1334FEE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−49,00</w:t>
            </w:r>
          </w:p>
        </w:tc>
        <w:tc>
          <w:tcPr>
            <w:tcW w:w="970" w:type="dxa"/>
            <w:tcBorders>
              <w:top w:val="single" w:sz="4" w:space="0" w:color="auto"/>
              <w:left w:val="single" w:sz="4" w:space="0" w:color="auto"/>
              <w:bottom w:val="single" w:sz="4" w:space="0" w:color="auto"/>
              <w:right w:val="single" w:sz="4" w:space="0" w:color="auto"/>
            </w:tcBorders>
          </w:tcPr>
          <w:p w14:paraId="732293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12,50</w:t>
            </w:r>
          </w:p>
        </w:tc>
        <w:tc>
          <w:tcPr>
            <w:tcW w:w="907" w:type="dxa"/>
            <w:tcBorders>
              <w:top w:val="single" w:sz="4" w:space="0" w:color="auto"/>
              <w:left w:val="single" w:sz="4" w:space="0" w:color="auto"/>
              <w:bottom w:val="single" w:sz="4" w:space="0" w:color="auto"/>
              <w:right w:val="single" w:sz="4" w:space="0" w:color="auto"/>
            </w:tcBorders>
          </w:tcPr>
          <w:p w14:paraId="108E8F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1E27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CD99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9728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30296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4178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−40,6</w:t>
            </w:r>
          </w:p>
        </w:tc>
        <w:tc>
          <w:tcPr>
            <w:tcW w:w="907" w:type="dxa"/>
            <w:tcBorders>
              <w:top w:val="single" w:sz="4" w:space="0" w:color="auto"/>
              <w:left w:val="single" w:sz="4" w:space="0" w:color="auto"/>
              <w:bottom w:val="single" w:sz="4" w:space="0" w:color="auto"/>
              <w:right w:val="single" w:sz="4" w:space="0" w:color="auto"/>
            </w:tcBorders>
          </w:tcPr>
          <w:p w14:paraId="0BC46BE1" w14:textId="77777777" w:rsidR="00B82F75" w:rsidRPr="00F52C10" w:rsidRDefault="00B82F75" w:rsidP="00E4628E">
            <w:pPr>
              <w:pStyle w:val="Tabletext0"/>
              <w:spacing w:before="34" w:after="34" w:line="276" w:lineRule="auto"/>
              <w:rPr>
                <w:sz w:val="18"/>
                <w:szCs w:val="18"/>
              </w:rPr>
            </w:pPr>
            <w:r w:rsidRPr="00F52C10">
              <w:rPr>
                <w:sz w:val="18"/>
                <w:szCs w:val="18"/>
              </w:rPr>
              <w:t>*/MB10</w:t>
            </w:r>
          </w:p>
        </w:tc>
      </w:tr>
      <w:tr w:rsidR="00B82F75" w:rsidRPr="00F52C10" w14:paraId="78B1543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5E53C50" w14:textId="77777777" w:rsidR="00B82F75" w:rsidRPr="00F52C10" w:rsidRDefault="00B82F75" w:rsidP="00E4628E">
            <w:pPr>
              <w:pStyle w:val="Tabletext0"/>
              <w:spacing w:before="34" w:after="34" w:line="276" w:lineRule="auto"/>
              <w:rPr>
                <w:sz w:val="18"/>
                <w:szCs w:val="18"/>
              </w:rPr>
            </w:pPr>
            <w:r w:rsidRPr="00F52C10">
              <w:rPr>
                <w:sz w:val="18"/>
                <w:szCs w:val="18"/>
              </w:rPr>
              <w:t>DNK00FAR</w:t>
            </w:r>
          </w:p>
        </w:tc>
        <w:tc>
          <w:tcPr>
            <w:tcW w:w="1076" w:type="dxa"/>
            <w:tcBorders>
              <w:top w:val="single" w:sz="4" w:space="0" w:color="auto"/>
              <w:left w:val="single" w:sz="4" w:space="0" w:color="auto"/>
              <w:bottom w:val="single" w:sz="4" w:space="0" w:color="auto"/>
              <w:right w:val="single" w:sz="4" w:space="0" w:color="auto"/>
            </w:tcBorders>
          </w:tcPr>
          <w:p w14:paraId="7647AD0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−49,00</w:t>
            </w:r>
          </w:p>
        </w:tc>
        <w:tc>
          <w:tcPr>
            <w:tcW w:w="970" w:type="dxa"/>
            <w:tcBorders>
              <w:top w:val="single" w:sz="4" w:space="0" w:color="auto"/>
              <w:left w:val="single" w:sz="4" w:space="0" w:color="auto"/>
              <w:bottom w:val="single" w:sz="4" w:space="0" w:color="auto"/>
              <w:right w:val="single" w:sz="4" w:space="0" w:color="auto"/>
            </w:tcBorders>
          </w:tcPr>
          <w:p w14:paraId="36C558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−7,20</w:t>
            </w:r>
          </w:p>
        </w:tc>
        <w:tc>
          <w:tcPr>
            <w:tcW w:w="907" w:type="dxa"/>
            <w:tcBorders>
              <w:top w:val="single" w:sz="4" w:space="0" w:color="auto"/>
              <w:left w:val="single" w:sz="4" w:space="0" w:color="auto"/>
              <w:bottom w:val="single" w:sz="4" w:space="0" w:color="auto"/>
              <w:right w:val="single" w:sz="4" w:space="0" w:color="auto"/>
            </w:tcBorders>
          </w:tcPr>
          <w:p w14:paraId="4BD896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0AE1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6BDB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CCB0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8F52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69C73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−41,1</w:t>
            </w:r>
          </w:p>
        </w:tc>
        <w:tc>
          <w:tcPr>
            <w:tcW w:w="907" w:type="dxa"/>
            <w:tcBorders>
              <w:top w:val="single" w:sz="4" w:space="0" w:color="auto"/>
              <w:left w:val="single" w:sz="4" w:space="0" w:color="auto"/>
              <w:bottom w:val="single" w:sz="4" w:space="0" w:color="auto"/>
              <w:right w:val="single" w:sz="4" w:space="0" w:color="auto"/>
            </w:tcBorders>
          </w:tcPr>
          <w:p w14:paraId="480B6869" w14:textId="77777777" w:rsidR="00B82F75" w:rsidRPr="00F52C10" w:rsidRDefault="00B82F75" w:rsidP="00E4628E">
            <w:pPr>
              <w:pStyle w:val="Tabletext0"/>
              <w:spacing w:before="34" w:after="34" w:line="276" w:lineRule="auto"/>
              <w:rPr>
                <w:sz w:val="18"/>
                <w:szCs w:val="18"/>
              </w:rPr>
            </w:pPr>
            <w:r w:rsidRPr="00F52C10">
              <w:rPr>
                <w:sz w:val="18"/>
                <w:szCs w:val="18"/>
              </w:rPr>
              <w:t>*/MB10</w:t>
            </w:r>
          </w:p>
        </w:tc>
      </w:tr>
      <w:tr w:rsidR="00B82F75" w:rsidRPr="00F52C10" w14:paraId="248C68E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5F9AF08" w14:textId="77777777" w:rsidR="00B82F75" w:rsidRPr="00F52C10" w:rsidRDefault="00B82F75" w:rsidP="00E4628E">
            <w:pPr>
              <w:pStyle w:val="Tabletext0"/>
              <w:spacing w:before="34" w:after="34" w:line="276" w:lineRule="auto"/>
              <w:rPr>
                <w:sz w:val="18"/>
                <w:szCs w:val="18"/>
              </w:rPr>
            </w:pPr>
            <w:r w:rsidRPr="00F52C10">
              <w:rPr>
                <w:sz w:val="18"/>
                <w:szCs w:val="18"/>
              </w:rPr>
              <w:t>DOM00000</w:t>
            </w:r>
          </w:p>
        </w:tc>
        <w:tc>
          <w:tcPr>
            <w:tcW w:w="1076" w:type="dxa"/>
            <w:tcBorders>
              <w:top w:val="single" w:sz="4" w:space="0" w:color="auto"/>
              <w:left w:val="single" w:sz="4" w:space="0" w:color="auto"/>
              <w:bottom w:val="single" w:sz="4" w:space="0" w:color="auto"/>
              <w:right w:val="single" w:sz="4" w:space="0" w:color="auto"/>
            </w:tcBorders>
          </w:tcPr>
          <w:p w14:paraId="16BC9D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−85,40</w:t>
            </w:r>
          </w:p>
        </w:tc>
        <w:tc>
          <w:tcPr>
            <w:tcW w:w="970" w:type="dxa"/>
            <w:tcBorders>
              <w:top w:val="single" w:sz="4" w:space="0" w:color="auto"/>
              <w:left w:val="single" w:sz="4" w:space="0" w:color="auto"/>
              <w:bottom w:val="single" w:sz="4" w:space="0" w:color="auto"/>
              <w:right w:val="single" w:sz="4" w:space="0" w:color="auto"/>
            </w:tcBorders>
          </w:tcPr>
          <w:p w14:paraId="5D0437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−70,40</w:t>
            </w:r>
          </w:p>
        </w:tc>
        <w:tc>
          <w:tcPr>
            <w:tcW w:w="907" w:type="dxa"/>
            <w:tcBorders>
              <w:top w:val="single" w:sz="4" w:space="0" w:color="auto"/>
              <w:left w:val="single" w:sz="4" w:space="0" w:color="auto"/>
              <w:bottom w:val="single" w:sz="4" w:space="0" w:color="auto"/>
              <w:right w:val="single" w:sz="4" w:space="0" w:color="auto"/>
            </w:tcBorders>
          </w:tcPr>
          <w:p w14:paraId="05C50F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EF0D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E461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87D7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55AE1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036C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−41,7</w:t>
            </w:r>
          </w:p>
        </w:tc>
        <w:tc>
          <w:tcPr>
            <w:tcW w:w="907" w:type="dxa"/>
            <w:tcBorders>
              <w:top w:val="single" w:sz="4" w:space="0" w:color="auto"/>
              <w:left w:val="single" w:sz="4" w:space="0" w:color="auto"/>
              <w:bottom w:val="single" w:sz="4" w:space="0" w:color="auto"/>
              <w:right w:val="single" w:sz="4" w:space="0" w:color="auto"/>
            </w:tcBorders>
          </w:tcPr>
          <w:p w14:paraId="4672289A" w14:textId="77777777" w:rsidR="00B82F75" w:rsidRPr="00F52C10" w:rsidRDefault="00B82F75" w:rsidP="00E4628E">
            <w:pPr>
              <w:pStyle w:val="Tabletext0"/>
              <w:spacing w:before="34" w:after="34" w:line="276" w:lineRule="auto"/>
              <w:rPr>
                <w:sz w:val="18"/>
                <w:szCs w:val="18"/>
                <w:lang w:val="en-CA"/>
              </w:rPr>
            </w:pPr>
          </w:p>
        </w:tc>
      </w:tr>
      <w:tr w:rsidR="00B82F75" w:rsidRPr="00F52C10" w14:paraId="14DA17A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9A107F0" w14:textId="77777777" w:rsidR="00B82F75" w:rsidRPr="00F52C10" w:rsidRDefault="00B82F75" w:rsidP="00E4628E">
            <w:pPr>
              <w:pStyle w:val="Tabletext0"/>
              <w:spacing w:before="34" w:after="34" w:line="276" w:lineRule="auto"/>
              <w:rPr>
                <w:sz w:val="18"/>
                <w:szCs w:val="18"/>
              </w:rPr>
            </w:pPr>
            <w:r w:rsidRPr="00F52C10">
              <w:rPr>
                <w:sz w:val="18"/>
                <w:szCs w:val="18"/>
              </w:rPr>
              <w:t>E  00002</w:t>
            </w:r>
          </w:p>
        </w:tc>
        <w:tc>
          <w:tcPr>
            <w:tcW w:w="1076" w:type="dxa"/>
            <w:tcBorders>
              <w:top w:val="single" w:sz="4" w:space="0" w:color="auto"/>
              <w:left w:val="single" w:sz="4" w:space="0" w:color="auto"/>
              <w:bottom w:val="single" w:sz="4" w:space="0" w:color="auto"/>
              <w:right w:val="single" w:sz="4" w:space="0" w:color="auto"/>
            </w:tcBorders>
          </w:tcPr>
          <w:p w14:paraId="71BA47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−30,00</w:t>
            </w:r>
          </w:p>
        </w:tc>
        <w:tc>
          <w:tcPr>
            <w:tcW w:w="970" w:type="dxa"/>
            <w:tcBorders>
              <w:top w:val="single" w:sz="4" w:space="0" w:color="auto"/>
              <w:left w:val="single" w:sz="4" w:space="0" w:color="auto"/>
              <w:bottom w:val="single" w:sz="4" w:space="0" w:color="auto"/>
              <w:right w:val="single" w:sz="4" w:space="0" w:color="auto"/>
            </w:tcBorders>
          </w:tcPr>
          <w:p w14:paraId="1255AD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907" w:type="dxa"/>
            <w:tcBorders>
              <w:top w:val="single" w:sz="4" w:space="0" w:color="auto"/>
              <w:left w:val="single" w:sz="4" w:space="0" w:color="auto"/>
              <w:bottom w:val="single" w:sz="4" w:space="0" w:color="auto"/>
              <w:right w:val="single" w:sz="4" w:space="0" w:color="auto"/>
            </w:tcBorders>
          </w:tcPr>
          <w:p w14:paraId="7BF3A3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CDA82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B9BE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8CC6ED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C5DE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F16E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−39,5</w:t>
            </w:r>
          </w:p>
        </w:tc>
        <w:tc>
          <w:tcPr>
            <w:tcW w:w="907" w:type="dxa"/>
            <w:tcBorders>
              <w:top w:val="single" w:sz="4" w:space="0" w:color="auto"/>
              <w:left w:val="single" w:sz="4" w:space="0" w:color="auto"/>
              <w:bottom w:val="single" w:sz="4" w:space="0" w:color="auto"/>
              <w:right w:val="single" w:sz="4" w:space="0" w:color="auto"/>
            </w:tcBorders>
          </w:tcPr>
          <w:p w14:paraId="032746F7" w14:textId="77777777" w:rsidR="00B82F75" w:rsidRPr="00F52C10" w:rsidRDefault="00B82F75" w:rsidP="00E4628E">
            <w:pPr>
              <w:pStyle w:val="Tabletext0"/>
              <w:spacing w:before="34" w:after="34" w:line="276" w:lineRule="auto"/>
              <w:rPr>
                <w:sz w:val="18"/>
                <w:szCs w:val="18"/>
              </w:rPr>
            </w:pPr>
            <w:r w:rsidRPr="00F52C10">
              <w:rPr>
                <w:sz w:val="18"/>
                <w:szCs w:val="18"/>
              </w:rPr>
              <w:t>*/MB8</w:t>
            </w:r>
          </w:p>
        </w:tc>
      </w:tr>
      <w:tr w:rsidR="00B82F75" w:rsidRPr="00F52C10" w14:paraId="313D28A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DCA0256" w14:textId="77777777" w:rsidR="00B82F75" w:rsidRPr="00F52C10" w:rsidRDefault="00B82F75" w:rsidP="00E4628E">
            <w:pPr>
              <w:pStyle w:val="Tabletext0"/>
              <w:spacing w:before="34" w:after="34" w:line="276" w:lineRule="auto"/>
              <w:rPr>
                <w:sz w:val="18"/>
                <w:szCs w:val="18"/>
              </w:rPr>
            </w:pPr>
            <w:r w:rsidRPr="00F52C10">
              <w:rPr>
                <w:sz w:val="18"/>
                <w:szCs w:val="18"/>
              </w:rPr>
              <w:t>EGY00000</w:t>
            </w:r>
          </w:p>
        </w:tc>
        <w:tc>
          <w:tcPr>
            <w:tcW w:w="1076" w:type="dxa"/>
            <w:tcBorders>
              <w:top w:val="single" w:sz="4" w:space="0" w:color="auto"/>
              <w:left w:val="single" w:sz="4" w:space="0" w:color="auto"/>
              <w:bottom w:val="single" w:sz="4" w:space="0" w:color="auto"/>
              <w:right w:val="single" w:sz="4" w:space="0" w:color="auto"/>
            </w:tcBorders>
          </w:tcPr>
          <w:p w14:paraId="19C850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67,11</w:t>
            </w:r>
          </w:p>
        </w:tc>
        <w:tc>
          <w:tcPr>
            <w:tcW w:w="970" w:type="dxa"/>
            <w:tcBorders>
              <w:top w:val="single" w:sz="4" w:space="0" w:color="auto"/>
              <w:left w:val="single" w:sz="4" w:space="0" w:color="auto"/>
              <w:bottom w:val="single" w:sz="4" w:space="0" w:color="auto"/>
              <w:right w:val="single" w:sz="4" w:space="0" w:color="auto"/>
            </w:tcBorders>
          </w:tcPr>
          <w:p w14:paraId="34C86C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30,30</w:t>
            </w:r>
          </w:p>
        </w:tc>
        <w:tc>
          <w:tcPr>
            <w:tcW w:w="907" w:type="dxa"/>
            <w:tcBorders>
              <w:top w:val="single" w:sz="4" w:space="0" w:color="auto"/>
              <w:left w:val="single" w:sz="4" w:space="0" w:color="auto"/>
              <w:bottom w:val="single" w:sz="4" w:space="0" w:color="auto"/>
              <w:right w:val="single" w:sz="4" w:space="0" w:color="auto"/>
            </w:tcBorders>
          </w:tcPr>
          <w:p w14:paraId="08008C0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80902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BE0C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E13F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95905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743F0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−39,2</w:t>
            </w:r>
          </w:p>
        </w:tc>
        <w:tc>
          <w:tcPr>
            <w:tcW w:w="907" w:type="dxa"/>
            <w:tcBorders>
              <w:top w:val="single" w:sz="4" w:space="0" w:color="auto"/>
              <w:left w:val="single" w:sz="4" w:space="0" w:color="auto"/>
              <w:bottom w:val="single" w:sz="4" w:space="0" w:color="auto"/>
              <w:right w:val="single" w:sz="4" w:space="0" w:color="auto"/>
            </w:tcBorders>
          </w:tcPr>
          <w:p w14:paraId="445CA545" w14:textId="77777777" w:rsidR="00B82F75" w:rsidRPr="00F52C10" w:rsidRDefault="00B82F75" w:rsidP="00E4628E">
            <w:pPr>
              <w:pStyle w:val="Tabletext0"/>
              <w:spacing w:before="34" w:after="34" w:line="276" w:lineRule="auto"/>
              <w:rPr>
                <w:sz w:val="18"/>
                <w:szCs w:val="18"/>
                <w:lang w:val="en-CA"/>
              </w:rPr>
            </w:pPr>
          </w:p>
        </w:tc>
      </w:tr>
      <w:tr w:rsidR="00B82F75" w:rsidRPr="00F52C10" w14:paraId="7DEB886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24D4751" w14:textId="77777777" w:rsidR="00B82F75" w:rsidRPr="00F52C10" w:rsidRDefault="00B82F75" w:rsidP="00E4628E">
            <w:pPr>
              <w:pStyle w:val="Tabletext0"/>
              <w:spacing w:before="34" w:after="34" w:line="276" w:lineRule="auto"/>
              <w:rPr>
                <w:sz w:val="18"/>
                <w:szCs w:val="18"/>
              </w:rPr>
            </w:pPr>
            <w:r w:rsidRPr="00F52C10">
              <w:rPr>
                <w:sz w:val="18"/>
                <w:szCs w:val="18"/>
              </w:rPr>
              <w:t>EQA00000</w:t>
            </w:r>
          </w:p>
        </w:tc>
        <w:tc>
          <w:tcPr>
            <w:tcW w:w="1076" w:type="dxa"/>
            <w:tcBorders>
              <w:top w:val="single" w:sz="4" w:space="0" w:color="auto"/>
              <w:left w:val="single" w:sz="4" w:space="0" w:color="auto"/>
              <w:bottom w:val="single" w:sz="4" w:space="0" w:color="auto"/>
              <w:right w:val="single" w:sz="4" w:space="0" w:color="auto"/>
            </w:tcBorders>
          </w:tcPr>
          <w:p w14:paraId="39B5AE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−104,00</w:t>
            </w:r>
          </w:p>
        </w:tc>
        <w:tc>
          <w:tcPr>
            <w:tcW w:w="970" w:type="dxa"/>
            <w:tcBorders>
              <w:top w:val="single" w:sz="4" w:space="0" w:color="auto"/>
              <w:left w:val="single" w:sz="4" w:space="0" w:color="auto"/>
              <w:bottom w:val="single" w:sz="4" w:space="0" w:color="auto"/>
              <w:right w:val="single" w:sz="4" w:space="0" w:color="auto"/>
            </w:tcBorders>
          </w:tcPr>
          <w:p w14:paraId="09E8576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−83,10</w:t>
            </w:r>
          </w:p>
        </w:tc>
        <w:tc>
          <w:tcPr>
            <w:tcW w:w="907" w:type="dxa"/>
            <w:tcBorders>
              <w:top w:val="single" w:sz="4" w:space="0" w:color="auto"/>
              <w:left w:val="single" w:sz="4" w:space="0" w:color="auto"/>
              <w:bottom w:val="single" w:sz="4" w:space="0" w:color="auto"/>
              <w:right w:val="single" w:sz="4" w:space="0" w:color="auto"/>
            </w:tcBorders>
          </w:tcPr>
          <w:p w14:paraId="316D0C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F7E3E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2B65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ED58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174,00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69A1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B5785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w:t>
            </w:r>
          </w:p>
        </w:tc>
        <w:tc>
          <w:tcPr>
            <w:tcW w:w="907" w:type="dxa"/>
            <w:tcBorders>
              <w:top w:val="single" w:sz="4" w:space="0" w:color="auto"/>
              <w:left w:val="single" w:sz="4" w:space="0" w:color="auto"/>
              <w:bottom w:val="single" w:sz="4" w:space="0" w:color="auto"/>
              <w:right w:val="single" w:sz="4" w:space="0" w:color="auto"/>
            </w:tcBorders>
          </w:tcPr>
          <w:p w14:paraId="57B2B58B" w14:textId="77777777" w:rsidR="00B82F75" w:rsidRPr="00F52C10" w:rsidRDefault="00B82F75" w:rsidP="00E4628E">
            <w:pPr>
              <w:pStyle w:val="Tabletext0"/>
              <w:spacing w:before="34" w:after="34" w:line="276" w:lineRule="auto"/>
              <w:rPr>
                <w:sz w:val="18"/>
                <w:szCs w:val="18"/>
                <w:lang w:val="en-CA"/>
              </w:rPr>
            </w:pPr>
          </w:p>
        </w:tc>
      </w:tr>
      <w:tr w:rsidR="00B82F75" w:rsidRPr="00F52C10" w14:paraId="4C68E28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FDDFC97" w14:textId="77777777" w:rsidR="00B82F75" w:rsidRPr="00F52C10" w:rsidRDefault="00B82F75" w:rsidP="00E4628E">
            <w:pPr>
              <w:pStyle w:val="Tabletext0"/>
              <w:spacing w:before="34" w:after="34" w:line="276" w:lineRule="auto"/>
              <w:rPr>
                <w:sz w:val="18"/>
                <w:szCs w:val="18"/>
              </w:rPr>
            </w:pPr>
            <w:r w:rsidRPr="00F52C10">
              <w:rPr>
                <w:sz w:val="18"/>
                <w:szCs w:val="18"/>
              </w:rPr>
              <w:t>ETH00000</w:t>
            </w:r>
          </w:p>
        </w:tc>
        <w:tc>
          <w:tcPr>
            <w:tcW w:w="1076" w:type="dxa"/>
            <w:tcBorders>
              <w:top w:val="single" w:sz="4" w:space="0" w:color="auto"/>
              <w:left w:val="single" w:sz="4" w:space="0" w:color="auto"/>
              <w:bottom w:val="single" w:sz="4" w:space="0" w:color="auto"/>
              <w:right w:val="single" w:sz="4" w:space="0" w:color="auto"/>
            </w:tcBorders>
          </w:tcPr>
          <w:p w14:paraId="123006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58,30</w:t>
            </w:r>
          </w:p>
        </w:tc>
        <w:tc>
          <w:tcPr>
            <w:tcW w:w="970" w:type="dxa"/>
            <w:tcBorders>
              <w:top w:val="single" w:sz="4" w:space="0" w:color="auto"/>
              <w:left w:val="single" w:sz="4" w:space="0" w:color="auto"/>
              <w:bottom w:val="single" w:sz="4" w:space="0" w:color="auto"/>
              <w:right w:val="single" w:sz="4" w:space="0" w:color="auto"/>
            </w:tcBorders>
          </w:tcPr>
          <w:p w14:paraId="57836C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40,60</w:t>
            </w:r>
          </w:p>
        </w:tc>
        <w:tc>
          <w:tcPr>
            <w:tcW w:w="907" w:type="dxa"/>
            <w:tcBorders>
              <w:top w:val="single" w:sz="4" w:space="0" w:color="auto"/>
              <w:left w:val="single" w:sz="4" w:space="0" w:color="auto"/>
              <w:bottom w:val="single" w:sz="4" w:space="0" w:color="auto"/>
              <w:right w:val="single" w:sz="4" w:space="0" w:color="auto"/>
            </w:tcBorders>
          </w:tcPr>
          <w:p w14:paraId="67D60C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9A70D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BD12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8565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97CF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1101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−39,4</w:t>
            </w:r>
          </w:p>
        </w:tc>
        <w:tc>
          <w:tcPr>
            <w:tcW w:w="907" w:type="dxa"/>
            <w:tcBorders>
              <w:top w:val="single" w:sz="4" w:space="0" w:color="auto"/>
              <w:left w:val="single" w:sz="4" w:space="0" w:color="auto"/>
              <w:bottom w:val="single" w:sz="4" w:space="0" w:color="auto"/>
              <w:right w:val="single" w:sz="4" w:space="0" w:color="auto"/>
            </w:tcBorders>
          </w:tcPr>
          <w:p w14:paraId="7680F5F6" w14:textId="77777777" w:rsidR="00B82F75" w:rsidRPr="00F52C10" w:rsidRDefault="00B82F75" w:rsidP="00E4628E">
            <w:pPr>
              <w:pStyle w:val="Tabletext0"/>
              <w:spacing w:before="34" w:after="34" w:line="276" w:lineRule="auto"/>
              <w:rPr>
                <w:sz w:val="18"/>
                <w:szCs w:val="18"/>
                <w:lang w:val="en-CA"/>
              </w:rPr>
            </w:pPr>
          </w:p>
        </w:tc>
      </w:tr>
      <w:tr w:rsidR="00B82F75" w:rsidRPr="00F52C10" w14:paraId="686B42D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EC7B1DB" w14:textId="77777777" w:rsidR="00B82F75" w:rsidRPr="00F52C10" w:rsidRDefault="00B82F75" w:rsidP="00E4628E">
            <w:pPr>
              <w:pStyle w:val="Tabletext0"/>
              <w:spacing w:before="34" w:after="34" w:line="276" w:lineRule="auto"/>
              <w:rPr>
                <w:sz w:val="18"/>
                <w:szCs w:val="18"/>
              </w:rPr>
            </w:pPr>
            <w:r w:rsidRPr="00F52C10">
              <w:rPr>
                <w:sz w:val="18"/>
                <w:szCs w:val="18"/>
              </w:rPr>
              <w:lastRenderedPageBreak/>
              <w:t>F  00000</w:t>
            </w:r>
          </w:p>
        </w:tc>
        <w:tc>
          <w:tcPr>
            <w:tcW w:w="1076" w:type="dxa"/>
            <w:tcBorders>
              <w:top w:val="single" w:sz="4" w:space="0" w:color="auto"/>
              <w:left w:val="single" w:sz="4" w:space="0" w:color="auto"/>
              <w:bottom w:val="single" w:sz="4" w:space="0" w:color="auto"/>
              <w:right w:val="single" w:sz="4" w:space="0" w:color="auto"/>
            </w:tcBorders>
          </w:tcPr>
          <w:p w14:paraId="7DFF03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70" w:type="dxa"/>
            <w:tcBorders>
              <w:top w:val="single" w:sz="4" w:space="0" w:color="auto"/>
              <w:left w:val="single" w:sz="4" w:space="0" w:color="auto"/>
              <w:bottom w:val="single" w:sz="4" w:space="0" w:color="auto"/>
              <w:right w:val="single" w:sz="4" w:space="0" w:color="auto"/>
            </w:tcBorders>
          </w:tcPr>
          <w:p w14:paraId="3B3E3F59"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5E111844"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DCC7DD"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EC36FC"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106493F"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934DEB7"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50CA60"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7270B20B" w14:textId="77777777" w:rsidR="00B82F75" w:rsidRPr="00F52C10" w:rsidRDefault="00B82F75" w:rsidP="00E4628E">
            <w:pPr>
              <w:pStyle w:val="Tabletext0"/>
              <w:spacing w:before="34" w:after="34" w:line="276" w:lineRule="auto"/>
              <w:rPr>
                <w:sz w:val="18"/>
                <w:szCs w:val="18"/>
              </w:rPr>
            </w:pPr>
            <w:r w:rsidRPr="00F52C10">
              <w:rPr>
                <w:sz w:val="18"/>
                <w:szCs w:val="18"/>
              </w:rPr>
              <w:t>1</w:t>
            </w:r>
          </w:p>
        </w:tc>
      </w:tr>
      <w:tr w:rsidR="00B82F75" w:rsidRPr="00F52C10" w14:paraId="0388524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5F0DD4B" w14:textId="77777777" w:rsidR="00B82F75" w:rsidRPr="00F52C10" w:rsidRDefault="00B82F75" w:rsidP="00E4628E">
            <w:pPr>
              <w:pStyle w:val="Tabletext0"/>
              <w:spacing w:before="34" w:after="34" w:line="276" w:lineRule="auto"/>
              <w:rPr>
                <w:sz w:val="18"/>
                <w:szCs w:val="18"/>
              </w:rPr>
            </w:pPr>
            <w:r w:rsidRPr="00F52C10">
              <w:rPr>
                <w:sz w:val="18"/>
                <w:szCs w:val="18"/>
              </w:rPr>
              <w:t>FIN00000</w:t>
            </w:r>
          </w:p>
        </w:tc>
        <w:tc>
          <w:tcPr>
            <w:tcW w:w="1076" w:type="dxa"/>
            <w:tcBorders>
              <w:top w:val="single" w:sz="4" w:space="0" w:color="auto"/>
              <w:left w:val="single" w:sz="4" w:space="0" w:color="auto"/>
              <w:bottom w:val="single" w:sz="4" w:space="0" w:color="auto"/>
              <w:right w:val="single" w:sz="4" w:space="0" w:color="auto"/>
            </w:tcBorders>
          </w:tcPr>
          <w:p w14:paraId="34666B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46,80</w:t>
            </w:r>
          </w:p>
        </w:tc>
        <w:tc>
          <w:tcPr>
            <w:tcW w:w="970" w:type="dxa"/>
            <w:tcBorders>
              <w:top w:val="single" w:sz="4" w:space="0" w:color="auto"/>
              <w:left w:val="single" w:sz="4" w:space="0" w:color="auto"/>
              <w:bottom w:val="single" w:sz="4" w:space="0" w:color="auto"/>
              <w:right w:val="single" w:sz="4" w:space="0" w:color="auto"/>
            </w:tcBorders>
          </w:tcPr>
          <w:p w14:paraId="582D4A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23,80</w:t>
            </w:r>
          </w:p>
        </w:tc>
        <w:tc>
          <w:tcPr>
            <w:tcW w:w="907" w:type="dxa"/>
            <w:tcBorders>
              <w:top w:val="single" w:sz="4" w:space="0" w:color="auto"/>
              <w:left w:val="single" w:sz="4" w:space="0" w:color="auto"/>
              <w:bottom w:val="single" w:sz="4" w:space="0" w:color="auto"/>
              <w:right w:val="single" w:sz="4" w:space="0" w:color="auto"/>
            </w:tcBorders>
          </w:tcPr>
          <w:p w14:paraId="5C8BDD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CCAFA3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EEF4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2C02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E6621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F1C7E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−39,3</w:t>
            </w:r>
          </w:p>
        </w:tc>
        <w:tc>
          <w:tcPr>
            <w:tcW w:w="907" w:type="dxa"/>
            <w:tcBorders>
              <w:top w:val="single" w:sz="4" w:space="0" w:color="auto"/>
              <w:left w:val="single" w:sz="4" w:space="0" w:color="auto"/>
              <w:bottom w:val="single" w:sz="4" w:space="0" w:color="auto"/>
              <w:right w:val="single" w:sz="4" w:space="0" w:color="auto"/>
            </w:tcBorders>
          </w:tcPr>
          <w:p w14:paraId="03378224" w14:textId="77777777" w:rsidR="00B82F75" w:rsidRPr="00F52C10" w:rsidRDefault="00B82F75" w:rsidP="00E4628E">
            <w:pPr>
              <w:pStyle w:val="Tabletext0"/>
              <w:spacing w:before="34" w:after="34" w:line="276" w:lineRule="auto"/>
              <w:rPr>
                <w:sz w:val="18"/>
                <w:szCs w:val="18"/>
                <w:lang w:val="en-CA"/>
              </w:rPr>
            </w:pPr>
          </w:p>
        </w:tc>
      </w:tr>
      <w:tr w:rsidR="00B82F75" w:rsidRPr="00F52C10" w14:paraId="794C57F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FC863C8" w14:textId="77777777" w:rsidR="00B82F75" w:rsidRPr="00F52C10" w:rsidRDefault="00B82F75" w:rsidP="00E4628E">
            <w:pPr>
              <w:pStyle w:val="Tabletext0"/>
              <w:spacing w:before="34" w:after="34" w:line="276" w:lineRule="auto"/>
              <w:rPr>
                <w:sz w:val="18"/>
                <w:szCs w:val="18"/>
              </w:rPr>
            </w:pPr>
            <w:r w:rsidRPr="00F52C10">
              <w:rPr>
                <w:sz w:val="18"/>
                <w:szCs w:val="18"/>
              </w:rPr>
              <w:t>FJI00000</w:t>
            </w:r>
          </w:p>
        </w:tc>
        <w:tc>
          <w:tcPr>
            <w:tcW w:w="1076" w:type="dxa"/>
            <w:tcBorders>
              <w:top w:val="single" w:sz="4" w:space="0" w:color="auto"/>
              <w:left w:val="single" w:sz="4" w:space="0" w:color="auto"/>
              <w:bottom w:val="single" w:sz="4" w:space="0" w:color="auto"/>
              <w:right w:val="single" w:sz="4" w:space="0" w:color="auto"/>
            </w:tcBorders>
          </w:tcPr>
          <w:p w14:paraId="65A8A3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148,80</w:t>
            </w:r>
          </w:p>
        </w:tc>
        <w:tc>
          <w:tcPr>
            <w:tcW w:w="970" w:type="dxa"/>
            <w:tcBorders>
              <w:top w:val="single" w:sz="4" w:space="0" w:color="auto"/>
              <w:left w:val="single" w:sz="4" w:space="0" w:color="auto"/>
              <w:bottom w:val="single" w:sz="4" w:space="0" w:color="auto"/>
              <w:right w:val="single" w:sz="4" w:space="0" w:color="auto"/>
            </w:tcBorders>
          </w:tcPr>
          <w:p w14:paraId="11A0A3E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178,50</w:t>
            </w:r>
          </w:p>
        </w:tc>
        <w:tc>
          <w:tcPr>
            <w:tcW w:w="907" w:type="dxa"/>
            <w:tcBorders>
              <w:top w:val="single" w:sz="4" w:space="0" w:color="auto"/>
              <w:left w:val="single" w:sz="4" w:space="0" w:color="auto"/>
              <w:bottom w:val="single" w:sz="4" w:space="0" w:color="auto"/>
              <w:right w:val="single" w:sz="4" w:space="0" w:color="auto"/>
            </w:tcBorders>
          </w:tcPr>
          <w:p w14:paraId="5ABC04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9FDA0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FDF7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1D78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9ADC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004763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−41,5</w:t>
            </w:r>
          </w:p>
        </w:tc>
        <w:tc>
          <w:tcPr>
            <w:tcW w:w="907" w:type="dxa"/>
            <w:tcBorders>
              <w:top w:val="single" w:sz="4" w:space="0" w:color="auto"/>
              <w:left w:val="single" w:sz="4" w:space="0" w:color="auto"/>
              <w:bottom w:val="single" w:sz="4" w:space="0" w:color="auto"/>
              <w:right w:val="single" w:sz="4" w:space="0" w:color="auto"/>
            </w:tcBorders>
          </w:tcPr>
          <w:p w14:paraId="7638BA34" w14:textId="77777777" w:rsidR="00B82F75" w:rsidRPr="00F52C10" w:rsidRDefault="00B82F75" w:rsidP="00E4628E">
            <w:pPr>
              <w:pStyle w:val="Tabletext0"/>
              <w:spacing w:before="34" w:after="34" w:line="276" w:lineRule="auto"/>
              <w:rPr>
                <w:sz w:val="18"/>
                <w:szCs w:val="18"/>
                <w:lang w:val="en-CA"/>
              </w:rPr>
            </w:pPr>
          </w:p>
        </w:tc>
      </w:tr>
      <w:tr w:rsidR="00B82F75" w:rsidRPr="00F52C10" w14:paraId="5D9462B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0D8BC44" w14:textId="77777777" w:rsidR="00B82F75" w:rsidRPr="00F52C10" w:rsidRDefault="00B82F75" w:rsidP="00E4628E">
            <w:pPr>
              <w:pStyle w:val="Tabletext0"/>
              <w:spacing w:before="34" w:after="34" w:line="276" w:lineRule="auto"/>
              <w:rPr>
                <w:sz w:val="18"/>
                <w:szCs w:val="18"/>
              </w:rPr>
            </w:pPr>
            <w:r w:rsidRPr="00F52C10">
              <w:rPr>
                <w:sz w:val="18"/>
                <w:szCs w:val="18"/>
              </w:rPr>
              <w:t>FLKSTGGL</w:t>
            </w:r>
          </w:p>
        </w:tc>
        <w:tc>
          <w:tcPr>
            <w:tcW w:w="1076" w:type="dxa"/>
            <w:tcBorders>
              <w:top w:val="single" w:sz="4" w:space="0" w:color="auto"/>
              <w:left w:val="single" w:sz="4" w:space="0" w:color="auto"/>
              <w:bottom w:val="single" w:sz="4" w:space="0" w:color="auto"/>
              <w:right w:val="single" w:sz="4" w:space="0" w:color="auto"/>
            </w:tcBorders>
          </w:tcPr>
          <w:p w14:paraId="15BB1C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−37,10</w:t>
            </w:r>
          </w:p>
        </w:tc>
        <w:tc>
          <w:tcPr>
            <w:tcW w:w="970" w:type="dxa"/>
            <w:tcBorders>
              <w:top w:val="single" w:sz="4" w:space="0" w:color="auto"/>
              <w:left w:val="single" w:sz="4" w:space="0" w:color="auto"/>
              <w:bottom w:val="single" w:sz="4" w:space="0" w:color="auto"/>
              <w:right w:val="single" w:sz="4" w:space="0" w:color="auto"/>
            </w:tcBorders>
          </w:tcPr>
          <w:p w14:paraId="4631C9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−46,80</w:t>
            </w:r>
          </w:p>
        </w:tc>
        <w:tc>
          <w:tcPr>
            <w:tcW w:w="907" w:type="dxa"/>
            <w:tcBorders>
              <w:top w:val="single" w:sz="4" w:space="0" w:color="auto"/>
              <w:left w:val="single" w:sz="4" w:space="0" w:color="auto"/>
              <w:bottom w:val="single" w:sz="4" w:space="0" w:color="auto"/>
              <w:right w:val="single" w:sz="4" w:space="0" w:color="auto"/>
            </w:tcBorders>
          </w:tcPr>
          <w:p w14:paraId="7EFA87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3862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219D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A498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871E7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1A83F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−38,8</w:t>
            </w:r>
          </w:p>
        </w:tc>
        <w:tc>
          <w:tcPr>
            <w:tcW w:w="907" w:type="dxa"/>
            <w:tcBorders>
              <w:top w:val="single" w:sz="4" w:space="0" w:color="auto"/>
              <w:left w:val="single" w:sz="4" w:space="0" w:color="auto"/>
              <w:bottom w:val="single" w:sz="4" w:space="0" w:color="auto"/>
              <w:right w:val="single" w:sz="4" w:space="0" w:color="auto"/>
            </w:tcBorders>
          </w:tcPr>
          <w:p w14:paraId="4E98F8FA" w14:textId="77777777" w:rsidR="00B82F75" w:rsidRPr="00F52C10" w:rsidRDefault="00B82F75" w:rsidP="00E4628E">
            <w:pPr>
              <w:pStyle w:val="Tabletext0"/>
              <w:spacing w:before="34" w:after="34" w:line="276" w:lineRule="auto"/>
              <w:rPr>
                <w:sz w:val="18"/>
                <w:szCs w:val="18"/>
              </w:rPr>
            </w:pPr>
            <w:r w:rsidRPr="00F52C10">
              <w:rPr>
                <w:sz w:val="18"/>
                <w:szCs w:val="18"/>
              </w:rPr>
              <w:t>*/MB4</w:t>
            </w:r>
          </w:p>
        </w:tc>
      </w:tr>
      <w:tr w:rsidR="00B82F75" w:rsidRPr="00F52C10" w14:paraId="0548FA0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09CD749" w14:textId="77777777" w:rsidR="00B82F75" w:rsidRPr="00F52C10" w:rsidRDefault="00B82F75" w:rsidP="00E4628E">
            <w:pPr>
              <w:pStyle w:val="Tabletext0"/>
              <w:spacing w:before="34" w:after="34" w:line="276" w:lineRule="auto"/>
              <w:rPr>
                <w:sz w:val="18"/>
                <w:szCs w:val="18"/>
              </w:rPr>
            </w:pPr>
            <w:r w:rsidRPr="00F52C10">
              <w:rPr>
                <w:sz w:val="18"/>
                <w:szCs w:val="18"/>
              </w:rPr>
              <w:t>G  00000</w:t>
            </w:r>
          </w:p>
        </w:tc>
        <w:tc>
          <w:tcPr>
            <w:tcW w:w="1076" w:type="dxa"/>
            <w:tcBorders>
              <w:top w:val="single" w:sz="4" w:space="0" w:color="auto"/>
              <w:left w:val="single" w:sz="4" w:space="0" w:color="auto"/>
              <w:bottom w:val="single" w:sz="4" w:space="0" w:color="auto"/>
              <w:right w:val="single" w:sz="4" w:space="0" w:color="auto"/>
            </w:tcBorders>
          </w:tcPr>
          <w:p w14:paraId="3BFBD1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−37,10</w:t>
            </w:r>
          </w:p>
        </w:tc>
        <w:tc>
          <w:tcPr>
            <w:tcW w:w="970" w:type="dxa"/>
            <w:tcBorders>
              <w:top w:val="single" w:sz="4" w:space="0" w:color="auto"/>
              <w:left w:val="single" w:sz="4" w:space="0" w:color="auto"/>
              <w:bottom w:val="single" w:sz="4" w:space="0" w:color="auto"/>
              <w:right w:val="single" w:sz="4" w:space="0" w:color="auto"/>
            </w:tcBorders>
          </w:tcPr>
          <w:p w14:paraId="46958E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w:t>
            </w:r>
          </w:p>
        </w:tc>
        <w:tc>
          <w:tcPr>
            <w:tcW w:w="907" w:type="dxa"/>
            <w:tcBorders>
              <w:top w:val="single" w:sz="4" w:space="0" w:color="auto"/>
              <w:left w:val="single" w:sz="4" w:space="0" w:color="auto"/>
              <w:bottom w:val="single" w:sz="4" w:space="0" w:color="auto"/>
              <w:right w:val="single" w:sz="4" w:space="0" w:color="auto"/>
            </w:tcBorders>
          </w:tcPr>
          <w:p w14:paraId="729749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0EC4F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C044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F156D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0BAE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F3ABD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907" w:type="dxa"/>
            <w:tcBorders>
              <w:top w:val="single" w:sz="4" w:space="0" w:color="auto"/>
              <w:left w:val="single" w:sz="4" w:space="0" w:color="auto"/>
              <w:bottom w:val="single" w:sz="4" w:space="0" w:color="auto"/>
              <w:right w:val="single" w:sz="4" w:space="0" w:color="auto"/>
            </w:tcBorders>
          </w:tcPr>
          <w:p w14:paraId="5B87D6D1" w14:textId="77777777" w:rsidR="00B82F75" w:rsidRPr="00F52C10" w:rsidRDefault="00B82F75" w:rsidP="00E4628E">
            <w:pPr>
              <w:pStyle w:val="Tabletext0"/>
              <w:spacing w:before="34" w:after="34" w:line="276" w:lineRule="auto"/>
              <w:rPr>
                <w:sz w:val="18"/>
                <w:szCs w:val="18"/>
              </w:rPr>
            </w:pPr>
            <w:r w:rsidRPr="00F52C10">
              <w:rPr>
                <w:sz w:val="18"/>
                <w:szCs w:val="18"/>
              </w:rPr>
              <w:t>*/MB4</w:t>
            </w:r>
          </w:p>
        </w:tc>
      </w:tr>
      <w:tr w:rsidR="00B82F75" w:rsidRPr="00F52C10" w14:paraId="77DCF678"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BAC99CF" w14:textId="77777777" w:rsidR="00B82F75" w:rsidRPr="00F52C10" w:rsidRDefault="00B82F75" w:rsidP="00E4628E">
            <w:pPr>
              <w:pStyle w:val="Tabletext0"/>
              <w:spacing w:before="34" w:after="34" w:line="276" w:lineRule="auto"/>
              <w:rPr>
                <w:sz w:val="18"/>
                <w:szCs w:val="18"/>
              </w:rPr>
            </w:pPr>
            <w:r w:rsidRPr="00F52C10">
              <w:rPr>
                <w:sz w:val="18"/>
                <w:szCs w:val="18"/>
              </w:rPr>
              <w:t>GAB00000</w:t>
            </w:r>
          </w:p>
        </w:tc>
        <w:tc>
          <w:tcPr>
            <w:tcW w:w="1076" w:type="dxa"/>
            <w:tcBorders>
              <w:top w:val="single" w:sz="4" w:space="0" w:color="auto"/>
              <w:left w:val="single" w:sz="4" w:space="0" w:color="auto"/>
              <w:bottom w:val="single" w:sz="4" w:space="0" w:color="auto"/>
              <w:right w:val="single" w:sz="4" w:space="0" w:color="auto"/>
            </w:tcBorders>
          </w:tcPr>
          <w:p w14:paraId="07958E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39,00</w:t>
            </w:r>
          </w:p>
        </w:tc>
        <w:tc>
          <w:tcPr>
            <w:tcW w:w="970" w:type="dxa"/>
            <w:tcBorders>
              <w:top w:val="single" w:sz="4" w:space="0" w:color="auto"/>
              <w:left w:val="single" w:sz="4" w:space="0" w:color="auto"/>
              <w:bottom w:val="single" w:sz="4" w:space="0" w:color="auto"/>
              <w:right w:val="single" w:sz="4" w:space="0" w:color="auto"/>
            </w:tcBorders>
          </w:tcPr>
          <w:p w14:paraId="0F76E8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11,70</w:t>
            </w:r>
          </w:p>
        </w:tc>
        <w:tc>
          <w:tcPr>
            <w:tcW w:w="907" w:type="dxa"/>
            <w:tcBorders>
              <w:top w:val="single" w:sz="4" w:space="0" w:color="auto"/>
              <w:left w:val="single" w:sz="4" w:space="0" w:color="auto"/>
              <w:bottom w:val="single" w:sz="4" w:space="0" w:color="auto"/>
              <w:right w:val="single" w:sz="4" w:space="0" w:color="auto"/>
            </w:tcBorders>
          </w:tcPr>
          <w:p w14:paraId="5FBF92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6F06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54BFD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F586A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E05F2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5412C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−39,8</w:t>
            </w:r>
          </w:p>
        </w:tc>
        <w:tc>
          <w:tcPr>
            <w:tcW w:w="907" w:type="dxa"/>
            <w:tcBorders>
              <w:top w:val="single" w:sz="4" w:space="0" w:color="auto"/>
              <w:left w:val="single" w:sz="4" w:space="0" w:color="auto"/>
              <w:bottom w:val="single" w:sz="4" w:space="0" w:color="auto"/>
              <w:right w:val="single" w:sz="4" w:space="0" w:color="auto"/>
            </w:tcBorders>
          </w:tcPr>
          <w:p w14:paraId="6056AAA2" w14:textId="77777777" w:rsidR="00B82F75" w:rsidRPr="00F52C10" w:rsidRDefault="00B82F75" w:rsidP="00E4628E">
            <w:pPr>
              <w:pStyle w:val="Tabletext0"/>
              <w:spacing w:before="34" w:after="34" w:line="276" w:lineRule="auto"/>
              <w:rPr>
                <w:sz w:val="18"/>
                <w:szCs w:val="18"/>
                <w:lang w:val="en-CA"/>
              </w:rPr>
            </w:pPr>
          </w:p>
        </w:tc>
      </w:tr>
      <w:tr w:rsidR="00B82F75" w:rsidRPr="00F52C10" w14:paraId="32B4047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2E84FD4" w14:textId="77777777" w:rsidR="00B82F75" w:rsidRPr="00F52C10" w:rsidRDefault="00B82F75" w:rsidP="00E4628E">
            <w:pPr>
              <w:pStyle w:val="Tabletext0"/>
              <w:spacing w:before="34" w:after="34" w:line="276" w:lineRule="auto"/>
              <w:rPr>
                <w:sz w:val="18"/>
                <w:szCs w:val="18"/>
              </w:rPr>
            </w:pPr>
            <w:r w:rsidRPr="00F52C10">
              <w:rPr>
                <w:sz w:val="18"/>
                <w:szCs w:val="18"/>
              </w:rPr>
              <w:t>GDL00000</w:t>
            </w:r>
          </w:p>
        </w:tc>
        <w:tc>
          <w:tcPr>
            <w:tcW w:w="1076" w:type="dxa"/>
            <w:tcBorders>
              <w:top w:val="single" w:sz="4" w:space="0" w:color="auto"/>
              <w:left w:val="single" w:sz="4" w:space="0" w:color="auto"/>
              <w:bottom w:val="single" w:sz="4" w:space="0" w:color="auto"/>
              <w:right w:val="single" w:sz="4" w:space="0" w:color="auto"/>
            </w:tcBorders>
          </w:tcPr>
          <w:p w14:paraId="554B6A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70" w:type="dxa"/>
            <w:tcBorders>
              <w:top w:val="single" w:sz="4" w:space="0" w:color="auto"/>
              <w:left w:val="single" w:sz="4" w:space="0" w:color="auto"/>
              <w:bottom w:val="single" w:sz="4" w:space="0" w:color="auto"/>
              <w:right w:val="single" w:sz="4" w:space="0" w:color="auto"/>
            </w:tcBorders>
          </w:tcPr>
          <w:p w14:paraId="49336667"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53EC6545"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F5D877"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87E2340"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A1B15CF"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206B95"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CC149D"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3A3F8A93" w14:textId="77777777" w:rsidR="00B82F75" w:rsidRPr="00F52C10" w:rsidRDefault="00B82F75" w:rsidP="00E4628E">
            <w:pPr>
              <w:pStyle w:val="Tabletext0"/>
              <w:spacing w:before="34" w:after="34" w:line="276" w:lineRule="auto"/>
              <w:rPr>
                <w:sz w:val="18"/>
                <w:szCs w:val="18"/>
              </w:rPr>
            </w:pPr>
            <w:r w:rsidRPr="00F52C10">
              <w:rPr>
                <w:sz w:val="18"/>
                <w:szCs w:val="18"/>
              </w:rPr>
              <w:t>1</w:t>
            </w:r>
          </w:p>
        </w:tc>
      </w:tr>
      <w:tr w:rsidR="00B82F75" w:rsidRPr="00F52C10" w14:paraId="391EF1C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F1B3120" w14:textId="77777777" w:rsidR="00B82F75" w:rsidRPr="00F52C10" w:rsidRDefault="00B82F75" w:rsidP="00E4628E">
            <w:pPr>
              <w:pStyle w:val="Tabletext0"/>
              <w:spacing w:before="34" w:after="34" w:line="276" w:lineRule="auto"/>
              <w:rPr>
                <w:sz w:val="18"/>
                <w:szCs w:val="18"/>
              </w:rPr>
            </w:pPr>
            <w:r w:rsidRPr="00F52C10">
              <w:rPr>
                <w:sz w:val="18"/>
                <w:szCs w:val="18"/>
              </w:rPr>
              <w:t>GDL00002</w:t>
            </w:r>
          </w:p>
        </w:tc>
        <w:tc>
          <w:tcPr>
            <w:tcW w:w="1076" w:type="dxa"/>
            <w:tcBorders>
              <w:top w:val="single" w:sz="4" w:space="0" w:color="auto"/>
              <w:left w:val="single" w:sz="4" w:space="0" w:color="auto"/>
              <w:bottom w:val="single" w:sz="4" w:space="0" w:color="auto"/>
              <w:right w:val="single" w:sz="4" w:space="0" w:color="auto"/>
            </w:tcBorders>
          </w:tcPr>
          <w:p w14:paraId="11387C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−115,90</w:t>
            </w:r>
          </w:p>
        </w:tc>
        <w:tc>
          <w:tcPr>
            <w:tcW w:w="970" w:type="dxa"/>
            <w:tcBorders>
              <w:top w:val="single" w:sz="4" w:space="0" w:color="auto"/>
              <w:left w:val="single" w:sz="4" w:space="0" w:color="auto"/>
              <w:bottom w:val="single" w:sz="4" w:space="0" w:color="auto"/>
              <w:right w:val="single" w:sz="4" w:space="0" w:color="auto"/>
            </w:tcBorders>
          </w:tcPr>
          <w:p w14:paraId="3F18BF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−61,80</w:t>
            </w:r>
          </w:p>
        </w:tc>
        <w:tc>
          <w:tcPr>
            <w:tcW w:w="907" w:type="dxa"/>
            <w:tcBorders>
              <w:top w:val="single" w:sz="4" w:space="0" w:color="auto"/>
              <w:left w:val="single" w:sz="4" w:space="0" w:color="auto"/>
              <w:bottom w:val="single" w:sz="4" w:space="0" w:color="auto"/>
              <w:right w:val="single" w:sz="4" w:space="0" w:color="auto"/>
            </w:tcBorders>
          </w:tcPr>
          <w:p w14:paraId="33665C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ECAB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A8BBB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AF62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C5C5B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E1DEB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−40,3</w:t>
            </w:r>
          </w:p>
        </w:tc>
        <w:tc>
          <w:tcPr>
            <w:tcW w:w="907" w:type="dxa"/>
            <w:tcBorders>
              <w:top w:val="single" w:sz="4" w:space="0" w:color="auto"/>
              <w:left w:val="single" w:sz="4" w:space="0" w:color="auto"/>
              <w:bottom w:val="single" w:sz="4" w:space="0" w:color="auto"/>
              <w:right w:val="single" w:sz="4" w:space="0" w:color="auto"/>
            </w:tcBorders>
          </w:tcPr>
          <w:p w14:paraId="3CDE5991" w14:textId="77777777" w:rsidR="00B82F75" w:rsidRPr="00F52C10" w:rsidRDefault="00B82F75" w:rsidP="00E4628E">
            <w:pPr>
              <w:pStyle w:val="Tabletext0"/>
              <w:spacing w:before="34" w:after="34" w:line="276" w:lineRule="auto"/>
              <w:rPr>
                <w:sz w:val="18"/>
                <w:szCs w:val="18"/>
              </w:rPr>
            </w:pPr>
            <w:r w:rsidRPr="00F52C10">
              <w:rPr>
                <w:sz w:val="18"/>
                <w:szCs w:val="18"/>
              </w:rPr>
              <w:t>*/MB13</w:t>
            </w:r>
          </w:p>
        </w:tc>
      </w:tr>
      <w:tr w:rsidR="00B82F75" w:rsidRPr="00F52C10" w14:paraId="1308762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32D7065" w14:textId="77777777" w:rsidR="00B82F75" w:rsidRPr="00F52C10" w:rsidRDefault="00B82F75" w:rsidP="00E4628E">
            <w:pPr>
              <w:pStyle w:val="Tabletext0"/>
              <w:spacing w:before="34" w:after="34" w:line="276" w:lineRule="auto"/>
              <w:rPr>
                <w:sz w:val="18"/>
                <w:szCs w:val="18"/>
              </w:rPr>
            </w:pPr>
            <w:r w:rsidRPr="00F52C10">
              <w:rPr>
                <w:sz w:val="18"/>
                <w:szCs w:val="18"/>
              </w:rPr>
              <w:t>GHA00000</w:t>
            </w:r>
          </w:p>
        </w:tc>
        <w:tc>
          <w:tcPr>
            <w:tcW w:w="1076" w:type="dxa"/>
            <w:tcBorders>
              <w:top w:val="single" w:sz="4" w:space="0" w:color="auto"/>
              <w:left w:val="single" w:sz="4" w:space="0" w:color="auto"/>
              <w:bottom w:val="single" w:sz="4" w:space="0" w:color="auto"/>
              <w:right w:val="single" w:sz="4" w:space="0" w:color="auto"/>
            </w:tcBorders>
          </w:tcPr>
          <w:p w14:paraId="313DD9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w:t>
            </w:r>
          </w:p>
        </w:tc>
        <w:tc>
          <w:tcPr>
            <w:tcW w:w="970" w:type="dxa"/>
            <w:tcBorders>
              <w:top w:val="single" w:sz="4" w:space="0" w:color="auto"/>
              <w:left w:val="single" w:sz="4" w:space="0" w:color="auto"/>
              <w:bottom w:val="single" w:sz="4" w:space="0" w:color="auto"/>
              <w:right w:val="single" w:sz="4" w:space="0" w:color="auto"/>
            </w:tcBorders>
          </w:tcPr>
          <w:p w14:paraId="2CCD61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907" w:type="dxa"/>
            <w:tcBorders>
              <w:top w:val="single" w:sz="4" w:space="0" w:color="auto"/>
              <w:left w:val="single" w:sz="4" w:space="0" w:color="auto"/>
              <w:bottom w:val="single" w:sz="4" w:space="0" w:color="auto"/>
              <w:right w:val="single" w:sz="4" w:space="0" w:color="auto"/>
            </w:tcBorders>
          </w:tcPr>
          <w:p w14:paraId="5E2479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663D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5DF7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E636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B8011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00F56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−39,7</w:t>
            </w:r>
          </w:p>
        </w:tc>
        <w:tc>
          <w:tcPr>
            <w:tcW w:w="907" w:type="dxa"/>
            <w:tcBorders>
              <w:top w:val="single" w:sz="4" w:space="0" w:color="auto"/>
              <w:left w:val="single" w:sz="4" w:space="0" w:color="auto"/>
              <w:bottom w:val="single" w:sz="4" w:space="0" w:color="auto"/>
              <w:right w:val="single" w:sz="4" w:space="0" w:color="auto"/>
            </w:tcBorders>
          </w:tcPr>
          <w:p w14:paraId="47794993" w14:textId="77777777" w:rsidR="00B82F75" w:rsidRPr="00F52C10" w:rsidRDefault="00B82F75" w:rsidP="00E4628E">
            <w:pPr>
              <w:pStyle w:val="Tabletext0"/>
              <w:spacing w:before="34" w:after="34" w:line="276" w:lineRule="auto"/>
              <w:rPr>
                <w:sz w:val="18"/>
                <w:szCs w:val="18"/>
                <w:lang w:val="en-CA"/>
              </w:rPr>
            </w:pPr>
          </w:p>
        </w:tc>
      </w:tr>
      <w:tr w:rsidR="00B82F75" w:rsidRPr="00F52C10" w14:paraId="0B7CAB9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6A88EC7" w14:textId="77777777" w:rsidR="00B82F75" w:rsidRPr="00F52C10" w:rsidRDefault="00B82F75" w:rsidP="00E4628E">
            <w:pPr>
              <w:pStyle w:val="Tabletext0"/>
              <w:spacing w:before="34" w:after="34" w:line="276" w:lineRule="auto"/>
              <w:rPr>
                <w:sz w:val="18"/>
                <w:szCs w:val="18"/>
              </w:rPr>
            </w:pPr>
            <w:r w:rsidRPr="00F52C10">
              <w:rPr>
                <w:sz w:val="18"/>
                <w:szCs w:val="18"/>
              </w:rPr>
              <w:t>GIB00000</w:t>
            </w:r>
          </w:p>
        </w:tc>
        <w:tc>
          <w:tcPr>
            <w:tcW w:w="1076" w:type="dxa"/>
            <w:tcBorders>
              <w:top w:val="single" w:sz="4" w:space="0" w:color="auto"/>
              <w:left w:val="single" w:sz="4" w:space="0" w:color="auto"/>
              <w:bottom w:val="single" w:sz="4" w:space="0" w:color="auto"/>
              <w:right w:val="single" w:sz="4" w:space="0" w:color="auto"/>
            </w:tcBorders>
          </w:tcPr>
          <w:p w14:paraId="4B7A4A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970" w:type="dxa"/>
            <w:tcBorders>
              <w:top w:val="single" w:sz="4" w:space="0" w:color="auto"/>
              <w:left w:val="single" w:sz="4" w:space="0" w:color="auto"/>
              <w:bottom w:val="single" w:sz="4" w:space="0" w:color="auto"/>
              <w:right w:val="single" w:sz="4" w:space="0" w:color="auto"/>
            </w:tcBorders>
          </w:tcPr>
          <w:p w14:paraId="2D8415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−5,40</w:t>
            </w:r>
          </w:p>
        </w:tc>
        <w:tc>
          <w:tcPr>
            <w:tcW w:w="907" w:type="dxa"/>
            <w:tcBorders>
              <w:top w:val="single" w:sz="4" w:space="0" w:color="auto"/>
              <w:left w:val="single" w:sz="4" w:space="0" w:color="auto"/>
              <w:bottom w:val="single" w:sz="4" w:space="0" w:color="auto"/>
              <w:right w:val="single" w:sz="4" w:space="0" w:color="auto"/>
            </w:tcBorders>
          </w:tcPr>
          <w:p w14:paraId="3F4513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80B8C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1C85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728E6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713AE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91C65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−40,9</w:t>
            </w:r>
          </w:p>
        </w:tc>
        <w:tc>
          <w:tcPr>
            <w:tcW w:w="907" w:type="dxa"/>
            <w:tcBorders>
              <w:top w:val="single" w:sz="4" w:space="0" w:color="auto"/>
              <w:left w:val="single" w:sz="4" w:space="0" w:color="auto"/>
              <w:bottom w:val="single" w:sz="4" w:space="0" w:color="auto"/>
              <w:right w:val="single" w:sz="4" w:space="0" w:color="auto"/>
            </w:tcBorders>
          </w:tcPr>
          <w:p w14:paraId="2177C992" w14:textId="77777777" w:rsidR="00B82F75" w:rsidRPr="00F52C10" w:rsidRDefault="00B82F75" w:rsidP="00E4628E">
            <w:pPr>
              <w:pStyle w:val="Tabletext0"/>
              <w:spacing w:before="34" w:after="34" w:line="276" w:lineRule="auto"/>
              <w:rPr>
                <w:sz w:val="18"/>
                <w:szCs w:val="18"/>
              </w:rPr>
            </w:pPr>
            <w:r w:rsidRPr="00F52C10">
              <w:rPr>
                <w:sz w:val="18"/>
                <w:szCs w:val="18"/>
              </w:rPr>
              <w:t>*/MB9</w:t>
            </w:r>
          </w:p>
        </w:tc>
      </w:tr>
      <w:tr w:rsidR="00B82F75" w:rsidRPr="00F52C10" w14:paraId="60A75CE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8CEEF75" w14:textId="77777777" w:rsidR="00B82F75" w:rsidRPr="00F52C10" w:rsidRDefault="00B82F75" w:rsidP="00E4628E">
            <w:pPr>
              <w:pStyle w:val="Tabletext0"/>
              <w:spacing w:before="34" w:after="34" w:line="276" w:lineRule="auto"/>
              <w:rPr>
                <w:sz w:val="18"/>
                <w:szCs w:val="18"/>
              </w:rPr>
            </w:pPr>
            <w:r w:rsidRPr="00F52C10">
              <w:rPr>
                <w:sz w:val="18"/>
                <w:szCs w:val="18"/>
              </w:rPr>
              <w:t>GMB00000</w:t>
            </w:r>
          </w:p>
        </w:tc>
        <w:tc>
          <w:tcPr>
            <w:tcW w:w="1076" w:type="dxa"/>
            <w:tcBorders>
              <w:top w:val="single" w:sz="4" w:space="0" w:color="auto"/>
              <w:left w:val="single" w:sz="4" w:space="0" w:color="auto"/>
              <w:bottom w:val="single" w:sz="4" w:space="0" w:color="auto"/>
              <w:right w:val="single" w:sz="4" w:space="0" w:color="auto"/>
            </w:tcBorders>
          </w:tcPr>
          <w:p w14:paraId="45C539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−34,00</w:t>
            </w:r>
          </w:p>
        </w:tc>
        <w:tc>
          <w:tcPr>
            <w:tcW w:w="970" w:type="dxa"/>
            <w:tcBorders>
              <w:top w:val="single" w:sz="4" w:space="0" w:color="auto"/>
              <w:left w:val="single" w:sz="4" w:space="0" w:color="auto"/>
              <w:bottom w:val="single" w:sz="4" w:space="0" w:color="auto"/>
              <w:right w:val="single" w:sz="4" w:space="0" w:color="auto"/>
            </w:tcBorders>
          </w:tcPr>
          <w:p w14:paraId="3A2EDC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−16,40</w:t>
            </w:r>
          </w:p>
        </w:tc>
        <w:tc>
          <w:tcPr>
            <w:tcW w:w="907" w:type="dxa"/>
            <w:tcBorders>
              <w:top w:val="single" w:sz="4" w:space="0" w:color="auto"/>
              <w:left w:val="single" w:sz="4" w:space="0" w:color="auto"/>
              <w:bottom w:val="single" w:sz="4" w:space="0" w:color="auto"/>
              <w:right w:val="single" w:sz="4" w:space="0" w:color="auto"/>
            </w:tcBorders>
          </w:tcPr>
          <w:p w14:paraId="32BC7F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7000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D62B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4A4B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34705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6B328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−42,1</w:t>
            </w:r>
          </w:p>
        </w:tc>
        <w:tc>
          <w:tcPr>
            <w:tcW w:w="907" w:type="dxa"/>
            <w:tcBorders>
              <w:top w:val="single" w:sz="4" w:space="0" w:color="auto"/>
              <w:left w:val="single" w:sz="4" w:space="0" w:color="auto"/>
              <w:bottom w:val="single" w:sz="4" w:space="0" w:color="auto"/>
              <w:right w:val="single" w:sz="4" w:space="0" w:color="auto"/>
            </w:tcBorders>
          </w:tcPr>
          <w:p w14:paraId="422D5875" w14:textId="77777777" w:rsidR="00B82F75" w:rsidRPr="00F52C10" w:rsidRDefault="00B82F75" w:rsidP="00E4628E">
            <w:pPr>
              <w:pStyle w:val="Tabletext0"/>
              <w:spacing w:before="34" w:after="34" w:line="276" w:lineRule="auto"/>
              <w:rPr>
                <w:sz w:val="18"/>
                <w:szCs w:val="18"/>
                <w:lang w:val="en-CA"/>
              </w:rPr>
            </w:pPr>
          </w:p>
        </w:tc>
      </w:tr>
      <w:tr w:rsidR="00B82F75" w:rsidRPr="00F52C10" w14:paraId="67D239E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FA36F3F" w14:textId="77777777" w:rsidR="00B82F75" w:rsidRPr="00F52C10" w:rsidRDefault="00B82F75" w:rsidP="00E4628E">
            <w:pPr>
              <w:pStyle w:val="Tabletext0"/>
              <w:spacing w:before="34" w:after="34" w:line="276" w:lineRule="auto"/>
              <w:rPr>
                <w:sz w:val="18"/>
                <w:szCs w:val="18"/>
              </w:rPr>
            </w:pPr>
            <w:r w:rsidRPr="00F52C10">
              <w:rPr>
                <w:sz w:val="18"/>
                <w:szCs w:val="18"/>
              </w:rPr>
              <w:t>GNB00000</w:t>
            </w:r>
          </w:p>
        </w:tc>
        <w:tc>
          <w:tcPr>
            <w:tcW w:w="1076" w:type="dxa"/>
            <w:tcBorders>
              <w:top w:val="single" w:sz="4" w:space="0" w:color="auto"/>
              <w:left w:val="single" w:sz="4" w:space="0" w:color="auto"/>
              <w:bottom w:val="single" w:sz="4" w:space="0" w:color="auto"/>
              <w:right w:val="single" w:sz="4" w:space="0" w:color="auto"/>
            </w:tcBorders>
          </w:tcPr>
          <w:p w14:paraId="0BEF84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40,00</w:t>
            </w:r>
          </w:p>
        </w:tc>
        <w:tc>
          <w:tcPr>
            <w:tcW w:w="970" w:type="dxa"/>
            <w:tcBorders>
              <w:top w:val="single" w:sz="4" w:space="0" w:color="auto"/>
              <w:left w:val="single" w:sz="4" w:space="0" w:color="auto"/>
              <w:bottom w:val="single" w:sz="4" w:space="0" w:color="auto"/>
              <w:right w:val="single" w:sz="4" w:space="0" w:color="auto"/>
            </w:tcBorders>
          </w:tcPr>
          <w:p w14:paraId="7EB1663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−15,40</w:t>
            </w:r>
          </w:p>
        </w:tc>
        <w:tc>
          <w:tcPr>
            <w:tcW w:w="907" w:type="dxa"/>
            <w:tcBorders>
              <w:top w:val="single" w:sz="4" w:space="0" w:color="auto"/>
              <w:left w:val="single" w:sz="4" w:space="0" w:color="auto"/>
              <w:bottom w:val="single" w:sz="4" w:space="0" w:color="auto"/>
              <w:right w:val="single" w:sz="4" w:space="0" w:color="auto"/>
            </w:tcBorders>
          </w:tcPr>
          <w:p w14:paraId="76AB13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C081B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E0EC0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6E9FF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A0614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660016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07" w:type="dxa"/>
            <w:tcBorders>
              <w:top w:val="single" w:sz="4" w:space="0" w:color="auto"/>
              <w:left w:val="single" w:sz="4" w:space="0" w:color="auto"/>
              <w:bottom w:val="single" w:sz="4" w:space="0" w:color="auto"/>
              <w:right w:val="single" w:sz="4" w:space="0" w:color="auto"/>
            </w:tcBorders>
          </w:tcPr>
          <w:p w14:paraId="6C21CD6A" w14:textId="77777777" w:rsidR="00B82F75" w:rsidRPr="00F52C10" w:rsidRDefault="00B82F75" w:rsidP="00E4628E">
            <w:pPr>
              <w:pStyle w:val="Tabletext0"/>
              <w:spacing w:before="34" w:after="34" w:line="276" w:lineRule="auto"/>
              <w:rPr>
                <w:sz w:val="18"/>
                <w:szCs w:val="18"/>
                <w:lang w:val="en-CA"/>
              </w:rPr>
            </w:pPr>
          </w:p>
        </w:tc>
      </w:tr>
      <w:tr w:rsidR="00B82F75" w:rsidRPr="00F52C10" w14:paraId="336BE34E"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704C11E" w14:textId="77777777" w:rsidR="00B82F75" w:rsidRPr="00F52C10" w:rsidRDefault="00B82F75" w:rsidP="00E4628E">
            <w:pPr>
              <w:pStyle w:val="Tabletext0"/>
              <w:spacing w:before="34" w:after="34" w:line="276" w:lineRule="auto"/>
              <w:rPr>
                <w:sz w:val="18"/>
                <w:szCs w:val="18"/>
              </w:rPr>
            </w:pPr>
            <w:r w:rsidRPr="00F52C10">
              <w:rPr>
                <w:sz w:val="18"/>
                <w:szCs w:val="18"/>
              </w:rPr>
              <w:t>GNE00000</w:t>
            </w:r>
          </w:p>
        </w:tc>
        <w:tc>
          <w:tcPr>
            <w:tcW w:w="1076" w:type="dxa"/>
            <w:tcBorders>
              <w:top w:val="single" w:sz="4" w:space="0" w:color="auto"/>
              <w:left w:val="single" w:sz="4" w:space="0" w:color="auto"/>
              <w:bottom w:val="single" w:sz="4" w:space="0" w:color="auto"/>
              <w:right w:val="single" w:sz="4" w:space="0" w:color="auto"/>
            </w:tcBorders>
          </w:tcPr>
          <w:p w14:paraId="5C7160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−32,30</w:t>
            </w:r>
          </w:p>
        </w:tc>
        <w:tc>
          <w:tcPr>
            <w:tcW w:w="970" w:type="dxa"/>
            <w:tcBorders>
              <w:top w:val="single" w:sz="4" w:space="0" w:color="auto"/>
              <w:left w:val="single" w:sz="4" w:space="0" w:color="auto"/>
              <w:bottom w:val="single" w:sz="4" w:space="0" w:color="auto"/>
              <w:right w:val="single" w:sz="4" w:space="0" w:color="auto"/>
            </w:tcBorders>
          </w:tcPr>
          <w:p w14:paraId="047FEA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10,50</w:t>
            </w:r>
          </w:p>
        </w:tc>
        <w:tc>
          <w:tcPr>
            <w:tcW w:w="907" w:type="dxa"/>
            <w:tcBorders>
              <w:top w:val="single" w:sz="4" w:space="0" w:color="auto"/>
              <w:left w:val="single" w:sz="4" w:space="0" w:color="auto"/>
              <w:bottom w:val="single" w:sz="4" w:space="0" w:color="auto"/>
              <w:right w:val="single" w:sz="4" w:space="0" w:color="auto"/>
            </w:tcBorders>
          </w:tcPr>
          <w:p w14:paraId="3A5BFCD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00A5B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E157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CE139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75AEA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EEC5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−40,9</w:t>
            </w:r>
          </w:p>
        </w:tc>
        <w:tc>
          <w:tcPr>
            <w:tcW w:w="907" w:type="dxa"/>
            <w:tcBorders>
              <w:top w:val="single" w:sz="4" w:space="0" w:color="auto"/>
              <w:left w:val="single" w:sz="4" w:space="0" w:color="auto"/>
              <w:bottom w:val="single" w:sz="4" w:space="0" w:color="auto"/>
              <w:right w:val="single" w:sz="4" w:space="0" w:color="auto"/>
            </w:tcBorders>
          </w:tcPr>
          <w:p w14:paraId="242B7D1F" w14:textId="77777777" w:rsidR="00B82F75" w:rsidRPr="00F52C10" w:rsidRDefault="00B82F75" w:rsidP="00E4628E">
            <w:pPr>
              <w:pStyle w:val="Tabletext0"/>
              <w:spacing w:before="34" w:after="34" w:line="276" w:lineRule="auto"/>
              <w:rPr>
                <w:sz w:val="18"/>
                <w:szCs w:val="18"/>
                <w:lang w:val="en-CA"/>
              </w:rPr>
            </w:pPr>
          </w:p>
        </w:tc>
      </w:tr>
      <w:tr w:rsidR="00B82F75" w:rsidRPr="00F52C10" w14:paraId="3F1C302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CFC0765" w14:textId="77777777" w:rsidR="00B82F75" w:rsidRPr="00F52C10" w:rsidRDefault="00B82F75" w:rsidP="00E4628E">
            <w:pPr>
              <w:pStyle w:val="Tabletext0"/>
              <w:spacing w:before="34" w:after="34" w:line="276" w:lineRule="auto"/>
              <w:rPr>
                <w:sz w:val="18"/>
                <w:szCs w:val="18"/>
              </w:rPr>
            </w:pPr>
            <w:r w:rsidRPr="00F52C10">
              <w:rPr>
                <w:sz w:val="18"/>
                <w:szCs w:val="18"/>
              </w:rPr>
              <w:t>GRC00000</w:t>
            </w:r>
          </w:p>
        </w:tc>
        <w:tc>
          <w:tcPr>
            <w:tcW w:w="1076" w:type="dxa"/>
            <w:tcBorders>
              <w:top w:val="single" w:sz="4" w:space="0" w:color="auto"/>
              <w:left w:val="single" w:sz="4" w:space="0" w:color="auto"/>
              <w:bottom w:val="single" w:sz="4" w:space="0" w:color="auto"/>
              <w:right w:val="single" w:sz="4" w:space="0" w:color="auto"/>
            </w:tcBorders>
          </w:tcPr>
          <w:p w14:paraId="7BB482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22,05</w:t>
            </w:r>
          </w:p>
        </w:tc>
        <w:tc>
          <w:tcPr>
            <w:tcW w:w="970" w:type="dxa"/>
            <w:tcBorders>
              <w:top w:val="single" w:sz="4" w:space="0" w:color="auto"/>
              <w:left w:val="single" w:sz="4" w:space="0" w:color="auto"/>
              <w:bottom w:val="single" w:sz="4" w:space="0" w:color="auto"/>
              <w:right w:val="single" w:sz="4" w:space="0" w:color="auto"/>
            </w:tcBorders>
          </w:tcPr>
          <w:p w14:paraId="56F707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24,70</w:t>
            </w:r>
          </w:p>
        </w:tc>
        <w:tc>
          <w:tcPr>
            <w:tcW w:w="907" w:type="dxa"/>
            <w:tcBorders>
              <w:top w:val="single" w:sz="4" w:space="0" w:color="auto"/>
              <w:left w:val="single" w:sz="4" w:space="0" w:color="auto"/>
              <w:bottom w:val="single" w:sz="4" w:space="0" w:color="auto"/>
              <w:right w:val="single" w:sz="4" w:space="0" w:color="auto"/>
            </w:tcBorders>
          </w:tcPr>
          <w:p w14:paraId="5DD96A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D033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643C8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17F02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09119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98F64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−39,3</w:t>
            </w:r>
          </w:p>
        </w:tc>
        <w:tc>
          <w:tcPr>
            <w:tcW w:w="907" w:type="dxa"/>
            <w:tcBorders>
              <w:top w:val="single" w:sz="4" w:space="0" w:color="auto"/>
              <w:left w:val="single" w:sz="4" w:space="0" w:color="auto"/>
              <w:bottom w:val="single" w:sz="4" w:space="0" w:color="auto"/>
              <w:right w:val="single" w:sz="4" w:space="0" w:color="auto"/>
            </w:tcBorders>
          </w:tcPr>
          <w:p w14:paraId="7D1C3B4F" w14:textId="77777777" w:rsidR="00B82F75" w:rsidRPr="00F52C10" w:rsidRDefault="00B82F75" w:rsidP="00E4628E">
            <w:pPr>
              <w:pStyle w:val="Tabletext0"/>
              <w:spacing w:before="34" w:after="34" w:line="276" w:lineRule="auto"/>
              <w:rPr>
                <w:sz w:val="18"/>
                <w:szCs w:val="18"/>
                <w:lang w:val="en-CA"/>
              </w:rPr>
            </w:pPr>
          </w:p>
        </w:tc>
      </w:tr>
      <w:tr w:rsidR="00B82F75" w:rsidRPr="00F52C10" w14:paraId="1B9C355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770E62C" w14:textId="77777777" w:rsidR="00B82F75" w:rsidRPr="00F52C10" w:rsidRDefault="00B82F75" w:rsidP="00E4628E">
            <w:pPr>
              <w:pStyle w:val="Tabletext0"/>
              <w:spacing w:before="34" w:after="34" w:line="276" w:lineRule="auto"/>
              <w:rPr>
                <w:sz w:val="18"/>
                <w:szCs w:val="18"/>
              </w:rPr>
            </w:pPr>
            <w:r w:rsidRPr="00F52C10">
              <w:rPr>
                <w:sz w:val="18"/>
                <w:szCs w:val="18"/>
              </w:rPr>
              <w:t>GRD00000</w:t>
            </w:r>
          </w:p>
        </w:tc>
        <w:tc>
          <w:tcPr>
            <w:tcW w:w="1076" w:type="dxa"/>
            <w:tcBorders>
              <w:top w:val="single" w:sz="4" w:space="0" w:color="auto"/>
              <w:left w:val="single" w:sz="4" w:space="0" w:color="auto"/>
              <w:bottom w:val="single" w:sz="4" w:space="0" w:color="auto"/>
              <w:right w:val="single" w:sz="4" w:space="0" w:color="auto"/>
            </w:tcBorders>
          </w:tcPr>
          <w:p w14:paraId="013AE5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−32,80</w:t>
            </w:r>
          </w:p>
        </w:tc>
        <w:tc>
          <w:tcPr>
            <w:tcW w:w="970" w:type="dxa"/>
            <w:tcBorders>
              <w:top w:val="single" w:sz="4" w:space="0" w:color="auto"/>
              <w:left w:val="single" w:sz="4" w:space="0" w:color="auto"/>
              <w:bottom w:val="single" w:sz="4" w:space="0" w:color="auto"/>
              <w:right w:val="single" w:sz="4" w:space="0" w:color="auto"/>
            </w:tcBorders>
          </w:tcPr>
          <w:p w14:paraId="4B8FA0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−61,60</w:t>
            </w:r>
          </w:p>
        </w:tc>
        <w:tc>
          <w:tcPr>
            <w:tcW w:w="907" w:type="dxa"/>
            <w:tcBorders>
              <w:top w:val="single" w:sz="4" w:space="0" w:color="auto"/>
              <w:left w:val="single" w:sz="4" w:space="0" w:color="auto"/>
              <w:bottom w:val="single" w:sz="4" w:space="0" w:color="auto"/>
              <w:right w:val="single" w:sz="4" w:space="0" w:color="auto"/>
            </w:tcBorders>
          </w:tcPr>
          <w:p w14:paraId="6001A8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AA967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000EE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EBC58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8BED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1A99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−41,6</w:t>
            </w:r>
          </w:p>
        </w:tc>
        <w:tc>
          <w:tcPr>
            <w:tcW w:w="907" w:type="dxa"/>
            <w:tcBorders>
              <w:top w:val="single" w:sz="4" w:space="0" w:color="auto"/>
              <w:left w:val="single" w:sz="4" w:space="0" w:color="auto"/>
              <w:bottom w:val="single" w:sz="4" w:space="0" w:color="auto"/>
              <w:right w:val="single" w:sz="4" w:space="0" w:color="auto"/>
            </w:tcBorders>
          </w:tcPr>
          <w:p w14:paraId="388D30F7" w14:textId="77777777" w:rsidR="00B82F75" w:rsidRPr="00F52C10" w:rsidRDefault="00B82F75" w:rsidP="00E4628E">
            <w:pPr>
              <w:pStyle w:val="Tabletext0"/>
              <w:spacing w:before="34" w:after="34" w:line="276" w:lineRule="auto"/>
              <w:rPr>
                <w:sz w:val="18"/>
                <w:szCs w:val="18"/>
                <w:lang w:val="en-CA"/>
              </w:rPr>
            </w:pPr>
          </w:p>
        </w:tc>
      </w:tr>
      <w:tr w:rsidR="00B82F75" w:rsidRPr="00F52C10" w14:paraId="0D0012E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2B8357B" w14:textId="77777777" w:rsidR="00B82F75" w:rsidRPr="00F52C10" w:rsidRDefault="00B82F75" w:rsidP="00E4628E">
            <w:pPr>
              <w:pStyle w:val="Tabletext0"/>
              <w:spacing w:before="34" w:after="34" w:line="276" w:lineRule="auto"/>
              <w:rPr>
                <w:sz w:val="18"/>
                <w:szCs w:val="18"/>
              </w:rPr>
            </w:pPr>
            <w:r w:rsidRPr="00F52C10">
              <w:rPr>
                <w:sz w:val="18"/>
                <w:szCs w:val="18"/>
              </w:rPr>
              <w:t>GRL00000</w:t>
            </w:r>
          </w:p>
        </w:tc>
        <w:tc>
          <w:tcPr>
            <w:tcW w:w="1076" w:type="dxa"/>
            <w:tcBorders>
              <w:top w:val="single" w:sz="4" w:space="0" w:color="auto"/>
              <w:left w:val="single" w:sz="4" w:space="0" w:color="auto"/>
              <w:bottom w:val="single" w:sz="4" w:space="0" w:color="auto"/>
              <w:right w:val="single" w:sz="4" w:space="0" w:color="auto"/>
            </w:tcBorders>
          </w:tcPr>
          <w:p w14:paraId="7FE8A3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−49,00</w:t>
            </w:r>
          </w:p>
        </w:tc>
        <w:tc>
          <w:tcPr>
            <w:tcW w:w="970" w:type="dxa"/>
            <w:tcBorders>
              <w:top w:val="single" w:sz="4" w:space="0" w:color="auto"/>
              <w:left w:val="single" w:sz="4" w:space="0" w:color="auto"/>
              <w:bottom w:val="single" w:sz="4" w:space="0" w:color="auto"/>
              <w:right w:val="single" w:sz="4" w:space="0" w:color="auto"/>
            </w:tcBorders>
          </w:tcPr>
          <w:p w14:paraId="1AE19D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−42,90</w:t>
            </w:r>
          </w:p>
        </w:tc>
        <w:tc>
          <w:tcPr>
            <w:tcW w:w="907" w:type="dxa"/>
            <w:tcBorders>
              <w:top w:val="single" w:sz="4" w:space="0" w:color="auto"/>
              <w:left w:val="single" w:sz="4" w:space="0" w:color="auto"/>
              <w:bottom w:val="single" w:sz="4" w:space="0" w:color="auto"/>
              <w:right w:val="single" w:sz="4" w:space="0" w:color="auto"/>
            </w:tcBorders>
          </w:tcPr>
          <w:p w14:paraId="5C75A4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68,60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83F72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0F33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37BA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174,00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F7A3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582A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−38,6</w:t>
            </w:r>
          </w:p>
        </w:tc>
        <w:tc>
          <w:tcPr>
            <w:tcW w:w="907" w:type="dxa"/>
            <w:tcBorders>
              <w:top w:val="single" w:sz="4" w:space="0" w:color="auto"/>
              <w:left w:val="single" w:sz="4" w:space="0" w:color="auto"/>
              <w:bottom w:val="single" w:sz="4" w:space="0" w:color="auto"/>
              <w:right w:val="single" w:sz="4" w:space="0" w:color="auto"/>
            </w:tcBorders>
          </w:tcPr>
          <w:p w14:paraId="7F5C24E3" w14:textId="77777777" w:rsidR="00B82F75" w:rsidRPr="00F52C10" w:rsidRDefault="00B82F75" w:rsidP="00E4628E">
            <w:pPr>
              <w:pStyle w:val="Tabletext0"/>
              <w:spacing w:before="34" w:after="34" w:line="276" w:lineRule="auto"/>
              <w:rPr>
                <w:sz w:val="18"/>
                <w:szCs w:val="18"/>
              </w:rPr>
            </w:pPr>
            <w:r w:rsidRPr="00F52C10">
              <w:rPr>
                <w:sz w:val="18"/>
                <w:szCs w:val="18"/>
              </w:rPr>
              <w:t>*/MB10</w:t>
            </w:r>
          </w:p>
        </w:tc>
      </w:tr>
      <w:tr w:rsidR="00B82F75" w:rsidRPr="00F52C10" w14:paraId="16B2106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6E1D3E6" w14:textId="77777777" w:rsidR="00B82F75" w:rsidRPr="00F52C10" w:rsidRDefault="00B82F75" w:rsidP="00E4628E">
            <w:pPr>
              <w:pStyle w:val="Tabletext0"/>
              <w:spacing w:before="34" w:after="34" w:line="276" w:lineRule="auto"/>
              <w:rPr>
                <w:sz w:val="18"/>
                <w:szCs w:val="18"/>
              </w:rPr>
            </w:pPr>
            <w:r w:rsidRPr="00F52C10">
              <w:rPr>
                <w:sz w:val="18"/>
                <w:szCs w:val="18"/>
              </w:rPr>
              <w:t>GTM00000</w:t>
            </w:r>
          </w:p>
        </w:tc>
        <w:tc>
          <w:tcPr>
            <w:tcW w:w="1076" w:type="dxa"/>
            <w:tcBorders>
              <w:top w:val="single" w:sz="4" w:space="0" w:color="auto"/>
              <w:left w:val="single" w:sz="4" w:space="0" w:color="auto"/>
              <w:bottom w:val="single" w:sz="4" w:space="0" w:color="auto"/>
              <w:right w:val="single" w:sz="4" w:space="0" w:color="auto"/>
            </w:tcBorders>
          </w:tcPr>
          <w:p w14:paraId="308B104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−135,70</w:t>
            </w:r>
          </w:p>
        </w:tc>
        <w:tc>
          <w:tcPr>
            <w:tcW w:w="970" w:type="dxa"/>
            <w:tcBorders>
              <w:top w:val="single" w:sz="4" w:space="0" w:color="auto"/>
              <w:left w:val="single" w:sz="4" w:space="0" w:color="auto"/>
              <w:bottom w:val="single" w:sz="4" w:space="0" w:color="auto"/>
              <w:right w:val="single" w:sz="4" w:space="0" w:color="auto"/>
            </w:tcBorders>
          </w:tcPr>
          <w:p w14:paraId="61FD031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−90,50</w:t>
            </w:r>
          </w:p>
        </w:tc>
        <w:tc>
          <w:tcPr>
            <w:tcW w:w="907" w:type="dxa"/>
            <w:tcBorders>
              <w:top w:val="single" w:sz="4" w:space="0" w:color="auto"/>
              <w:left w:val="single" w:sz="4" w:space="0" w:color="auto"/>
              <w:bottom w:val="single" w:sz="4" w:space="0" w:color="auto"/>
              <w:right w:val="single" w:sz="4" w:space="0" w:color="auto"/>
            </w:tcBorders>
          </w:tcPr>
          <w:p w14:paraId="426D184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E49EE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461AD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D8175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A918B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C9306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−40,5</w:t>
            </w:r>
          </w:p>
        </w:tc>
        <w:tc>
          <w:tcPr>
            <w:tcW w:w="907" w:type="dxa"/>
            <w:tcBorders>
              <w:top w:val="single" w:sz="4" w:space="0" w:color="auto"/>
              <w:left w:val="single" w:sz="4" w:space="0" w:color="auto"/>
              <w:bottom w:val="single" w:sz="4" w:space="0" w:color="auto"/>
              <w:right w:val="single" w:sz="4" w:space="0" w:color="auto"/>
            </w:tcBorders>
          </w:tcPr>
          <w:p w14:paraId="2F7E2DDC" w14:textId="77777777" w:rsidR="00B82F75" w:rsidRPr="00F52C10" w:rsidRDefault="00B82F75" w:rsidP="00E4628E">
            <w:pPr>
              <w:pStyle w:val="Tabletext0"/>
              <w:spacing w:before="34" w:after="34" w:line="276" w:lineRule="auto"/>
              <w:rPr>
                <w:sz w:val="18"/>
                <w:szCs w:val="18"/>
                <w:lang w:val="en-CA"/>
              </w:rPr>
            </w:pPr>
          </w:p>
        </w:tc>
      </w:tr>
      <w:tr w:rsidR="00B82F75" w:rsidRPr="00F52C10" w14:paraId="1AA991D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82B7A09" w14:textId="77777777" w:rsidR="00B82F75" w:rsidRPr="00F52C10" w:rsidRDefault="00B82F75" w:rsidP="00E4628E">
            <w:pPr>
              <w:pStyle w:val="Tabletext0"/>
              <w:spacing w:before="34" w:after="34" w:line="276" w:lineRule="auto"/>
              <w:rPr>
                <w:sz w:val="18"/>
                <w:szCs w:val="18"/>
              </w:rPr>
            </w:pPr>
            <w:r w:rsidRPr="00F52C10">
              <w:rPr>
                <w:sz w:val="18"/>
                <w:szCs w:val="18"/>
              </w:rPr>
              <w:t>GUF00000</w:t>
            </w:r>
          </w:p>
        </w:tc>
        <w:tc>
          <w:tcPr>
            <w:tcW w:w="1076" w:type="dxa"/>
            <w:tcBorders>
              <w:top w:val="single" w:sz="4" w:space="0" w:color="auto"/>
              <w:left w:val="single" w:sz="4" w:space="0" w:color="auto"/>
              <w:bottom w:val="single" w:sz="4" w:space="0" w:color="auto"/>
              <w:right w:val="single" w:sz="4" w:space="0" w:color="auto"/>
            </w:tcBorders>
          </w:tcPr>
          <w:p w14:paraId="46F57D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70" w:type="dxa"/>
            <w:tcBorders>
              <w:top w:val="single" w:sz="4" w:space="0" w:color="auto"/>
              <w:left w:val="single" w:sz="4" w:space="0" w:color="auto"/>
              <w:bottom w:val="single" w:sz="4" w:space="0" w:color="auto"/>
              <w:right w:val="single" w:sz="4" w:space="0" w:color="auto"/>
            </w:tcBorders>
          </w:tcPr>
          <w:p w14:paraId="52DB2209"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3BB58B03"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EA2C077"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BE6EEC"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8B21779"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33B383B"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E8D68D"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2C7B8BA9" w14:textId="77777777" w:rsidR="00B82F75" w:rsidRPr="00F52C10" w:rsidRDefault="00B82F75" w:rsidP="00E4628E">
            <w:pPr>
              <w:pStyle w:val="Tabletext0"/>
              <w:spacing w:before="34" w:after="34" w:line="276" w:lineRule="auto"/>
              <w:rPr>
                <w:sz w:val="18"/>
                <w:szCs w:val="18"/>
              </w:rPr>
            </w:pPr>
            <w:r w:rsidRPr="00F52C10">
              <w:rPr>
                <w:sz w:val="18"/>
                <w:szCs w:val="18"/>
              </w:rPr>
              <w:t>1</w:t>
            </w:r>
          </w:p>
        </w:tc>
      </w:tr>
      <w:tr w:rsidR="00B82F75" w:rsidRPr="00F52C10" w14:paraId="6872822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64D78FD" w14:textId="77777777" w:rsidR="00B82F75" w:rsidRPr="00F52C10" w:rsidRDefault="00B82F75" w:rsidP="00E4628E">
            <w:pPr>
              <w:pStyle w:val="Tabletext0"/>
              <w:spacing w:before="34" w:after="34" w:line="276" w:lineRule="auto"/>
              <w:rPr>
                <w:sz w:val="18"/>
                <w:szCs w:val="18"/>
              </w:rPr>
            </w:pPr>
            <w:r w:rsidRPr="00F52C10">
              <w:rPr>
                <w:sz w:val="18"/>
                <w:szCs w:val="18"/>
              </w:rPr>
              <w:t>GUF00002</w:t>
            </w:r>
          </w:p>
        </w:tc>
        <w:tc>
          <w:tcPr>
            <w:tcW w:w="1076" w:type="dxa"/>
            <w:tcBorders>
              <w:top w:val="single" w:sz="4" w:space="0" w:color="auto"/>
              <w:left w:val="single" w:sz="4" w:space="0" w:color="auto"/>
              <w:bottom w:val="single" w:sz="4" w:space="0" w:color="auto"/>
              <w:right w:val="single" w:sz="4" w:space="0" w:color="auto"/>
            </w:tcBorders>
          </w:tcPr>
          <w:p w14:paraId="15277A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−115,90</w:t>
            </w:r>
          </w:p>
        </w:tc>
        <w:tc>
          <w:tcPr>
            <w:tcW w:w="970" w:type="dxa"/>
            <w:tcBorders>
              <w:top w:val="single" w:sz="4" w:space="0" w:color="auto"/>
              <w:left w:val="single" w:sz="4" w:space="0" w:color="auto"/>
              <w:bottom w:val="single" w:sz="4" w:space="0" w:color="auto"/>
              <w:right w:val="single" w:sz="4" w:space="0" w:color="auto"/>
            </w:tcBorders>
          </w:tcPr>
          <w:p w14:paraId="269231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−53,30</w:t>
            </w:r>
          </w:p>
        </w:tc>
        <w:tc>
          <w:tcPr>
            <w:tcW w:w="907" w:type="dxa"/>
            <w:tcBorders>
              <w:top w:val="single" w:sz="4" w:space="0" w:color="auto"/>
              <w:left w:val="single" w:sz="4" w:space="0" w:color="auto"/>
              <w:bottom w:val="single" w:sz="4" w:space="0" w:color="auto"/>
              <w:right w:val="single" w:sz="4" w:space="0" w:color="auto"/>
            </w:tcBorders>
          </w:tcPr>
          <w:p w14:paraId="5180CD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5EE3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45B3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14E4C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999003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DAAA6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−39,4</w:t>
            </w:r>
          </w:p>
        </w:tc>
        <w:tc>
          <w:tcPr>
            <w:tcW w:w="907" w:type="dxa"/>
            <w:tcBorders>
              <w:top w:val="single" w:sz="4" w:space="0" w:color="auto"/>
              <w:left w:val="single" w:sz="4" w:space="0" w:color="auto"/>
              <w:bottom w:val="single" w:sz="4" w:space="0" w:color="auto"/>
              <w:right w:val="single" w:sz="4" w:space="0" w:color="auto"/>
            </w:tcBorders>
          </w:tcPr>
          <w:p w14:paraId="66CD2E35" w14:textId="77777777" w:rsidR="00B82F75" w:rsidRPr="00F52C10" w:rsidRDefault="00B82F75" w:rsidP="00E4628E">
            <w:pPr>
              <w:pStyle w:val="Tabletext0"/>
              <w:spacing w:before="34" w:after="34" w:line="276" w:lineRule="auto"/>
              <w:rPr>
                <w:sz w:val="18"/>
                <w:szCs w:val="18"/>
              </w:rPr>
            </w:pPr>
            <w:r w:rsidRPr="00F52C10">
              <w:rPr>
                <w:sz w:val="18"/>
                <w:szCs w:val="18"/>
              </w:rPr>
              <w:t>*/MB13</w:t>
            </w:r>
          </w:p>
        </w:tc>
      </w:tr>
      <w:tr w:rsidR="00B82F75" w:rsidRPr="00F52C10" w14:paraId="5CF98DA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BF78595" w14:textId="77777777" w:rsidR="00B82F75" w:rsidRPr="00F52C10" w:rsidRDefault="00B82F75" w:rsidP="00E4628E">
            <w:pPr>
              <w:pStyle w:val="Tabletext0"/>
              <w:spacing w:before="34" w:after="34" w:line="276" w:lineRule="auto"/>
              <w:rPr>
                <w:sz w:val="18"/>
                <w:szCs w:val="18"/>
              </w:rPr>
            </w:pPr>
            <w:r w:rsidRPr="00F52C10">
              <w:rPr>
                <w:sz w:val="18"/>
                <w:szCs w:val="18"/>
              </w:rPr>
              <w:t>GUI00000</w:t>
            </w:r>
          </w:p>
        </w:tc>
        <w:tc>
          <w:tcPr>
            <w:tcW w:w="1076" w:type="dxa"/>
            <w:tcBorders>
              <w:top w:val="single" w:sz="4" w:space="0" w:color="auto"/>
              <w:left w:val="single" w:sz="4" w:space="0" w:color="auto"/>
              <w:bottom w:val="single" w:sz="4" w:space="0" w:color="auto"/>
              <w:right w:val="single" w:sz="4" w:space="0" w:color="auto"/>
            </w:tcBorders>
          </w:tcPr>
          <w:p w14:paraId="31CC6B3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27,50</w:t>
            </w:r>
          </w:p>
        </w:tc>
        <w:tc>
          <w:tcPr>
            <w:tcW w:w="970" w:type="dxa"/>
            <w:tcBorders>
              <w:top w:val="single" w:sz="4" w:space="0" w:color="auto"/>
              <w:left w:val="single" w:sz="4" w:space="0" w:color="auto"/>
              <w:bottom w:val="single" w:sz="4" w:space="0" w:color="auto"/>
              <w:right w:val="single" w:sz="4" w:space="0" w:color="auto"/>
            </w:tcBorders>
          </w:tcPr>
          <w:p w14:paraId="0A38E3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−10,90</w:t>
            </w:r>
          </w:p>
        </w:tc>
        <w:tc>
          <w:tcPr>
            <w:tcW w:w="907" w:type="dxa"/>
            <w:tcBorders>
              <w:top w:val="single" w:sz="4" w:space="0" w:color="auto"/>
              <w:left w:val="single" w:sz="4" w:space="0" w:color="auto"/>
              <w:bottom w:val="single" w:sz="4" w:space="0" w:color="auto"/>
              <w:right w:val="single" w:sz="4" w:space="0" w:color="auto"/>
            </w:tcBorders>
          </w:tcPr>
          <w:p w14:paraId="438C22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212C0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47FA5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06A1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969A5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0135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−39,2</w:t>
            </w:r>
          </w:p>
        </w:tc>
        <w:tc>
          <w:tcPr>
            <w:tcW w:w="907" w:type="dxa"/>
            <w:tcBorders>
              <w:top w:val="single" w:sz="4" w:space="0" w:color="auto"/>
              <w:left w:val="single" w:sz="4" w:space="0" w:color="auto"/>
              <w:bottom w:val="single" w:sz="4" w:space="0" w:color="auto"/>
              <w:right w:val="single" w:sz="4" w:space="0" w:color="auto"/>
            </w:tcBorders>
          </w:tcPr>
          <w:p w14:paraId="5A7F33F8" w14:textId="77777777" w:rsidR="00B82F75" w:rsidRPr="00F52C10" w:rsidRDefault="00B82F75" w:rsidP="00E4628E">
            <w:pPr>
              <w:pStyle w:val="Tabletext0"/>
              <w:spacing w:before="34" w:after="34" w:line="276" w:lineRule="auto"/>
              <w:rPr>
                <w:sz w:val="18"/>
                <w:szCs w:val="18"/>
                <w:lang w:val="en-CA"/>
              </w:rPr>
            </w:pPr>
          </w:p>
        </w:tc>
      </w:tr>
      <w:tr w:rsidR="00B82F75" w:rsidRPr="00F52C10" w14:paraId="686E090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CBB3FD7" w14:textId="77777777" w:rsidR="00B82F75" w:rsidRPr="00F52C10" w:rsidRDefault="00B82F75" w:rsidP="00E4628E">
            <w:pPr>
              <w:pStyle w:val="Tabletext0"/>
              <w:spacing w:before="34" w:after="34" w:line="276" w:lineRule="auto"/>
              <w:rPr>
                <w:sz w:val="18"/>
                <w:szCs w:val="18"/>
              </w:rPr>
            </w:pPr>
            <w:r w:rsidRPr="00F52C10">
              <w:rPr>
                <w:sz w:val="18"/>
                <w:szCs w:val="18"/>
              </w:rPr>
              <w:t>GUMMRA0</w:t>
            </w:r>
          </w:p>
        </w:tc>
        <w:tc>
          <w:tcPr>
            <w:tcW w:w="1076" w:type="dxa"/>
            <w:tcBorders>
              <w:top w:val="single" w:sz="4" w:space="0" w:color="auto"/>
              <w:left w:val="single" w:sz="4" w:space="0" w:color="auto"/>
              <w:bottom w:val="single" w:sz="4" w:space="0" w:color="auto"/>
              <w:right w:val="single" w:sz="4" w:space="0" w:color="auto"/>
            </w:tcBorders>
          </w:tcPr>
          <w:p w14:paraId="668CF9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494FF1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145,40</w:t>
            </w:r>
          </w:p>
        </w:tc>
        <w:tc>
          <w:tcPr>
            <w:tcW w:w="907" w:type="dxa"/>
            <w:tcBorders>
              <w:top w:val="single" w:sz="4" w:space="0" w:color="auto"/>
              <w:left w:val="single" w:sz="4" w:space="0" w:color="auto"/>
              <w:bottom w:val="single" w:sz="4" w:space="0" w:color="auto"/>
              <w:right w:val="single" w:sz="4" w:space="0" w:color="auto"/>
            </w:tcBorders>
          </w:tcPr>
          <w:p w14:paraId="1AF60DF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82EA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5761F5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9D7CC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7C820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38748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−38,3</w:t>
            </w:r>
          </w:p>
        </w:tc>
        <w:tc>
          <w:tcPr>
            <w:tcW w:w="907" w:type="dxa"/>
            <w:tcBorders>
              <w:top w:val="single" w:sz="4" w:space="0" w:color="auto"/>
              <w:left w:val="single" w:sz="4" w:space="0" w:color="auto"/>
              <w:bottom w:val="single" w:sz="4" w:space="0" w:color="auto"/>
              <w:right w:val="single" w:sz="4" w:space="0" w:color="auto"/>
            </w:tcBorders>
          </w:tcPr>
          <w:p w14:paraId="77ED5F4D"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053A096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05E3021" w14:textId="77777777" w:rsidR="00B82F75" w:rsidRPr="00F52C10" w:rsidRDefault="00B82F75" w:rsidP="00E4628E">
            <w:pPr>
              <w:pStyle w:val="Tabletext0"/>
              <w:spacing w:before="34" w:after="34" w:line="276" w:lineRule="auto"/>
              <w:rPr>
                <w:sz w:val="18"/>
                <w:szCs w:val="18"/>
              </w:rPr>
            </w:pPr>
            <w:r w:rsidRPr="00F52C10">
              <w:rPr>
                <w:sz w:val="18"/>
                <w:szCs w:val="18"/>
              </w:rPr>
              <w:t>GUY00000</w:t>
            </w:r>
          </w:p>
        </w:tc>
        <w:tc>
          <w:tcPr>
            <w:tcW w:w="1076" w:type="dxa"/>
            <w:tcBorders>
              <w:top w:val="single" w:sz="4" w:space="0" w:color="auto"/>
              <w:left w:val="single" w:sz="4" w:space="0" w:color="auto"/>
              <w:bottom w:val="single" w:sz="4" w:space="0" w:color="auto"/>
              <w:right w:val="single" w:sz="4" w:space="0" w:color="auto"/>
            </w:tcBorders>
          </w:tcPr>
          <w:p w14:paraId="18695E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−23,80</w:t>
            </w:r>
          </w:p>
        </w:tc>
        <w:tc>
          <w:tcPr>
            <w:tcW w:w="970" w:type="dxa"/>
            <w:tcBorders>
              <w:top w:val="single" w:sz="4" w:space="0" w:color="auto"/>
              <w:left w:val="single" w:sz="4" w:space="0" w:color="auto"/>
              <w:bottom w:val="single" w:sz="4" w:space="0" w:color="auto"/>
              <w:right w:val="single" w:sz="4" w:space="0" w:color="auto"/>
            </w:tcBorders>
          </w:tcPr>
          <w:p w14:paraId="1D506A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−59,20</w:t>
            </w:r>
          </w:p>
        </w:tc>
        <w:tc>
          <w:tcPr>
            <w:tcW w:w="907" w:type="dxa"/>
            <w:tcBorders>
              <w:top w:val="single" w:sz="4" w:space="0" w:color="auto"/>
              <w:left w:val="single" w:sz="4" w:space="0" w:color="auto"/>
              <w:bottom w:val="single" w:sz="4" w:space="0" w:color="auto"/>
              <w:right w:val="single" w:sz="4" w:space="0" w:color="auto"/>
            </w:tcBorders>
          </w:tcPr>
          <w:p w14:paraId="310BE62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088D3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C3299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C29FE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20EA6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238D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−39,4</w:t>
            </w:r>
          </w:p>
        </w:tc>
        <w:tc>
          <w:tcPr>
            <w:tcW w:w="907" w:type="dxa"/>
            <w:tcBorders>
              <w:top w:val="single" w:sz="4" w:space="0" w:color="auto"/>
              <w:left w:val="single" w:sz="4" w:space="0" w:color="auto"/>
              <w:bottom w:val="single" w:sz="4" w:space="0" w:color="auto"/>
              <w:right w:val="single" w:sz="4" w:space="0" w:color="auto"/>
            </w:tcBorders>
          </w:tcPr>
          <w:p w14:paraId="39F849F5" w14:textId="77777777" w:rsidR="00B82F75" w:rsidRPr="00F52C10" w:rsidRDefault="00B82F75" w:rsidP="00E4628E">
            <w:pPr>
              <w:pStyle w:val="Tabletext0"/>
              <w:spacing w:before="34" w:after="34" w:line="276" w:lineRule="auto"/>
              <w:rPr>
                <w:sz w:val="18"/>
                <w:szCs w:val="18"/>
                <w:lang w:val="en-CA"/>
              </w:rPr>
            </w:pPr>
          </w:p>
        </w:tc>
      </w:tr>
      <w:tr w:rsidR="00B82F75" w:rsidRPr="00F52C10" w14:paraId="77A548E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E87A69C" w14:textId="77777777" w:rsidR="00B82F75" w:rsidRPr="00F52C10" w:rsidRDefault="00B82F75" w:rsidP="00E4628E">
            <w:pPr>
              <w:pStyle w:val="Tabletext0"/>
              <w:spacing w:before="34" w:after="34" w:line="276" w:lineRule="auto"/>
              <w:rPr>
                <w:sz w:val="18"/>
                <w:szCs w:val="18"/>
              </w:rPr>
            </w:pPr>
            <w:r w:rsidRPr="00F52C10">
              <w:rPr>
                <w:sz w:val="18"/>
                <w:szCs w:val="18"/>
              </w:rPr>
              <w:t>HKG00000</w:t>
            </w:r>
          </w:p>
        </w:tc>
        <w:tc>
          <w:tcPr>
            <w:tcW w:w="1076" w:type="dxa"/>
            <w:tcBorders>
              <w:top w:val="single" w:sz="4" w:space="0" w:color="auto"/>
              <w:left w:val="single" w:sz="4" w:space="0" w:color="auto"/>
              <w:bottom w:val="single" w:sz="4" w:space="0" w:color="auto"/>
              <w:right w:val="single" w:sz="4" w:space="0" w:color="auto"/>
            </w:tcBorders>
          </w:tcPr>
          <w:p w14:paraId="550F81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970" w:type="dxa"/>
            <w:tcBorders>
              <w:top w:val="single" w:sz="4" w:space="0" w:color="auto"/>
              <w:left w:val="single" w:sz="4" w:space="0" w:color="auto"/>
              <w:bottom w:val="single" w:sz="4" w:space="0" w:color="auto"/>
              <w:right w:val="single" w:sz="4" w:space="0" w:color="auto"/>
            </w:tcBorders>
          </w:tcPr>
          <w:p w14:paraId="4EEC67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114,50</w:t>
            </w:r>
          </w:p>
        </w:tc>
        <w:tc>
          <w:tcPr>
            <w:tcW w:w="907" w:type="dxa"/>
            <w:tcBorders>
              <w:top w:val="single" w:sz="4" w:space="0" w:color="auto"/>
              <w:left w:val="single" w:sz="4" w:space="0" w:color="auto"/>
              <w:bottom w:val="single" w:sz="4" w:space="0" w:color="auto"/>
              <w:right w:val="single" w:sz="4" w:space="0" w:color="auto"/>
            </w:tcBorders>
          </w:tcPr>
          <w:p w14:paraId="5E3E64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AAD6B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A0210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C477E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DDBBE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34A8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−40,6</w:t>
            </w:r>
          </w:p>
        </w:tc>
        <w:tc>
          <w:tcPr>
            <w:tcW w:w="907" w:type="dxa"/>
            <w:tcBorders>
              <w:top w:val="single" w:sz="4" w:space="0" w:color="auto"/>
              <w:left w:val="single" w:sz="4" w:space="0" w:color="auto"/>
              <w:bottom w:val="single" w:sz="4" w:space="0" w:color="auto"/>
              <w:right w:val="single" w:sz="4" w:space="0" w:color="auto"/>
            </w:tcBorders>
          </w:tcPr>
          <w:p w14:paraId="1926916A" w14:textId="77777777" w:rsidR="00B82F75" w:rsidRPr="00F52C10" w:rsidRDefault="00B82F75" w:rsidP="00E4628E">
            <w:pPr>
              <w:pStyle w:val="Tabletext0"/>
              <w:spacing w:before="34" w:after="34" w:line="276" w:lineRule="auto"/>
              <w:rPr>
                <w:sz w:val="18"/>
                <w:szCs w:val="18"/>
                <w:lang w:val="en-CA"/>
              </w:rPr>
            </w:pPr>
          </w:p>
        </w:tc>
      </w:tr>
      <w:tr w:rsidR="00B82F75" w:rsidRPr="00F52C10" w14:paraId="6FE3641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AEAA501" w14:textId="77777777" w:rsidR="00B82F75" w:rsidRPr="00F52C10" w:rsidRDefault="00B82F75" w:rsidP="00E4628E">
            <w:pPr>
              <w:pStyle w:val="Tabletext0"/>
              <w:spacing w:before="34" w:after="34" w:line="276" w:lineRule="auto"/>
              <w:rPr>
                <w:sz w:val="18"/>
                <w:szCs w:val="18"/>
              </w:rPr>
            </w:pPr>
            <w:r w:rsidRPr="00F52C10">
              <w:rPr>
                <w:sz w:val="18"/>
                <w:szCs w:val="18"/>
              </w:rPr>
              <w:t>HND00000</w:t>
            </w:r>
          </w:p>
        </w:tc>
        <w:tc>
          <w:tcPr>
            <w:tcW w:w="1076" w:type="dxa"/>
            <w:tcBorders>
              <w:top w:val="single" w:sz="4" w:space="0" w:color="auto"/>
              <w:left w:val="single" w:sz="4" w:space="0" w:color="auto"/>
              <w:bottom w:val="single" w:sz="4" w:space="0" w:color="auto"/>
              <w:right w:val="single" w:sz="4" w:space="0" w:color="auto"/>
            </w:tcBorders>
          </w:tcPr>
          <w:p w14:paraId="36C8DE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−76,20</w:t>
            </w:r>
          </w:p>
        </w:tc>
        <w:tc>
          <w:tcPr>
            <w:tcW w:w="970" w:type="dxa"/>
            <w:tcBorders>
              <w:top w:val="single" w:sz="4" w:space="0" w:color="auto"/>
              <w:left w:val="single" w:sz="4" w:space="0" w:color="auto"/>
              <w:bottom w:val="single" w:sz="4" w:space="0" w:color="auto"/>
              <w:right w:val="single" w:sz="4" w:space="0" w:color="auto"/>
            </w:tcBorders>
          </w:tcPr>
          <w:p w14:paraId="53000A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−86,10</w:t>
            </w:r>
          </w:p>
        </w:tc>
        <w:tc>
          <w:tcPr>
            <w:tcW w:w="907" w:type="dxa"/>
            <w:tcBorders>
              <w:top w:val="single" w:sz="4" w:space="0" w:color="auto"/>
              <w:left w:val="single" w:sz="4" w:space="0" w:color="auto"/>
              <w:bottom w:val="single" w:sz="4" w:space="0" w:color="auto"/>
              <w:right w:val="single" w:sz="4" w:space="0" w:color="auto"/>
            </w:tcBorders>
          </w:tcPr>
          <w:p w14:paraId="439C42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CAEFE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5776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670FE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DA2F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4D70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07" w:type="dxa"/>
            <w:tcBorders>
              <w:top w:val="single" w:sz="4" w:space="0" w:color="auto"/>
              <w:left w:val="single" w:sz="4" w:space="0" w:color="auto"/>
              <w:bottom w:val="single" w:sz="4" w:space="0" w:color="auto"/>
              <w:right w:val="single" w:sz="4" w:space="0" w:color="auto"/>
            </w:tcBorders>
          </w:tcPr>
          <w:p w14:paraId="68D9356C" w14:textId="77777777" w:rsidR="00B82F75" w:rsidRPr="00F52C10" w:rsidRDefault="00B82F75" w:rsidP="00E4628E">
            <w:pPr>
              <w:pStyle w:val="Tabletext0"/>
              <w:spacing w:before="34" w:after="34" w:line="276" w:lineRule="auto"/>
              <w:rPr>
                <w:sz w:val="18"/>
                <w:szCs w:val="18"/>
                <w:lang w:val="en-CA"/>
              </w:rPr>
            </w:pPr>
          </w:p>
        </w:tc>
      </w:tr>
      <w:tr w:rsidR="00B82F75" w:rsidRPr="00F52C10" w14:paraId="1B424CC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182FFB4" w14:textId="77777777" w:rsidR="00B82F75" w:rsidRPr="00F52C10" w:rsidRDefault="00B82F75" w:rsidP="00E4628E">
            <w:pPr>
              <w:pStyle w:val="Tabletext0"/>
              <w:spacing w:before="34" w:after="34" w:line="276" w:lineRule="auto"/>
              <w:rPr>
                <w:sz w:val="18"/>
                <w:szCs w:val="18"/>
              </w:rPr>
            </w:pPr>
            <w:r w:rsidRPr="00F52C10">
              <w:rPr>
                <w:sz w:val="18"/>
                <w:szCs w:val="18"/>
              </w:rPr>
              <w:t>HNG00000</w:t>
            </w:r>
          </w:p>
        </w:tc>
        <w:tc>
          <w:tcPr>
            <w:tcW w:w="1076" w:type="dxa"/>
            <w:tcBorders>
              <w:top w:val="single" w:sz="4" w:space="0" w:color="auto"/>
              <w:left w:val="single" w:sz="4" w:space="0" w:color="auto"/>
              <w:bottom w:val="single" w:sz="4" w:space="0" w:color="auto"/>
              <w:right w:val="single" w:sz="4" w:space="0" w:color="auto"/>
            </w:tcBorders>
          </w:tcPr>
          <w:p w14:paraId="199844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−7,50</w:t>
            </w:r>
          </w:p>
        </w:tc>
        <w:tc>
          <w:tcPr>
            <w:tcW w:w="970" w:type="dxa"/>
            <w:tcBorders>
              <w:top w:val="single" w:sz="4" w:space="0" w:color="auto"/>
              <w:left w:val="single" w:sz="4" w:space="0" w:color="auto"/>
              <w:bottom w:val="single" w:sz="4" w:space="0" w:color="auto"/>
              <w:right w:val="single" w:sz="4" w:space="0" w:color="auto"/>
            </w:tcBorders>
          </w:tcPr>
          <w:p w14:paraId="01991C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19,40</w:t>
            </w:r>
          </w:p>
        </w:tc>
        <w:tc>
          <w:tcPr>
            <w:tcW w:w="907" w:type="dxa"/>
            <w:tcBorders>
              <w:top w:val="single" w:sz="4" w:space="0" w:color="auto"/>
              <w:left w:val="single" w:sz="4" w:space="0" w:color="auto"/>
              <w:bottom w:val="single" w:sz="4" w:space="0" w:color="auto"/>
              <w:right w:val="single" w:sz="4" w:space="0" w:color="auto"/>
            </w:tcBorders>
          </w:tcPr>
          <w:p w14:paraId="69DBCF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0B9B9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00D8A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9218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9C13F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B6D3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w:t>
            </w:r>
          </w:p>
        </w:tc>
        <w:tc>
          <w:tcPr>
            <w:tcW w:w="907" w:type="dxa"/>
            <w:tcBorders>
              <w:top w:val="single" w:sz="4" w:space="0" w:color="auto"/>
              <w:left w:val="single" w:sz="4" w:space="0" w:color="auto"/>
              <w:bottom w:val="single" w:sz="4" w:space="0" w:color="auto"/>
              <w:right w:val="single" w:sz="4" w:space="0" w:color="auto"/>
            </w:tcBorders>
          </w:tcPr>
          <w:p w14:paraId="11CDB26A" w14:textId="77777777" w:rsidR="00B82F75" w:rsidRPr="00F52C10" w:rsidRDefault="00B82F75" w:rsidP="00E4628E">
            <w:pPr>
              <w:pStyle w:val="Tabletext0"/>
              <w:spacing w:before="34" w:after="34" w:line="276" w:lineRule="auto"/>
              <w:rPr>
                <w:sz w:val="18"/>
                <w:szCs w:val="18"/>
                <w:lang w:val="en-CA"/>
              </w:rPr>
            </w:pPr>
          </w:p>
        </w:tc>
      </w:tr>
      <w:tr w:rsidR="00B82F75" w:rsidRPr="00F52C10" w14:paraId="6F15C4F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989021A" w14:textId="77777777" w:rsidR="00B82F75" w:rsidRPr="00F52C10" w:rsidRDefault="00B82F75" w:rsidP="00E4628E">
            <w:pPr>
              <w:pStyle w:val="Tabletext0"/>
              <w:spacing w:before="34" w:after="34" w:line="276" w:lineRule="auto"/>
              <w:rPr>
                <w:sz w:val="18"/>
                <w:szCs w:val="18"/>
              </w:rPr>
            </w:pPr>
            <w:r w:rsidRPr="00F52C10">
              <w:rPr>
                <w:sz w:val="18"/>
                <w:szCs w:val="18"/>
              </w:rPr>
              <w:t>HOL00000</w:t>
            </w:r>
          </w:p>
        </w:tc>
        <w:tc>
          <w:tcPr>
            <w:tcW w:w="1076" w:type="dxa"/>
            <w:tcBorders>
              <w:top w:val="single" w:sz="4" w:space="0" w:color="auto"/>
              <w:left w:val="single" w:sz="4" w:space="0" w:color="auto"/>
              <w:bottom w:val="single" w:sz="4" w:space="0" w:color="auto"/>
              <w:right w:val="single" w:sz="4" w:space="0" w:color="auto"/>
            </w:tcBorders>
          </w:tcPr>
          <w:p w14:paraId="782291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w:t>
            </w:r>
          </w:p>
        </w:tc>
        <w:tc>
          <w:tcPr>
            <w:tcW w:w="970" w:type="dxa"/>
            <w:tcBorders>
              <w:top w:val="single" w:sz="4" w:space="0" w:color="auto"/>
              <w:left w:val="single" w:sz="4" w:space="0" w:color="auto"/>
              <w:bottom w:val="single" w:sz="4" w:space="0" w:color="auto"/>
              <w:right w:val="single" w:sz="4" w:space="0" w:color="auto"/>
            </w:tcBorders>
          </w:tcPr>
          <w:p w14:paraId="6122EE3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5,40</w:t>
            </w:r>
          </w:p>
        </w:tc>
        <w:tc>
          <w:tcPr>
            <w:tcW w:w="907" w:type="dxa"/>
            <w:tcBorders>
              <w:top w:val="single" w:sz="4" w:space="0" w:color="auto"/>
              <w:left w:val="single" w:sz="4" w:space="0" w:color="auto"/>
              <w:bottom w:val="single" w:sz="4" w:space="0" w:color="auto"/>
              <w:right w:val="single" w:sz="4" w:space="0" w:color="auto"/>
            </w:tcBorders>
          </w:tcPr>
          <w:p w14:paraId="1418CB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52,40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647D2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C56CC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E303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7FBF8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8810A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−41,4</w:t>
            </w:r>
          </w:p>
        </w:tc>
        <w:tc>
          <w:tcPr>
            <w:tcW w:w="907" w:type="dxa"/>
            <w:tcBorders>
              <w:top w:val="single" w:sz="4" w:space="0" w:color="auto"/>
              <w:left w:val="single" w:sz="4" w:space="0" w:color="auto"/>
              <w:bottom w:val="single" w:sz="4" w:space="0" w:color="auto"/>
              <w:right w:val="single" w:sz="4" w:space="0" w:color="auto"/>
            </w:tcBorders>
          </w:tcPr>
          <w:p w14:paraId="398CF167" w14:textId="77777777" w:rsidR="00B82F75" w:rsidRPr="00F52C10" w:rsidRDefault="00B82F75" w:rsidP="00E4628E">
            <w:pPr>
              <w:pStyle w:val="Tabletext0"/>
              <w:spacing w:before="34" w:after="34" w:line="276" w:lineRule="auto"/>
              <w:rPr>
                <w:sz w:val="18"/>
                <w:szCs w:val="18"/>
              </w:rPr>
            </w:pPr>
            <w:r w:rsidRPr="00F52C10">
              <w:rPr>
                <w:sz w:val="18"/>
                <w:szCs w:val="18"/>
              </w:rPr>
              <w:t>*/MB5</w:t>
            </w:r>
          </w:p>
        </w:tc>
      </w:tr>
      <w:tr w:rsidR="00B82F75" w:rsidRPr="00F52C10" w14:paraId="5B3DA6F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1317186" w14:textId="77777777" w:rsidR="00B82F75" w:rsidRPr="00F52C10" w:rsidRDefault="00B82F75" w:rsidP="00E4628E">
            <w:pPr>
              <w:pStyle w:val="Tabletext0"/>
              <w:spacing w:before="34" w:after="34" w:line="276" w:lineRule="auto"/>
              <w:rPr>
                <w:sz w:val="18"/>
                <w:szCs w:val="18"/>
              </w:rPr>
            </w:pPr>
            <w:r w:rsidRPr="00F52C10">
              <w:rPr>
                <w:sz w:val="18"/>
                <w:szCs w:val="18"/>
              </w:rPr>
              <w:lastRenderedPageBreak/>
              <w:t>HTI00000</w:t>
            </w:r>
          </w:p>
        </w:tc>
        <w:tc>
          <w:tcPr>
            <w:tcW w:w="1076" w:type="dxa"/>
            <w:tcBorders>
              <w:top w:val="single" w:sz="4" w:space="0" w:color="auto"/>
              <w:left w:val="single" w:sz="4" w:space="0" w:color="auto"/>
              <w:bottom w:val="single" w:sz="4" w:space="0" w:color="auto"/>
              <w:right w:val="single" w:sz="4" w:space="0" w:color="auto"/>
            </w:tcBorders>
          </w:tcPr>
          <w:p w14:paraId="50DCF4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−92,00</w:t>
            </w:r>
          </w:p>
        </w:tc>
        <w:tc>
          <w:tcPr>
            <w:tcW w:w="970" w:type="dxa"/>
            <w:tcBorders>
              <w:top w:val="single" w:sz="4" w:space="0" w:color="auto"/>
              <w:left w:val="single" w:sz="4" w:space="0" w:color="auto"/>
              <w:bottom w:val="single" w:sz="4" w:space="0" w:color="auto"/>
              <w:right w:val="single" w:sz="4" w:space="0" w:color="auto"/>
            </w:tcBorders>
          </w:tcPr>
          <w:p w14:paraId="478A7B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−73,00</w:t>
            </w:r>
          </w:p>
        </w:tc>
        <w:tc>
          <w:tcPr>
            <w:tcW w:w="907" w:type="dxa"/>
            <w:tcBorders>
              <w:top w:val="single" w:sz="4" w:space="0" w:color="auto"/>
              <w:left w:val="single" w:sz="4" w:space="0" w:color="auto"/>
              <w:bottom w:val="single" w:sz="4" w:space="0" w:color="auto"/>
              <w:right w:val="single" w:sz="4" w:space="0" w:color="auto"/>
            </w:tcBorders>
          </w:tcPr>
          <w:p w14:paraId="26C0DC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CDB8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3C086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1A58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C198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B0F4E1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−41,7</w:t>
            </w:r>
          </w:p>
        </w:tc>
        <w:tc>
          <w:tcPr>
            <w:tcW w:w="907" w:type="dxa"/>
            <w:tcBorders>
              <w:top w:val="single" w:sz="4" w:space="0" w:color="auto"/>
              <w:left w:val="single" w:sz="4" w:space="0" w:color="auto"/>
              <w:bottom w:val="single" w:sz="4" w:space="0" w:color="auto"/>
              <w:right w:val="single" w:sz="4" w:space="0" w:color="auto"/>
            </w:tcBorders>
          </w:tcPr>
          <w:p w14:paraId="45334728" w14:textId="77777777" w:rsidR="00B82F75" w:rsidRPr="00F52C10" w:rsidRDefault="00B82F75" w:rsidP="00E4628E">
            <w:pPr>
              <w:pStyle w:val="Tabletext0"/>
              <w:spacing w:before="34" w:after="34" w:line="276" w:lineRule="auto"/>
              <w:rPr>
                <w:sz w:val="18"/>
                <w:szCs w:val="18"/>
                <w:lang w:val="en-CA"/>
              </w:rPr>
            </w:pPr>
          </w:p>
        </w:tc>
      </w:tr>
      <w:tr w:rsidR="00B82F75" w:rsidRPr="00F52C10" w14:paraId="3EFB8C7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73B3EF9" w14:textId="77777777" w:rsidR="00B82F75" w:rsidRPr="00F52C10" w:rsidRDefault="00B82F75" w:rsidP="00E4628E">
            <w:pPr>
              <w:pStyle w:val="Tabletext0"/>
              <w:spacing w:before="34" w:after="34" w:line="276" w:lineRule="auto"/>
              <w:rPr>
                <w:sz w:val="18"/>
                <w:szCs w:val="18"/>
              </w:rPr>
            </w:pPr>
            <w:r w:rsidRPr="00F52C10">
              <w:rPr>
                <w:sz w:val="18"/>
                <w:szCs w:val="18"/>
              </w:rPr>
              <w:t>HWA00000</w:t>
            </w:r>
          </w:p>
        </w:tc>
        <w:tc>
          <w:tcPr>
            <w:tcW w:w="1076" w:type="dxa"/>
            <w:tcBorders>
              <w:top w:val="single" w:sz="4" w:space="0" w:color="auto"/>
              <w:left w:val="single" w:sz="4" w:space="0" w:color="auto"/>
              <w:bottom w:val="single" w:sz="4" w:space="0" w:color="auto"/>
              <w:right w:val="single" w:sz="4" w:space="0" w:color="auto"/>
            </w:tcBorders>
          </w:tcPr>
          <w:p w14:paraId="66EBD0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7F9FAE2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−157,60</w:t>
            </w:r>
          </w:p>
        </w:tc>
        <w:tc>
          <w:tcPr>
            <w:tcW w:w="907" w:type="dxa"/>
            <w:tcBorders>
              <w:top w:val="single" w:sz="4" w:space="0" w:color="auto"/>
              <w:left w:val="single" w:sz="4" w:space="0" w:color="auto"/>
              <w:bottom w:val="single" w:sz="4" w:space="0" w:color="auto"/>
              <w:right w:val="single" w:sz="4" w:space="0" w:color="auto"/>
            </w:tcBorders>
          </w:tcPr>
          <w:p w14:paraId="2BEA49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2483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1D713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1FBB6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6511A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63B0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−40,2</w:t>
            </w:r>
          </w:p>
        </w:tc>
        <w:tc>
          <w:tcPr>
            <w:tcW w:w="907" w:type="dxa"/>
            <w:tcBorders>
              <w:top w:val="single" w:sz="4" w:space="0" w:color="auto"/>
              <w:left w:val="single" w:sz="4" w:space="0" w:color="auto"/>
              <w:bottom w:val="single" w:sz="4" w:space="0" w:color="auto"/>
              <w:right w:val="single" w:sz="4" w:space="0" w:color="auto"/>
            </w:tcBorders>
          </w:tcPr>
          <w:p w14:paraId="566D6D00"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5602312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348878C" w14:textId="77777777" w:rsidR="00B82F75" w:rsidRPr="00F52C10" w:rsidRDefault="00B82F75" w:rsidP="00E4628E">
            <w:pPr>
              <w:pStyle w:val="Tabletext0"/>
              <w:spacing w:before="34" w:after="34" w:line="276" w:lineRule="auto"/>
              <w:rPr>
                <w:sz w:val="18"/>
                <w:szCs w:val="18"/>
              </w:rPr>
            </w:pPr>
            <w:r w:rsidRPr="00F52C10">
              <w:rPr>
                <w:sz w:val="18"/>
                <w:szCs w:val="18"/>
              </w:rPr>
              <w:t>HWL00000</w:t>
            </w:r>
          </w:p>
        </w:tc>
        <w:tc>
          <w:tcPr>
            <w:tcW w:w="1076" w:type="dxa"/>
            <w:tcBorders>
              <w:top w:val="single" w:sz="4" w:space="0" w:color="auto"/>
              <w:left w:val="single" w:sz="4" w:space="0" w:color="auto"/>
              <w:bottom w:val="single" w:sz="4" w:space="0" w:color="auto"/>
              <w:right w:val="single" w:sz="4" w:space="0" w:color="auto"/>
            </w:tcBorders>
          </w:tcPr>
          <w:p w14:paraId="2084E9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25F697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−176,60</w:t>
            </w:r>
          </w:p>
        </w:tc>
        <w:tc>
          <w:tcPr>
            <w:tcW w:w="907" w:type="dxa"/>
            <w:tcBorders>
              <w:top w:val="single" w:sz="4" w:space="0" w:color="auto"/>
              <w:left w:val="single" w:sz="4" w:space="0" w:color="auto"/>
              <w:bottom w:val="single" w:sz="4" w:space="0" w:color="auto"/>
              <w:right w:val="single" w:sz="4" w:space="0" w:color="auto"/>
            </w:tcBorders>
          </w:tcPr>
          <w:p w14:paraId="001149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3A8C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B1BA4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E72036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6F88C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4482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w:t>
            </w:r>
          </w:p>
        </w:tc>
        <w:tc>
          <w:tcPr>
            <w:tcW w:w="907" w:type="dxa"/>
            <w:tcBorders>
              <w:top w:val="single" w:sz="4" w:space="0" w:color="auto"/>
              <w:left w:val="single" w:sz="4" w:space="0" w:color="auto"/>
              <w:bottom w:val="single" w:sz="4" w:space="0" w:color="auto"/>
              <w:right w:val="single" w:sz="4" w:space="0" w:color="auto"/>
            </w:tcBorders>
          </w:tcPr>
          <w:p w14:paraId="77496705"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7B4815E8"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D24E5F6" w14:textId="77777777" w:rsidR="00B82F75" w:rsidRPr="00F52C10" w:rsidRDefault="00B82F75" w:rsidP="00E4628E">
            <w:pPr>
              <w:pStyle w:val="Tabletext0"/>
              <w:spacing w:before="34" w:after="34" w:line="276" w:lineRule="auto"/>
              <w:rPr>
                <w:sz w:val="18"/>
                <w:szCs w:val="18"/>
              </w:rPr>
            </w:pPr>
            <w:r w:rsidRPr="00F52C10">
              <w:rPr>
                <w:sz w:val="18"/>
                <w:szCs w:val="18"/>
              </w:rPr>
              <w:t>I  00000</w:t>
            </w:r>
          </w:p>
        </w:tc>
        <w:tc>
          <w:tcPr>
            <w:tcW w:w="1076" w:type="dxa"/>
            <w:tcBorders>
              <w:top w:val="single" w:sz="4" w:space="0" w:color="auto"/>
              <w:left w:val="single" w:sz="4" w:space="0" w:color="auto"/>
              <w:bottom w:val="single" w:sz="4" w:space="0" w:color="auto"/>
              <w:right w:val="single" w:sz="4" w:space="0" w:color="auto"/>
            </w:tcBorders>
          </w:tcPr>
          <w:p w14:paraId="7B96CF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−23,40</w:t>
            </w:r>
          </w:p>
        </w:tc>
        <w:tc>
          <w:tcPr>
            <w:tcW w:w="970" w:type="dxa"/>
            <w:tcBorders>
              <w:top w:val="single" w:sz="4" w:space="0" w:color="auto"/>
              <w:left w:val="single" w:sz="4" w:space="0" w:color="auto"/>
              <w:bottom w:val="single" w:sz="4" w:space="0" w:color="auto"/>
              <w:right w:val="single" w:sz="4" w:space="0" w:color="auto"/>
            </w:tcBorders>
          </w:tcPr>
          <w:p w14:paraId="63AB15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w:t>
            </w:r>
          </w:p>
        </w:tc>
        <w:tc>
          <w:tcPr>
            <w:tcW w:w="907" w:type="dxa"/>
            <w:tcBorders>
              <w:top w:val="single" w:sz="4" w:space="0" w:color="auto"/>
              <w:left w:val="single" w:sz="4" w:space="0" w:color="auto"/>
              <w:bottom w:val="single" w:sz="4" w:space="0" w:color="auto"/>
              <w:right w:val="single" w:sz="4" w:space="0" w:color="auto"/>
            </w:tcBorders>
          </w:tcPr>
          <w:p w14:paraId="3559BD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C09A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E8853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4AB3D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E32A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DD9F5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w:t>
            </w:r>
          </w:p>
        </w:tc>
        <w:tc>
          <w:tcPr>
            <w:tcW w:w="907" w:type="dxa"/>
            <w:tcBorders>
              <w:top w:val="single" w:sz="4" w:space="0" w:color="auto"/>
              <w:left w:val="single" w:sz="4" w:space="0" w:color="auto"/>
              <w:bottom w:val="single" w:sz="4" w:space="0" w:color="auto"/>
              <w:right w:val="single" w:sz="4" w:space="0" w:color="auto"/>
            </w:tcBorders>
          </w:tcPr>
          <w:p w14:paraId="7DBA9DE3" w14:textId="77777777" w:rsidR="00B82F75" w:rsidRPr="00F52C10" w:rsidRDefault="00B82F75" w:rsidP="00E4628E">
            <w:pPr>
              <w:pStyle w:val="Tabletext0"/>
              <w:spacing w:before="34" w:after="34" w:line="276" w:lineRule="auto"/>
              <w:rPr>
                <w:sz w:val="18"/>
                <w:szCs w:val="18"/>
                <w:lang w:val="en-CA"/>
              </w:rPr>
            </w:pPr>
          </w:p>
        </w:tc>
      </w:tr>
      <w:tr w:rsidR="00B82F75" w:rsidRPr="00F52C10" w14:paraId="6C80AE3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77D5CA5" w14:textId="77777777" w:rsidR="00B82F75" w:rsidRPr="00F52C10" w:rsidRDefault="00B82F75" w:rsidP="00E4628E">
            <w:pPr>
              <w:pStyle w:val="Tabletext0"/>
              <w:spacing w:before="34" w:after="34" w:line="276" w:lineRule="auto"/>
              <w:rPr>
                <w:sz w:val="18"/>
                <w:szCs w:val="18"/>
              </w:rPr>
            </w:pPr>
            <w:r w:rsidRPr="00F52C10">
              <w:rPr>
                <w:sz w:val="18"/>
                <w:szCs w:val="18"/>
              </w:rPr>
              <w:t>IND00000</w:t>
            </w:r>
          </w:p>
        </w:tc>
        <w:tc>
          <w:tcPr>
            <w:tcW w:w="1076" w:type="dxa"/>
            <w:tcBorders>
              <w:top w:val="single" w:sz="4" w:space="0" w:color="auto"/>
              <w:left w:val="single" w:sz="4" w:space="0" w:color="auto"/>
              <w:bottom w:val="single" w:sz="4" w:space="0" w:color="auto"/>
              <w:right w:val="single" w:sz="4" w:space="0" w:color="auto"/>
            </w:tcBorders>
          </w:tcPr>
          <w:p w14:paraId="3F57E7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74,00</w:t>
            </w:r>
          </w:p>
        </w:tc>
        <w:tc>
          <w:tcPr>
            <w:tcW w:w="970" w:type="dxa"/>
            <w:tcBorders>
              <w:top w:val="single" w:sz="4" w:space="0" w:color="auto"/>
              <w:left w:val="single" w:sz="4" w:space="0" w:color="auto"/>
              <w:bottom w:val="single" w:sz="4" w:space="0" w:color="auto"/>
              <w:right w:val="single" w:sz="4" w:space="0" w:color="auto"/>
            </w:tcBorders>
          </w:tcPr>
          <w:p w14:paraId="2A47D8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82,70</w:t>
            </w:r>
          </w:p>
        </w:tc>
        <w:tc>
          <w:tcPr>
            <w:tcW w:w="907" w:type="dxa"/>
            <w:tcBorders>
              <w:top w:val="single" w:sz="4" w:space="0" w:color="auto"/>
              <w:left w:val="single" w:sz="4" w:space="0" w:color="auto"/>
              <w:bottom w:val="single" w:sz="4" w:space="0" w:color="auto"/>
              <w:right w:val="single" w:sz="4" w:space="0" w:color="auto"/>
            </w:tcBorders>
          </w:tcPr>
          <w:p w14:paraId="213688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3217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BFF93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C862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565CF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DE1F8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−38,5</w:t>
            </w:r>
          </w:p>
        </w:tc>
        <w:tc>
          <w:tcPr>
            <w:tcW w:w="907" w:type="dxa"/>
            <w:tcBorders>
              <w:top w:val="single" w:sz="4" w:space="0" w:color="auto"/>
              <w:left w:val="single" w:sz="4" w:space="0" w:color="auto"/>
              <w:bottom w:val="single" w:sz="4" w:space="0" w:color="auto"/>
              <w:right w:val="single" w:sz="4" w:space="0" w:color="auto"/>
            </w:tcBorders>
          </w:tcPr>
          <w:p w14:paraId="40FE07DE" w14:textId="77777777" w:rsidR="00B82F75" w:rsidRPr="00F52C10" w:rsidRDefault="00B82F75" w:rsidP="00E4628E">
            <w:pPr>
              <w:pStyle w:val="Tabletext0"/>
              <w:spacing w:before="34" w:after="34" w:line="276" w:lineRule="auto"/>
              <w:rPr>
                <w:sz w:val="18"/>
                <w:szCs w:val="18"/>
                <w:lang w:val="en-CA"/>
              </w:rPr>
            </w:pPr>
          </w:p>
        </w:tc>
      </w:tr>
      <w:tr w:rsidR="00B82F75" w:rsidRPr="00F52C10" w14:paraId="43A2C2C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FA809F0" w14:textId="77777777" w:rsidR="00B82F75" w:rsidRPr="00F52C10" w:rsidRDefault="00B82F75" w:rsidP="00E4628E">
            <w:pPr>
              <w:pStyle w:val="Tabletext0"/>
              <w:spacing w:before="34" w:after="34" w:line="276" w:lineRule="auto"/>
              <w:rPr>
                <w:sz w:val="18"/>
                <w:szCs w:val="18"/>
              </w:rPr>
            </w:pPr>
            <w:r w:rsidRPr="00F52C10">
              <w:rPr>
                <w:sz w:val="18"/>
                <w:szCs w:val="18"/>
              </w:rPr>
              <w:t>INS00000</w:t>
            </w:r>
          </w:p>
        </w:tc>
        <w:tc>
          <w:tcPr>
            <w:tcW w:w="1076" w:type="dxa"/>
            <w:tcBorders>
              <w:top w:val="single" w:sz="4" w:space="0" w:color="auto"/>
              <w:left w:val="single" w:sz="4" w:space="0" w:color="auto"/>
              <w:bottom w:val="single" w:sz="4" w:space="0" w:color="auto"/>
              <w:right w:val="single" w:sz="4" w:space="0" w:color="auto"/>
            </w:tcBorders>
          </w:tcPr>
          <w:p w14:paraId="0C91F8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115,40</w:t>
            </w:r>
          </w:p>
        </w:tc>
        <w:tc>
          <w:tcPr>
            <w:tcW w:w="970" w:type="dxa"/>
            <w:tcBorders>
              <w:top w:val="single" w:sz="4" w:space="0" w:color="auto"/>
              <w:left w:val="single" w:sz="4" w:space="0" w:color="auto"/>
              <w:bottom w:val="single" w:sz="4" w:space="0" w:color="auto"/>
              <w:right w:val="single" w:sz="4" w:space="0" w:color="auto"/>
            </w:tcBorders>
          </w:tcPr>
          <w:p w14:paraId="56EBCF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117,60</w:t>
            </w:r>
          </w:p>
        </w:tc>
        <w:tc>
          <w:tcPr>
            <w:tcW w:w="907" w:type="dxa"/>
            <w:tcBorders>
              <w:top w:val="single" w:sz="4" w:space="0" w:color="auto"/>
              <w:left w:val="single" w:sz="4" w:space="0" w:color="auto"/>
              <w:bottom w:val="single" w:sz="4" w:space="0" w:color="auto"/>
              <w:right w:val="single" w:sz="4" w:space="0" w:color="auto"/>
            </w:tcBorders>
          </w:tcPr>
          <w:p w14:paraId="2F8B62E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5D710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C646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98D78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5D21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6D94D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−38,6</w:t>
            </w:r>
          </w:p>
        </w:tc>
        <w:tc>
          <w:tcPr>
            <w:tcW w:w="907" w:type="dxa"/>
            <w:tcBorders>
              <w:top w:val="single" w:sz="4" w:space="0" w:color="auto"/>
              <w:left w:val="single" w:sz="4" w:space="0" w:color="auto"/>
              <w:bottom w:val="single" w:sz="4" w:space="0" w:color="auto"/>
              <w:right w:val="single" w:sz="4" w:space="0" w:color="auto"/>
            </w:tcBorders>
          </w:tcPr>
          <w:p w14:paraId="3985232A" w14:textId="77777777" w:rsidR="00B82F75" w:rsidRPr="00F52C10" w:rsidRDefault="00B82F75" w:rsidP="00E4628E">
            <w:pPr>
              <w:pStyle w:val="Tabletext0"/>
              <w:spacing w:before="34" w:after="34" w:line="276" w:lineRule="auto"/>
              <w:rPr>
                <w:sz w:val="18"/>
                <w:szCs w:val="18"/>
                <w:lang w:val="en-CA"/>
              </w:rPr>
            </w:pPr>
          </w:p>
        </w:tc>
      </w:tr>
      <w:tr w:rsidR="00B82F75" w:rsidRPr="00F52C10" w14:paraId="1811E81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616E877" w14:textId="77777777" w:rsidR="00B82F75" w:rsidRPr="00F52C10" w:rsidRDefault="00B82F75" w:rsidP="00E4628E">
            <w:pPr>
              <w:pStyle w:val="Tabletext0"/>
              <w:spacing w:before="34" w:after="34" w:line="276" w:lineRule="auto"/>
              <w:rPr>
                <w:sz w:val="18"/>
                <w:szCs w:val="18"/>
              </w:rPr>
            </w:pPr>
            <w:r w:rsidRPr="00F52C10">
              <w:rPr>
                <w:sz w:val="18"/>
                <w:szCs w:val="18"/>
              </w:rPr>
              <w:t>IRL00000</w:t>
            </w:r>
          </w:p>
        </w:tc>
        <w:tc>
          <w:tcPr>
            <w:tcW w:w="1076" w:type="dxa"/>
            <w:tcBorders>
              <w:top w:val="single" w:sz="4" w:space="0" w:color="auto"/>
              <w:left w:val="single" w:sz="4" w:space="0" w:color="auto"/>
              <w:bottom w:val="single" w:sz="4" w:space="0" w:color="auto"/>
              <w:right w:val="single" w:sz="4" w:space="0" w:color="auto"/>
            </w:tcBorders>
          </w:tcPr>
          <w:p w14:paraId="47E102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−21,80</w:t>
            </w:r>
          </w:p>
        </w:tc>
        <w:tc>
          <w:tcPr>
            <w:tcW w:w="970" w:type="dxa"/>
            <w:tcBorders>
              <w:top w:val="single" w:sz="4" w:space="0" w:color="auto"/>
              <w:left w:val="single" w:sz="4" w:space="0" w:color="auto"/>
              <w:bottom w:val="single" w:sz="4" w:space="0" w:color="auto"/>
              <w:right w:val="single" w:sz="4" w:space="0" w:color="auto"/>
            </w:tcBorders>
          </w:tcPr>
          <w:p w14:paraId="1E282B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−8,20</w:t>
            </w:r>
          </w:p>
        </w:tc>
        <w:tc>
          <w:tcPr>
            <w:tcW w:w="907" w:type="dxa"/>
            <w:tcBorders>
              <w:top w:val="single" w:sz="4" w:space="0" w:color="auto"/>
              <w:left w:val="single" w:sz="4" w:space="0" w:color="auto"/>
              <w:bottom w:val="single" w:sz="4" w:space="0" w:color="auto"/>
              <w:right w:val="single" w:sz="4" w:space="0" w:color="auto"/>
            </w:tcBorders>
          </w:tcPr>
          <w:p w14:paraId="061BB3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BDBD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D2622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05A2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238C0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63816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−41,1</w:t>
            </w:r>
          </w:p>
        </w:tc>
        <w:tc>
          <w:tcPr>
            <w:tcW w:w="907" w:type="dxa"/>
            <w:tcBorders>
              <w:top w:val="single" w:sz="4" w:space="0" w:color="auto"/>
              <w:left w:val="single" w:sz="4" w:space="0" w:color="auto"/>
              <w:bottom w:val="single" w:sz="4" w:space="0" w:color="auto"/>
              <w:right w:val="single" w:sz="4" w:space="0" w:color="auto"/>
            </w:tcBorders>
          </w:tcPr>
          <w:p w14:paraId="00B41839" w14:textId="77777777" w:rsidR="00B82F75" w:rsidRPr="00F52C10" w:rsidRDefault="00B82F75" w:rsidP="00E4628E">
            <w:pPr>
              <w:pStyle w:val="Tabletext0"/>
              <w:spacing w:before="34" w:after="34" w:line="276" w:lineRule="auto"/>
              <w:rPr>
                <w:sz w:val="18"/>
                <w:szCs w:val="18"/>
                <w:lang w:val="en-CA"/>
              </w:rPr>
            </w:pPr>
          </w:p>
        </w:tc>
      </w:tr>
      <w:tr w:rsidR="00B82F75" w:rsidRPr="00F52C10" w14:paraId="69AADFF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201D311" w14:textId="77777777" w:rsidR="00B82F75" w:rsidRPr="00F52C10" w:rsidRDefault="00B82F75" w:rsidP="00E4628E">
            <w:pPr>
              <w:pStyle w:val="Tabletext0"/>
              <w:spacing w:before="34" w:after="34" w:line="276" w:lineRule="auto"/>
              <w:rPr>
                <w:sz w:val="18"/>
                <w:szCs w:val="18"/>
              </w:rPr>
            </w:pPr>
            <w:r w:rsidRPr="00F52C10">
              <w:rPr>
                <w:sz w:val="18"/>
                <w:szCs w:val="18"/>
              </w:rPr>
              <w:t>IRN00000</w:t>
            </w:r>
          </w:p>
        </w:tc>
        <w:tc>
          <w:tcPr>
            <w:tcW w:w="1076" w:type="dxa"/>
            <w:tcBorders>
              <w:top w:val="single" w:sz="4" w:space="0" w:color="auto"/>
              <w:left w:val="single" w:sz="4" w:space="0" w:color="auto"/>
              <w:bottom w:val="single" w:sz="4" w:space="0" w:color="auto"/>
              <w:right w:val="single" w:sz="4" w:space="0" w:color="auto"/>
            </w:tcBorders>
          </w:tcPr>
          <w:p w14:paraId="1B0AD2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24,19</w:t>
            </w:r>
          </w:p>
        </w:tc>
        <w:tc>
          <w:tcPr>
            <w:tcW w:w="970" w:type="dxa"/>
            <w:tcBorders>
              <w:top w:val="single" w:sz="4" w:space="0" w:color="auto"/>
              <w:left w:val="single" w:sz="4" w:space="0" w:color="auto"/>
              <w:bottom w:val="single" w:sz="4" w:space="0" w:color="auto"/>
              <w:right w:val="single" w:sz="4" w:space="0" w:color="auto"/>
            </w:tcBorders>
          </w:tcPr>
          <w:p w14:paraId="094718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54,30</w:t>
            </w:r>
          </w:p>
        </w:tc>
        <w:tc>
          <w:tcPr>
            <w:tcW w:w="907" w:type="dxa"/>
            <w:tcBorders>
              <w:top w:val="single" w:sz="4" w:space="0" w:color="auto"/>
              <w:left w:val="single" w:sz="4" w:space="0" w:color="auto"/>
              <w:bottom w:val="single" w:sz="4" w:space="0" w:color="auto"/>
              <w:right w:val="single" w:sz="4" w:space="0" w:color="auto"/>
            </w:tcBorders>
          </w:tcPr>
          <w:p w14:paraId="07859F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54CF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AA45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B342F1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143,00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FFFC0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7424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907" w:type="dxa"/>
            <w:tcBorders>
              <w:top w:val="single" w:sz="4" w:space="0" w:color="auto"/>
              <w:left w:val="single" w:sz="4" w:space="0" w:color="auto"/>
              <w:bottom w:val="single" w:sz="4" w:space="0" w:color="auto"/>
              <w:right w:val="single" w:sz="4" w:space="0" w:color="auto"/>
            </w:tcBorders>
          </w:tcPr>
          <w:p w14:paraId="309BF24A" w14:textId="77777777" w:rsidR="00B82F75" w:rsidRPr="00F52C10" w:rsidRDefault="00B82F75" w:rsidP="00E4628E">
            <w:pPr>
              <w:pStyle w:val="Tabletext0"/>
              <w:spacing w:before="34" w:after="34" w:line="276" w:lineRule="auto"/>
              <w:rPr>
                <w:sz w:val="18"/>
                <w:szCs w:val="18"/>
                <w:lang w:val="en-CA"/>
              </w:rPr>
            </w:pPr>
          </w:p>
        </w:tc>
      </w:tr>
      <w:tr w:rsidR="00B82F75" w:rsidRPr="00F52C10" w14:paraId="74F4574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B5EF3D3" w14:textId="77777777" w:rsidR="00B82F75" w:rsidRPr="00F52C10" w:rsidRDefault="00B82F75" w:rsidP="00E4628E">
            <w:pPr>
              <w:pStyle w:val="Tabletext0"/>
              <w:spacing w:before="34" w:after="34" w:line="276" w:lineRule="auto"/>
              <w:rPr>
                <w:sz w:val="18"/>
                <w:szCs w:val="18"/>
              </w:rPr>
            </w:pPr>
            <w:r w:rsidRPr="00F52C10">
              <w:rPr>
                <w:sz w:val="18"/>
                <w:szCs w:val="18"/>
              </w:rPr>
              <w:t>IRQ00000</w:t>
            </w:r>
          </w:p>
        </w:tc>
        <w:tc>
          <w:tcPr>
            <w:tcW w:w="1076" w:type="dxa"/>
            <w:tcBorders>
              <w:top w:val="single" w:sz="4" w:space="0" w:color="auto"/>
              <w:left w:val="single" w:sz="4" w:space="0" w:color="auto"/>
              <w:bottom w:val="single" w:sz="4" w:space="0" w:color="auto"/>
              <w:right w:val="single" w:sz="4" w:space="0" w:color="auto"/>
            </w:tcBorders>
          </w:tcPr>
          <w:p w14:paraId="64BCD1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65,45</w:t>
            </w:r>
          </w:p>
        </w:tc>
        <w:tc>
          <w:tcPr>
            <w:tcW w:w="970" w:type="dxa"/>
            <w:tcBorders>
              <w:top w:val="single" w:sz="4" w:space="0" w:color="auto"/>
              <w:left w:val="single" w:sz="4" w:space="0" w:color="auto"/>
              <w:bottom w:val="single" w:sz="4" w:space="0" w:color="auto"/>
              <w:right w:val="single" w:sz="4" w:space="0" w:color="auto"/>
            </w:tcBorders>
          </w:tcPr>
          <w:p w14:paraId="3ABCF7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44,30</w:t>
            </w:r>
          </w:p>
        </w:tc>
        <w:tc>
          <w:tcPr>
            <w:tcW w:w="907" w:type="dxa"/>
            <w:tcBorders>
              <w:top w:val="single" w:sz="4" w:space="0" w:color="auto"/>
              <w:left w:val="single" w:sz="4" w:space="0" w:color="auto"/>
              <w:bottom w:val="single" w:sz="4" w:space="0" w:color="auto"/>
              <w:right w:val="single" w:sz="4" w:space="0" w:color="auto"/>
            </w:tcBorders>
          </w:tcPr>
          <w:p w14:paraId="7E6C32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DC99B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023F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23C7E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C240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835E24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−39,4</w:t>
            </w:r>
          </w:p>
        </w:tc>
        <w:tc>
          <w:tcPr>
            <w:tcW w:w="907" w:type="dxa"/>
            <w:tcBorders>
              <w:top w:val="single" w:sz="4" w:space="0" w:color="auto"/>
              <w:left w:val="single" w:sz="4" w:space="0" w:color="auto"/>
              <w:bottom w:val="single" w:sz="4" w:space="0" w:color="auto"/>
              <w:right w:val="single" w:sz="4" w:space="0" w:color="auto"/>
            </w:tcBorders>
          </w:tcPr>
          <w:p w14:paraId="3636F225" w14:textId="77777777" w:rsidR="00B82F75" w:rsidRPr="00F52C10" w:rsidRDefault="00B82F75" w:rsidP="00E4628E">
            <w:pPr>
              <w:pStyle w:val="Tabletext0"/>
              <w:spacing w:before="34" w:after="34" w:line="276" w:lineRule="auto"/>
              <w:rPr>
                <w:sz w:val="18"/>
                <w:szCs w:val="18"/>
                <w:lang w:val="en-CA"/>
              </w:rPr>
            </w:pPr>
          </w:p>
        </w:tc>
      </w:tr>
      <w:tr w:rsidR="00B82F75" w:rsidRPr="00F52C10" w14:paraId="0EE081B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CC5E0FD" w14:textId="77777777" w:rsidR="00B82F75" w:rsidRPr="00F52C10" w:rsidRDefault="00B82F75" w:rsidP="00E4628E">
            <w:pPr>
              <w:pStyle w:val="Tabletext0"/>
              <w:spacing w:before="34" w:after="34" w:line="276" w:lineRule="auto"/>
              <w:rPr>
                <w:sz w:val="18"/>
                <w:szCs w:val="18"/>
              </w:rPr>
            </w:pPr>
            <w:r w:rsidRPr="00F52C10">
              <w:rPr>
                <w:sz w:val="18"/>
                <w:szCs w:val="18"/>
              </w:rPr>
              <w:t>ISL00000</w:t>
            </w:r>
          </w:p>
        </w:tc>
        <w:tc>
          <w:tcPr>
            <w:tcW w:w="1076" w:type="dxa"/>
            <w:tcBorders>
              <w:top w:val="single" w:sz="4" w:space="0" w:color="auto"/>
              <w:left w:val="single" w:sz="4" w:space="0" w:color="auto"/>
              <w:bottom w:val="single" w:sz="4" w:space="0" w:color="auto"/>
              <w:right w:val="single" w:sz="4" w:space="0" w:color="auto"/>
            </w:tcBorders>
          </w:tcPr>
          <w:p w14:paraId="2E5536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−35,20</w:t>
            </w:r>
          </w:p>
        </w:tc>
        <w:tc>
          <w:tcPr>
            <w:tcW w:w="970" w:type="dxa"/>
            <w:tcBorders>
              <w:top w:val="single" w:sz="4" w:space="0" w:color="auto"/>
              <w:left w:val="single" w:sz="4" w:space="0" w:color="auto"/>
              <w:bottom w:val="single" w:sz="4" w:space="0" w:color="auto"/>
              <w:right w:val="single" w:sz="4" w:space="0" w:color="auto"/>
            </w:tcBorders>
          </w:tcPr>
          <w:p w14:paraId="16236D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−18,20</w:t>
            </w:r>
          </w:p>
        </w:tc>
        <w:tc>
          <w:tcPr>
            <w:tcW w:w="907" w:type="dxa"/>
            <w:tcBorders>
              <w:top w:val="single" w:sz="4" w:space="0" w:color="auto"/>
              <w:left w:val="single" w:sz="4" w:space="0" w:color="auto"/>
              <w:bottom w:val="single" w:sz="4" w:space="0" w:color="auto"/>
              <w:right w:val="single" w:sz="4" w:space="0" w:color="auto"/>
            </w:tcBorders>
          </w:tcPr>
          <w:p w14:paraId="682F6E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EBC81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CE6E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A6570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0890D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C858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−40,5</w:t>
            </w:r>
          </w:p>
        </w:tc>
        <w:tc>
          <w:tcPr>
            <w:tcW w:w="907" w:type="dxa"/>
            <w:tcBorders>
              <w:top w:val="single" w:sz="4" w:space="0" w:color="auto"/>
              <w:left w:val="single" w:sz="4" w:space="0" w:color="auto"/>
              <w:bottom w:val="single" w:sz="4" w:space="0" w:color="auto"/>
              <w:right w:val="single" w:sz="4" w:space="0" w:color="auto"/>
            </w:tcBorders>
          </w:tcPr>
          <w:p w14:paraId="44F89107" w14:textId="77777777" w:rsidR="00B82F75" w:rsidRPr="00F52C10" w:rsidRDefault="00B82F75" w:rsidP="00E4628E">
            <w:pPr>
              <w:pStyle w:val="Tabletext0"/>
              <w:spacing w:before="34" w:after="34" w:line="276" w:lineRule="auto"/>
              <w:rPr>
                <w:sz w:val="18"/>
                <w:szCs w:val="18"/>
                <w:lang w:val="en-CA"/>
              </w:rPr>
            </w:pPr>
          </w:p>
        </w:tc>
      </w:tr>
      <w:tr w:rsidR="00B82F75" w:rsidRPr="00F52C10" w14:paraId="31920F7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5DC86CB" w14:textId="77777777" w:rsidR="00B82F75" w:rsidRPr="00F52C10" w:rsidRDefault="00B82F75" w:rsidP="00E4628E">
            <w:pPr>
              <w:pStyle w:val="Tabletext0"/>
              <w:spacing w:before="34" w:after="34" w:line="276" w:lineRule="auto"/>
              <w:rPr>
                <w:sz w:val="18"/>
                <w:szCs w:val="18"/>
              </w:rPr>
            </w:pPr>
            <w:r w:rsidRPr="00F52C10">
              <w:rPr>
                <w:sz w:val="18"/>
                <w:szCs w:val="18"/>
              </w:rPr>
              <w:t>ISR00000</w:t>
            </w:r>
          </w:p>
        </w:tc>
        <w:tc>
          <w:tcPr>
            <w:tcW w:w="1076" w:type="dxa"/>
            <w:tcBorders>
              <w:top w:val="single" w:sz="4" w:space="0" w:color="auto"/>
              <w:left w:val="single" w:sz="4" w:space="0" w:color="auto"/>
              <w:bottom w:val="single" w:sz="4" w:space="0" w:color="auto"/>
              <w:right w:val="single" w:sz="4" w:space="0" w:color="auto"/>
            </w:tcBorders>
          </w:tcPr>
          <w:p w14:paraId="082C00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70" w:type="dxa"/>
            <w:tcBorders>
              <w:top w:val="single" w:sz="4" w:space="0" w:color="auto"/>
              <w:left w:val="single" w:sz="4" w:space="0" w:color="auto"/>
              <w:bottom w:val="single" w:sz="4" w:space="0" w:color="auto"/>
              <w:right w:val="single" w:sz="4" w:space="0" w:color="auto"/>
            </w:tcBorders>
          </w:tcPr>
          <w:p w14:paraId="1B20BCAA"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51F2849F"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D6B0CF"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49E85D"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0641899"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B104CC4"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B5DFB54"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0F7FB6BC" w14:textId="77777777" w:rsidR="00B82F75" w:rsidRPr="00F52C10" w:rsidRDefault="00B82F75" w:rsidP="00E4628E">
            <w:pPr>
              <w:pStyle w:val="Tabletext0"/>
              <w:spacing w:before="34" w:after="34" w:line="276" w:lineRule="auto"/>
              <w:rPr>
                <w:sz w:val="18"/>
                <w:szCs w:val="18"/>
              </w:rPr>
            </w:pPr>
            <w:r w:rsidRPr="00F52C10">
              <w:rPr>
                <w:sz w:val="18"/>
                <w:szCs w:val="18"/>
              </w:rPr>
              <w:t>1</w:t>
            </w:r>
          </w:p>
        </w:tc>
      </w:tr>
      <w:tr w:rsidR="00B82F75" w:rsidRPr="00F52C10" w14:paraId="5A1F811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B67C815" w14:textId="77777777" w:rsidR="00B82F75" w:rsidRPr="00F52C10" w:rsidRDefault="00B82F75" w:rsidP="00E4628E">
            <w:pPr>
              <w:pStyle w:val="Tabletext0"/>
              <w:spacing w:before="34" w:after="34" w:line="276" w:lineRule="auto"/>
              <w:rPr>
                <w:sz w:val="18"/>
                <w:szCs w:val="18"/>
              </w:rPr>
            </w:pPr>
            <w:r w:rsidRPr="00F52C10">
              <w:rPr>
                <w:sz w:val="18"/>
                <w:szCs w:val="18"/>
              </w:rPr>
              <w:t>J  00000</w:t>
            </w:r>
          </w:p>
        </w:tc>
        <w:tc>
          <w:tcPr>
            <w:tcW w:w="1076" w:type="dxa"/>
            <w:tcBorders>
              <w:top w:val="single" w:sz="4" w:space="0" w:color="auto"/>
              <w:left w:val="single" w:sz="4" w:space="0" w:color="auto"/>
              <w:bottom w:val="single" w:sz="4" w:space="0" w:color="auto"/>
              <w:right w:val="single" w:sz="4" w:space="0" w:color="auto"/>
            </w:tcBorders>
          </w:tcPr>
          <w:p w14:paraId="677399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152,50</w:t>
            </w:r>
          </w:p>
        </w:tc>
        <w:tc>
          <w:tcPr>
            <w:tcW w:w="970" w:type="dxa"/>
            <w:tcBorders>
              <w:top w:val="single" w:sz="4" w:space="0" w:color="auto"/>
              <w:left w:val="single" w:sz="4" w:space="0" w:color="auto"/>
              <w:bottom w:val="single" w:sz="4" w:space="0" w:color="auto"/>
              <w:right w:val="single" w:sz="4" w:space="0" w:color="auto"/>
            </w:tcBorders>
          </w:tcPr>
          <w:p w14:paraId="58D5D0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140,40</w:t>
            </w:r>
          </w:p>
        </w:tc>
        <w:tc>
          <w:tcPr>
            <w:tcW w:w="907" w:type="dxa"/>
            <w:tcBorders>
              <w:top w:val="single" w:sz="4" w:space="0" w:color="auto"/>
              <w:left w:val="single" w:sz="4" w:space="0" w:color="auto"/>
              <w:bottom w:val="single" w:sz="4" w:space="0" w:color="auto"/>
              <w:right w:val="single" w:sz="4" w:space="0" w:color="auto"/>
            </w:tcBorders>
          </w:tcPr>
          <w:p w14:paraId="1DA5B2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BAFB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44D5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AD82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27726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FDB8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−38,5</w:t>
            </w:r>
          </w:p>
        </w:tc>
        <w:tc>
          <w:tcPr>
            <w:tcW w:w="907" w:type="dxa"/>
            <w:tcBorders>
              <w:top w:val="single" w:sz="4" w:space="0" w:color="auto"/>
              <w:left w:val="single" w:sz="4" w:space="0" w:color="auto"/>
              <w:bottom w:val="single" w:sz="4" w:space="0" w:color="auto"/>
              <w:right w:val="single" w:sz="4" w:space="0" w:color="auto"/>
            </w:tcBorders>
          </w:tcPr>
          <w:p w14:paraId="2399B0C7" w14:textId="77777777" w:rsidR="00B82F75" w:rsidRPr="00F52C10" w:rsidRDefault="00B82F75" w:rsidP="00E4628E">
            <w:pPr>
              <w:pStyle w:val="Tabletext0"/>
              <w:spacing w:before="34" w:after="34" w:line="276" w:lineRule="auto"/>
              <w:rPr>
                <w:sz w:val="18"/>
                <w:szCs w:val="18"/>
                <w:lang w:val="en-CA"/>
              </w:rPr>
            </w:pPr>
          </w:p>
        </w:tc>
      </w:tr>
      <w:tr w:rsidR="00B82F75" w:rsidRPr="00F52C10" w14:paraId="023C5F0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5A7E4B7" w14:textId="77777777" w:rsidR="00B82F75" w:rsidRPr="00F52C10" w:rsidRDefault="00B82F75" w:rsidP="00E4628E">
            <w:pPr>
              <w:pStyle w:val="Tabletext0"/>
              <w:spacing w:before="34" w:after="34" w:line="276" w:lineRule="auto"/>
              <w:rPr>
                <w:sz w:val="18"/>
                <w:szCs w:val="18"/>
              </w:rPr>
            </w:pPr>
            <w:r w:rsidRPr="00F52C10">
              <w:rPr>
                <w:sz w:val="18"/>
                <w:szCs w:val="18"/>
              </w:rPr>
              <w:t>JAR00000</w:t>
            </w:r>
          </w:p>
        </w:tc>
        <w:tc>
          <w:tcPr>
            <w:tcW w:w="1076" w:type="dxa"/>
            <w:tcBorders>
              <w:top w:val="single" w:sz="4" w:space="0" w:color="auto"/>
              <w:left w:val="single" w:sz="4" w:space="0" w:color="auto"/>
              <w:bottom w:val="single" w:sz="4" w:space="0" w:color="auto"/>
              <w:right w:val="single" w:sz="4" w:space="0" w:color="auto"/>
            </w:tcBorders>
          </w:tcPr>
          <w:p w14:paraId="14FDEB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6C2EBF1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−160,00</w:t>
            </w:r>
          </w:p>
        </w:tc>
        <w:tc>
          <w:tcPr>
            <w:tcW w:w="907" w:type="dxa"/>
            <w:tcBorders>
              <w:top w:val="single" w:sz="4" w:space="0" w:color="auto"/>
              <w:left w:val="single" w:sz="4" w:space="0" w:color="auto"/>
              <w:bottom w:val="single" w:sz="4" w:space="0" w:color="auto"/>
              <w:right w:val="single" w:sz="4" w:space="0" w:color="auto"/>
            </w:tcBorders>
          </w:tcPr>
          <w:p w14:paraId="5864C0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301F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31AF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2874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913393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18618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−41,9</w:t>
            </w:r>
          </w:p>
        </w:tc>
        <w:tc>
          <w:tcPr>
            <w:tcW w:w="907" w:type="dxa"/>
            <w:tcBorders>
              <w:top w:val="single" w:sz="4" w:space="0" w:color="auto"/>
              <w:left w:val="single" w:sz="4" w:space="0" w:color="auto"/>
              <w:bottom w:val="single" w:sz="4" w:space="0" w:color="auto"/>
              <w:right w:val="single" w:sz="4" w:space="0" w:color="auto"/>
            </w:tcBorders>
          </w:tcPr>
          <w:p w14:paraId="20629D61"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3E317CF8"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116E370" w14:textId="77777777" w:rsidR="00B82F75" w:rsidRPr="00F52C10" w:rsidRDefault="00B82F75" w:rsidP="00E4628E">
            <w:pPr>
              <w:pStyle w:val="Tabletext0"/>
              <w:spacing w:before="34" w:after="34" w:line="276" w:lineRule="auto"/>
              <w:rPr>
                <w:sz w:val="18"/>
                <w:szCs w:val="18"/>
              </w:rPr>
            </w:pPr>
            <w:r w:rsidRPr="00F52C10">
              <w:rPr>
                <w:sz w:val="18"/>
                <w:szCs w:val="18"/>
              </w:rPr>
              <w:t>JMC00000</w:t>
            </w:r>
          </w:p>
        </w:tc>
        <w:tc>
          <w:tcPr>
            <w:tcW w:w="1076" w:type="dxa"/>
            <w:tcBorders>
              <w:top w:val="single" w:sz="4" w:space="0" w:color="auto"/>
              <w:left w:val="single" w:sz="4" w:space="0" w:color="auto"/>
              <w:bottom w:val="single" w:sz="4" w:space="0" w:color="auto"/>
              <w:right w:val="single" w:sz="4" w:space="0" w:color="auto"/>
            </w:tcBorders>
          </w:tcPr>
          <w:p w14:paraId="462033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−108,60</w:t>
            </w:r>
          </w:p>
        </w:tc>
        <w:tc>
          <w:tcPr>
            <w:tcW w:w="970" w:type="dxa"/>
            <w:tcBorders>
              <w:top w:val="single" w:sz="4" w:space="0" w:color="auto"/>
              <w:left w:val="single" w:sz="4" w:space="0" w:color="auto"/>
              <w:bottom w:val="single" w:sz="4" w:space="0" w:color="auto"/>
              <w:right w:val="single" w:sz="4" w:space="0" w:color="auto"/>
            </w:tcBorders>
          </w:tcPr>
          <w:p w14:paraId="5C688B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−77,60</w:t>
            </w:r>
          </w:p>
        </w:tc>
        <w:tc>
          <w:tcPr>
            <w:tcW w:w="907" w:type="dxa"/>
            <w:tcBorders>
              <w:top w:val="single" w:sz="4" w:space="0" w:color="auto"/>
              <w:left w:val="single" w:sz="4" w:space="0" w:color="auto"/>
              <w:bottom w:val="single" w:sz="4" w:space="0" w:color="auto"/>
              <w:right w:val="single" w:sz="4" w:space="0" w:color="auto"/>
            </w:tcBorders>
          </w:tcPr>
          <w:p w14:paraId="31C4AD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32363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E5769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79F4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3ADA8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246F2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−41,5</w:t>
            </w:r>
          </w:p>
        </w:tc>
        <w:tc>
          <w:tcPr>
            <w:tcW w:w="907" w:type="dxa"/>
            <w:tcBorders>
              <w:top w:val="single" w:sz="4" w:space="0" w:color="auto"/>
              <w:left w:val="single" w:sz="4" w:space="0" w:color="auto"/>
              <w:bottom w:val="single" w:sz="4" w:space="0" w:color="auto"/>
              <w:right w:val="single" w:sz="4" w:space="0" w:color="auto"/>
            </w:tcBorders>
          </w:tcPr>
          <w:p w14:paraId="78C87B5C" w14:textId="77777777" w:rsidR="00B82F75" w:rsidRPr="00F52C10" w:rsidRDefault="00B82F75" w:rsidP="00E4628E">
            <w:pPr>
              <w:pStyle w:val="Tabletext0"/>
              <w:spacing w:before="34" w:after="34" w:line="276" w:lineRule="auto"/>
              <w:rPr>
                <w:sz w:val="18"/>
                <w:szCs w:val="18"/>
                <w:lang w:val="en-CA"/>
              </w:rPr>
            </w:pPr>
          </w:p>
        </w:tc>
      </w:tr>
      <w:tr w:rsidR="00B82F75" w:rsidRPr="00F52C10" w14:paraId="61B167E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B941C60" w14:textId="77777777" w:rsidR="00B82F75" w:rsidRPr="00F52C10" w:rsidRDefault="00B82F75" w:rsidP="00E4628E">
            <w:pPr>
              <w:pStyle w:val="Tabletext0"/>
              <w:spacing w:before="34" w:after="34" w:line="276" w:lineRule="auto"/>
              <w:rPr>
                <w:sz w:val="18"/>
                <w:szCs w:val="18"/>
              </w:rPr>
            </w:pPr>
            <w:r w:rsidRPr="00F52C10">
              <w:rPr>
                <w:sz w:val="18"/>
                <w:szCs w:val="18"/>
              </w:rPr>
              <w:t>JON00000</w:t>
            </w:r>
          </w:p>
        </w:tc>
        <w:tc>
          <w:tcPr>
            <w:tcW w:w="1076" w:type="dxa"/>
            <w:tcBorders>
              <w:top w:val="single" w:sz="4" w:space="0" w:color="auto"/>
              <w:left w:val="single" w:sz="4" w:space="0" w:color="auto"/>
              <w:bottom w:val="single" w:sz="4" w:space="0" w:color="auto"/>
              <w:right w:val="single" w:sz="4" w:space="0" w:color="auto"/>
            </w:tcBorders>
          </w:tcPr>
          <w:p w14:paraId="4C1140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4CD22C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−168,50</w:t>
            </w:r>
          </w:p>
        </w:tc>
        <w:tc>
          <w:tcPr>
            <w:tcW w:w="907" w:type="dxa"/>
            <w:tcBorders>
              <w:top w:val="single" w:sz="4" w:space="0" w:color="auto"/>
              <w:left w:val="single" w:sz="4" w:space="0" w:color="auto"/>
              <w:bottom w:val="single" w:sz="4" w:space="0" w:color="auto"/>
              <w:right w:val="single" w:sz="4" w:space="0" w:color="auto"/>
            </w:tcBorders>
          </w:tcPr>
          <w:p w14:paraId="35FD44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4A21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6E39B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4DA60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8AA5E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EE74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−42,2</w:t>
            </w:r>
          </w:p>
        </w:tc>
        <w:tc>
          <w:tcPr>
            <w:tcW w:w="907" w:type="dxa"/>
            <w:tcBorders>
              <w:top w:val="single" w:sz="4" w:space="0" w:color="auto"/>
              <w:left w:val="single" w:sz="4" w:space="0" w:color="auto"/>
              <w:bottom w:val="single" w:sz="4" w:space="0" w:color="auto"/>
              <w:right w:val="single" w:sz="4" w:space="0" w:color="auto"/>
            </w:tcBorders>
          </w:tcPr>
          <w:p w14:paraId="58EB9B4B"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09CF08D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DEB288F" w14:textId="77777777" w:rsidR="00B82F75" w:rsidRPr="00F52C10" w:rsidRDefault="00B82F75" w:rsidP="00E4628E">
            <w:pPr>
              <w:pStyle w:val="Tabletext0"/>
              <w:spacing w:before="34" w:after="34" w:line="276" w:lineRule="auto"/>
              <w:rPr>
                <w:sz w:val="18"/>
                <w:szCs w:val="18"/>
              </w:rPr>
            </w:pPr>
            <w:r w:rsidRPr="00F52C10">
              <w:rPr>
                <w:sz w:val="18"/>
                <w:szCs w:val="18"/>
              </w:rPr>
              <w:t>JOR00000</w:t>
            </w:r>
          </w:p>
        </w:tc>
        <w:tc>
          <w:tcPr>
            <w:tcW w:w="1076" w:type="dxa"/>
            <w:tcBorders>
              <w:top w:val="single" w:sz="4" w:space="0" w:color="auto"/>
              <w:left w:val="single" w:sz="4" w:space="0" w:color="auto"/>
              <w:bottom w:val="single" w:sz="4" w:space="0" w:color="auto"/>
              <w:right w:val="single" w:sz="4" w:space="0" w:color="auto"/>
            </w:tcBorders>
          </w:tcPr>
          <w:p w14:paraId="717FDF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81,76</w:t>
            </w:r>
          </w:p>
        </w:tc>
        <w:tc>
          <w:tcPr>
            <w:tcW w:w="970" w:type="dxa"/>
            <w:tcBorders>
              <w:top w:val="single" w:sz="4" w:space="0" w:color="auto"/>
              <w:left w:val="single" w:sz="4" w:space="0" w:color="auto"/>
              <w:bottom w:val="single" w:sz="4" w:space="0" w:color="auto"/>
              <w:right w:val="single" w:sz="4" w:space="0" w:color="auto"/>
            </w:tcBorders>
          </w:tcPr>
          <w:p w14:paraId="51AEEE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36,70</w:t>
            </w:r>
          </w:p>
        </w:tc>
        <w:tc>
          <w:tcPr>
            <w:tcW w:w="907" w:type="dxa"/>
            <w:tcBorders>
              <w:top w:val="single" w:sz="4" w:space="0" w:color="auto"/>
              <w:left w:val="single" w:sz="4" w:space="0" w:color="auto"/>
              <w:bottom w:val="single" w:sz="4" w:space="0" w:color="auto"/>
              <w:right w:val="single" w:sz="4" w:space="0" w:color="auto"/>
            </w:tcBorders>
          </w:tcPr>
          <w:p w14:paraId="3F1291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6632EE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60A9E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63B4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212D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FE26B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−40,9</w:t>
            </w:r>
          </w:p>
        </w:tc>
        <w:tc>
          <w:tcPr>
            <w:tcW w:w="907" w:type="dxa"/>
            <w:tcBorders>
              <w:top w:val="single" w:sz="4" w:space="0" w:color="auto"/>
              <w:left w:val="single" w:sz="4" w:space="0" w:color="auto"/>
              <w:bottom w:val="single" w:sz="4" w:space="0" w:color="auto"/>
              <w:right w:val="single" w:sz="4" w:space="0" w:color="auto"/>
            </w:tcBorders>
          </w:tcPr>
          <w:p w14:paraId="1C51D116" w14:textId="77777777" w:rsidR="00B82F75" w:rsidRPr="00F52C10" w:rsidRDefault="00B82F75" w:rsidP="00E4628E">
            <w:pPr>
              <w:pStyle w:val="Tabletext0"/>
              <w:spacing w:before="34" w:after="34" w:line="276" w:lineRule="auto"/>
              <w:rPr>
                <w:sz w:val="18"/>
                <w:szCs w:val="18"/>
                <w:lang w:val="en-CA"/>
              </w:rPr>
            </w:pPr>
          </w:p>
        </w:tc>
      </w:tr>
      <w:tr w:rsidR="00B82F75" w:rsidRPr="00F52C10" w14:paraId="11F09BE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vAlign w:val="bottom"/>
          </w:tcPr>
          <w:p w14:paraId="6693F84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KAZ00000</w:t>
            </w:r>
          </w:p>
        </w:tc>
        <w:tc>
          <w:tcPr>
            <w:tcW w:w="1076" w:type="dxa"/>
            <w:tcBorders>
              <w:top w:val="single" w:sz="4" w:space="0" w:color="auto"/>
              <w:left w:val="single" w:sz="4" w:space="0" w:color="auto"/>
              <w:bottom w:val="single" w:sz="4" w:space="0" w:color="auto"/>
              <w:right w:val="single" w:sz="4" w:space="0" w:color="auto"/>
            </w:tcBorders>
            <w:vAlign w:val="bottom"/>
          </w:tcPr>
          <w:p w14:paraId="55A793A7"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58,50</w:t>
            </w:r>
          </w:p>
        </w:tc>
        <w:tc>
          <w:tcPr>
            <w:tcW w:w="970" w:type="dxa"/>
            <w:tcBorders>
              <w:top w:val="single" w:sz="4" w:space="0" w:color="auto"/>
              <w:left w:val="single" w:sz="4" w:space="0" w:color="auto"/>
              <w:bottom w:val="single" w:sz="4" w:space="0" w:color="auto"/>
              <w:right w:val="single" w:sz="4" w:space="0" w:color="auto"/>
            </w:tcBorders>
            <w:vAlign w:val="bottom"/>
          </w:tcPr>
          <w:p w14:paraId="18D856CC"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66,36</w:t>
            </w:r>
          </w:p>
        </w:tc>
        <w:tc>
          <w:tcPr>
            <w:tcW w:w="907" w:type="dxa"/>
            <w:tcBorders>
              <w:top w:val="single" w:sz="4" w:space="0" w:color="auto"/>
              <w:left w:val="single" w:sz="4" w:space="0" w:color="auto"/>
              <w:bottom w:val="single" w:sz="4" w:space="0" w:color="auto"/>
              <w:right w:val="single" w:sz="4" w:space="0" w:color="auto"/>
            </w:tcBorders>
            <w:vAlign w:val="bottom"/>
          </w:tcPr>
          <w:p w14:paraId="3E867D84"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46,72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488A0DA4"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733A1A80"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1,69</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17179D1C"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176,88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7FF2F157"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2621A353"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−41,0</w:t>
            </w:r>
          </w:p>
        </w:tc>
        <w:tc>
          <w:tcPr>
            <w:tcW w:w="907" w:type="dxa"/>
            <w:tcBorders>
              <w:top w:val="single" w:sz="4" w:space="0" w:color="auto"/>
              <w:left w:val="single" w:sz="4" w:space="0" w:color="auto"/>
              <w:bottom w:val="single" w:sz="4" w:space="0" w:color="auto"/>
              <w:right w:val="single" w:sz="4" w:space="0" w:color="auto"/>
            </w:tcBorders>
            <w:vAlign w:val="bottom"/>
          </w:tcPr>
          <w:p w14:paraId="73835F6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391EC30E"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6990B6F" w14:textId="77777777" w:rsidR="00B82F75" w:rsidRPr="00F52C10" w:rsidRDefault="00B82F75" w:rsidP="00E4628E">
            <w:pPr>
              <w:pStyle w:val="Tabletext0"/>
              <w:spacing w:before="34" w:after="34" w:line="276" w:lineRule="auto"/>
              <w:rPr>
                <w:sz w:val="18"/>
                <w:szCs w:val="18"/>
              </w:rPr>
            </w:pPr>
            <w:r w:rsidRPr="00F52C10">
              <w:rPr>
                <w:sz w:val="18"/>
                <w:szCs w:val="18"/>
              </w:rPr>
              <w:t>KEN00000</w:t>
            </w:r>
          </w:p>
        </w:tc>
        <w:tc>
          <w:tcPr>
            <w:tcW w:w="1076" w:type="dxa"/>
            <w:tcBorders>
              <w:top w:val="single" w:sz="4" w:space="0" w:color="auto"/>
              <w:left w:val="single" w:sz="4" w:space="0" w:color="auto"/>
              <w:bottom w:val="single" w:sz="4" w:space="0" w:color="auto"/>
              <w:right w:val="single" w:sz="4" w:space="0" w:color="auto"/>
            </w:tcBorders>
          </w:tcPr>
          <w:p w14:paraId="485895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78,20</w:t>
            </w:r>
          </w:p>
        </w:tc>
        <w:tc>
          <w:tcPr>
            <w:tcW w:w="970" w:type="dxa"/>
            <w:tcBorders>
              <w:top w:val="single" w:sz="4" w:space="0" w:color="auto"/>
              <w:left w:val="single" w:sz="4" w:space="0" w:color="auto"/>
              <w:bottom w:val="single" w:sz="4" w:space="0" w:color="auto"/>
              <w:right w:val="single" w:sz="4" w:space="0" w:color="auto"/>
            </w:tcBorders>
          </w:tcPr>
          <w:p w14:paraId="096ABE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38,40</w:t>
            </w:r>
          </w:p>
        </w:tc>
        <w:tc>
          <w:tcPr>
            <w:tcW w:w="907" w:type="dxa"/>
            <w:tcBorders>
              <w:top w:val="single" w:sz="4" w:space="0" w:color="auto"/>
              <w:left w:val="single" w:sz="4" w:space="0" w:color="auto"/>
              <w:bottom w:val="single" w:sz="4" w:space="0" w:color="auto"/>
              <w:right w:val="single" w:sz="4" w:space="0" w:color="auto"/>
            </w:tcBorders>
          </w:tcPr>
          <w:p w14:paraId="5F1C72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606A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E60C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7A8F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CEA5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B255D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−39,3</w:t>
            </w:r>
          </w:p>
        </w:tc>
        <w:tc>
          <w:tcPr>
            <w:tcW w:w="907" w:type="dxa"/>
            <w:tcBorders>
              <w:top w:val="single" w:sz="4" w:space="0" w:color="auto"/>
              <w:left w:val="single" w:sz="4" w:space="0" w:color="auto"/>
              <w:bottom w:val="single" w:sz="4" w:space="0" w:color="auto"/>
              <w:right w:val="single" w:sz="4" w:space="0" w:color="auto"/>
            </w:tcBorders>
          </w:tcPr>
          <w:p w14:paraId="6494BCE0" w14:textId="77777777" w:rsidR="00B82F75" w:rsidRPr="00F52C10" w:rsidRDefault="00B82F75" w:rsidP="00E4628E">
            <w:pPr>
              <w:pStyle w:val="Tabletext0"/>
              <w:spacing w:before="34" w:after="34" w:line="276" w:lineRule="auto"/>
              <w:rPr>
                <w:sz w:val="18"/>
                <w:szCs w:val="18"/>
                <w:lang w:val="en-CA"/>
              </w:rPr>
            </w:pPr>
          </w:p>
        </w:tc>
      </w:tr>
      <w:tr w:rsidR="00B82F75" w:rsidRPr="00F52C10" w14:paraId="546E692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C2DB637" w14:textId="77777777" w:rsidR="00B82F75" w:rsidRPr="00F52C10" w:rsidRDefault="00B82F75" w:rsidP="00E4628E">
            <w:pPr>
              <w:pStyle w:val="Tabletext0"/>
              <w:spacing w:before="34" w:after="34" w:line="276" w:lineRule="auto"/>
              <w:rPr>
                <w:sz w:val="18"/>
                <w:szCs w:val="18"/>
              </w:rPr>
            </w:pPr>
            <w:r w:rsidRPr="00F52C10">
              <w:rPr>
                <w:sz w:val="18"/>
                <w:szCs w:val="18"/>
              </w:rPr>
              <w:t>KER00000</w:t>
            </w:r>
          </w:p>
        </w:tc>
        <w:tc>
          <w:tcPr>
            <w:tcW w:w="1076" w:type="dxa"/>
            <w:tcBorders>
              <w:top w:val="single" w:sz="4" w:space="0" w:color="auto"/>
              <w:left w:val="single" w:sz="4" w:space="0" w:color="auto"/>
              <w:bottom w:val="single" w:sz="4" w:space="0" w:color="auto"/>
              <w:right w:val="single" w:sz="4" w:space="0" w:color="auto"/>
            </w:tcBorders>
          </w:tcPr>
          <w:p w14:paraId="30B45C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70" w:type="dxa"/>
            <w:tcBorders>
              <w:top w:val="single" w:sz="4" w:space="0" w:color="auto"/>
              <w:left w:val="single" w:sz="4" w:space="0" w:color="auto"/>
              <w:bottom w:val="single" w:sz="4" w:space="0" w:color="auto"/>
              <w:right w:val="single" w:sz="4" w:space="0" w:color="auto"/>
            </w:tcBorders>
          </w:tcPr>
          <w:p w14:paraId="125847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69,30</w:t>
            </w:r>
          </w:p>
        </w:tc>
        <w:tc>
          <w:tcPr>
            <w:tcW w:w="907" w:type="dxa"/>
            <w:tcBorders>
              <w:top w:val="single" w:sz="4" w:space="0" w:color="auto"/>
              <w:left w:val="single" w:sz="4" w:space="0" w:color="auto"/>
              <w:bottom w:val="single" w:sz="4" w:space="0" w:color="auto"/>
              <w:right w:val="single" w:sz="4" w:space="0" w:color="auto"/>
            </w:tcBorders>
          </w:tcPr>
          <w:p w14:paraId="5FC6CF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1DAC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5D85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CCBF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169,00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CD7CF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4065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−38,7</w:t>
            </w:r>
          </w:p>
        </w:tc>
        <w:tc>
          <w:tcPr>
            <w:tcW w:w="907" w:type="dxa"/>
            <w:tcBorders>
              <w:top w:val="single" w:sz="4" w:space="0" w:color="auto"/>
              <w:left w:val="single" w:sz="4" w:space="0" w:color="auto"/>
              <w:bottom w:val="single" w:sz="4" w:space="0" w:color="auto"/>
              <w:right w:val="single" w:sz="4" w:space="0" w:color="auto"/>
            </w:tcBorders>
          </w:tcPr>
          <w:p w14:paraId="088E415E" w14:textId="77777777" w:rsidR="00B82F75" w:rsidRPr="00F52C10" w:rsidRDefault="00B82F75" w:rsidP="00E4628E">
            <w:pPr>
              <w:pStyle w:val="Tabletext0"/>
              <w:spacing w:before="34" w:after="34" w:line="276" w:lineRule="auto"/>
              <w:rPr>
                <w:sz w:val="18"/>
                <w:szCs w:val="18"/>
              </w:rPr>
            </w:pPr>
            <w:r w:rsidRPr="00F52C10">
              <w:rPr>
                <w:sz w:val="18"/>
                <w:szCs w:val="18"/>
              </w:rPr>
              <w:t>*/MB1</w:t>
            </w:r>
          </w:p>
        </w:tc>
      </w:tr>
      <w:tr w:rsidR="00B82F75" w:rsidRPr="00F52C10" w14:paraId="163CB4E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AC59567" w14:textId="77777777" w:rsidR="00B82F75" w:rsidRPr="00F52C10" w:rsidRDefault="00B82F75" w:rsidP="00E4628E">
            <w:pPr>
              <w:pStyle w:val="Tabletext0"/>
              <w:spacing w:before="34" w:after="34" w:line="276" w:lineRule="auto"/>
              <w:rPr>
                <w:sz w:val="18"/>
                <w:szCs w:val="18"/>
              </w:rPr>
            </w:pPr>
            <w:r w:rsidRPr="00F52C10">
              <w:rPr>
                <w:sz w:val="18"/>
                <w:szCs w:val="18"/>
              </w:rPr>
              <w:t>KGZ00000</w:t>
            </w:r>
          </w:p>
        </w:tc>
        <w:tc>
          <w:tcPr>
            <w:tcW w:w="1076" w:type="dxa"/>
            <w:tcBorders>
              <w:top w:val="single" w:sz="4" w:space="0" w:color="auto"/>
              <w:left w:val="single" w:sz="4" w:space="0" w:color="auto"/>
              <w:bottom w:val="single" w:sz="4" w:space="0" w:color="auto"/>
              <w:right w:val="single" w:sz="4" w:space="0" w:color="auto"/>
            </w:tcBorders>
          </w:tcPr>
          <w:p w14:paraId="790150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64,60</w:t>
            </w:r>
          </w:p>
        </w:tc>
        <w:tc>
          <w:tcPr>
            <w:tcW w:w="970" w:type="dxa"/>
            <w:tcBorders>
              <w:top w:val="single" w:sz="4" w:space="0" w:color="auto"/>
              <w:left w:val="single" w:sz="4" w:space="0" w:color="auto"/>
              <w:bottom w:val="single" w:sz="4" w:space="0" w:color="auto"/>
              <w:right w:val="single" w:sz="4" w:space="0" w:color="auto"/>
            </w:tcBorders>
          </w:tcPr>
          <w:p w14:paraId="4284E3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74,54</w:t>
            </w:r>
          </w:p>
        </w:tc>
        <w:tc>
          <w:tcPr>
            <w:tcW w:w="907" w:type="dxa"/>
            <w:tcBorders>
              <w:top w:val="single" w:sz="4" w:space="0" w:color="auto"/>
              <w:left w:val="single" w:sz="4" w:space="0" w:color="auto"/>
              <w:bottom w:val="single" w:sz="4" w:space="0" w:color="auto"/>
              <w:right w:val="single" w:sz="4" w:space="0" w:color="auto"/>
            </w:tcBorders>
          </w:tcPr>
          <w:p w14:paraId="7F1D120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41,15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94919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46B67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5D501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D556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6BBF2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−38,8</w:t>
            </w:r>
          </w:p>
        </w:tc>
        <w:tc>
          <w:tcPr>
            <w:tcW w:w="907" w:type="dxa"/>
            <w:tcBorders>
              <w:top w:val="single" w:sz="4" w:space="0" w:color="auto"/>
              <w:left w:val="single" w:sz="4" w:space="0" w:color="auto"/>
              <w:bottom w:val="single" w:sz="4" w:space="0" w:color="auto"/>
              <w:right w:val="single" w:sz="4" w:space="0" w:color="auto"/>
            </w:tcBorders>
          </w:tcPr>
          <w:p w14:paraId="509243B7" w14:textId="77777777" w:rsidR="00B82F75" w:rsidRPr="00F52C10" w:rsidRDefault="00B82F75" w:rsidP="00E4628E">
            <w:pPr>
              <w:pStyle w:val="Tabletext0"/>
              <w:spacing w:before="34" w:after="34" w:line="276" w:lineRule="auto"/>
              <w:rPr>
                <w:sz w:val="18"/>
                <w:szCs w:val="18"/>
                <w:lang w:val="en-CA"/>
              </w:rPr>
            </w:pPr>
          </w:p>
        </w:tc>
      </w:tr>
      <w:tr w:rsidR="00B82F75" w:rsidRPr="00F52C10" w14:paraId="3FBB552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1F59BB9" w14:textId="77777777" w:rsidR="00B82F75" w:rsidRPr="00F52C10" w:rsidRDefault="00B82F75" w:rsidP="00E4628E">
            <w:pPr>
              <w:pStyle w:val="Tabletext0"/>
              <w:spacing w:before="34" w:after="34" w:line="276" w:lineRule="auto"/>
              <w:rPr>
                <w:sz w:val="18"/>
                <w:szCs w:val="18"/>
              </w:rPr>
            </w:pPr>
            <w:r w:rsidRPr="00F52C10">
              <w:rPr>
                <w:sz w:val="18"/>
                <w:szCs w:val="18"/>
              </w:rPr>
              <w:t>KIR00000</w:t>
            </w:r>
          </w:p>
        </w:tc>
        <w:tc>
          <w:tcPr>
            <w:tcW w:w="1076" w:type="dxa"/>
            <w:tcBorders>
              <w:top w:val="single" w:sz="4" w:space="0" w:color="auto"/>
              <w:left w:val="single" w:sz="4" w:space="0" w:color="auto"/>
              <w:bottom w:val="single" w:sz="4" w:space="0" w:color="auto"/>
              <w:right w:val="single" w:sz="4" w:space="0" w:color="auto"/>
            </w:tcBorders>
          </w:tcPr>
          <w:p w14:paraId="3663E7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150,00</w:t>
            </w:r>
          </w:p>
        </w:tc>
        <w:tc>
          <w:tcPr>
            <w:tcW w:w="970" w:type="dxa"/>
            <w:tcBorders>
              <w:top w:val="single" w:sz="4" w:space="0" w:color="auto"/>
              <w:left w:val="single" w:sz="4" w:space="0" w:color="auto"/>
              <w:bottom w:val="single" w:sz="4" w:space="0" w:color="auto"/>
              <w:right w:val="single" w:sz="4" w:space="0" w:color="auto"/>
            </w:tcBorders>
          </w:tcPr>
          <w:p w14:paraId="31C10E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173,00</w:t>
            </w:r>
          </w:p>
        </w:tc>
        <w:tc>
          <w:tcPr>
            <w:tcW w:w="907" w:type="dxa"/>
            <w:tcBorders>
              <w:top w:val="single" w:sz="4" w:space="0" w:color="auto"/>
              <w:left w:val="single" w:sz="4" w:space="0" w:color="auto"/>
              <w:bottom w:val="single" w:sz="4" w:space="0" w:color="auto"/>
              <w:right w:val="single" w:sz="4" w:space="0" w:color="auto"/>
            </w:tcBorders>
          </w:tcPr>
          <w:p w14:paraId="5645BDE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9225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DB375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BF29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8B7A7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89A6F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w:t>
            </w:r>
          </w:p>
        </w:tc>
        <w:tc>
          <w:tcPr>
            <w:tcW w:w="907" w:type="dxa"/>
            <w:tcBorders>
              <w:top w:val="single" w:sz="4" w:space="0" w:color="auto"/>
              <w:left w:val="single" w:sz="4" w:space="0" w:color="auto"/>
              <w:bottom w:val="single" w:sz="4" w:space="0" w:color="auto"/>
              <w:right w:val="single" w:sz="4" w:space="0" w:color="auto"/>
            </w:tcBorders>
          </w:tcPr>
          <w:p w14:paraId="47B32C67" w14:textId="77777777" w:rsidR="00B82F75" w:rsidRPr="00F52C10" w:rsidRDefault="00B82F75" w:rsidP="00E4628E">
            <w:pPr>
              <w:pStyle w:val="Tabletext0"/>
              <w:spacing w:before="34" w:after="34" w:line="276" w:lineRule="auto"/>
              <w:rPr>
                <w:sz w:val="18"/>
                <w:szCs w:val="18"/>
                <w:lang w:val="en-CA"/>
              </w:rPr>
            </w:pPr>
          </w:p>
        </w:tc>
      </w:tr>
      <w:tr w:rsidR="00B82F75" w:rsidRPr="00F52C10" w14:paraId="538878F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0BE2B3C" w14:textId="77777777" w:rsidR="00B82F75" w:rsidRPr="00F52C10" w:rsidRDefault="00B82F75" w:rsidP="00E4628E">
            <w:pPr>
              <w:pStyle w:val="Tabletext0"/>
              <w:spacing w:before="34" w:after="34" w:line="276" w:lineRule="auto"/>
              <w:rPr>
                <w:sz w:val="18"/>
                <w:szCs w:val="18"/>
              </w:rPr>
            </w:pPr>
            <w:r w:rsidRPr="00F52C10">
              <w:rPr>
                <w:sz w:val="18"/>
                <w:szCs w:val="18"/>
              </w:rPr>
              <w:t>KNA00000</w:t>
            </w:r>
          </w:p>
        </w:tc>
        <w:tc>
          <w:tcPr>
            <w:tcW w:w="1076" w:type="dxa"/>
            <w:tcBorders>
              <w:top w:val="single" w:sz="4" w:space="0" w:color="auto"/>
              <w:left w:val="single" w:sz="4" w:space="0" w:color="auto"/>
              <w:bottom w:val="single" w:sz="4" w:space="0" w:color="auto"/>
              <w:right w:val="single" w:sz="4" w:space="0" w:color="auto"/>
            </w:tcBorders>
          </w:tcPr>
          <w:p w14:paraId="6A8D58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−88,80</w:t>
            </w:r>
          </w:p>
        </w:tc>
        <w:tc>
          <w:tcPr>
            <w:tcW w:w="970" w:type="dxa"/>
            <w:tcBorders>
              <w:top w:val="single" w:sz="4" w:space="0" w:color="auto"/>
              <w:left w:val="single" w:sz="4" w:space="0" w:color="auto"/>
              <w:bottom w:val="single" w:sz="4" w:space="0" w:color="auto"/>
              <w:right w:val="single" w:sz="4" w:space="0" w:color="auto"/>
            </w:tcBorders>
          </w:tcPr>
          <w:p w14:paraId="4B8990E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−62,90</w:t>
            </w:r>
          </w:p>
        </w:tc>
        <w:tc>
          <w:tcPr>
            <w:tcW w:w="907" w:type="dxa"/>
            <w:tcBorders>
              <w:top w:val="single" w:sz="4" w:space="0" w:color="auto"/>
              <w:left w:val="single" w:sz="4" w:space="0" w:color="auto"/>
              <w:bottom w:val="single" w:sz="4" w:space="0" w:color="auto"/>
              <w:right w:val="single" w:sz="4" w:space="0" w:color="auto"/>
            </w:tcBorders>
          </w:tcPr>
          <w:p w14:paraId="7787C1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22F34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DDB8C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AAD2D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AE23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A24B1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−41,6</w:t>
            </w:r>
          </w:p>
        </w:tc>
        <w:tc>
          <w:tcPr>
            <w:tcW w:w="907" w:type="dxa"/>
            <w:tcBorders>
              <w:top w:val="single" w:sz="4" w:space="0" w:color="auto"/>
              <w:left w:val="single" w:sz="4" w:space="0" w:color="auto"/>
              <w:bottom w:val="single" w:sz="4" w:space="0" w:color="auto"/>
              <w:right w:val="single" w:sz="4" w:space="0" w:color="auto"/>
            </w:tcBorders>
          </w:tcPr>
          <w:p w14:paraId="1427BCF3" w14:textId="77777777" w:rsidR="00B82F75" w:rsidRPr="00F52C10" w:rsidRDefault="00B82F75" w:rsidP="00E4628E">
            <w:pPr>
              <w:pStyle w:val="Tabletext0"/>
              <w:spacing w:before="34" w:after="34" w:line="276" w:lineRule="auto"/>
              <w:rPr>
                <w:sz w:val="18"/>
                <w:szCs w:val="18"/>
                <w:lang w:val="en-CA"/>
              </w:rPr>
            </w:pPr>
          </w:p>
        </w:tc>
      </w:tr>
      <w:tr w:rsidR="00B82F75" w:rsidRPr="00F52C10" w14:paraId="5C8C18D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5956888" w14:textId="77777777" w:rsidR="00B82F75" w:rsidRPr="00F52C10" w:rsidRDefault="00B82F75" w:rsidP="00E4628E">
            <w:pPr>
              <w:pStyle w:val="Tabletext0"/>
              <w:spacing w:before="34" w:after="34" w:line="276" w:lineRule="auto"/>
              <w:rPr>
                <w:sz w:val="18"/>
                <w:szCs w:val="18"/>
              </w:rPr>
            </w:pPr>
            <w:r w:rsidRPr="00F52C10">
              <w:rPr>
                <w:sz w:val="18"/>
                <w:szCs w:val="18"/>
              </w:rPr>
              <w:t>KOR00000</w:t>
            </w:r>
          </w:p>
        </w:tc>
        <w:tc>
          <w:tcPr>
            <w:tcW w:w="1076" w:type="dxa"/>
            <w:tcBorders>
              <w:top w:val="single" w:sz="4" w:space="0" w:color="auto"/>
              <w:left w:val="single" w:sz="4" w:space="0" w:color="auto"/>
              <w:bottom w:val="single" w:sz="4" w:space="0" w:color="auto"/>
              <w:right w:val="single" w:sz="4" w:space="0" w:color="auto"/>
            </w:tcBorders>
          </w:tcPr>
          <w:p w14:paraId="3FD80A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116,20</w:t>
            </w:r>
          </w:p>
        </w:tc>
        <w:tc>
          <w:tcPr>
            <w:tcW w:w="970" w:type="dxa"/>
            <w:tcBorders>
              <w:top w:val="single" w:sz="4" w:space="0" w:color="auto"/>
              <w:left w:val="single" w:sz="4" w:space="0" w:color="auto"/>
              <w:bottom w:val="single" w:sz="4" w:space="0" w:color="auto"/>
              <w:right w:val="single" w:sz="4" w:space="0" w:color="auto"/>
            </w:tcBorders>
          </w:tcPr>
          <w:p w14:paraId="5E0CAD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127,70</w:t>
            </w:r>
          </w:p>
        </w:tc>
        <w:tc>
          <w:tcPr>
            <w:tcW w:w="907" w:type="dxa"/>
            <w:tcBorders>
              <w:top w:val="single" w:sz="4" w:space="0" w:color="auto"/>
              <w:left w:val="single" w:sz="4" w:space="0" w:color="auto"/>
              <w:bottom w:val="single" w:sz="4" w:space="0" w:color="auto"/>
              <w:right w:val="single" w:sz="4" w:space="0" w:color="auto"/>
            </w:tcBorders>
          </w:tcPr>
          <w:p w14:paraId="276A14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B94A6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0CB8B7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B188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D357C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ADABF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−40,5</w:t>
            </w:r>
          </w:p>
        </w:tc>
        <w:tc>
          <w:tcPr>
            <w:tcW w:w="907" w:type="dxa"/>
            <w:tcBorders>
              <w:top w:val="single" w:sz="4" w:space="0" w:color="auto"/>
              <w:left w:val="single" w:sz="4" w:space="0" w:color="auto"/>
              <w:bottom w:val="single" w:sz="4" w:space="0" w:color="auto"/>
              <w:right w:val="single" w:sz="4" w:space="0" w:color="auto"/>
            </w:tcBorders>
          </w:tcPr>
          <w:p w14:paraId="7501AE64" w14:textId="77777777" w:rsidR="00B82F75" w:rsidRPr="00F52C10" w:rsidRDefault="00B82F75" w:rsidP="00E4628E">
            <w:pPr>
              <w:pStyle w:val="Tabletext0"/>
              <w:spacing w:before="34" w:after="34" w:line="276" w:lineRule="auto"/>
              <w:rPr>
                <w:sz w:val="18"/>
                <w:szCs w:val="18"/>
                <w:lang w:val="en-CA"/>
              </w:rPr>
            </w:pPr>
          </w:p>
        </w:tc>
      </w:tr>
      <w:tr w:rsidR="00B82F75" w:rsidRPr="00F52C10" w14:paraId="6A08055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5A16971" w14:textId="77777777" w:rsidR="00B82F75" w:rsidRPr="00F52C10" w:rsidRDefault="00B82F75" w:rsidP="00E4628E">
            <w:pPr>
              <w:pStyle w:val="Tabletext0"/>
              <w:spacing w:before="34" w:after="34" w:line="276" w:lineRule="auto"/>
              <w:rPr>
                <w:sz w:val="18"/>
                <w:szCs w:val="18"/>
              </w:rPr>
            </w:pPr>
            <w:r w:rsidRPr="00F52C10">
              <w:rPr>
                <w:sz w:val="18"/>
                <w:szCs w:val="18"/>
              </w:rPr>
              <w:t>KRE00000</w:t>
            </w:r>
          </w:p>
        </w:tc>
        <w:tc>
          <w:tcPr>
            <w:tcW w:w="1076" w:type="dxa"/>
            <w:tcBorders>
              <w:top w:val="single" w:sz="4" w:space="0" w:color="auto"/>
              <w:left w:val="single" w:sz="4" w:space="0" w:color="auto"/>
              <w:bottom w:val="single" w:sz="4" w:space="0" w:color="auto"/>
              <w:right w:val="single" w:sz="4" w:space="0" w:color="auto"/>
            </w:tcBorders>
          </w:tcPr>
          <w:p w14:paraId="1C56C1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145,00</w:t>
            </w:r>
          </w:p>
        </w:tc>
        <w:tc>
          <w:tcPr>
            <w:tcW w:w="970" w:type="dxa"/>
            <w:tcBorders>
              <w:top w:val="single" w:sz="4" w:space="0" w:color="auto"/>
              <w:left w:val="single" w:sz="4" w:space="0" w:color="auto"/>
              <w:bottom w:val="single" w:sz="4" w:space="0" w:color="auto"/>
              <w:right w:val="single" w:sz="4" w:space="0" w:color="auto"/>
            </w:tcBorders>
          </w:tcPr>
          <w:p w14:paraId="473D02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127,80</w:t>
            </w:r>
          </w:p>
        </w:tc>
        <w:tc>
          <w:tcPr>
            <w:tcW w:w="907" w:type="dxa"/>
            <w:tcBorders>
              <w:top w:val="single" w:sz="4" w:space="0" w:color="auto"/>
              <w:left w:val="single" w:sz="4" w:space="0" w:color="auto"/>
              <w:bottom w:val="single" w:sz="4" w:space="0" w:color="auto"/>
              <w:right w:val="single" w:sz="4" w:space="0" w:color="auto"/>
            </w:tcBorders>
          </w:tcPr>
          <w:p w14:paraId="0A9DB8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AEF8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6D02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F0799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1A967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ECCA0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−39,6</w:t>
            </w:r>
          </w:p>
        </w:tc>
        <w:tc>
          <w:tcPr>
            <w:tcW w:w="907" w:type="dxa"/>
            <w:tcBorders>
              <w:top w:val="single" w:sz="4" w:space="0" w:color="auto"/>
              <w:left w:val="single" w:sz="4" w:space="0" w:color="auto"/>
              <w:bottom w:val="single" w:sz="4" w:space="0" w:color="auto"/>
              <w:right w:val="single" w:sz="4" w:space="0" w:color="auto"/>
            </w:tcBorders>
          </w:tcPr>
          <w:p w14:paraId="190EDB84" w14:textId="77777777" w:rsidR="00B82F75" w:rsidRPr="00F52C10" w:rsidRDefault="00B82F75" w:rsidP="00E4628E">
            <w:pPr>
              <w:pStyle w:val="Tabletext0"/>
              <w:spacing w:before="34" w:after="34" w:line="276" w:lineRule="auto"/>
              <w:rPr>
                <w:sz w:val="18"/>
                <w:szCs w:val="18"/>
                <w:lang w:val="en-CA"/>
              </w:rPr>
            </w:pPr>
          </w:p>
        </w:tc>
      </w:tr>
      <w:tr w:rsidR="00B82F75" w:rsidRPr="00F52C10" w14:paraId="5A1095E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0C1786D" w14:textId="77777777" w:rsidR="00B82F75" w:rsidRPr="00F52C10" w:rsidRDefault="00B82F75" w:rsidP="00E4628E">
            <w:pPr>
              <w:pStyle w:val="Tabletext0"/>
              <w:spacing w:before="34" w:after="34" w:line="276" w:lineRule="auto"/>
              <w:rPr>
                <w:sz w:val="18"/>
                <w:szCs w:val="18"/>
              </w:rPr>
            </w:pPr>
            <w:r w:rsidRPr="00F52C10">
              <w:rPr>
                <w:sz w:val="18"/>
                <w:szCs w:val="18"/>
              </w:rPr>
              <w:t>KWT00000</w:t>
            </w:r>
          </w:p>
        </w:tc>
        <w:tc>
          <w:tcPr>
            <w:tcW w:w="1076" w:type="dxa"/>
            <w:tcBorders>
              <w:top w:val="single" w:sz="4" w:space="0" w:color="auto"/>
              <w:left w:val="single" w:sz="4" w:space="0" w:color="auto"/>
              <w:bottom w:val="single" w:sz="4" w:space="0" w:color="auto"/>
              <w:right w:val="single" w:sz="4" w:space="0" w:color="auto"/>
            </w:tcBorders>
          </w:tcPr>
          <w:p w14:paraId="2935D2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30,90</w:t>
            </w:r>
          </w:p>
        </w:tc>
        <w:tc>
          <w:tcPr>
            <w:tcW w:w="970" w:type="dxa"/>
            <w:tcBorders>
              <w:top w:val="single" w:sz="4" w:space="0" w:color="auto"/>
              <w:left w:val="single" w:sz="4" w:space="0" w:color="auto"/>
              <w:bottom w:val="single" w:sz="4" w:space="0" w:color="auto"/>
              <w:right w:val="single" w:sz="4" w:space="0" w:color="auto"/>
            </w:tcBorders>
          </w:tcPr>
          <w:p w14:paraId="10E011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47,70</w:t>
            </w:r>
          </w:p>
        </w:tc>
        <w:tc>
          <w:tcPr>
            <w:tcW w:w="907" w:type="dxa"/>
            <w:tcBorders>
              <w:top w:val="single" w:sz="4" w:space="0" w:color="auto"/>
              <w:left w:val="single" w:sz="4" w:space="0" w:color="auto"/>
              <w:bottom w:val="single" w:sz="4" w:space="0" w:color="auto"/>
              <w:right w:val="single" w:sz="4" w:space="0" w:color="auto"/>
            </w:tcBorders>
          </w:tcPr>
          <w:p w14:paraId="7F1DDF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109F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0B862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ACCB6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C03ED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DB2CC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−41,9</w:t>
            </w:r>
          </w:p>
        </w:tc>
        <w:tc>
          <w:tcPr>
            <w:tcW w:w="907" w:type="dxa"/>
            <w:tcBorders>
              <w:top w:val="single" w:sz="4" w:space="0" w:color="auto"/>
              <w:left w:val="single" w:sz="4" w:space="0" w:color="auto"/>
              <w:bottom w:val="single" w:sz="4" w:space="0" w:color="auto"/>
              <w:right w:val="single" w:sz="4" w:space="0" w:color="auto"/>
            </w:tcBorders>
          </w:tcPr>
          <w:p w14:paraId="4F53B9ED" w14:textId="77777777" w:rsidR="00B82F75" w:rsidRPr="00F52C10" w:rsidRDefault="00B82F75" w:rsidP="00E4628E">
            <w:pPr>
              <w:pStyle w:val="Tabletext0"/>
              <w:spacing w:before="34" w:after="34" w:line="276" w:lineRule="auto"/>
              <w:rPr>
                <w:sz w:val="18"/>
                <w:szCs w:val="18"/>
                <w:lang w:val="en-CA"/>
              </w:rPr>
            </w:pPr>
          </w:p>
        </w:tc>
      </w:tr>
      <w:tr w:rsidR="00B82F75" w:rsidRPr="00F52C10" w14:paraId="7E2C54E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954CDB0" w14:textId="77777777" w:rsidR="00B82F75" w:rsidRPr="00F52C10" w:rsidRDefault="00B82F75" w:rsidP="00E4628E">
            <w:pPr>
              <w:pStyle w:val="Tabletext0"/>
              <w:spacing w:before="34" w:after="34" w:line="276" w:lineRule="auto"/>
              <w:rPr>
                <w:sz w:val="18"/>
                <w:szCs w:val="18"/>
              </w:rPr>
            </w:pPr>
            <w:r w:rsidRPr="00F52C10">
              <w:rPr>
                <w:sz w:val="18"/>
                <w:szCs w:val="18"/>
              </w:rPr>
              <w:t>LAO00000</w:t>
            </w:r>
          </w:p>
        </w:tc>
        <w:tc>
          <w:tcPr>
            <w:tcW w:w="1076" w:type="dxa"/>
            <w:tcBorders>
              <w:top w:val="single" w:sz="4" w:space="0" w:color="auto"/>
              <w:left w:val="single" w:sz="4" w:space="0" w:color="auto"/>
              <w:bottom w:val="single" w:sz="4" w:space="0" w:color="auto"/>
              <w:right w:val="single" w:sz="4" w:space="0" w:color="auto"/>
            </w:tcBorders>
          </w:tcPr>
          <w:p w14:paraId="5563A6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142,00</w:t>
            </w:r>
          </w:p>
        </w:tc>
        <w:tc>
          <w:tcPr>
            <w:tcW w:w="970" w:type="dxa"/>
            <w:tcBorders>
              <w:top w:val="single" w:sz="4" w:space="0" w:color="auto"/>
              <w:left w:val="single" w:sz="4" w:space="0" w:color="auto"/>
              <w:bottom w:val="single" w:sz="4" w:space="0" w:color="auto"/>
              <w:right w:val="single" w:sz="4" w:space="0" w:color="auto"/>
            </w:tcBorders>
          </w:tcPr>
          <w:p w14:paraId="6B0822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104,10</w:t>
            </w:r>
          </w:p>
        </w:tc>
        <w:tc>
          <w:tcPr>
            <w:tcW w:w="907" w:type="dxa"/>
            <w:tcBorders>
              <w:top w:val="single" w:sz="4" w:space="0" w:color="auto"/>
              <w:left w:val="single" w:sz="4" w:space="0" w:color="auto"/>
              <w:bottom w:val="single" w:sz="4" w:space="0" w:color="auto"/>
              <w:right w:val="single" w:sz="4" w:space="0" w:color="auto"/>
            </w:tcBorders>
          </w:tcPr>
          <w:p w14:paraId="321C7B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9B6B1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C547B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B5DB9E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B1E5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4BD5E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−39,1</w:t>
            </w:r>
          </w:p>
        </w:tc>
        <w:tc>
          <w:tcPr>
            <w:tcW w:w="907" w:type="dxa"/>
            <w:tcBorders>
              <w:top w:val="single" w:sz="4" w:space="0" w:color="auto"/>
              <w:left w:val="single" w:sz="4" w:space="0" w:color="auto"/>
              <w:bottom w:val="single" w:sz="4" w:space="0" w:color="auto"/>
              <w:right w:val="single" w:sz="4" w:space="0" w:color="auto"/>
            </w:tcBorders>
          </w:tcPr>
          <w:p w14:paraId="3FD58A6D" w14:textId="77777777" w:rsidR="00B82F75" w:rsidRPr="00F52C10" w:rsidRDefault="00B82F75" w:rsidP="00E4628E">
            <w:pPr>
              <w:pStyle w:val="Tabletext0"/>
              <w:spacing w:before="34" w:after="34" w:line="276" w:lineRule="auto"/>
              <w:rPr>
                <w:sz w:val="18"/>
                <w:szCs w:val="18"/>
                <w:lang w:val="en-CA"/>
              </w:rPr>
            </w:pPr>
          </w:p>
        </w:tc>
      </w:tr>
      <w:tr w:rsidR="00B82F75" w:rsidRPr="00F52C10" w14:paraId="3087052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5C1416A" w14:textId="77777777" w:rsidR="00B82F75" w:rsidRPr="00F52C10" w:rsidRDefault="00B82F75" w:rsidP="00E4628E">
            <w:pPr>
              <w:pStyle w:val="Tabletext0"/>
              <w:spacing w:before="34" w:after="34" w:line="276" w:lineRule="auto"/>
              <w:rPr>
                <w:sz w:val="18"/>
                <w:szCs w:val="18"/>
              </w:rPr>
            </w:pPr>
            <w:r w:rsidRPr="00F52C10">
              <w:rPr>
                <w:sz w:val="18"/>
                <w:szCs w:val="18"/>
              </w:rPr>
              <w:lastRenderedPageBreak/>
              <w:t>LBN00000</w:t>
            </w:r>
          </w:p>
        </w:tc>
        <w:tc>
          <w:tcPr>
            <w:tcW w:w="1076" w:type="dxa"/>
            <w:tcBorders>
              <w:top w:val="single" w:sz="4" w:space="0" w:color="auto"/>
              <w:left w:val="single" w:sz="4" w:space="0" w:color="auto"/>
              <w:bottom w:val="single" w:sz="4" w:space="0" w:color="auto"/>
              <w:right w:val="single" w:sz="4" w:space="0" w:color="auto"/>
            </w:tcBorders>
          </w:tcPr>
          <w:p w14:paraId="61F734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97,50</w:t>
            </w:r>
          </w:p>
        </w:tc>
        <w:tc>
          <w:tcPr>
            <w:tcW w:w="970" w:type="dxa"/>
            <w:tcBorders>
              <w:top w:val="single" w:sz="4" w:space="0" w:color="auto"/>
              <w:left w:val="single" w:sz="4" w:space="0" w:color="auto"/>
              <w:bottom w:val="single" w:sz="4" w:space="0" w:color="auto"/>
              <w:right w:val="single" w:sz="4" w:space="0" w:color="auto"/>
            </w:tcBorders>
          </w:tcPr>
          <w:p w14:paraId="63B0BC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35,80</w:t>
            </w:r>
          </w:p>
        </w:tc>
        <w:tc>
          <w:tcPr>
            <w:tcW w:w="907" w:type="dxa"/>
            <w:tcBorders>
              <w:top w:val="single" w:sz="4" w:space="0" w:color="auto"/>
              <w:left w:val="single" w:sz="4" w:space="0" w:color="auto"/>
              <w:bottom w:val="single" w:sz="4" w:space="0" w:color="auto"/>
              <w:right w:val="single" w:sz="4" w:space="0" w:color="auto"/>
            </w:tcBorders>
          </w:tcPr>
          <w:p w14:paraId="0E2D8E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B19F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D3C834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857E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41C6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F6B56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07" w:type="dxa"/>
            <w:tcBorders>
              <w:top w:val="single" w:sz="4" w:space="0" w:color="auto"/>
              <w:left w:val="single" w:sz="4" w:space="0" w:color="auto"/>
              <w:bottom w:val="single" w:sz="4" w:space="0" w:color="auto"/>
              <w:right w:val="single" w:sz="4" w:space="0" w:color="auto"/>
            </w:tcBorders>
          </w:tcPr>
          <w:p w14:paraId="23D8000F" w14:textId="77777777" w:rsidR="00B82F75" w:rsidRPr="00F52C10" w:rsidRDefault="00B82F75" w:rsidP="00E4628E">
            <w:pPr>
              <w:pStyle w:val="Tabletext0"/>
              <w:spacing w:before="34" w:after="34" w:line="276" w:lineRule="auto"/>
              <w:rPr>
                <w:sz w:val="18"/>
                <w:szCs w:val="18"/>
                <w:lang w:val="en-CA"/>
              </w:rPr>
            </w:pPr>
          </w:p>
        </w:tc>
      </w:tr>
      <w:tr w:rsidR="00B82F75" w:rsidRPr="00F52C10" w14:paraId="183BF6F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6DCC058" w14:textId="77777777" w:rsidR="00B82F75" w:rsidRPr="00F52C10" w:rsidRDefault="00B82F75" w:rsidP="00E4628E">
            <w:pPr>
              <w:pStyle w:val="Tabletext0"/>
              <w:spacing w:before="34" w:after="34" w:line="276" w:lineRule="auto"/>
              <w:rPr>
                <w:sz w:val="18"/>
                <w:szCs w:val="18"/>
              </w:rPr>
            </w:pPr>
            <w:r w:rsidRPr="00F52C10">
              <w:rPr>
                <w:sz w:val="18"/>
                <w:szCs w:val="18"/>
              </w:rPr>
              <w:t>LBR00000</w:t>
            </w:r>
          </w:p>
        </w:tc>
        <w:tc>
          <w:tcPr>
            <w:tcW w:w="1076" w:type="dxa"/>
            <w:tcBorders>
              <w:top w:val="single" w:sz="4" w:space="0" w:color="auto"/>
              <w:left w:val="single" w:sz="4" w:space="0" w:color="auto"/>
              <w:bottom w:val="single" w:sz="4" w:space="0" w:color="auto"/>
              <w:right w:val="single" w:sz="4" w:space="0" w:color="auto"/>
            </w:tcBorders>
          </w:tcPr>
          <w:p w14:paraId="1DCBC5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−41,80</w:t>
            </w:r>
          </w:p>
        </w:tc>
        <w:tc>
          <w:tcPr>
            <w:tcW w:w="970" w:type="dxa"/>
            <w:tcBorders>
              <w:top w:val="single" w:sz="4" w:space="0" w:color="auto"/>
              <w:left w:val="single" w:sz="4" w:space="0" w:color="auto"/>
              <w:bottom w:val="single" w:sz="4" w:space="0" w:color="auto"/>
              <w:right w:val="single" w:sz="4" w:space="0" w:color="auto"/>
            </w:tcBorders>
          </w:tcPr>
          <w:p w14:paraId="2D6043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−8,90</w:t>
            </w:r>
          </w:p>
        </w:tc>
        <w:tc>
          <w:tcPr>
            <w:tcW w:w="907" w:type="dxa"/>
            <w:tcBorders>
              <w:top w:val="single" w:sz="4" w:space="0" w:color="auto"/>
              <w:left w:val="single" w:sz="4" w:space="0" w:color="auto"/>
              <w:bottom w:val="single" w:sz="4" w:space="0" w:color="auto"/>
              <w:right w:val="single" w:sz="4" w:space="0" w:color="auto"/>
            </w:tcBorders>
          </w:tcPr>
          <w:p w14:paraId="610A6B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7D868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34B6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5A62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74A4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0D4A1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−40,4</w:t>
            </w:r>
          </w:p>
        </w:tc>
        <w:tc>
          <w:tcPr>
            <w:tcW w:w="907" w:type="dxa"/>
            <w:tcBorders>
              <w:top w:val="single" w:sz="4" w:space="0" w:color="auto"/>
              <w:left w:val="single" w:sz="4" w:space="0" w:color="auto"/>
              <w:bottom w:val="single" w:sz="4" w:space="0" w:color="auto"/>
              <w:right w:val="single" w:sz="4" w:space="0" w:color="auto"/>
            </w:tcBorders>
          </w:tcPr>
          <w:p w14:paraId="284FCB6E" w14:textId="77777777" w:rsidR="00B82F75" w:rsidRPr="00F52C10" w:rsidRDefault="00B82F75" w:rsidP="00E4628E">
            <w:pPr>
              <w:pStyle w:val="Tabletext0"/>
              <w:spacing w:before="34" w:after="34" w:line="276" w:lineRule="auto"/>
              <w:rPr>
                <w:sz w:val="18"/>
                <w:szCs w:val="18"/>
                <w:lang w:val="en-CA"/>
              </w:rPr>
            </w:pPr>
          </w:p>
        </w:tc>
      </w:tr>
      <w:tr w:rsidR="00B82F75" w:rsidRPr="00F52C10" w14:paraId="787A4FB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F7EC19E" w14:textId="77777777" w:rsidR="00B82F75" w:rsidRPr="00F52C10" w:rsidRDefault="00B82F75" w:rsidP="00E4628E">
            <w:pPr>
              <w:pStyle w:val="Tabletext0"/>
              <w:spacing w:before="34" w:after="34" w:line="276" w:lineRule="auto"/>
              <w:rPr>
                <w:sz w:val="18"/>
                <w:szCs w:val="18"/>
              </w:rPr>
            </w:pPr>
            <w:r w:rsidRPr="00F52C10">
              <w:rPr>
                <w:sz w:val="18"/>
                <w:szCs w:val="18"/>
              </w:rPr>
              <w:t>LBY00000</w:t>
            </w:r>
          </w:p>
        </w:tc>
        <w:tc>
          <w:tcPr>
            <w:tcW w:w="1076" w:type="dxa"/>
            <w:tcBorders>
              <w:top w:val="single" w:sz="4" w:space="0" w:color="auto"/>
              <w:left w:val="single" w:sz="4" w:space="0" w:color="auto"/>
              <w:bottom w:val="single" w:sz="4" w:space="0" w:color="auto"/>
              <w:right w:val="single" w:sz="4" w:space="0" w:color="auto"/>
            </w:tcBorders>
          </w:tcPr>
          <w:p w14:paraId="4CD69A5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28,90</w:t>
            </w:r>
          </w:p>
        </w:tc>
        <w:tc>
          <w:tcPr>
            <w:tcW w:w="970" w:type="dxa"/>
            <w:tcBorders>
              <w:top w:val="single" w:sz="4" w:space="0" w:color="auto"/>
              <w:left w:val="single" w:sz="4" w:space="0" w:color="auto"/>
              <w:bottom w:val="single" w:sz="4" w:space="0" w:color="auto"/>
              <w:right w:val="single" w:sz="4" w:space="0" w:color="auto"/>
            </w:tcBorders>
            <w:vAlign w:val="bottom"/>
          </w:tcPr>
          <w:p w14:paraId="5FEC1A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19,00</w:t>
            </w:r>
          </w:p>
        </w:tc>
        <w:tc>
          <w:tcPr>
            <w:tcW w:w="907" w:type="dxa"/>
            <w:tcBorders>
              <w:top w:val="single" w:sz="4" w:space="0" w:color="auto"/>
              <w:left w:val="single" w:sz="4" w:space="0" w:color="auto"/>
              <w:bottom w:val="single" w:sz="4" w:space="0" w:color="auto"/>
              <w:right w:val="single" w:sz="4" w:space="0" w:color="auto"/>
            </w:tcBorders>
            <w:vAlign w:val="bottom"/>
          </w:tcPr>
          <w:p w14:paraId="7FD0F03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25,90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0D9BBE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2AD5E2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2,70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6A6A4D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165,00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0B388D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−6,8</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13A54F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−39,2</w:t>
            </w:r>
          </w:p>
        </w:tc>
        <w:tc>
          <w:tcPr>
            <w:tcW w:w="907" w:type="dxa"/>
            <w:tcBorders>
              <w:top w:val="single" w:sz="4" w:space="0" w:color="auto"/>
              <w:left w:val="single" w:sz="4" w:space="0" w:color="auto"/>
              <w:bottom w:val="single" w:sz="4" w:space="0" w:color="auto"/>
              <w:right w:val="single" w:sz="4" w:space="0" w:color="auto"/>
            </w:tcBorders>
            <w:vAlign w:val="bottom"/>
          </w:tcPr>
          <w:p w14:paraId="47EA0979" w14:textId="77777777" w:rsidR="00B82F75" w:rsidRPr="00F52C10" w:rsidRDefault="00B82F75" w:rsidP="00E4628E">
            <w:pPr>
              <w:pStyle w:val="Tabletext0"/>
              <w:spacing w:before="34" w:after="34" w:line="276" w:lineRule="auto"/>
              <w:rPr>
                <w:sz w:val="18"/>
                <w:szCs w:val="18"/>
              </w:rPr>
            </w:pPr>
          </w:p>
        </w:tc>
      </w:tr>
      <w:tr w:rsidR="00B82F75" w:rsidRPr="00F52C10" w14:paraId="01DE173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750AA0D" w14:textId="77777777" w:rsidR="00B82F75" w:rsidRPr="00F52C10" w:rsidRDefault="00B82F75" w:rsidP="00E4628E">
            <w:pPr>
              <w:pStyle w:val="Tabletext0"/>
              <w:spacing w:before="34" w:after="34" w:line="276" w:lineRule="auto"/>
              <w:rPr>
                <w:sz w:val="18"/>
                <w:szCs w:val="18"/>
              </w:rPr>
            </w:pPr>
            <w:r w:rsidRPr="00F52C10">
              <w:rPr>
                <w:sz w:val="18"/>
                <w:szCs w:val="18"/>
              </w:rPr>
              <w:t>LIE00000</w:t>
            </w:r>
          </w:p>
        </w:tc>
        <w:tc>
          <w:tcPr>
            <w:tcW w:w="1076" w:type="dxa"/>
            <w:tcBorders>
              <w:top w:val="single" w:sz="4" w:space="0" w:color="auto"/>
              <w:left w:val="single" w:sz="4" w:space="0" w:color="auto"/>
              <w:bottom w:val="single" w:sz="4" w:space="0" w:color="auto"/>
              <w:right w:val="single" w:sz="4" w:space="0" w:color="auto"/>
            </w:tcBorders>
          </w:tcPr>
          <w:p w14:paraId="3C9859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−17,10</w:t>
            </w:r>
          </w:p>
        </w:tc>
        <w:tc>
          <w:tcPr>
            <w:tcW w:w="970" w:type="dxa"/>
            <w:tcBorders>
              <w:top w:val="single" w:sz="4" w:space="0" w:color="auto"/>
              <w:left w:val="single" w:sz="4" w:space="0" w:color="auto"/>
              <w:bottom w:val="single" w:sz="4" w:space="0" w:color="auto"/>
              <w:right w:val="single" w:sz="4" w:space="0" w:color="auto"/>
            </w:tcBorders>
          </w:tcPr>
          <w:p w14:paraId="3BA917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9,50</w:t>
            </w:r>
          </w:p>
        </w:tc>
        <w:tc>
          <w:tcPr>
            <w:tcW w:w="907" w:type="dxa"/>
            <w:tcBorders>
              <w:top w:val="single" w:sz="4" w:space="0" w:color="auto"/>
              <w:left w:val="single" w:sz="4" w:space="0" w:color="auto"/>
              <w:bottom w:val="single" w:sz="4" w:space="0" w:color="auto"/>
              <w:right w:val="single" w:sz="4" w:space="0" w:color="auto"/>
            </w:tcBorders>
          </w:tcPr>
          <w:p w14:paraId="61031D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9214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27524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98C20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FD106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0F8B7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−41,7</w:t>
            </w:r>
          </w:p>
        </w:tc>
        <w:tc>
          <w:tcPr>
            <w:tcW w:w="907" w:type="dxa"/>
            <w:tcBorders>
              <w:top w:val="single" w:sz="4" w:space="0" w:color="auto"/>
              <w:left w:val="single" w:sz="4" w:space="0" w:color="auto"/>
              <w:bottom w:val="single" w:sz="4" w:space="0" w:color="auto"/>
              <w:right w:val="single" w:sz="4" w:space="0" w:color="auto"/>
            </w:tcBorders>
          </w:tcPr>
          <w:p w14:paraId="30B098AE" w14:textId="77777777" w:rsidR="00B82F75" w:rsidRPr="00F52C10" w:rsidRDefault="00B82F75" w:rsidP="00E4628E">
            <w:pPr>
              <w:pStyle w:val="Tabletext0"/>
              <w:spacing w:before="34" w:after="34" w:line="276" w:lineRule="auto"/>
              <w:rPr>
                <w:sz w:val="18"/>
                <w:szCs w:val="18"/>
                <w:lang w:val="en-CA"/>
              </w:rPr>
            </w:pPr>
          </w:p>
        </w:tc>
      </w:tr>
      <w:tr w:rsidR="00B82F75" w:rsidRPr="00F52C10" w14:paraId="71F185F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02C6D52" w14:textId="77777777" w:rsidR="00B82F75" w:rsidRPr="00F52C10" w:rsidRDefault="00B82F75" w:rsidP="00E4628E">
            <w:pPr>
              <w:pStyle w:val="Tabletext0"/>
              <w:spacing w:before="34" w:after="34" w:line="276" w:lineRule="auto"/>
              <w:rPr>
                <w:sz w:val="18"/>
                <w:szCs w:val="18"/>
              </w:rPr>
            </w:pPr>
            <w:r w:rsidRPr="00F52C10">
              <w:rPr>
                <w:sz w:val="18"/>
                <w:szCs w:val="18"/>
              </w:rPr>
              <w:t>LSO00000</w:t>
            </w:r>
          </w:p>
        </w:tc>
        <w:tc>
          <w:tcPr>
            <w:tcW w:w="1076" w:type="dxa"/>
            <w:tcBorders>
              <w:top w:val="single" w:sz="4" w:space="0" w:color="auto"/>
              <w:left w:val="single" w:sz="4" w:space="0" w:color="auto"/>
              <w:bottom w:val="single" w:sz="4" w:space="0" w:color="auto"/>
              <w:right w:val="single" w:sz="4" w:space="0" w:color="auto"/>
            </w:tcBorders>
          </w:tcPr>
          <w:p w14:paraId="036AB7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−19,30</w:t>
            </w:r>
          </w:p>
        </w:tc>
        <w:tc>
          <w:tcPr>
            <w:tcW w:w="970" w:type="dxa"/>
            <w:tcBorders>
              <w:top w:val="single" w:sz="4" w:space="0" w:color="auto"/>
              <w:left w:val="single" w:sz="4" w:space="0" w:color="auto"/>
              <w:bottom w:val="single" w:sz="4" w:space="0" w:color="auto"/>
              <w:right w:val="single" w:sz="4" w:space="0" w:color="auto"/>
            </w:tcBorders>
          </w:tcPr>
          <w:p w14:paraId="30073E5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28,40</w:t>
            </w:r>
          </w:p>
        </w:tc>
        <w:tc>
          <w:tcPr>
            <w:tcW w:w="907" w:type="dxa"/>
            <w:tcBorders>
              <w:top w:val="single" w:sz="4" w:space="0" w:color="auto"/>
              <w:left w:val="single" w:sz="4" w:space="0" w:color="auto"/>
              <w:bottom w:val="single" w:sz="4" w:space="0" w:color="auto"/>
              <w:right w:val="single" w:sz="4" w:space="0" w:color="auto"/>
            </w:tcBorders>
          </w:tcPr>
          <w:p w14:paraId="20EF9E5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39A70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E5883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EA689F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60835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F68F3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−41,5</w:t>
            </w:r>
          </w:p>
        </w:tc>
        <w:tc>
          <w:tcPr>
            <w:tcW w:w="907" w:type="dxa"/>
            <w:tcBorders>
              <w:top w:val="single" w:sz="4" w:space="0" w:color="auto"/>
              <w:left w:val="single" w:sz="4" w:space="0" w:color="auto"/>
              <w:bottom w:val="single" w:sz="4" w:space="0" w:color="auto"/>
              <w:right w:val="single" w:sz="4" w:space="0" w:color="auto"/>
            </w:tcBorders>
          </w:tcPr>
          <w:p w14:paraId="54E1B535" w14:textId="77777777" w:rsidR="00B82F75" w:rsidRPr="00F52C10" w:rsidRDefault="00B82F75" w:rsidP="00E4628E">
            <w:pPr>
              <w:pStyle w:val="Tabletext0"/>
              <w:spacing w:before="34" w:after="34" w:line="276" w:lineRule="auto"/>
              <w:rPr>
                <w:sz w:val="18"/>
                <w:szCs w:val="18"/>
                <w:lang w:val="en-CA"/>
              </w:rPr>
            </w:pPr>
          </w:p>
        </w:tc>
      </w:tr>
      <w:tr w:rsidR="00B82F75" w:rsidRPr="00F52C10" w14:paraId="05BFCEC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vAlign w:val="bottom"/>
          </w:tcPr>
          <w:p w14:paraId="59AC90F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LTU00000</w:t>
            </w:r>
          </w:p>
        </w:tc>
        <w:tc>
          <w:tcPr>
            <w:tcW w:w="1076" w:type="dxa"/>
            <w:tcBorders>
              <w:top w:val="single" w:sz="4" w:space="0" w:color="auto"/>
              <w:left w:val="single" w:sz="4" w:space="0" w:color="auto"/>
              <w:bottom w:val="single" w:sz="4" w:space="0" w:color="auto"/>
              <w:right w:val="single" w:sz="4" w:space="0" w:color="auto"/>
            </w:tcBorders>
            <w:vAlign w:val="bottom"/>
          </w:tcPr>
          <w:p w14:paraId="4C4358AF"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−9,30</w:t>
            </w:r>
          </w:p>
        </w:tc>
        <w:tc>
          <w:tcPr>
            <w:tcW w:w="970" w:type="dxa"/>
            <w:tcBorders>
              <w:top w:val="single" w:sz="4" w:space="0" w:color="auto"/>
              <w:left w:val="single" w:sz="4" w:space="0" w:color="auto"/>
              <w:bottom w:val="single" w:sz="4" w:space="0" w:color="auto"/>
              <w:right w:val="single" w:sz="4" w:space="0" w:color="auto"/>
            </w:tcBorders>
            <w:vAlign w:val="bottom"/>
          </w:tcPr>
          <w:p w14:paraId="4EAE0771"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23,67</w:t>
            </w:r>
          </w:p>
        </w:tc>
        <w:tc>
          <w:tcPr>
            <w:tcW w:w="907" w:type="dxa"/>
            <w:tcBorders>
              <w:top w:val="single" w:sz="4" w:space="0" w:color="auto"/>
              <w:left w:val="single" w:sz="4" w:space="0" w:color="auto"/>
              <w:bottom w:val="single" w:sz="4" w:space="0" w:color="auto"/>
              <w:right w:val="single" w:sz="4" w:space="0" w:color="auto"/>
            </w:tcBorders>
            <w:vAlign w:val="bottom"/>
          </w:tcPr>
          <w:p w14:paraId="05605A0A"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55,23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5C6AD8E5"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0A0FA9ED"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15F6AFAF"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33BE8419"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2EDE7D6A"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−42,8</w:t>
            </w:r>
          </w:p>
        </w:tc>
        <w:tc>
          <w:tcPr>
            <w:tcW w:w="907" w:type="dxa"/>
            <w:tcBorders>
              <w:top w:val="single" w:sz="4" w:space="0" w:color="auto"/>
              <w:left w:val="single" w:sz="4" w:space="0" w:color="auto"/>
              <w:bottom w:val="single" w:sz="4" w:space="0" w:color="auto"/>
              <w:right w:val="single" w:sz="4" w:space="0" w:color="auto"/>
            </w:tcBorders>
            <w:vAlign w:val="bottom"/>
          </w:tcPr>
          <w:p w14:paraId="287E062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3A2674F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A6D823D" w14:textId="77777777" w:rsidR="00B82F75" w:rsidRPr="00F52C10" w:rsidRDefault="00B82F75" w:rsidP="00E4628E">
            <w:pPr>
              <w:pStyle w:val="Tabletext0"/>
              <w:spacing w:before="34" w:after="34" w:line="276" w:lineRule="auto"/>
              <w:rPr>
                <w:sz w:val="18"/>
                <w:szCs w:val="18"/>
              </w:rPr>
            </w:pPr>
            <w:r w:rsidRPr="00F52C10">
              <w:rPr>
                <w:sz w:val="18"/>
                <w:szCs w:val="18"/>
              </w:rPr>
              <w:t>LUX00000</w:t>
            </w:r>
          </w:p>
        </w:tc>
        <w:tc>
          <w:tcPr>
            <w:tcW w:w="1076" w:type="dxa"/>
            <w:tcBorders>
              <w:top w:val="single" w:sz="4" w:space="0" w:color="auto"/>
              <w:left w:val="single" w:sz="4" w:space="0" w:color="auto"/>
              <w:bottom w:val="single" w:sz="4" w:space="0" w:color="auto"/>
              <w:right w:val="single" w:sz="4" w:space="0" w:color="auto"/>
            </w:tcBorders>
          </w:tcPr>
          <w:p w14:paraId="462A29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19,20</w:t>
            </w:r>
          </w:p>
        </w:tc>
        <w:tc>
          <w:tcPr>
            <w:tcW w:w="970" w:type="dxa"/>
            <w:tcBorders>
              <w:top w:val="single" w:sz="4" w:space="0" w:color="auto"/>
              <w:left w:val="single" w:sz="4" w:space="0" w:color="auto"/>
              <w:bottom w:val="single" w:sz="4" w:space="0" w:color="auto"/>
              <w:right w:val="single" w:sz="4" w:space="0" w:color="auto"/>
            </w:tcBorders>
          </w:tcPr>
          <w:p w14:paraId="5A99A1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6,20</w:t>
            </w:r>
          </w:p>
        </w:tc>
        <w:tc>
          <w:tcPr>
            <w:tcW w:w="907" w:type="dxa"/>
            <w:tcBorders>
              <w:top w:val="single" w:sz="4" w:space="0" w:color="auto"/>
              <w:left w:val="single" w:sz="4" w:space="0" w:color="auto"/>
              <w:bottom w:val="single" w:sz="4" w:space="0" w:color="auto"/>
              <w:right w:val="single" w:sz="4" w:space="0" w:color="auto"/>
            </w:tcBorders>
          </w:tcPr>
          <w:p w14:paraId="52E32B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001BD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DD6B4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0DEED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34A23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3B74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−41,6</w:t>
            </w:r>
          </w:p>
        </w:tc>
        <w:tc>
          <w:tcPr>
            <w:tcW w:w="907" w:type="dxa"/>
            <w:tcBorders>
              <w:top w:val="single" w:sz="4" w:space="0" w:color="auto"/>
              <w:left w:val="single" w:sz="4" w:space="0" w:color="auto"/>
              <w:bottom w:val="single" w:sz="4" w:space="0" w:color="auto"/>
              <w:right w:val="single" w:sz="4" w:space="0" w:color="auto"/>
            </w:tcBorders>
          </w:tcPr>
          <w:p w14:paraId="59FC2BBA" w14:textId="77777777" w:rsidR="00B82F75" w:rsidRPr="00F52C10" w:rsidRDefault="00B82F75" w:rsidP="00E4628E">
            <w:pPr>
              <w:pStyle w:val="Tabletext0"/>
              <w:spacing w:before="34" w:after="34" w:line="276" w:lineRule="auto"/>
              <w:rPr>
                <w:sz w:val="18"/>
                <w:szCs w:val="18"/>
                <w:lang w:val="en-CA"/>
              </w:rPr>
            </w:pPr>
          </w:p>
        </w:tc>
      </w:tr>
      <w:tr w:rsidR="00B82F75" w:rsidRPr="00F52C10" w14:paraId="6B6819C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061B48A" w14:textId="77777777" w:rsidR="00B82F75" w:rsidRPr="00F52C10" w:rsidRDefault="00B82F75" w:rsidP="00E4628E">
            <w:pPr>
              <w:pStyle w:val="Tabletext0"/>
              <w:spacing w:before="34" w:after="34" w:line="276" w:lineRule="auto"/>
              <w:rPr>
                <w:sz w:val="18"/>
                <w:szCs w:val="18"/>
              </w:rPr>
            </w:pPr>
            <w:r w:rsidRPr="00F52C10">
              <w:rPr>
                <w:sz w:val="18"/>
                <w:szCs w:val="18"/>
              </w:rPr>
              <w:t>MAC00000</w:t>
            </w:r>
          </w:p>
        </w:tc>
        <w:tc>
          <w:tcPr>
            <w:tcW w:w="1076" w:type="dxa"/>
            <w:tcBorders>
              <w:top w:val="single" w:sz="4" w:space="0" w:color="auto"/>
              <w:left w:val="single" w:sz="4" w:space="0" w:color="auto"/>
              <w:bottom w:val="single" w:sz="4" w:space="0" w:color="auto"/>
              <w:right w:val="single" w:sz="4" w:space="0" w:color="auto"/>
            </w:tcBorders>
          </w:tcPr>
          <w:p w14:paraId="6F5814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117,00</w:t>
            </w:r>
          </w:p>
        </w:tc>
        <w:tc>
          <w:tcPr>
            <w:tcW w:w="970" w:type="dxa"/>
            <w:tcBorders>
              <w:top w:val="single" w:sz="4" w:space="0" w:color="auto"/>
              <w:left w:val="single" w:sz="4" w:space="0" w:color="auto"/>
              <w:bottom w:val="single" w:sz="4" w:space="0" w:color="auto"/>
              <w:right w:val="single" w:sz="4" w:space="0" w:color="auto"/>
            </w:tcBorders>
          </w:tcPr>
          <w:p w14:paraId="211D5B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113,60</w:t>
            </w:r>
          </w:p>
        </w:tc>
        <w:tc>
          <w:tcPr>
            <w:tcW w:w="907" w:type="dxa"/>
            <w:tcBorders>
              <w:top w:val="single" w:sz="4" w:space="0" w:color="auto"/>
              <w:left w:val="single" w:sz="4" w:space="0" w:color="auto"/>
              <w:bottom w:val="single" w:sz="4" w:space="0" w:color="auto"/>
              <w:right w:val="single" w:sz="4" w:space="0" w:color="auto"/>
            </w:tcBorders>
          </w:tcPr>
          <w:p w14:paraId="7E3B02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E831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EB4FF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C5EF6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7E286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E08C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w:t>
            </w:r>
          </w:p>
        </w:tc>
        <w:tc>
          <w:tcPr>
            <w:tcW w:w="907" w:type="dxa"/>
            <w:tcBorders>
              <w:top w:val="single" w:sz="4" w:space="0" w:color="auto"/>
              <w:left w:val="single" w:sz="4" w:space="0" w:color="auto"/>
              <w:bottom w:val="single" w:sz="4" w:space="0" w:color="auto"/>
              <w:right w:val="single" w:sz="4" w:space="0" w:color="auto"/>
            </w:tcBorders>
          </w:tcPr>
          <w:p w14:paraId="1F8278FC" w14:textId="77777777" w:rsidR="00B82F75" w:rsidRPr="00F52C10" w:rsidRDefault="00B82F75" w:rsidP="00E4628E">
            <w:pPr>
              <w:pStyle w:val="Tabletext0"/>
              <w:spacing w:before="34" w:after="34" w:line="276" w:lineRule="auto"/>
              <w:rPr>
                <w:sz w:val="18"/>
                <w:szCs w:val="18"/>
                <w:lang w:val="en-CA"/>
              </w:rPr>
            </w:pPr>
          </w:p>
        </w:tc>
      </w:tr>
      <w:tr w:rsidR="00B82F75" w:rsidRPr="00F52C10" w14:paraId="183767D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3B3183B" w14:textId="77777777" w:rsidR="00B82F75" w:rsidRPr="00F52C10" w:rsidRDefault="00B82F75" w:rsidP="00E4628E">
            <w:pPr>
              <w:pStyle w:val="Tabletext0"/>
              <w:spacing w:before="34" w:after="34" w:line="276" w:lineRule="auto"/>
              <w:rPr>
                <w:sz w:val="18"/>
                <w:szCs w:val="18"/>
              </w:rPr>
            </w:pPr>
            <w:r w:rsidRPr="00F52C10">
              <w:rPr>
                <w:sz w:val="18"/>
                <w:szCs w:val="18"/>
              </w:rPr>
              <w:t>MAU00000</w:t>
            </w:r>
          </w:p>
        </w:tc>
        <w:tc>
          <w:tcPr>
            <w:tcW w:w="1076" w:type="dxa"/>
            <w:tcBorders>
              <w:top w:val="single" w:sz="4" w:space="0" w:color="auto"/>
              <w:left w:val="single" w:sz="4" w:space="0" w:color="auto"/>
              <w:bottom w:val="single" w:sz="4" w:space="0" w:color="auto"/>
              <w:right w:val="single" w:sz="4" w:space="0" w:color="auto"/>
            </w:tcBorders>
          </w:tcPr>
          <w:p w14:paraId="58B556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92,20</w:t>
            </w:r>
          </w:p>
        </w:tc>
        <w:tc>
          <w:tcPr>
            <w:tcW w:w="970" w:type="dxa"/>
            <w:tcBorders>
              <w:top w:val="single" w:sz="4" w:space="0" w:color="auto"/>
              <w:left w:val="single" w:sz="4" w:space="0" w:color="auto"/>
              <w:bottom w:val="single" w:sz="4" w:space="0" w:color="auto"/>
              <w:right w:val="single" w:sz="4" w:space="0" w:color="auto"/>
            </w:tcBorders>
          </w:tcPr>
          <w:p w14:paraId="3FD713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907" w:type="dxa"/>
            <w:tcBorders>
              <w:top w:val="single" w:sz="4" w:space="0" w:color="auto"/>
              <w:left w:val="single" w:sz="4" w:space="0" w:color="auto"/>
              <w:bottom w:val="single" w:sz="4" w:space="0" w:color="auto"/>
              <w:right w:val="single" w:sz="4" w:space="0" w:color="auto"/>
            </w:tcBorders>
          </w:tcPr>
          <w:p w14:paraId="3919F5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EC88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43D24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BA0D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4AA0A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5D98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−41,4</w:t>
            </w:r>
          </w:p>
        </w:tc>
        <w:tc>
          <w:tcPr>
            <w:tcW w:w="907" w:type="dxa"/>
            <w:tcBorders>
              <w:top w:val="single" w:sz="4" w:space="0" w:color="auto"/>
              <w:left w:val="single" w:sz="4" w:space="0" w:color="auto"/>
              <w:bottom w:val="single" w:sz="4" w:space="0" w:color="auto"/>
              <w:right w:val="single" w:sz="4" w:space="0" w:color="auto"/>
            </w:tcBorders>
          </w:tcPr>
          <w:p w14:paraId="23C002C8" w14:textId="77777777" w:rsidR="00B82F75" w:rsidRPr="00F52C10" w:rsidRDefault="00B82F75" w:rsidP="00E4628E">
            <w:pPr>
              <w:pStyle w:val="Tabletext0"/>
              <w:spacing w:before="34" w:after="34" w:line="276" w:lineRule="auto"/>
              <w:rPr>
                <w:sz w:val="18"/>
                <w:szCs w:val="18"/>
                <w:lang w:val="en-CA"/>
              </w:rPr>
            </w:pPr>
          </w:p>
        </w:tc>
      </w:tr>
      <w:tr w:rsidR="00B82F75" w:rsidRPr="00F52C10" w14:paraId="0D3B0A9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098150D" w14:textId="77777777" w:rsidR="00B82F75" w:rsidRPr="00F52C10" w:rsidRDefault="00B82F75" w:rsidP="00E4628E">
            <w:pPr>
              <w:pStyle w:val="Tabletext0"/>
              <w:spacing w:before="34" w:after="34" w:line="276" w:lineRule="auto"/>
              <w:rPr>
                <w:sz w:val="18"/>
                <w:szCs w:val="18"/>
              </w:rPr>
            </w:pPr>
            <w:r w:rsidRPr="00F52C10">
              <w:rPr>
                <w:sz w:val="18"/>
                <w:szCs w:val="18"/>
              </w:rPr>
              <w:t>MCO00000</w:t>
            </w:r>
          </w:p>
        </w:tc>
        <w:tc>
          <w:tcPr>
            <w:tcW w:w="1076" w:type="dxa"/>
            <w:tcBorders>
              <w:top w:val="single" w:sz="4" w:space="0" w:color="auto"/>
              <w:left w:val="single" w:sz="4" w:space="0" w:color="auto"/>
              <w:bottom w:val="single" w:sz="4" w:space="0" w:color="auto"/>
              <w:right w:val="single" w:sz="4" w:space="0" w:color="auto"/>
            </w:tcBorders>
          </w:tcPr>
          <w:p w14:paraId="056C5B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52,00</w:t>
            </w:r>
          </w:p>
        </w:tc>
        <w:tc>
          <w:tcPr>
            <w:tcW w:w="970" w:type="dxa"/>
            <w:tcBorders>
              <w:top w:val="single" w:sz="4" w:space="0" w:color="auto"/>
              <w:left w:val="single" w:sz="4" w:space="0" w:color="auto"/>
              <w:bottom w:val="single" w:sz="4" w:space="0" w:color="auto"/>
              <w:right w:val="single" w:sz="4" w:space="0" w:color="auto"/>
            </w:tcBorders>
          </w:tcPr>
          <w:p w14:paraId="28EDFEEE"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4D59B7F1"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F27D55"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2BEE51E"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068956D"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37395528" w14:textId="77777777" w:rsidR="00B82F75" w:rsidRPr="00F52C10" w:rsidRDefault="00B82F75" w:rsidP="00E462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34" w:after="34" w:line="276" w:lineRule="auto"/>
              <w:jc w:val="right"/>
              <w:rPr>
                <w:sz w:val="18"/>
                <w:szCs w:val="18"/>
                <w:lang w:val="en-CA"/>
              </w:rPr>
            </w:pPr>
            <w:r w:rsidRPr="00F52C10">
              <w:rPr>
                <w:sz w:val="18"/>
                <w:szCs w:val="18"/>
              </w:rPr>
              <w:t>−15,6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2D84C237" w14:textId="77777777" w:rsidR="00B82F75" w:rsidRPr="00F52C10" w:rsidRDefault="00B82F75" w:rsidP="00E462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34" w:after="34" w:line="276" w:lineRule="auto"/>
              <w:jc w:val="right"/>
              <w:rPr>
                <w:sz w:val="18"/>
                <w:szCs w:val="18"/>
                <w:lang w:val="en-CA"/>
              </w:rPr>
            </w:pPr>
            <w:r w:rsidRPr="00F52C10">
              <w:rPr>
                <w:sz w:val="18"/>
                <w:szCs w:val="18"/>
              </w:rPr>
              <w:t>−28,7</w:t>
            </w:r>
          </w:p>
        </w:tc>
        <w:tc>
          <w:tcPr>
            <w:tcW w:w="907" w:type="dxa"/>
            <w:tcBorders>
              <w:top w:val="single" w:sz="4" w:space="0" w:color="auto"/>
              <w:left w:val="single" w:sz="4" w:space="0" w:color="auto"/>
              <w:bottom w:val="single" w:sz="4" w:space="0" w:color="auto"/>
              <w:right w:val="single" w:sz="4" w:space="0" w:color="auto"/>
            </w:tcBorders>
            <w:vAlign w:val="bottom"/>
          </w:tcPr>
          <w:p w14:paraId="591B73EC" w14:textId="77777777" w:rsidR="00B82F75" w:rsidRPr="00F52C10" w:rsidRDefault="00B82F75" w:rsidP="00E4628E">
            <w:pPr>
              <w:pStyle w:val="Tabletext0"/>
              <w:spacing w:before="34" w:after="34" w:line="276" w:lineRule="auto"/>
              <w:rPr>
                <w:sz w:val="18"/>
                <w:szCs w:val="18"/>
                <w:lang w:val="en-CA"/>
              </w:rPr>
            </w:pPr>
            <w:r w:rsidRPr="00F52C10">
              <w:rPr>
                <w:sz w:val="18"/>
                <w:szCs w:val="18"/>
                <w:lang w:val="en-US"/>
              </w:rPr>
              <w:t>3, 6</w:t>
            </w:r>
          </w:p>
        </w:tc>
      </w:tr>
      <w:tr w:rsidR="00B82F75" w:rsidRPr="00F52C10" w14:paraId="529099C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D110A62" w14:textId="77777777" w:rsidR="00B82F75" w:rsidRPr="00F52C10" w:rsidRDefault="00B82F75" w:rsidP="00E4628E">
            <w:pPr>
              <w:pStyle w:val="Tabletext0"/>
              <w:spacing w:before="34" w:after="34" w:line="276" w:lineRule="auto"/>
              <w:rPr>
                <w:sz w:val="18"/>
                <w:szCs w:val="18"/>
              </w:rPr>
            </w:pPr>
            <w:r w:rsidRPr="00F52C10">
              <w:rPr>
                <w:sz w:val="18"/>
                <w:szCs w:val="18"/>
              </w:rPr>
              <w:t>MDG00000</w:t>
            </w:r>
          </w:p>
        </w:tc>
        <w:tc>
          <w:tcPr>
            <w:tcW w:w="1076" w:type="dxa"/>
            <w:tcBorders>
              <w:top w:val="single" w:sz="4" w:space="0" w:color="auto"/>
              <w:left w:val="single" w:sz="4" w:space="0" w:color="auto"/>
              <w:bottom w:val="single" w:sz="4" w:space="0" w:color="auto"/>
              <w:right w:val="single" w:sz="4" w:space="0" w:color="auto"/>
            </w:tcBorders>
          </w:tcPr>
          <w:p w14:paraId="01C823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16,90</w:t>
            </w:r>
          </w:p>
        </w:tc>
        <w:tc>
          <w:tcPr>
            <w:tcW w:w="970" w:type="dxa"/>
            <w:tcBorders>
              <w:top w:val="single" w:sz="4" w:space="0" w:color="auto"/>
              <w:left w:val="single" w:sz="4" w:space="0" w:color="auto"/>
              <w:bottom w:val="single" w:sz="4" w:space="0" w:color="auto"/>
              <w:right w:val="single" w:sz="4" w:space="0" w:color="auto"/>
            </w:tcBorders>
          </w:tcPr>
          <w:p w14:paraId="76122C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46,60</w:t>
            </w:r>
          </w:p>
        </w:tc>
        <w:tc>
          <w:tcPr>
            <w:tcW w:w="907" w:type="dxa"/>
            <w:tcBorders>
              <w:top w:val="single" w:sz="4" w:space="0" w:color="auto"/>
              <w:left w:val="single" w:sz="4" w:space="0" w:color="auto"/>
              <w:bottom w:val="single" w:sz="4" w:space="0" w:color="auto"/>
              <w:right w:val="single" w:sz="4" w:space="0" w:color="auto"/>
            </w:tcBorders>
          </w:tcPr>
          <w:p w14:paraId="3251E4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AC17F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C36E59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1137C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39FB4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E6FC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−38,6</w:t>
            </w:r>
          </w:p>
        </w:tc>
        <w:tc>
          <w:tcPr>
            <w:tcW w:w="907" w:type="dxa"/>
            <w:tcBorders>
              <w:top w:val="single" w:sz="4" w:space="0" w:color="auto"/>
              <w:left w:val="single" w:sz="4" w:space="0" w:color="auto"/>
              <w:bottom w:val="single" w:sz="4" w:space="0" w:color="auto"/>
              <w:right w:val="single" w:sz="4" w:space="0" w:color="auto"/>
            </w:tcBorders>
          </w:tcPr>
          <w:p w14:paraId="587D1B63" w14:textId="77777777" w:rsidR="00B82F75" w:rsidRPr="00F52C10" w:rsidRDefault="00B82F75" w:rsidP="00E4628E">
            <w:pPr>
              <w:pStyle w:val="Tabletext0"/>
              <w:spacing w:before="34" w:after="34" w:line="276" w:lineRule="auto"/>
              <w:rPr>
                <w:sz w:val="18"/>
                <w:szCs w:val="18"/>
                <w:lang w:val="en-CA"/>
              </w:rPr>
            </w:pPr>
          </w:p>
        </w:tc>
      </w:tr>
      <w:tr w:rsidR="00B82F75" w:rsidRPr="00F52C10" w14:paraId="76A9EB5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06847F4" w14:textId="77777777" w:rsidR="00B82F75" w:rsidRPr="00F52C10" w:rsidRDefault="00B82F75" w:rsidP="00E4628E">
            <w:pPr>
              <w:pStyle w:val="Tabletext0"/>
              <w:spacing w:before="34" w:after="34" w:line="276" w:lineRule="auto"/>
              <w:rPr>
                <w:sz w:val="18"/>
                <w:szCs w:val="18"/>
              </w:rPr>
            </w:pPr>
            <w:r w:rsidRPr="00F52C10">
              <w:rPr>
                <w:sz w:val="18"/>
                <w:szCs w:val="18"/>
              </w:rPr>
              <w:t>MDR00000</w:t>
            </w:r>
          </w:p>
        </w:tc>
        <w:tc>
          <w:tcPr>
            <w:tcW w:w="1076" w:type="dxa"/>
            <w:tcBorders>
              <w:top w:val="single" w:sz="4" w:space="0" w:color="auto"/>
              <w:left w:val="single" w:sz="4" w:space="0" w:color="auto"/>
              <w:bottom w:val="single" w:sz="4" w:space="0" w:color="auto"/>
              <w:right w:val="single" w:sz="4" w:space="0" w:color="auto"/>
            </w:tcBorders>
          </w:tcPr>
          <w:p w14:paraId="0B9D1B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−10,60</w:t>
            </w:r>
          </w:p>
        </w:tc>
        <w:tc>
          <w:tcPr>
            <w:tcW w:w="970" w:type="dxa"/>
            <w:tcBorders>
              <w:top w:val="single" w:sz="4" w:space="0" w:color="auto"/>
              <w:left w:val="single" w:sz="4" w:space="0" w:color="auto"/>
              <w:bottom w:val="single" w:sz="4" w:space="0" w:color="auto"/>
              <w:right w:val="single" w:sz="4" w:space="0" w:color="auto"/>
            </w:tcBorders>
          </w:tcPr>
          <w:p w14:paraId="252B6E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−16,20</w:t>
            </w:r>
          </w:p>
        </w:tc>
        <w:tc>
          <w:tcPr>
            <w:tcW w:w="907" w:type="dxa"/>
            <w:tcBorders>
              <w:top w:val="single" w:sz="4" w:space="0" w:color="auto"/>
              <w:left w:val="single" w:sz="4" w:space="0" w:color="auto"/>
              <w:bottom w:val="single" w:sz="4" w:space="0" w:color="auto"/>
              <w:right w:val="single" w:sz="4" w:space="0" w:color="auto"/>
            </w:tcBorders>
          </w:tcPr>
          <w:p w14:paraId="0E3F93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12B8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12B01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9F752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0297B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681A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−41,7</w:t>
            </w:r>
          </w:p>
        </w:tc>
        <w:tc>
          <w:tcPr>
            <w:tcW w:w="907" w:type="dxa"/>
            <w:tcBorders>
              <w:top w:val="single" w:sz="4" w:space="0" w:color="auto"/>
              <w:left w:val="single" w:sz="4" w:space="0" w:color="auto"/>
              <w:bottom w:val="single" w:sz="4" w:space="0" w:color="auto"/>
              <w:right w:val="single" w:sz="4" w:space="0" w:color="auto"/>
            </w:tcBorders>
          </w:tcPr>
          <w:p w14:paraId="0ECA018B" w14:textId="77777777" w:rsidR="00B82F75" w:rsidRPr="00F52C10" w:rsidRDefault="00B82F75" w:rsidP="00E4628E">
            <w:pPr>
              <w:pStyle w:val="Tabletext0"/>
              <w:spacing w:before="34" w:after="34" w:line="276" w:lineRule="auto"/>
              <w:rPr>
                <w:sz w:val="18"/>
                <w:szCs w:val="18"/>
              </w:rPr>
            </w:pPr>
            <w:r w:rsidRPr="00F52C10">
              <w:rPr>
                <w:sz w:val="18"/>
                <w:szCs w:val="18"/>
              </w:rPr>
              <w:t>*/MB7</w:t>
            </w:r>
          </w:p>
        </w:tc>
      </w:tr>
      <w:tr w:rsidR="00B82F75" w:rsidRPr="00F52C10" w14:paraId="690FCB3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FB64B22" w14:textId="77777777" w:rsidR="00B82F75" w:rsidRPr="00F52C10" w:rsidRDefault="00B82F75" w:rsidP="00E4628E">
            <w:pPr>
              <w:pStyle w:val="Tabletext0"/>
              <w:spacing w:before="34" w:after="34" w:line="276" w:lineRule="auto"/>
              <w:rPr>
                <w:sz w:val="18"/>
                <w:szCs w:val="18"/>
              </w:rPr>
            </w:pPr>
            <w:r w:rsidRPr="00F52C10">
              <w:rPr>
                <w:sz w:val="18"/>
                <w:szCs w:val="18"/>
              </w:rPr>
              <w:t>MDW00000</w:t>
            </w:r>
          </w:p>
        </w:tc>
        <w:tc>
          <w:tcPr>
            <w:tcW w:w="1076" w:type="dxa"/>
            <w:tcBorders>
              <w:top w:val="single" w:sz="4" w:space="0" w:color="auto"/>
              <w:left w:val="single" w:sz="4" w:space="0" w:color="auto"/>
              <w:bottom w:val="single" w:sz="4" w:space="0" w:color="auto"/>
              <w:right w:val="single" w:sz="4" w:space="0" w:color="auto"/>
            </w:tcBorders>
          </w:tcPr>
          <w:p w14:paraId="3F6D52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5FF5BD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−177,40</w:t>
            </w:r>
          </w:p>
        </w:tc>
        <w:tc>
          <w:tcPr>
            <w:tcW w:w="907" w:type="dxa"/>
            <w:tcBorders>
              <w:top w:val="single" w:sz="4" w:space="0" w:color="auto"/>
              <w:left w:val="single" w:sz="4" w:space="0" w:color="auto"/>
              <w:bottom w:val="single" w:sz="4" w:space="0" w:color="auto"/>
              <w:right w:val="single" w:sz="4" w:space="0" w:color="auto"/>
            </w:tcBorders>
          </w:tcPr>
          <w:p w14:paraId="7179391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290BC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A2A9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C4731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24096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E59B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−42,0</w:t>
            </w:r>
          </w:p>
        </w:tc>
        <w:tc>
          <w:tcPr>
            <w:tcW w:w="907" w:type="dxa"/>
            <w:tcBorders>
              <w:top w:val="single" w:sz="4" w:space="0" w:color="auto"/>
              <w:left w:val="single" w:sz="4" w:space="0" w:color="auto"/>
              <w:bottom w:val="single" w:sz="4" w:space="0" w:color="auto"/>
              <w:right w:val="single" w:sz="4" w:space="0" w:color="auto"/>
            </w:tcBorders>
          </w:tcPr>
          <w:p w14:paraId="2D9C87BB"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47D6F94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DF4560D" w14:textId="77777777" w:rsidR="00B82F75" w:rsidRPr="00F52C10" w:rsidRDefault="00B82F75" w:rsidP="00E4628E">
            <w:pPr>
              <w:pStyle w:val="Tabletext0"/>
              <w:spacing w:before="34" w:after="34" w:line="276" w:lineRule="auto"/>
              <w:rPr>
                <w:sz w:val="18"/>
                <w:szCs w:val="18"/>
              </w:rPr>
            </w:pPr>
            <w:r w:rsidRPr="00F52C10">
              <w:rPr>
                <w:sz w:val="18"/>
                <w:szCs w:val="18"/>
              </w:rPr>
              <w:t>MEX00000</w:t>
            </w:r>
          </w:p>
        </w:tc>
        <w:tc>
          <w:tcPr>
            <w:tcW w:w="1076" w:type="dxa"/>
            <w:tcBorders>
              <w:top w:val="single" w:sz="4" w:space="0" w:color="auto"/>
              <w:left w:val="single" w:sz="4" w:space="0" w:color="auto"/>
              <w:bottom w:val="single" w:sz="4" w:space="0" w:color="auto"/>
              <w:right w:val="single" w:sz="4" w:space="0" w:color="auto"/>
            </w:tcBorders>
          </w:tcPr>
          <w:p w14:paraId="4195EC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70" w:type="dxa"/>
            <w:tcBorders>
              <w:top w:val="single" w:sz="4" w:space="0" w:color="auto"/>
              <w:left w:val="single" w:sz="4" w:space="0" w:color="auto"/>
              <w:bottom w:val="single" w:sz="4" w:space="0" w:color="auto"/>
              <w:right w:val="single" w:sz="4" w:space="0" w:color="auto"/>
            </w:tcBorders>
          </w:tcPr>
          <w:p w14:paraId="2F999C1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−103,60</w:t>
            </w:r>
          </w:p>
        </w:tc>
        <w:tc>
          <w:tcPr>
            <w:tcW w:w="907" w:type="dxa"/>
            <w:tcBorders>
              <w:top w:val="single" w:sz="4" w:space="0" w:color="auto"/>
              <w:left w:val="single" w:sz="4" w:space="0" w:color="auto"/>
              <w:bottom w:val="single" w:sz="4" w:space="0" w:color="auto"/>
              <w:right w:val="single" w:sz="4" w:space="0" w:color="auto"/>
            </w:tcBorders>
          </w:tcPr>
          <w:p w14:paraId="330676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9E9AE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DFD4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9EA29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73492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6D443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−38,8</w:t>
            </w:r>
          </w:p>
        </w:tc>
        <w:tc>
          <w:tcPr>
            <w:tcW w:w="907" w:type="dxa"/>
            <w:tcBorders>
              <w:top w:val="single" w:sz="4" w:space="0" w:color="auto"/>
              <w:left w:val="single" w:sz="4" w:space="0" w:color="auto"/>
              <w:bottom w:val="single" w:sz="4" w:space="0" w:color="auto"/>
              <w:right w:val="single" w:sz="4" w:space="0" w:color="auto"/>
            </w:tcBorders>
          </w:tcPr>
          <w:p w14:paraId="0823288A" w14:textId="77777777" w:rsidR="00B82F75" w:rsidRPr="00F52C10" w:rsidRDefault="00B82F75" w:rsidP="00E4628E">
            <w:pPr>
              <w:pStyle w:val="Tabletext0"/>
              <w:spacing w:before="34" w:after="34" w:line="276" w:lineRule="auto"/>
              <w:rPr>
                <w:sz w:val="18"/>
                <w:szCs w:val="18"/>
                <w:lang w:val="en-CA"/>
              </w:rPr>
            </w:pPr>
          </w:p>
        </w:tc>
      </w:tr>
      <w:tr w:rsidR="00B82F75" w:rsidRPr="00F52C10" w14:paraId="50EF5E6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D259C51" w14:textId="77777777" w:rsidR="00B82F75" w:rsidRPr="00F52C10" w:rsidRDefault="00B82F75" w:rsidP="00E4628E">
            <w:pPr>
              <w:pStyle w:val="Tabletext0"/>
              <w:spacing w:before="34" w:after="34" w:line="276" w:lineRule="auto"/>
              <w:rPr>
                <w:sz w:val="18"/>
                <w:szCs w:val="18"/>
              </w:rPr>
            </w:pPr>
            <w:r w:rsidRPr="00F52C10">
              <w:rPr>
                <w:sz w:val="18"/>
                <w:szCs w:val="18"/>
              </w:rPr>
              <w:t>MHL00000</w:t>
            </w:r>
          </w:p>
        </w:tc>
        <w:tc>
          <w:tcPr>
            <w:tcW w:w="1076" w:type="dxa"/>
            <w:tcBorders>
              <w:top w:val="single" w:sz="4" w:space="0" w:color="auto"/>
              <w:left w:val="single" w:sz="4" w:space="0" w:color="auto"/>
              <w:bottom w:val="single" w:sz="4" w:space="0" w:color="auto"/>
              <w:right w:val="single" w:sz="4" w:space="0" w:color="auto"/>
            </w:tcBorders>
          </w:tcPr>
          <w:p w14:paraId="46EA97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30C326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175,30</w:t>
            </w:r>
          </w:p>
        </w:tc>
        <w:tc>
          <w:tcPr>
            <w:tcW w:w="907" w:type="dxa"/>
            <w:tcBorders>
              <w:top w:val="single" w:sz="4" w:space="0" w:color="auto"/>
              <w:left w:val="single" w:sz="4" w:space="0" w:color="auto"/>
              <w:bottom w:val="single" w:sz="4" w:space="0" w:color="auto"/>
              <w:right w:val="single" w:sz="4" w:space="0" w:color="auto"/>
            </w:tcBorders>
          </w:tcPr>
          <w:p w14:paraId="49969F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6569E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79B78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74A8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062EB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DEBD5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−38,8</w:t>
            </w:r>
          </w:p>
        </w:tc>
        <w:tc>
          <w:tcPr>
            <w:tcW w:w="907" w:type="dxa"/>
            <w:tcBorders>
              <w:top w:val="single" w:sz="4" w:space="0" w:color="auto"/>
              <w:left w:val="single" w:sz="4" w:space="0" w:color="auto"/>
              <w:bottom w:val="single" w:sz="4" w:space="0" w:color="auto"/>
              <w:right w:val="single" w:sz="4" w:space="0" w:color="auto"/>
            </w:tcBorders>
          </w:tcPr>
          <w:p w14:paraId="7B5A43FE"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7C1888CE"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A05B4CB" w14:textId="77777777" w:rsidR="00B82F75" w:rsidRPr="00F52C10" w:rsidRDefault="00B82F75" w:rsidP="00E4628E">
            <w:pPr>
              <w:pStyle w:val="Tabletext0"/>
              <w:spacing w:before="34" w:after="34" w:line="276" w:lineRule="auto"/>
              <w:rPr>
                <w:sz w:val="18"/>
                <w:szCs w:val="18"/>
              </w:rPr>
            </w:pPr>
            <w:r w:rsidRPr="00F52C10">
              <w:rPr>
                <w:sz w:val="18"/>
                <w:szCs w:val="18"/>
              </w:rPr>
              <w:t>MLA00000</w:t>
            </w:r>
          </w:p>
        </w:tc>
        <w:tc>
          <w:tcPr>
            <w:tcW w:w="1076" w:type="dxa"/>
            <w:tcBorders>
              <w:top w:val="single" w:sz="4" w:space="0" w:color="auto"/>
              <w:left w:val="single" w:sz="4" w:space="0" w:color="auto"/>
              <w:bottom w:val="single" w:sz="4" w:space="0" w:color="auto"/>
              <w:right w:val="single" w:sz="4" w:space="0" w:color="auto"/>
            </w:tcBorders>
          </w:tcPr>
          <w:p w14:paraId="17F590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78,50</w:t>
            </w:r>
          </w:p>
        </w:tc>
        <w:tc>
          <w:tcPr>
            <w:tcW w:w="970" w:type="dxa"/>
            <w:tcBorders>
              <w:top w:val="single" w:sz="4" w:space="0" w:color="auto"/>
              <w:left w:val="single" w:sz="4" w:space="0" w:color="auto"/>
              <w:bottom w:val="single" w:sz="4" w:space="0" w:color="auto"/>
              <w:right w:val="single" w:sz="4" w:space="0" w:color="auto"/>
            </w:tcBorders>
          </w:tcPr>
          <w:p w14:paraId="42BA7C3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108,20</w:t>
            </w:r>
          </w:p>
        </w:tc>
        <w:tc>
          <w:tcPr>
            <w:tcW w:w="907" w:type="dxa"/>
            <w:tcBorders>
              <w:top w:val="single" w:sz="4" w:space="0" w:color="auto"/>
              <w:left w:val="single" w:sz="4" w:space="0" w:color="auto"/>
              <w:bottom w:val="single" w:sz="4" w:space="0" w:color="auto"/>
              <w:right w:val="single" w:sz="4" w:space="0" w:color="auto"/>
            </w:tcBorders>
          </w:tcPr>
          <w:p w14:paraId="073CB4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ED468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5A6F6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14315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8A84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0B513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−38,5</w:t>
            </w:r>
          </w:p>
        </w:tc>
        <w:tc>
          <w:tcPr>
            <w:tcW w:w="907" w:type="dxa"/>
            <w:tcBorders>
              <w:top w:val="single" w:sz="4" w:space="0" w:color="auto"/>
              <w:left w:val="single" w:sz="4" w:space="0" w:color="auto"/>
              <w:bottom w:val="single" w:sz="4" w:space="0" w:color="auto"/>
              <w:right w:val="single" w:sz="4" w:space="0" w:color="auto"/>
            </w:tcBorders>
          </w:tcPr>
          <w:p w14:paraId="23367AFA" w14:textId="77777777" w:rsidR="00B82F75" w:rsidRPr="00F52C10" w:rsidRDefault="00B82F75" w:rsidP="00E4628E">
            <w:pPr>
              <w:pStyle w:val="Tabletext0"/>
              <w:spacing w:before="34" w:after="34" w:line="276" w:lineRule="auto"/>
              <w:rPr>
                <w:sz w:val="18"/>
                <w:szCs w:val="18"/>
                <w:lang w:val="en-CA"/>
              </w:rPr>
            </w:pPr>
          </w:p>
        </w:tc>
      </w:tr>
      <w:tr w:rsidR="00B82F75" w:rsidRPr="00F52C10" w14:paraId="4E783CE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4454BAF" w14:textId="77777777" w:rsidR="00B82F75" w:rsidRPr="00F52C10" w:rsidRDefault="00B82F75" w:rsidP="00E4628E">
            <w:pPr>
              <w:pStyle w:val="Tabletext0"/>
              <w:spacing w:before="34" w:after="34" w:line="276" w:lineRule="auto"/>
              <w:rPr>
                <w:sz w:val="18"/>
                <w:szCs w:val="18"/>
              </w:rPr>
            </w:pPr>
            <w:r w:rsidRPr="00F52C10">
              <w:rPr>
                <w:sz w:val="18"/>
                <w:szCs w:val="18"/>
              </w:rPr>
              <w:t>MLD00000</w:t>
            </w:r>
          </w:p>
        </w:tc>
        <w:tc>
          <w:tcPr>
            <w:tcW w:w="1076" w:type="dxa"/>
            <w:tcBorders>
              <w:top w:val="single" w:sz="4" w:space="0" w:color="auto"/>
              <w:left w:val="single" w:sz="4" w:space="0" w:color="auto"/>
              <w:bottom w:val="single" w:sz="4" w:space="0" w:color="auto"/>
              <w:right w:val="single" w:sz="4" w:space="0" w:color="auto"/>
            </w:tcBorders>
          </w:tcPr>
          <w:p w14:paraId="017554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117,60</w:t>
            </w:r>
          </w:p>
        </w:tc>
        <w:tc>
          <w:tcPr>
            <w:tcW w:w="970" w:type="dxa"/>
            <w:tcBorders>
              <w:top w:val="single" w:sz="4" w:space="0" w:color="auto"/>
              <w:left w:val="single" w:sz="4" w:space="0" w:color="auto"/>
              <w:bottom w:val="single" w:sz="4" w:space="0" w:color="auto"/>
              <w:right w:val="single" w:sz="4" w:space="0" w:color="auto"/>
            </w:tcBorders>
          </w:tcPr>
          <w:p w14:paraId="0D323A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73,40</w:t>
            </w:r>
          </w:p>
        </w:tc>
        <w:tc>
          <w:tcPr>
            <w:tcW w:w="907" w:type="dxa"/>
            <w:tcBorders>
              <w:top w:val="single" w:sz="4" w:space="0" w:color="auto"/>
              <w:left w:val="single" w:sz="4" w:space="0" w:color="auto"/>
              <w:bottom w:val="single" w:sz="4" w:space="0" w:color="auto"/>
              <w:right w:val="single" w:sz="4" w:space="0" w:color="auto"/>
            </w:tcBorders>
          </w:tcPr>
          <w:p w14:paraId="5B0745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F8D8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9458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24F2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8A9A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61312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−38,7</w:t>
            </w:r>
          </w:p>
        </w:tc>
        <w:tc>
          <w:tcPr>
            <w:tcW w:w="907" w:type="dxa"/>
            <w:tcBorders>
              <w:top w:val="single" w:sz="4" w:space="0" w:color="auto"/>
              <w:left w:val="single" w:sz="4" w:space="0" w:color="auto"/>
              <w:bottom w:val="single" w:sz="4" w:space="0" w:color="auto"/>
              <w:right w:val="single" w:sz="4" w:space="0" w:color="auto"/>
            </w:tcBorders>
          </w:tcPr>
          <w:p w14:paraId="32A7125D" w14:textId="77777777" w:rsidR="00B82F75" w:rsidRPr="00F52C10" w:rsidRDefault="00B82F75" w:rsidP="00E4628E">
            <w:pPr>
              <w:pStyle w:val="Tabletext0"/>
              <w:spacing w:before="34" w:after="34" w:line="276" w:lineRule="auto"/>
              <w:rPr>
                <w:sz w:val="18"/>
                <w:szCs w:val="18"/>
                <w:lang w:val="en-CA"/>
              </w:rPr>
            </w:pPr>
          </w:p>
        </w:tc>
      </w:tr>
      <w:tr w:rsidR="00B82F75" w:rsidRPr="00F52C10" w14:paraId="6018C430"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5C5F9FB" w14:textId="77777777" w:rsidR="00B82F75" w:rsidRPr="00F52C10" w:rsidRDefault="00B82F75" w:rsidP="00E4628E">
            <w:pPr>
              <w:pStyle w:val="Tabletext0"/>
              <w:spacing w:before="34" w:after="34" w:line="276" w:lineRule="auto"/>
              <w:rPr>
                <w:sz w:val="18"/>
                <w:szCs w:val="18"/>
              </w:rPr>
            </w:pPr>
            <w:r w:rsidRPr="00F52C10">
              <w:rPr>
                <w:sz w:val="18"/>
                <w:szCs w:val="18"/>
              </w:rPr>
              <w:t>MLI00000</w:t>
            </w:r>
          </w:p>
        </w:tc>
        <w:tc>
          <w:tcPr>
            <w:tcW w:w="1076" w:type="dxa"/>
            <w:tcBorders>
              <w:top w:val="single" w:sz="4" w:space="0" w:color="auto"/>
              <w:left w:val="single" w:sz="4" w:space="0" w:color="auto"/>
              <w:bottom w:val="single" w:sz="4" w:space="0" w:color="auto"/>
              <w:right w:val="single" w:sz="4" w:space="0" w:color="auto"/>
            </w:tcBorders>
          </w:tcPr>
          <w:p w14:paraId="471400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−6,00</w:t>
            </w:r>
          </w:p>
        </w:tc>
        <w:tc>
          <w:tcPr>
            <w:tcW w:w="970" w:type="dxa"/>
            <w:tcBorders>
              <w:top w:val="single" w:sz="4" w:space="0" w:color="auto"/>
              <w:left w:val="single" w:sz="4" w:space="0" w:color="auto"/>
              <w:bottom w:val="single" w:sz="4" w:space="0" w:color="auto"/>
              <w:right w:val="single" w:sz="4" w:space="0" w:color="auto"/>
            </w:tcBorders>
          </w:tcPr>
          <w:p w14:paraId="6568F0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907" w:type="dxa"/>
            <w:tcBorders>
              <w:top w:val="single" w:sz="4" w:space="0" w:color="auto"/>
              <w:left w:val="single" w:sz="4" w:space="0" w:color="auto"/>
              <w:bottom w:val="single" w:sz="4" w:space="0" w:color="auto"/>
              <w:right w:val="single" w:sz="4" w:space="0" w:color="auto"/>
            </w:tcBorders>
          </w:tcPr>
          <w:p w14:paraId="05DCCB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6E83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4AE64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516C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BBEFC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8DB1E5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−39,2</w:t>
            </w:r>
          </w:p>
        </w:tc>
        <w:tc>
          <w:tcPr>
            <w:tcW w:w="907" w:type="dxa"/>
            <w:tcBorders>
              <w:top w:val="single" w:sz="4" w:space="0" w:color="auto"/>
              <w:left w:val="single" w:sz="4" w:space="0" w:color="auto"/>
              <w:bottom w:val="single" w:sz="4" w:space="0" w:color="auto"/>
              <w:right w:val="single" w:sz="4" w:space="0" w:color="auto"/>
            </w:tcBorders>
          </w:tcPr>
          <w:p w14:paraId="392874E2" w14:textId="77777777" w:rsidR="00B82F75" w:rsidRPr="00F52C10" w:rsidRDefault="00B82F75" w:rsidP="00E4628E">
            <w:pPr>
              <w:pStyle w:val="Tabletext0"/>
              <w:spacing w:before="34" w:after="34" w:line="276" w:lineRule="auto"/>
              <w:rPr>
                <w:sz w:val="18"/>
                <w:szCs w:val="18"/>
                <w:lang w:val="en-CA"/>
              </w:rPr>
            </w:pPr>
          </w:p>
        </w:tc>
      </w:tr>
      <w:tr w:rsidR="00B82F75" w:rsidRPr="00F52C10" w14:paraId="6B41C18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12B4738" w14:textId="77777777" w:rsidR="00B82F75" w:rsidRPr="00F52C10" w:rsidRDefault="00B82F75" w:rsidP="00E4628E">
            <w:pPr>
              <w:pStyle w:val="Tabletext0"/>
              <w:spacing w:before="34" w:after="34" w:line="276" w:lineRule="auto"/>
              <w:rPr>
                <w:sz w:val="18"/>
                <w:szCs w:val="18"/>
              </w:rPr>
            </w:pPr>
            <w:r w:rsidRPr="00F52C10">
              <w:rPr>
                <w:sz w:val="18"/>
                <w:szCs w:val="18"/>
              </w:rPr>
              <w:t>MLT00000</w:t>
            </w:r>
          </w:p>
        </w:tc>
        <w:tc>
          <w:tcPr>
            <w:tcW w:w="1076" w:type="dxa"/>
            <w:tcBorders>
              <w:top w:val="single" w:sz="4" w:space="0" w:color="auto"/>
              <w:left w:val="single" w:sz="4" w:space="0" w:color="auto"/>
              <w:bottom w:val="single" w:sz="4" w:space="0" w:color="auto"/>
              <w:right w:val="single" w:sz="4" w:space="0" w:color="auto"/>
            </w:tcBorders>
          </w:tcPr>
          <w:p w14:paraId="64580A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970" w:type="dxa"/>
            <w:tcBorders>
              <w:top w:val="single" w:sz="4" w:space="0" w:color="auto"/>
              <w:left w:val="single" w:sz="4" w:space="0" w:color="auto"/>
              <w:bottom w:val="single" w:sz="4" w:space="0" w:color="auto"/>
              <w:right w:val="single" w:sz="4" w:space="0" w:color="auto"/>
            </w:tcBorders>
          </w:tcPr>
          <w:p w14:paraId="20A17F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14,40</w:t>
            </w:r>
          </w:p>
        </w:tc>
        <w:tc>
          <w:tcPr>
            <w:tcW w:w="907" w:type="dxa"/>
            <w:tcBorders>
              <w:top w:val="single" w:sz="4" w:space="0" w:color="auto"/>
              <w:left w:val="single" w:sz="4" w:space="0" w:color="auto"/>
              <w:bottom w:val="single" w:sz="4" w:space="0" w:color="auto"/>
              <w:right w:val="single" w:sz="4" w:space="0" w:color="auto"/>
            </w:tcBorders>
          </w:tcPr>
          <w:p w14:paraId="6E9325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E11B5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87761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F356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474A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A13EE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w:t>
            </w:r>
          </w:p>
        </w:tc>
        <w:tc>
          <w:tcPr>
            <w:tcW w:w="907" w:type="dxa"/>
            <w:tcBorders>
              <w:top w:val="single" w:sz="4" w:space="0" w:color="auto"/>
              <w:left w:val="single" w:sz="4" w:space="0" w:color="auto"/>
              <w:bottom w:val="single" w:sz="4" w:space="0" w:color="auto"/>
              <w:right w:val="single" w:sz="4" w:space="0" w:color="auto"/>
            </w:tcBorders>
          </w:tcPr>
          <w:p w14:paraId="39BEE41B" w14:textId="77777777" w:rsidR="00B82F75" w:rsidRPr="00F52C10" w:rsidRDefault="00B82F75" w:rsidP="00E4628E">
            <w:pPr>
              <w:pStyle w:val="Tabletext0"/>
              <w:spacing w:before="34" w:after="34" w:line="276" w:lineRule="auto"/>
              <w:rPr>
                <w:sz w:val="18"/>
                <w:szCs w:val="18"/>
                <w:lang w:val="en-CA"/>
              </w:rPr>
            </w:pPr>
          </w:p>
        </w:tc>
      </w:tr>
      <w:tr w:rsidR="00B82F75" w:rsidRPr="00F52C10" w14:paraId="3467A128"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4A9B965" w14:textId="77777777" w:rsidR="00B82F75" w:rsidRPr="00F52C10" w:rsidRDefault="00B82F75" w:rsidP="00E4628E">
            <w:pPr>
              <w:pStyle w:val="Tabletext0"/>
              <w:spacing w:before="34" w:after="34" w:line="276" w:lineRule="auto"/>
              <w:rPr>
                <w:sz w:val="18"/>
                <w:szCs w:val="18"/>
              </w:rPr>
            </w:pPr>
            <w:r w:rsidRPr="00F52C10">
              <w:rPr>
                <w:sz w:val="18"/>
                <w:szCs w:val="18"/>
              </w:rPr>
              <w:t>MNG00000</w:t>
            </w:r>
          </w:p>
        </w:tc>
        <w:tc>
          <w:tcPr>
            <w:tcW w:w="1076" w:type="dxa"/>
            <w:tcBorders>
              <w:top w:val="single" w:sz="4" w:space="0" w:color="auto"/>
              <w:left w:val="single" w:sz="4" w:space="0" w:color="auto"/>
              <w:bottom w:val="single" w:sz="4" w:space="0" w:color="auto"/>
              <w:right w:val="single" w:sz="4" w:space="0" w:color="auto"/>
            </w:tcBorders>
          </w:tcPr>
          <w:p w14:paraId="0E3A4C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113,60</w:t>
            </w:r>
          </w:p>
        </w:tc>
        <w:tc>
          <w:tcPr>
            <w:tcW w:w="970" w:type="dxa"/>
            <w:tcBorders>
              <w:top w:val="single" w:sz="4" w:space="0" w:color="auto"/>
              <w:left w:val="single" w:sz="4" w:space="0" w:color="auto"/>
              <w:bottom w:val="single" w:sz="4" w:space="0" w:color="auto"/>
              <w:right w:val="single" w:sz="4" w:space="0" w:color="auto"/>
            </w:tcBorders>
          </w:tcPr>
          <w:p w14:paraId="6DA151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103,80</w:t>
            </w:r>
          </w:p>
        </w:tc>
        <w:tc>
          <w:tcPr>
            <w:tcW w:w="907" w:type="dxa"/>
            <w:tcBorders>
              <w:top w:val="single" w:sz="4" w:space="0" w:color="auto"/>
              <w:left w:val="single" w:sz="4" w:space="0" w:color="auto"/>
              <w:bottom w:val="single" w:sz="4" w:space="0" w:color="auto"/>
              <w:right w:val="single" w:sz="4" w:space="0" w:color="auto"/>
            </w:tcBorders>
          </w:tcPr>
          <w:p w14:paraId="60AD68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79C7D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97990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B93B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35E6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6E9EC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w:t>
            </w:r>
          </w:p>
        </w:tc>
        <w:tc>
          <w:tcPr>
            <w:tcW w:w="907" w:type="dxa"/>
            <w:tcBorders>
              <w:top w:val="single" w:sz="4" w:space="0" w:color="auto"/>
              <w:left w:val="single" w:sz="4" w:space="0" w:color="auto"/>
              <w:bottom w:val="single" w:sz="4" w:space="0" w:color="auto"/>
              <w:right w:val="single" w:sz="4" w:space="0" w:color="auto"/>
            </w:tcBorders>
          </w:tcPr>
          <w:p w14:paraId="1733AC59" w14:textId="77777777" w:rsidR="00B82F75" w:rsidRPr="00F52C10" w:rsidRDefault="00B82F75" w:rsidP="00E4628E">
            <w:pPr>
              <w:pStyle w:val="Tabletext0"/>
              <w:spacing w:before="34" w:after="34" w:line="276" w:lineRule="auto"/>
              <w:rPr>
                <w:sz w:val="18"/>
                <w:szCs w:val="18"/>
                <w:lang w:val="en-CA"/>
              </w:rPr>
            </w:pPr>
          </w:p>
        </w:tc>
      </w:tr>
      <w:tr w:rsidR="00B82F75" w:rsidRPr="00F52C10" w14:paraId="34D8C81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69E58AC" w14:textId="77777777" w:rsidR="00B82F75" w:rsidRPr="00F52C10" w:rsidRDefault="00B82F75" w:rsidP="00E4628E">
            <w:pPr>
              <w:pStyle w:val="Tabletext0"/>
              <w:spacing w:before="34" w:after="34" w:line="276" w:lineRule="auto"/>
              <w:rPr>
                <w:sz w:val="18"/>
                <w:szCs w:val="18"/>
              </w:rPr>
            </w:pPr>
            <w:r w:rsidRPr="00F52C10">
              <w:rPr>
                <w:sz w:val="18"/>
                <w:szCs w:val="18"/>
              </w:rPr>
              <w:t>MOZ00000</w:t>
            </w:r>
          </w:p>
        </w:tc>
        <w:tc>
          <w:tcPr>
            <w:tcW w:w="1076" w:type="dxa"/>
            <w:tcBorders>
              <w:top w:val="single" w:sz="4" w:space="0" w:color="auto"/>
              <w:left w:val="single" w:sz="4" w:space="0" w:color="auto"/>
              <w:bottom w:val="single" w:sz="4" w:space="0" w:color="auto"/>
              <w:right w:val="single" w:sz="4" w:space="0" w:color="auto"/>
            </w:tcBorders>
          </w:tcPr>
          <w:p w14:paraId="03BC697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90,60</w:t>
            </w:r>
          </w:p>
        </w:tc>
        <w:tc>
          <w:tcPr>
            <w:tcW w:w="970" w:type="dxa"/>
            <w:tcBorders>
              <w:top w:val="single" w:sz="4" w:space="0" w:color="auto"/>
              <w:left w:val="single" w:sz="4" w:space="0" w:color="auto"/>
              <w:bottom w:val="single" w:sz="4" w:space="0" w:color="auto"/>
              <w:right w:val="single" w:sz="4" w:space="0" w:color="auto"/>
            </w:tcBorders>
          </w:tcPr>
          <w:p w14:paraId="6E27EA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35,60</w:t>
            </w:r>
          </w:p>
        </w:tc>
        <w:tc>
          <w:tcPr>
            <w:tcW w:w="907" w:type="dxa"/>
            <w:tcBorders>
              <w:top w:val="single" w:sz="4" w:space="0" w:color="auto"/>
              <w:left w:val="single" w:sz="4" w:space="0" w:color="auto"/>
              <w:bottom w:val="single" w:sz="4" w:space="0" w:color="auto"/>
              <w:right w:val="single" w:sz="4" w:space="0" w:color="auto"/>
            </w:tcBorders>
          </w:tcPr>
          <w:p w14:paraId="0C61E76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F63E7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C841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9295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98,00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E7737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EA51C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−38,3</w:t>
            </w:r>
          </w:p>
        </w:tc>
        <w:tc>
          <w:tcPr>
            <w:tcW w:w="907" w:type="dxa"/>
            <w:tcBorders>
              <w:top w:val="single" w:sz="4" w:space="0" w:color="auto"/>
              <w:left w:val="single" w:sz="4" w:space="0" w:color="auto"/>
              <w:bottom w:val="single" w:sz="4" w:space="0" w:color="auto"/>
              <w:right w:val="single" w:sz="4" w:space="0" w:color="auto"/>
            </w:tcBorders>
          </w:tcPr>
          <w:p w14:paraId="6F3A90FA" w14:textId="77777777" w:rsidR="00B82F75" w:rsidRPr="00F52C10" w:rsidRDefault="00B82F75" w:rsidP="00E4628E">
            <w:pPr>
              <w:pStyle w:val="Tabletext0"/>
              <w:spacing w:before="34" w:after="34" w:line="276" w:lineRule="auto"/>
              <w:rPr>
                <w:sz w:val="18"/>
                <w:szCs w:val="18"/>
                <w:lang w:val="en-CA"/>
              </w:rPr>
            </w:pPr>
          </w:p>
        </w:tc>
      </w:tr>
      <w:tr w:rsidR="00B82F75" w:rsidRPr="00F52C10" w14:paraId="4884641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B80411D" w14:textId="77777777" w:rsidR="00B82F75" w:rsidRPr="00F52C10" w:rsidRDefault="00B82F75" w:rsidP="00E4628E">
            <w:pPr>
              <w:pStyle w:val="Tabletext0"/>
              <w:spacing w:before="34" w:after="34" w:line="276" w:lineRule="auto"/>
              <w:rPr>
                <w:sz w:val="18"/>
                <w:szCs w:val="18"/>
              </w:rPr>
            </w:pPr>
            <w:r w:rsidRPr="00F52C10">
              <w:rPr>
                <w:sz w:val="18"/>
                <w:szCs w:val="18"/>
              </w:rPr>
              <w:t>MRC00000</w:t>
            </w:r>
          </w:p>
        </w:tc>
        <w:tc>
          <w:tcPr>
            <w:tcW w:w="1076" w:type="dxa"/>
            <w:tcBorders>
              <w:top w:val="single" w:sz="4" w:space="0" w:color="auto"/>
              <w:left w:val="single" w:sz="4" w:space="0" w:color="auto"/>
              <w:bottom w:val="single" w:sz="4" w:space="0" w:color="auto"/>
              <w:right w:val="single" w:sz="4" w:space="0" w:color="auto"/>
            </w:tcBorders>
          </w:tcPr>
          <w:p w14:paraId="024EE8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32,86</w:t>
            </w:r>
          </w:p>
        </w:tc>
        <w:tc>
          <w:tcPr>
            <w:tcW w:w="970" w:type="dxa"/>
            <w:tcBorders>
              <w:top w:val="single" w:sz="4" w:space="0" w:color="auto"/>
              <w:left w:val="single" w:sz="4" w:space="0" w:color="auto"/>
              <w:bottom w:val="single" w:sz="4" w:space="0" w:color="auto"/>
              <w:right w:val="single" w:sz="4" w:space="0" w:color="auto"/>
            </w:tcBorders>
          </w:tcPr>
          <w:p w14:paraId="284A9B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−8,90</w:t>
            </w:r>
          </w:p>
        </w:tc>
        <w:tc>
          <w:tcPr>
            <w:tcW w:w="907" w:type="dxa"/>
            <w:tcBorders>
              <w:top w:val="single" w:sz="4" w:space="0" w:color="auto"/>
              <w:left w:val="single" w:sz="4" w:space="0" w:color="auto"/>
              <w:bottom w:val="single" w:sz="4" w:space="0" w:color="auto"/>
              <w:right w:val="single" w:sz="4" w:space="0" w:color="auto"/>
            </w:tcBorders>
          </w:tcPr>
          <w:p w14:paraId="513A4B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8134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BCC95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848C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0B6B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296D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−38,8</w:t>
            </w:r>
          </w:p>
        </w:tc>
        <w:tc>
          <w:tcPr>
            <w:tcW w:w="907" w:type="dxa"/>
            <w:tcBorders>
              <w:top w:val="single" w:sz="4" w:space="0" w:color="auto"/>
              <w:left w:val="single" w:sz="4" w:space="0" w:color="auto"/>
              <w:bottom w:val="single" w:sz="4" w:space="0" w:color="auto"/>
              <w:right w:val="single" w:sz="4" w:space="0" w:color="auto"/>
            </w:tcBorders>
          </w:tcPr>
          <w:p w14:paraId="5F548522" w14:textId="77777777" w:rsidR="00B82F75" w:rsidRPr="00F52C10" w:rsidRDefault="00B82F75" w:rsidP="00E4628E">
            <w:pPr>
              <w:pStyle w:val="Tabletext0"/>
              <w:spacing w:before="34" w:after="34" w:line="276" w:lineRule="auto"/>
              <w:rPr>
                <w:sz w:val="18"/>
                <w:szCs w:val="18"/>
                <w:lang w:val="en-CA"/>
              </w:rPr>
            </w:pPr>
          </w:p>
        </w:tc>
      </w:tr>
      <w:tr w:rsidR="00B82F75" w:rsidRPr="00F52C10" w14:paraId="4DCE919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A0067B4" w14:textId="77777777" w:rsidR="00B82F75" w:rsidRPr="00F52C10" w:rsidRDefault="00B82F75" w:rsidP="00E4628E">
            <w:pPr>
              <w:pStyle w:val="Tabletext0"/>
              <w:spacing w:before="34" w:after="34" w:line="276" w:lineRule="auto"/>
              <w:rPr>
                <w:sz w:val="18"/>
                <w:szCs w:val="18"/>
              </w:rPr>
            </w:pPr>
            <w:r w:rsidRPr="00F52C10">
              <w:rPr>
                <w:sz w:val="18"/>
                <w:szCs w:val="18"/>
              </w:rPr>
              <w:t>MTN00000</w:t>
            </w:r>
          </w:p>
        </w:tc>
        <w:tc>
          <w:tcPr>
            <w:tcW w:w="1076" w:type="dxa"/>
            <w:tcBorders>
              <w:top w:val="single" w:sz="4" w:space="0" w:color="auto"/>
              <w:left w:val="single" w:sz="4" w:space="0" w:color="auto"/>
              <w:bottom w:val="single" w:sz="4" w:space="0" w:color="auto"/>
              <w:right w:val="single" w:sz="4" w:space="0" w:color="auto"/>
            </w:tcBorders>
          </w:tcPr>
          <w:p w14:paraId="1C9711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−21,10</w:t>
            </w:r>
          </w:p>
        </w:tc>
        <w:tc>
          <w:tcPr>
            <w:tcW w:w="970" w:type="dxa"/>
            <w:tcBorders>
              <w:top w:val="single" w:sz="4" w:space="0" w:color="auto"/>
              <w:left w:val="single" w:sz="4" w:space="0" w:color="auto"/>
              <w:bottom w:val="single" w:sz="4" w:space="0" w:color="auto"/>
              <w:right w:val="single" w:sz="4" w:space="0" w:color="auto"/>
            </w:tcBorders>
          </w:tcPr>
          <w:p w14:paraId="6A815C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−10,30</w:t>
            </w:r>
          </w:p>
        </w:tc>
        <w:tc>
          <w:tcPr>
            <w:tcW w:w="907" w:type="dxa"/>
            <w:tcBorders>
              <w:top w:val="single" w:sz="4" w:space="0" w:color="auto"/>
              <w:left w:val="single" w:sz="4" w:space="0" w:color="auto"/>
              <w:bottom w:val="single" w:sz="4" w:space="0" w:color="auto"/>
              <w:right w:val="single" w:sz="4" w:space="0" w:color="auto"/>
            </w:tcBorders>
          </w:tcPr>
          <w:p w14:paraId="7FC933B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4D0E1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C5FEB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6EA38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76,00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87D96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AB30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−39,4</w:t>
            </w:r>
          </w:p>
        </w:tc>
        <w:tc>
          <w:tcPr>
            <w:tcW w:w="907" w:type="dxa"/>
            <w:tcBorders>
              <w:top w:val="single" w:sz="4" w:space="0" w:color="auto"/>
              <w:left w:val="single" w:sz="4" w:space="0" w:color="auto"/>
              <w:bottom w:val="single" w:sz="4" w:space="0" w:color="auto"/>
              <w:right w:val="single" w:sz="4" w:space="0" w:color="auto"/>
            </w:tcBorders>
          </w:tcPr>
          <w:p w14:paraId="5270D600" w14:textId="77777777" w:rsidR="00B82F75" w:rsidRPr="00F52C10" w:rsidRDefault="00B82F75" w:rsidP="00E4628E">
            <w:pPr>
              <w:pStyle w:val="Tabletext0"/>
              <w:spacing w:before="34" w:after="34" w:line="276" w:lineRule="auto"/>
              <w:rPr>
                <w:sz w:val="18"/>
                <w:szCs w:val="18"/>
                <w:lang w:val="en-CA"/>
              </w:rPr>
            </w:pPr>
          </w:p>
        </w:tc>
      </w:tr>
      <w:tr w:rsidR="00B82F75" w:rsidRPr="00F52C10" w14:paraId="5E0D6838"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8B54F84" w14:textId="77777777" w:rsidR="00B82F75" w:rsidRPr="00F52C10" w:rsidRDefault="00B82F75" w:rsidP="00E4628E">
            <w:pPr>
              <w:pStyle w:val="Tabletext0"/>
              <w:spacing w:before="34" w:after="34" w:line="276" w:lineRule="auto"/>
              <w:rPr>
                <w:sz w:val="18"/>
                <w:szCs w:val="18"/>
              </w:rPr>
            </w:pPr>
            <w:r w:rsidRPr="00F52C10">
              <w:rPr>
                <w:sz w:val="18"/>
                <w:szCs w:val="18"/>
              </w:rPr>
              <w:t>MWI00000</w:t>
            </w:r>
          </w:p>
        </w:tc>
        <w:tc>
          <w:tcPr>
            <w:tcW w:w="1076" w:type="dxa"/>
            <w:tcBorders>
              <w:top w:val="single" w:sz="4" w:space="0" w:color="auto"/>
              <w:left w:val="single" w:sz="4" w:space="0" w:color="auto"/>
              <w:bottom w:val="single" w:sz="4" w:space="0" w:color="auto"/>
              <w:right w:val="single" w:sz="4" w:space="0" w:color="auto"/>
            </w:tcBorders>
          </w:tcPr>
          <w:p w14:paraId="2EB82A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28,00</w:t>
            </w:r>
          </w:p>
        </w:tc>
        <w:tc>
          <w:tcPr>
            <w:tcW w:w="970" w:type="dxa"/>
            <w:tcBorders>
              <w:top w:val="single" w:sz="4" w:space="0" w:color="auto"/>
              <w:left w:val="single" w:sz="4" w:space="0" w:color="auto"/>
              <w:bottom w:val="single" w:sz="4" w:space="0" w:color="auto"/>
              <w:right w:val="single" w:sz="4" w:space="0" w:color="auto"/>
            </w:tcBorders>
          </w:tcPr>
          <w:p w14:paraId="6A4D29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34,10</w:t>
            </w:r>
          </w:p>
        </w:tc>
        <w:tc>
          <w:tcPr>
            <w:tcW w:w="907" w:type="dxa"/>
            <w:tcBorders>
              <w:top w:val="single" w:sz="4" w:space="0" w:color="auto"/>
              <w:left w:val="single" w:sz="4" w:space="0" w:color="auto"/>
              <w:bottom w:val="single" w:sz="4" w:space="0" w:color="auto"/>
              <w:right w:val="single" w:sz="4" w:space="0" w:color="auto"/>
            </w:tcBorders>
          </w:tcPr>
          <w:p w14:paraId="2D4FF29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1AB9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573F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128EA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9BBE93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8EF88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07" w:type="dxa"/>
            <w:tcBorders>
              <w:top w:val="single" w:sz="4" w:space="0" w:color="auto"/>
              <w:left w:val="single" w:sz="4" w:space="0" w:color="auto"/>
              <w:bottom w:val="single" w:sz="4" w:space="0" w:color="auto"/>
              <w:right w:val="single" w:sz="4" w:space="0" w:color="auto"/>
            </w:tcBorders>
          </w:tcPr>
          <w:p w14:paraId="7861E14E" w14:textId="77777777" w:rsidR="00B82F75" w:rsidRPr="00F52C10" w:rsidRDefault="00B82F75" w:rsidP="00E4628E">
            <w:pPr>
              <w:pStyle w:val="Tabletext0"/>
              <w:spacing w:before="34" w:after="34" w:line="276" w:lineRule="auto"/>
              <w:rPr>
                <w:sz w:val="18"/>
                <w:szCs w:val="18"/>
                <w:lang w:val="en-CA"/>
              </w:rPr>
            </w:pPr>
          </w:p>
        </w:tc>
      </w:tr>
      <w:tr w:rsidR="00B82F75" w:rsidRPr="00F52C10" w14:paraId="37AEF2A8"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36401FD" w14:textId="77777777" w:rsidR="00B82F75" w:rsidRPr="00F52C10" w:rsidRDefault="00B82F75" w:rsidP="00E4628E">
            <w:pPr>
              <w:pStyle w:val="Tabletext0"/>
              <w:spacing w:before="34" w:after="34" w:line="276" w:lineRule="auto"/>
              <w:rPr>
                <w:sz w:val="18"/>
                <w:szCs w:val="18"/>
              </w:rPr>
            </w:pPr>
            <w:r w:rsidRPr="00F52C10">
              <w:rPr>
                <w:sz w:val="18"/>
                <w:szCs w:val="18"/>
              </w:rPr>
              <w:t>MYT00000</w:t>
            </w:r>
          </w:p>
        </w:tc>
        <w:tc>
          <w:tcPr>
            <w:tcW w:w="1076" w:type="dxa"/>
            <w:tcBorders>
              <w:top w:val="single" w:sz="4" w:space="0" w:color="auto"/>
              <w:left w:val="single" w:sz="4" w:space="0" w:color="auto"/>
              <w:bottom w:val="single" w:sz="4" w:space="0" w:color="auto"/>
              <w:right w:val="single" w:sz="4" w:space="0" w:color="auto"/>
            </w:tcBorders>
          </w:tcPr>
          <w:p w14:paraId="6EAD11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70" w:type="dxa"/>
            <w:tcBorders>
              <w:top w:val="single" w:sz="4" w:space="0" w:color="auto"/>
              <w:left w:val="single" w:sz="4" w:space="0" w:color="auto"/>
              <w:bottom w:val="single" w:sz="4" w:space="0" w:color="auto"/>
              <w:right w:val="single" w:sz="4" w:space="0" w:color="auto"/>
            </w:tcBorders>
          </w:tcPr>
          <w:p w14:paraId="0097F0E7"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6001873D"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AE0747"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05A051C"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82E69A"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0D57D48"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9341D1A"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5F4D6880" w14:textId="77777777" w:rsidR="00B82F75" w:rsidRPr="00F52C10" w:rsidRDefault="00B82F75" w:rsidP="00E4628E">
            <w:pPr>
              <w:pStyle w:val="Tabletext0"/>
              <w:spacing w:before="34" w:after="34" w:line="276" w:lineRule="auto"/>
              <w:rPr>
                <w:sz w:val="18"/>
                <w:szCs w:val="18"/>
              </w:rPr>
            </w:pPr>
            <w:r w:rsidRPr="00F52C10">
              <w:rPr>
                <w:sz w:val="18"/>
                <w:szCs w:val="18"/>
              </w:rPr>
              <w:t>1</w:t>
            </w:r>
          </w:p>
        </w:tc>
      </w:tr>
      <w:tr w:rsidR="00B82F75" w:rsidRPr="00F52C10" w14:paraId="4313FE9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D9FF00C" w14:textId="77777777" w:rsidR="00B82F75" w:rsidRPr="00F52C10" w:rsidRDefault="00B82F75" w:rsidP="00E4628E">
            <w:pPr>
              <w:pStyle w:val="Tabletext0"/>
              <w:spacing w:before="34" w:after="34" w:line="276" w:lineRule="auto"/>
              <w:rPr>
                <w:sz w:val="18"/>
                <w:szCs w:val="18"/>
              </w:rPr>
            </w:pPr>
            <w:r w:rsidRPr="00F52C10">
              <w:rPr>
                <w:sz w:val="18"/>
                <w:szCs w:val="18"/>
              </w:rPr>
              <w:t>NCG00000</w:t>
            </w:r>
          </w:p>
        </w:tc>
        <w:tc>
          <w:tcPr>
            <w:tcW w:w="1076" w:type="dxa"/>
            <w:tcBorders>
              <w:top w:val="single" w:sz="4" w:space="0" w:color="auto"/>
              <w:left w:val="single" w:sz="4" w:space="0" w:color="auto"/>
              <w:bottom w:val="single" w:sz="4" w:space="0" w:color="auto"/>
              <w:right w:val="single" w:sz="4" w:space="0" w:color="auto"/>
            </w:tcBorders>
          </w:tcPr>
          <w:p w14:paraId="0BC8CE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−84,40</w:t>
            </w:r>
          </w:p>
        </w:tc>
        <w:tc>
          <w:tcPr>
            <w:tcW w:w="970" w:type="dxa"/>
            <w:tcBorders>
              <w:top w:val="single" w:sz="4" w:space="0" w:color="auto"/>
              <w:left w:val="single" w:sz="4" w:space="0" w:color="auto"/>
              <w:bottom w:val="single" w:sz="4" w:space="0" w:color="auto"/>
              <w:right w:val="single" w:sz="4" w:space="0" w:color="auto"/>
            </w:tcBorders>
          </w:tcPr>
          <w:p w14:paraId="3197C2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−84,90</w:t>
            </w:r>
          </w:p>
        </w:tc>
        <w:tc>
          <w:tcPr>
            <w:tcW w:w="907" w:type="dxa"/>
            <w:tcBorders>
              <w:top w:val="single" w:sz="4" w:space="0" w:color="auto"/>
              <w:left w:val="single" w:sz="4" w:space="0" w:color="auto"/>
              <w:bottom w:val="single" w:sz="4" w:space="0" w:color="auto"/>
              <w:right w:val="single" w:sz="4" w:space="0" w:color="auto"/>
            </w:tcBorders>
          </w:tcPr>
          <w:p w14:paraId="2600B5B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486C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7ED7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21D7C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03752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56688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−40,6</w:t>
            </w:r>
          </w:p>
        </w:tc>
        <w:tc>
          <w:tcPr>
            <w:tcW w:w="907" w:type="dxa"/>
            <w:tcBorders>
              <w:top w:val="single" w:sz="4" w:space="0" w:color="auto"/>
              <w:left w:val="single" w:sz="4" w:space="0" w:color="auto"/>
              <w:bottom w:val="single" w:sz="4" w:space="0" w:color="auto"/>
              <w:right w:val="single" w:sz="4" w:space="0" w:color="auto"/>
            </w:tcBorders>
          </w:tcPr>
          <w:p w14:paraId="299E9056" w14:textId="77777777" w:rsidR="00B82F75" w:rsidRPr="00F52C10" w:rsidRDefault="00B82F75" w:rsidP="00E4628E">
            <w:pPr>
              <w:pStyle w:val="Tabletext0"/>
              <w:spacing w:before="34" w:after="34" w:line="276" w:lineRule="auto"/>
              <w:rPr>
                <w:sz w:val="18"/>
                <w:szCs w:val="18"/>
                <w:lang w:val="en-CA"/>
              </w:rPr>
            </w:pPr>
          </w:p>
        </w:tc>
      </w:tr>
      <w:tr w:rsidR="00B82F75" w:rsidRPr="00F52C10" w14:paraId="6117682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11BE942" w14:textId="77777777" w:rsidR="00B82F75" w:rsidRPr="00F52C10" w:rsidRDefault="00B82F75" w:rsidP="00E4628E">
            <w:pPr>
              <w:pStyle w:val="Tabletext0"/>
              <w:spacing w:before="34" w:after="34" w:line="276" w:lineRule="auto"/>
              <w:rPr>
                <w:sz w:val="18"/>
                <w:szCs w:val="18"/>
              </w:rPr>
            </w:pPr>
            <w:r w:rsidRPr="00F52C10">
              <w:rPr>
                <w:sz w:val="18"/>
                <w:szCs w:val="18"/>
              </w:rPr>
              <w:lastRenderedPageBreak/>
              <w:t>NCL00000</w:t>
            </w:r>
          </w:p>
        </w:tc>
        <w:tc>
          <w:tcPr>
            <w:tcW w:w="1076" w:type="dxa"/>
            <w:tcBorders>
              <w:top w:val="single" w:sz="4" w:space="0" w:color="auto"/>
              <w:left w:val="single" w:sz="4" w:space="0" w:color="auto"/>
              <w:bottom w:val="single" w:sz="4" w:space="0" w:color="auto"/>
              <w:right w:val="single" w:sz="4" w:space="0" w:color="auto"/>
            </w:tcBorders>
          </w:tcPr>
          <w:p w14:paraId="56D07E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70" w:type="dxa"/>
            <w:tcBorders>
              <w:top w:val="single" w:sz="4" w:space="0" w:color="auto"/>
              <w:left w:val="single" w:sz="4" w:space="0" w:color="auto"/>
              <w:bottom w:val="single" w:sz="4" w:space="0" w:color="auto"/>
              <w:right w:val="single" w:sz="4" w:space="0" w:color="auto"/>
            </w:tcBorders>
          </w:tcPr>
          <w:p w14:paraId="17906D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165,80</w:t>
            </w:r>
          </w:p>
        </w:tc>
        <w:tc>
          <w:tcPr>
            <w:tcW w:w="907" w:type="dxa"/>
            <w:tcBorders>
              <w:top w:val="single" w:sz="4" w:space="0" w:color="auto"/>
              <w:left w:val="single" w:sz="4" w:space="0" w:color="auto"/>
              <w:bottom w:val="single" w:sz="4" w:space="0" w:color="auto"/>
              <w:right w:val="single" w:sz="4" w:space="0" w:color="auto"/>
            </w:tcBorders>
          </w:tcPr>
          <w:p w14:paraId="1AD411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4B50C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AD81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4D5C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1F477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9F08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−40,6</w:t>
            </w:r>
          </w:p>
        </w:tc>
        <w:tc>
          <w:tcPr>
            <w:tcW w:w="907" w:type="dxa"/>
            <w:tcBorders>
              <w:top w:val="single" w:sz="4" w:space="0" w:color="auto"/>
              <w:left w:val="single" w:sz="4" w:space="0" w:color="auto"/>
              <w:bottom w:val="single" w:sz="4" w:space="0" w:color="auto"/>
              <w:right w:val="single" w:sz="4" w:space="0" w:color="auto"/>
            </w:tcBorders>
          </w:tcPr>
          <w:p w14:paraId="22097D44" w14:textId="77777777" w:rsidR="00B82F75" w:rsidRPr="00F52C10" w:rsidRDefault="00B82F75" w:rsidP="00E4628E">
            <w:pPr>
              <w:pStyle w:val="Tabletext0"/>
              <w:spacing w:before="34" w:after="34" w:line="276" w:lineRule="auto"/>
              <w:rPr>
                <w:sz w:val="18"/>
                <w:szCs w:val="18"/>
              </w:rPr>
            </w:pPr>
            <w:r w:rsidRPr="00F52C10">
              <w:rPr>
                <w:sz w:val="18"/>
                <w:szCs w:val="18"/>
              </w:rPr>
              <w:t>*/MB1</w:t>
            </w:r>
          </w:p>
        </w:tc>
      </w:tr>
      <w:tr w:rsidR="00B82F75" w:rsidRPr="00F52C10" w14:paraId="6350DF3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A0380D3" w14:textId="77777777" w:rsidR="00B82F75" w:rsidRPr="00F52C10" w:rsidRDefault="00B82F75" w:rsidP="00E4628E">
            <w:pPr>
              <w:pStyle w:val="Tabletext0"/>
              <w:spacing w:before="34" w:after="34" w:line="276" w:lineRule="auto"/>
              <w:rPr>
                <w:sz w:val="18"/>
                <w:szCs w:val="18"/>
              </w:rPr>
            </w:pPr>
            <w:r w:rsidRPr="00F52C10">
              <w:rPr>
                <w:sz w:val="18"/>
                <w:szCs w:val="18"/>
              </w:rPr>
              <w:t>NGR00000</w:t>
            </w:r>
          </w:p>
        </w:tc>
        <w:tc>
          <w:tcPr>
            <w:tcW w:w="1076" w:type="dxa"/>
            <w:tcBorders>
              <w:top w:val="single" w:sz="4" w:space="0" w:color="auto"/>
              <w:left w:val="single" w:sz="4" w:space="0" w:color="auto"/>
              <w:bottom w:val="single" w:sz="4" w:space="0" w:color="auto"/>
              <w:right w:val="single" w:sz="4" w:space="0" w:color="auto"/>
            </w:tcBorders>
          </w:tcPr>
          <w:p w14:paraId="537204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−38,50</w:t>
            </w:r>
          </w:p>
        </w:tc>
        <w:tc>
          <w:tcPr>
            <w:tcW w:w="970" w:type="dxa"/>
            <w:tcBorders>
              <w:top w:val="single" w:sz="4" w:space="0" w:color="auto"/>
              <w:left w:val="single" w:sz="4" w:space="0" w:color="auto"/>
              <w:bottom w:val="single" w:sz="4" w:space="0" w:color="auto"/>
              <w:right w:val="single" w:sz="4" w:space="0" w:color="auto"/>
            </w:tcBorders>
          </w:tcPr>
          <w:p w14:paraId="582876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7,50</w:t>
            </w:r>
          </w:p>
        </w:tc>
        <w:tc>
          <w:tcPr>
            <w:tcW w:w="907" w:type="dxa"/>
            <w:tcBorders>
              <w:top w:val="single" w:sz="4" w:space="0" w:color="auto"/>
              <w:left w:val="single" w:sz="4" w:space="0" w:color="auto"/>
              <w:bottom w:val="single" w:sz="4" w:space="0" w:color="auto"/>
              <w:right w:val="single" w:sz="4" w:space="0" w:color="auto"/>
            </w:tcBorders>
          </w:tcPr>
          <w:p w14:paraId="2356B01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AE46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BE329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B5E0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7245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E3DF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w:t>
            </w:r>
          </w:p>
        </w:tc>
        <w:tc>
          <w:tcPr>
            <w:tcW w:w="907" w:type="dxa"/>
            <w:tcBorders>
              <w:top w:val="single" w:sz="4" w:space="0" w:color="auto"/>
              <w:left w:val="single" w:sz="4" w:space="0" w:color="auto"/>
              <w:bottom w:val="single" w:sz="4" w:space="0" w:color="auto"/>
              <w:right w:val="single" w:sz="4" w:space="0" w:color="auto"/>
            </w:tcBorders>
          </w:tcPr>
          <w:p w14:paraId="22F9C6EB" w14:textId="77777777" w:rsidR="00B82F75" w:rsidRPr="00F52C10" w:rsidRDefault="00B82F75" w:rsidP="00E4628E">
            <w:pPr>
              <w:pStyle w:val="Tabletext0"/>
              <w:spacing w:before="34" w:after="34" w:line="276" w:lineRule="auto"/>
              <w:rPr>
                <w:sz w:val="18"/>
                <w:szCs w:val="18"/>
                <w:lang w:val="en-CA"/>
              </w:rPr>
            </w:pPr>
          </w:p>
        </w:tc>
      </w:tr>
      <w:tr w:rsidR="00B82F75" w:rsidRPr="00F52C10" w14:paraId="7E61E3D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0902383" w14:textId="77777777" w:rsidR="00B82F75" w:rsidRPr="00F52C10" w:rsidRDefault="00B82F75" w:rsidP="00E4628E">
            <w:pPr>
              <w:pStyle w:val="Tabletext0"/>
              <w:spacing w:before="34" w:after="34" w:line="276" w:lineRule="auto"/>
              <w:rPr>
                <w:sz w:val="18"/>
                <w:szCs w:val="18"/>
              </w:rPr>
            </w:pPr>
            <w:r w:rsidRPr="00F52C10">
              <w:rPr>
                <w:sz w:val="18"/>
                <w:szCs w:val="18"/>
              </w:rPr>
              <w:t>NIG00000</w:t>
            </w:r>
          </w:p>
        </w:tc>
        <w:tc>
          <w:tcPr>
            <w:tcW w:w="1076" w:type="dxa"/>
            <w:tcBorders>
              <w:top w:val="single" w:sz="4" w:space="0" w:color="auto"/>
              <w:left w:val="single" w:sz="4" w:space="0" w:color="auto"/>
              <w:bottom w:val="single" w:sz="4" w:space="0" w:color="auto"/>
              <w:right w:val="single" w:sz="4" w:space="0" w:color="auto"/>
            </w:tcBorders>
          </w:tcPr>
          <w:p w14:paraId="24AF2C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41,82</w:t>
            </w:r>
          </w:p>
        </w:tc>
        <w:tc>
          <w:tcPr>
            <w:tcW w:w="970" w:type="dxa"/>
            <w:tcBorders>
              <w:top w:val="single" w:sz="4" w:space="0" w:color="auto"/>
              <w:left w:val="single" w:sz="4" w:space="0" w:color="auto"/>
              <w:bottom w:val="single" w:sz="4" w:space="0" w:color="auto"/>
              <w:right w:val="single" w:sz="4" w:space="0" w:color="auto"/>
            </w:tcBorders>
          </w:tcPr>
          <w:p w14:paraId="6F5CA1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07" w:type="dxa"/>
            <w:tcBorders>
              <w:top w:val="single" w:sz="4" w:space="0" w:color="auto"/>
              <w:left w:val="single" w:sz="4" w:space="0" w:color="auto"/>
              <w:bottom w:val="single" w:sz="4" w:space="0" w:color="auto"/>
              <w:right w:val="single" w:sz="4" w:space="0" w:color="auto"/>
            </w:tcBorders>
          </w:tcPr>
          <w:p w14:paraId="4F9C29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E648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18952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C3158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C2389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66FE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−38,5</w:t>
            </w:r>
          </w:p>
        </w:tc>
        <w:tc>
          <w:tcPr>
            <w:tcW w:w="907" w:type="dxa"/>
            <w:tcBorders>
              <w:top w:val="single" w:sz="4" w:space="0" w:color="auto"/>
              <w:left w:val="single" w:sz="4" w:space="0" w:color="auto"/>
              <w:bottom w:val="single" w:sz="4" w:space="0" w:color="auto"/>
              <w:right w:val="single" w:sz="4" w:space="0" w:color="auto"/>
            </w:tcBorders>
          </w:tcPr>
          <w:p w14:paraId="3C40008D" w14:textId="77777777" w:rsidR="00B82F75" w:rsidRPr="00F52C10" w:rsidRDefault="00B82F75" w:rsidP="00E4628E">
            <w:pPr>
              <w:pStyle w:val="Tabletext0"/>
              <w:spacing w:before="34" w:after="34" w:line="276" w:lineRule="auto"/>
              <w:rPr>
                <w:sz w:val="18"/>
                <w:szCs w:val="18"/>
                <w:lang w:val="en-CA"/>
              </w:rPr>
            </w:pPr>
          </w:p>
        </w:tc>
      </w:tr>
      <w:tr w:rsidR="00B82F75" w:rsidRPr="00F52C10" w14:paraId="7C86AE2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C6E4E94" w14:textId="77777777" w:rsidR="00B82F75" w:rsidRPr="00F52C10" w:rsidRDefault="00B82F75" w:rsidP="00E4628E">
            <w:pPr>
              <w:pStyle w:val="Tabletext0"/>
              <w:spacing w:before="34" w:after="34" w:line="276" w:lineRule="auto"/>
              <w:rPr>
                <w:sz w:val="18"/>
                <w:szCs w:val="18"/>
              </w:rPr>
            </w:pPr>
            <w:r w:rsidRPr="00F52C10">
              <w:rPr>
                <w:sz w:val="18"/>
                <w:szCs w:val="18"/>
              </w:rPr>
              <w:t>NMB00000</w:t>
            </w:r>
          </w:p>
        </w:tc>
        <w:tc>
          <w:tcPr>
            <w:tcW w:w="1076" w:type="dxa"/>
            <w:tcBorders>
              <w:top w:val="single" w:sz="4" w:space="0" w:color="auto"/>
              <w:left w:val="single" w:sz="4" w:space="0" w:color="auto"/>
              <w:bottom w:val="single" w:sz="4" w:space="0" w:color="auto"/>
              <w:right w:val="single" w:sz="4" w:space="0" w:color="auto"/>
            </w:tcBorders>
          </w:tcPr>
          <w:p w14:paraId="7EC942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12,20</w:t>
            </w:r>
          </w:p>
        </w:tc>
        <w:tc>
          <w:tcPr>
            <w:tcW w:w="970" w:type="dxa"/>
            <w:tcBorders>
              <w:top w:val="single" w:sz="4" w:space="0" w:color="auto"/>
              <w:left w:val="single" w:sz="4" w:space="0" w:color="auto"/>
              <w:bottom w:val="single" w:sz="4" w:space="0" w:color="auto"/>
              <w:right w:val="single" w:sz="4" w:space="0" w:color="auto"/>
            </w:tcBorders>
          </w:tcPr>
          <w:p w14:paraId="0A0284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18,50</w:t>
            </w:r>
          </w:p>
        </w:tc>
        <w:tc>
          <w:tcPr>
            <w:tcW w:w="907" w:type="dxa"/>
            <w:tcBorders>
              <w:top w:val="single" w:sz="4" w:space="0" w:color="auto"/>
              <w:left w:val="single" w:sz="4" w:space="0" w:color="auto"/>
              <w:bottom w:val="single" w:sz="4" w:space="0" w:color="auto"/>
              <w:right w:val="single" w:sz="4" w:space="0" w:color="auto"/>
            </w:tcBorders>
          </w:tcPr>
          <w:p w14:paraId="1D90EA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81DD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1DB0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10EF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D292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5A55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−39,5</w:t>
            </w:r>
          </w:p>
        </w:tc>
        <w:tc>
          <w:tcPr>
            <w:tcW w:w="907" w:type="dxa"/>
            <w:tcBorders>
              <w:top w:val="single" w:sz="4" w:space="0" w:color="auto"/>
              <w:left w:val="single" w:sz="4" w:space="0" w:color="auto"/>
              <w:bottom w:val="single" w:sz="4" w:space="0" w:color="auto"/>
              <w:right w:val="single" w:sz="4" w:space="0" w:color="auto"/>
            </w:tcBorders>
          </w:tcPr>
          <w:p w14:paraId="339F2CCE" w14:textId="77777777" w:rsidR="00B82F75" w:rsidRPr="00F52C10" w:rsidRDefault="00B82F75" w:rsidP="00E4628E">
            <w:pPr>
              <w:pStyle w:val="Tabletext0"/>
              <w:spacing w:before="34" w:after="34" w:line="276" w:lineRule="auto"/>
              <w:rPr>
                <w:sz w:val="18"/>
                <w:szCs w:val="18"/>
                <w:lang w:val="en-CA"/>
              </w:rPr>
            </w:pPr>
          </w:p>
        </w:tc>
      </w:tr>
      <w:tr w:rsidR="00B82F75" w:rsidRPr="00F52C10" w14:paraId="2430CB1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5D40DC5" w14:textId="77777777" w:rsidR="00B82F75" w:rsidRPr="00F52C10" w:rsidRDefault="00B82F75" w:rsidP="00E4628E">
            <w:pPr>
              <w:pStyle w:val="Tabletext0"/>
              <w:spacing w:before="34" w:after="34" w:line="276" w:lineRule="auto"/>
              <w:rPr>
                <w:sz w:val="18"/>
                <w:szCs w:val="18"/>
              </w:rPr>
            </w:pPr>
            <w:r w:rsidRPr="00F52C10">
              <w:rPr>
                <w:sz w:val="18"/>
                <w:szCs w:val="18"/>
              </w:rPr>
              <w:t>NOR00000</w:t>
            </w:r>
          </w:p>
        </w:tc>
        <w:tc>
          <w:tcPr>
            <w:tcW w:w="1076" w:type="dxa"/>
            <w:tcBorders>
              <w:top w:val="single" w:sz="4" w:space="0" w:color="auto"/>
              <w:left w:val="single" w:sz="4" w:space="0" w:color="auto"/>
              <w:bottom w:val="single" w:sz="4" w:space="0" w:color="auto"/>
              <w:right w:val="single" w:sz="4" w:space="0" w:color="auto"/>
            </w:tcBorders>
          </w:tcPr>
          <w:p w14:paraId="432125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70" w:type="dxa"/>
            <w:tcBorders>
              <w:top w:val="single" w:sz="4" w:space="0" w:color="auto"/>
              <w:left w:val="single" w:sz="4" w:space="0" w:color="auto"/>
              <w:bottom w:val="single" w:sz="4" w:space="0" w:color="auto"/>
              <w:right w:val="single" w:sz="4" w:space="0" w:color="auto"/>
            </w:tcBorders>
          </w:tcPr>
          <w:p w14:paraId="69A089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11,70</w:t>
            </w:r>
          </w:p>
        </w:tc>
        <w:tc>
          <w:tcPr>
            <w:tcW w:w="907" w:type="dxa"/>
            <w:tcBorders>
              <w:top w:val="single" w:sz="4" w:space="0" w:color="auto"/>
              <w:left w:val="single" w:sz="4" w:space="0" w:color="auto"/>
              <w:bottom w:val="single" w:sz="4" w:space="0" w:color="auto"/>
              <w:right w:val="single" w:sz="4" w:space="0" w:color="auto"/>
            </w:tcBorders>
          </w:tcPr>
          <w:p w14:paraId="4EBCA3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E1D8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3BC7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50E1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DDC04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CB774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−38,7</w:t>
            </w:r>
          </w:p>
        </w:tc>
        <w:tc>
          <w:tcPr>
            <w:tcW w:w="907" w:type="dxa"/>
            <w:tcBorders>
              <w:top w:val="single" w:sz="4" w:space="0" w:color="auto"/>
              <w:left w:val="single" w:sz="4" w:space="0" w:color="auto"/>
              <w:bottom w:val="single" w:sz="4" w:space="0" w:color="auto"/>
              <w:right w:val="single" w:sz="4" w:space="0" w:color="auto"/>
            </w:tcBorders>
          </w:tcPr>
          <w:p w14:paraId="050822EF" w14:textId="77777777" w:rsidR="00B82F75" w:rsidRPr="00F52C10" w:rsidRDefault="00B82F75" w:rsidP="00E4628E">
            <w:pPr>
              <w:pStyle w:val="Tabletext0"/>
              <w:spacing w:before="34" w:after="34" w:line="276" w:lineRule="auto"/>
              <w:rPr>
                <w:sz w:val="18"/>
                <w:szCs w:val="18"/>
                <w:lang w:val="en-CA"/>
              </w:rPr>
            </w:pPr>
          </w:p>
        </w:tc>
      </w:tr>
      <w:tr w:rsidR="00B82F75" w:rsidRPr="00F52C10" w14:paraId="54BFFEA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EED22C0" w14:textId="77777777" w:rsidR="00B82F75" w:rsidRPr="00F52C10" w:rsidRDefault="00B82F75" w:rsidP="00E4628E">
            <w:pPr>
              <w:pStyle w:val="Tabletext0"/>
              <w:spacing w:before="34" w:after="34" w:line="276" w:lineRule="auto"/>
              <w:rPr>
                <w:sz w:val="18"/>
                <w:szCs w:val="18"/>
              </w:rPr>
            </w:pPr>
            <w:r w:rsidRPr="00F52C10">
              <w:rPr>
                <w:sz w:val="18"/>
                <w:szCs w:val="18"/>
              </w:rPr>
              <w:t>NPL00000</w:t>
            </w:r>
          </w:p>
        </w:tc>
        <w:tc>
          <w:tcPr>
            <w:tcW w:w="1076" w:type="dxa"/>
            <w:tcBorders>
              <w:top w:val="single" w:sz="4" w:space="0" w:color="auto"/>
              <w:left w:val="single" w:sz="4" w:space="0" w:color="auto"/>
              <w:bottom w:val="single" w:sz="4" w:space="0" w:color="auto"/>
              <w:right w:val="single" w:sz="4" w:space="0" w:color="auto"/>
            </w:tcBorders>
          </w:tcPr>
          <w:p w14:paraId="6A5B0C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123,30</w:t>
            </w:r>
          </w:p>
        </w:tc>
        <w:tc>
          <w:tcPr>
            <w:tcW w:w="970" w:type="dxa"/>
            <w:tcBorders>
              <w:top w:val="single" w:sz="4" w:space="0" w:color="auto"/>
              <w:left w:val="single" w:sz="4" w:space="0" w:color="auto"/>
              <w:bottom w:val="single" w:sz="4" w:space="0" w:color="auto"/>
              <w:right w:val="single" w:sz="4" w:space="0" w:color="auto"/>
            </w:tcBorders>
          </w:tcPr>
          <w:p w14:paraId="41F487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84,40</w:t>
            </w:r>
          </w:p>
        </w:tc>
        <w:tc>
          <w:tcPr>
            <w:tcW w:w="907" w:type="dxa"/>
            <w:tcBorders>
              <w:top w:val="single" w:sz="4" w:space="0" w:color="auto"/>
              <w:left w:val="single" w:sz="4" w:space="0" w:color="auto"/>
              <w:bottom w:val="single" w:sz="4" w:space="0" w:color="auto"/>
              <w:right w:val="single" w:sz="4" w:space="0" w:color="auto"/>
            </w:tcBorders>
          </w:tcPr>
          <w:p w14:paraId="5CF647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33D0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C476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90017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A2C1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DCB2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−40,8</w:t>
            </w:r>
          </w:p>
        </w:tc>
        <w:tc>
          <w:tcPr>
            <w:tcW w:w="907" w:type="dxa"/>
            <w:tcBorders>
              <w:top w:val="single" w:sz="4" w:space="0" w:color="auto"/>
              <w:left w:val="single" w:sz="4" w:space="0" w:color="auto"/>
              <w:bottom w:val="single" w:sz="4" w:space="0" w:color="auto"/>
              <w:right w:val="single" w:sz="4" w:space="0" w:color="auto"/>
            </w:tcBorders>
          </w:tcPr>
          <w:p w14:paraId="3EB8DB40" w14:textId="77777777" w:rsidR="00B82F75" w:rsidRPr="00F52C10" w:rsidRDefault="00B82F75" w:rsidP="00E4628E">
            <w:pPr>
              <w:pStyle w:val="Tabletext0"/>
              <w:spacing w:before="34" w:after="34" w:line="276" w:lineRule="auto"/>
              <w:rPr>
                <w:sz w:val="18"/>
                <w:szCs w:val="18"/>
                <w:lang w:val="en-CA"/>
              </w:rPr>
            </w:pPr>
          </w:p>
        </w:tc>
      </w:tr>
      <w:tr w:rsidR="00B82F75" w:rsidRPr="00F52C10" w14:paraId="1FD6FF9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499A67C" w14:textId="77777777" w:rsidR="00B82F75" w:rsidRPr="00F52C10" w:rsidRDefault="00B82F75" w:rsidP="00E4628E">
            <w:pPr>
              <w:pStyle w:val="Tabletext0"/>
              <w:spacing w:before="34" w:after="34" w:line="276" w:lineRule="auto"/>
              <w:rPr>
                <w:sz w:val="18"/>
                <w:szCs w:val="18"/>
              </w:rPr>
            </w:pPr>
            <w:r w:rsidRPr="00F52C10">
              <w:rPr>
                <w:sz w:val="18"/>
                <w:szCs w:val="18"/>
              </w:rPr>
              <w:t>NRU00000</w:t>
            </w:r>
          </w:p>
        </w:tc>
        <w:tc>
          <w:tcPr>
            <w:tcW w:w="1076" w:type="dxa"/>
            <w:tcBorders>
              <w:top w:val="single" w:sz="4" w:space="0" w:color="auto"/>
              <w:left w:val="single" w:sz="4" w:space="0" w:color="auto"/>
              <w:bottom w:val="single" w:sz="4" w:space="0" w:color="auto"/>
              <w:right w:val="single" w:sz="4" w:space="0" w:color="auto"/>
            </w:tcBorders>
          </w:tcPr>
          <w:p w14:paraId="7594BE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146,00</w:t>
            </w:r>
          </w:p>
        </w:tc>
        <w:tc>
          <w:tcPr>
            <w:tcW w:w="970" w:type="dxa"/>
            <w:tcBorders>
              <w:top w:val="single" w:sz="4" w:space="0" w:color="auto"/>
              <w:left w:val="single" w:sz="4" w:space="0" w:color="auto"/>
              <w:bottom w:val="single" w:sz="4" w:space="0" w:color="auto"/>
              <w:right w:val="single" w:sz="4" w:space="0" w:color="auto"/>
            </w:tcBorders>
          </w:tcPr>
          <w:p w14:paraId="664A403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166,90</w:t>
            </w:r>
          </w:p>
        </w:tc>
        <w:tc>
          <w:tcPr>
            <w:tcW w:w="907" w:type="dxa"/>
            <w:tcBorders>
              <w:top w:val="single" w:sz="4" w:space="0" w:color="auto"/>
              <w:left w:val="single" w:sz="4" w:space="0" w:color="auto"/>
              <w:bottom w:val="single" w:sz="4" w:space="0" w:color="auto"/>
              <w:right w:val="single" w:sz="4" w:space="0" w:color="auto"/>
            </w:tcBorders>
          </w:tcPr>
          <w:p w14:paraId="498DA6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3AD6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E54E1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959C2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9904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03F1D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w:t>
            </w:r>
          </w:p>
        </w:tc>
        <w:tc>
          <w:tcPr>
            <w:tcW w:w="907" w:type="dxa"/>
            <w:tcBorders>
              <w:top w:val="single" w:sz="4" w:space="0" w:color="auto"/>
              <w:left w:val="single" w:sz="4" w:space="0" w:color="auto"/>
              <w:bottom w:val="single" w:sz="4" w:space="0" w:color="auto"/>
              <w:right w:val="single" w:sz="4" w:space="0" w:color="auto"/>
            </w:tcBorders>
          </w:tcPr>
          <w:p w14:paraId="70664E4E" w14:textId="77777777" w:rsidR="00B82F75" w:rsidRPr="00F52C10" w:rsidRDefault="00B82F75" w:rsidP="00E4628E">
            <w:pPr>
              <w:pStyle w:val="Tabletext0"/>
              <w:spacing w:before="34" w:after="34" w:line="276" w:lineRule="auto"/>
              <w:rPr>
                <w:sz w:val="18"/>
                <w:szCs w:val="18"/>
                <w:lang w:val="en-CA"/>
              </w:rPr>
            </w:pPr>
          </w:p>
        </w:tc>
      </w:tr>
      <w:tr w:rsidR="00B82F75" w:rsidRPr="00F52C10" w14:paraId="45C0F98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61759FC" w14:textId="77777777" w:rsidR="00B82F75" w:rsidRPr="00F52C10" w:rsidRDefault="00B82F75" w:rsidP="00E4628E">
            <w:pPr>
              <w:pStyle w:val="Tabletext0"/>
              <w:spacing w:before="34" w:after="34" w:line="276" w:lineRule="auto"/>
              <w:rPr>
                <w:sz w:val="18"/>
                <w:szCs w:val="18"/>
              </w:rPr>
            </w:pPr>
            <w:r w:rsidRPr="00F52C10">
              <w:rPr>
                <w:sz w:val="18"/>
                <w:szCs w:val="18"/>
              </w:rPr>
              <w:t>NZL00001</w:t>
            </w:r>
          </w:p>
        </w:tc>
        <w:tc>
          <w:tcPr>
            <w:tcW w:w="1076" w:type="dxa"/>
            <w:tcBorders>
              <w:top w:val="single" w:sz="4" w:space="0" w:color="auto"/>
              <w:left w:val="single" w:sz="4" w:space="0" w:color="auto"/>
              <w:bottom w:val="single" w:sz="4" w:space="0" w:color="auto"/>
              <w:right w:val="single" w:sz="4" w:space="0" w:color="auto"/>
            </w:tcBorders>
          </w:tcPr>
          <w:p w14:paraId="18E3D9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152,00</w:t>
            </w:r>
          </w:p>
        </w:tc>
        <w:tc>
          <w:tcPr>
            <w:tcW w:w="970" w:type="dxa"/>
            <w:tcBorders>
              <w:top w:val="single" w:sz="4" w:space="0" w:color="auto"/>
              <w:left w:val="single" w:sz="4" w:space="0" w:color="auto"/>
              <w:bottom w:val="single" w:sz="4" w:space="0" w:color="auto"/>
              <w:right w:val="single" w:sz="4" w:space="0" w:color="auto"/>
            </w:tcBorders>
          </w:tcPr>
          <w:p w14:paraId="780DDD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170,90</w:t>
            </w:r>
          </w:p>
        </w:tc>
        <w:tc>
          <w:tcPr>
            <w:tcW w:w="907" w:type="dxa"/>
            <w:tcBorders>
              <w:top w:val="single" w:sz="4" w:space="0" w:color="auto"/>
              <w:left w:val="single" w:sz="4" w:space="0" w:color="auto"/>
              <w:bottom w:val="single" w:sz="4" w:space="0" w:color="auto"/>
              <w:right w:val="single" w:sz="4" w:space="0" w:color="auto"/>
            </w:tcBorders>
          </w:tcPr>
          <w:p w14:paraId="46EC8E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−44,80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C21BB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1783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0FFB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A29EF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D9CD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−38,1</w:t>
            </w:r>
          </w:p>
        </w:tc>
        <w:tc>
          <w:tcPr>
            <w:tcW w:w="907" w:type="dxa"/>
            <w:tcBorders>
              <w:top w:val="single" w:sz="4" w:space="0" w:color="auto"/>
              <w:left w:val="single" w:sz="4" w:space="0" w:color="auto"/>
              <w:bottom w:val="single" w:sz="4" w:space="0" w:color="auto"/>
              <w:right w:val="single" w:sz="4" w:space="0" w:color="auto"/>
            </w:tcBorders>
          </w:tcPr>
          <w:p w14:paraId="1FA2DB3A" w14:textId="77777777" w:rsidR="00B82F75" w:rsidRPr="00F52C10" w:rsidRDefault="00B82F75" w:rsidP="00E4628E">
            <w:pPr>
              <w:pStyle w:val="Tabletext0"/>
              <w:spacing w:before="34" w:after="34" w:line="276" w:lineRule="auto"/>
              <w:rPr>
                <w:sz w:val="18"/>
                <w:szCs w:val="18"/>
              </w:rPr>
            </w:pPr>
            <w:r w:rsidRPr="00F52C10">
              <w:rPr>
                <w:sz w:val="18"/>
                <w:szCs w:val="18"/>
              </w:rPr>
              <w:t>*/MB14</w:t>
            </w:r>
          </w:p>
        </w:tc>
      </w:tr>
      <w:tr w:rsidR="00B82F75" w:rsidRPr="00F52C10" w14:paraId="7BCE13F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7320930" w14:textId="77777777" w:rsidR="00B82F75" w:rsidRPr="00F52C10" w:rsidRDefault="00B82F75" w:rsidP="00E4628E">
            <w:pPr>
              <w:pStyle w:val="Tabletext0"/>
              <w:spacing w:before="34" w:after="34" w:line="276" w:lineRule="auto"/>
              <w:rPr>
                <w:sz w:val="18"/>
                <w:szCs w:val="18"/>
              </w:rPr>
            </w:pPr>
            <w:r w:rsidRPr="00F52C10">
              <w:rPr>
                <w:sz w:val="18"/>
                <w:szCs w:val="18"/>
              </w:rPr>
              <w:t>NZL00002</w:t>
            </w:r>
          </w:p>
        </w:tc>
        <w:tc>
          <w:tcPr>
            <w:tcW w:w="1076" w:type="dxa"/>
            <w:tcBorders>
              <w:top w:val="single" w:sz="4" w:space="0" w:color="auto"/>
              <w:left w:val="single" w:sz="4" w:space="0" w:color="auto"/>
              <w:bottom w:val="single" w:sz="4" w:space="0" w:color="auto"/>
              <w:right w:val="single" w:sz="4" w:space="0" w:color="auto"/>
            </w:tcBorders>
          </w:tcPr>
          <w:p w14:paraId="759739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152,00</w:t>
            </w:r>
          </w:p>
        </w:tc>
        <w:tc>
          <w:tcPr>
            <w:tcW w:w="970" w:type="dxa"/>
            <w:tcBorders>
              <w:top w:val="single" w:sz="4" w:space="0" w:color="auto"/>
              <w:left w:val="single" w:sz="4" w:space="0" w:color="auto"/>
              <w:bottom w:val="single" w:sz="4" w:space="0" w:color="auto"/>
              <w:right w:val="single" w:sz="4" w:space="0" w:color="auto"/>
            </w:tcBorders>
          </w:tcPr>
          <w:p w14:paraId="45746D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−165,40</w:t>
            </w:r>
          </w:p>
        </w:tc>
        <w:tc>
          <w:tcPr>
            <w:tcW w:w="907" w:type="dxa"/>
            <w:tcBorders>
              <w:top w:val="single" w:sz="4" w:space="0" w:color="auto"/>
              <w:left w:val="single" w:sz="4" w:space="0" w:color="auto"/>
              <w:bottom w:val="single" w:sz="4" w:space="0" w:color="auto"/>
              <w:right w:val="single" w:sz="4" w:space="0" w:color="auto"/>
            </w:tcBorders>
          </w:tcPr>
          <w:p w14:paraId="1E9BC5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8F526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C49D4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D265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95DF4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A446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−38,3</w:t>
            </w:r>
          </w:p>
        </w:tc>
        <w:tc>
          <w:tcPr>
            <w:tcW w:w="907" w:type="dxa"/>
            <w:tcBorders>
              <w:top w:val="single" w:sz="4" w:space="0" w:color="auto"/>
              <w:left w:val="single" w:sz="4" w:space="0" w:color="auto"/>
              <w:bottom w:val="single" w:sz="4" w:space="0" w:color="auto"/>
              <w:right w:val="single" w:sz="4" w:space="0" w:color="auto"/>
            </w:tcBorders>
          </w:tcPr>
          <w:p w14:paraId="0F20E3C1" w14:textId="77777777" w:rsidR="00B82F75" w:rsidRPr="00F52C10" w:rsidRDefault="00B82F75" w:rsidP="00E4628E">
            <w:pPr>
              <w:pStyle w:val="Tabletext0"/>
              <w:spacing w:before="34" w:after="34" w:line="276" w:lineRule="auto"/>
              <w:rPr>
                <w:sz w:val="18"/>
                <w:szCs w:val="18"/>
              </w:rPr>
            </w:pPr>
            <w:r w:rsidRPr="00F52C10">
              <w:rPr>
                <w:sz w:val="18"/>
                <w:szCs w:val="18"/>
              </w:rPr>
              <w:t>*/MB14</w:t>
            </w:r>
          </w:p>
        </w:tc>
      </w:tr>
      <w:tr w:rsidR="00B82F75" w:rsidRPr="00F52C10" w14:paraId="503EA3A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BE0D50E" w14:textId="77777777" w:rsidR="00B82F75" w:rsidRPr="00F52C10" w:rsidRDefault="00B82F75" w:rsidP="00E4628E">
            <w:pPr>
              <w:pStyle w:val="Tabletext0"/>
              <w:spacing w:before="34" w:after="34" w:line="276" w:lineRule="auto"/>
              <w:rPr>
                <w:sz w:val="18"/>
                <w:szCs w:val="18"/>
              </w:rPr>
            </w:pPr>
            <w:r w:rsidRPr="00F52C10">
              <w:rPr>
                <w:sz w:val="18"/>
                <w:szCs w:val="18"/>
              </w:rPr>
              <w:t>OCE00000</w:t>
            </w:r>
          </w:p>
        </w:tc>
        <w:tc>
          <w:tcPr>
            <w:tcW w:w="1076" w:type="dxa"/>
            <w:tcBorders>
              <w:top w:val="single" w:sz="4" w:space="0" w:color="auto"/>
              <w:left w:val="single" w:sz="4" w:space="0" w:color="auto"/>
              <w:bottom w:val="single" w:sz="4" w:space="0" w:color="auto"/>
              <w:right w:val="single" w:sz="4" w:space="0" w:color="auto"/>
            </w:tcBorders>
          </w:tcPr>
          <w:p w14:paraId="6B5A4A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−115,90</w:t>
            </w:r>
          </w:p>
        </w:tc>
        <w:tc>
          <w:tcPr>
            <w:tcW w:w="970" w:type="dxa"/>
            <w:tcBorders>
              <w:top w:val="single" w:sz="4" w:space="0" w:color="auto"/>
              <w:left w:val="single" w:sz="4" w:space="0" w:color="auto"/>
              <w:bottom w:val="single" w:sz="4" w:space="0" w:color="auto"/>
              <w:right w:val="single" w:sz="4" w:space="0" w:color="auto"/>
            </w:tcBorders>
          </w:tcPr>
          <w:p w14:paraId="01E28D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−141,90</w:t>
            </w:r>
          </w:p>
        </w:tc>
        <w:tc>
          <w:tcPr>
            <w:tcW w:w="907" w:type="dxa"/>
            <w:tcBorders>
              <w:top w:val="single" w:sz="4" w:space="0" w:color="auto"/>
              <w:left w:val="single" w:sz="4" w:space="0" w:color="auto"/>
              <w:bottom w:val="single" w:sz="4" w:space="0" w:color="auto"/>
              <w:right w:val="single" w:sz="4" w:space="0" w:color="auto"/>
            </w:tcBorders>
          </w:tcPr>
          <w:p w14:paraId="6B5479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B6AD0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1869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4A037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139,00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8FCB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85C0F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w:t>
            </w:r>
          </w:p>
        </w:tc>
        <w:tc>
          <w:tcPr>
            <w:tcW w:w="907" w:type="dxa"/>
            <w:tcBorders>
              <w:top w:val="single" w:sz="4" w:space="0" w:color="auto"/>
              <w:left w:val="single" w:sz="4" w:space="0" w:color="auto"/>
              <w:bottom w:val="single" w:sz="4" w:space="0" w:color="auto"/>
              <w:right w:val="single" w:sz="4" w:space="0" w:color="auto"/>
            </w:tcBorders>
          </w:tcPr>
          <w:p w14:paraId="4A483C50" w14:textId="77777777" w:rsidR="00B82F75" w:rsidRPr="00F52C10" w:rsidRDefault="00B82F75" w:rsidP="00E4628E">
            <w:pPr>
              <w:pStyle w:val="Tabletext0"/>
              <w:spacing w:before="34" w:after="34" w:line="276" w:lineRule="auto"/>
              <w:rPr>
                <w:sz w:val="18"/>
                <w:szCs w:val="18"/>
              </w:rPr>
            </w:pPr>
            <w:r w:rsidRPr="00F52C10">
              <w:rPr>
                <w:sz w:val="18"/>
                <w:szCs w:val="18"/>
              </w:rPr>
              <w:t>*/MB13</w:t>
            </w:r>
          </w:p>
        </w:tc>
      </w:tr>
      <w:tr w:rsidR="00B82F75" w:rsidRPr="00F52C10" w14:paraId="59D61AC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E19084D" w14:textId="77777777" w:rsidR="00B82F75" w:rsidRPr="00F52C10" w:rsidRDefault="00B82F75" w:rsidP="00E4628E">
            <w:pPr>
              <w:pStyle w:val="Tabletext0"/>
              <w:spacing w:before="34" w:after="34" w:line="276" w:lineRule="auto"/>
              <w:rPr>
                <w:sz w:val="18"/>
                <w:szCs w:val="18"/>
              </w:rPr>
            </w:pPr>
            <w:r w:rsidRPr="00F52C10">
              <w:rPr>
                <w:sz w:val="18"/>
                <w:szCs w:val="18"/>
              </w:rPr>
              <w:t>OMA00000</w:t>
            </w:r>
          </w:p>
        </w:tc>
        <w:tc>
          <w:tcPr>
            <w:tcW w:w="1076" w:type="dxa"/>
            <w:tcBorders>
              <w:top w:val="single" w:sz="4" w:space="0" w:color="auto"/>
              <w:left w:val="single" w:sz="4" w:space="0" w:color="auto"/>
              <w:bottom w:val="single" w:sz="4" w:space="0" w:color="auto"/>
              <w:right w:val="single" w:sz="4" w:space="0" w:color="auto"/>
            </w:tcBorders>
          </w:tcPr>
          <w:p w14:paraId="716022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104,00</w:t>
            </w:r>
          </w:p>
        </w:tc>
        <w:tc>
          <w:tcPr>
            <w:tcW w:w="970" w:type="dxa"/>
            <w:tcBorders>
              <w:top w:val="single" w:sz="4" w:space="0" w:color="auto"/>
              <w:left w:val="single" w:sz="4" w:space="0" w:color="auto"/>
              <w:bottom w:val="single" w:sz="4" w:space="0" w:color="auto"/>
              <w:right w:val="single" w:sz="4" w:space="0" w:color="auto"/>
            </w:tcBorders>
          </w:tcPr>
          <w:p w14:paraId="100B04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55,10</w:t>
            </w:r>
          </w:p>
        </w:tc>
        <w:tc>
          <w:tcPr>
            <w:tcW w:w="907" w:type="dxa"/>
            <w:tcBorders>
              <w:top w:val="single" w:sz="4" w:space="0" w:color="auto"/>
              <w:left w:val="single" w:sz="4" w:space="0" w:color="auto"/>
              <w:bottom w:val="single" w:sz="4" w:space="0" w:color="auto"/>
              <w:right w:val="single" w:sz="4" w:space="0" w:color="auto"/>
            </w:tcBorders>
          </w:tcPr>
          <w:p w14:paraId="11AAA8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00C5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ABF6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B0E34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13C8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FC8A0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−39,2</w:t>
            </w:r>
          </w:p>
        </w:tc>
        <w:tc>
          <w:tcPr>
            <w:tcW w:w="907" w:type="dxa"/>
            <w:tcBorders>
              <w:top w:val="single" w:sz="4" w:space="0" w:color="auto"/>
              <w:left w:val="single" w:sz="4" w:space="0" w:color="auto"/>
              <w:bottom w:val="single" w:sz="4" w:space="0" w:color="auto"/>
              <w:right w:val="single" w:sz="4" w:space="0" w:color="auto"/>
            </w:tcBorders>
          </w:tcPr>
          <w:p w14:paraId="13485AF5" w14:textId="77777777" w:rsidR="00B82F75" w:rsidRPr="00F52C10" w:rsidRDefault="00B82F75" w:rsidP="00E4628E">
            <w:pPr>
              <w:pStyle w:val="Tabletext0"/>
              <w:spacing w:before="34" w:after="34" w:line="276" w:lineRule="auto"/>
              <w:rPr>
                <w:b/>
                <w:bCs/>
                <w:sz w:val="18"/>
                <w:szCs w:val="18"/>
                <w:lang w:val="en-CA"/>
              </w:rPr>
            </w:pPr>
          </w:p>
        </w:tc>
      </w:tr>
      <w:tr w:rsidR="00B82F75" w:rsidRPr="00F52C10" w14:paraId="756053F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5CD4F55" w14:textId="77777777" w:rsidR="00B82F75" w:rsidRPr="00F52C10" w:rsidRDefault="00B82F75" w:rsidP="00E4628E">
            <w:pPr>
              <w:pStyle w:val="Tabletext0"/>
              <w:spacing w:before="34" w:after="34" w:line="276" w:lineRule="auto"/>
              <w:rPr>
                <w:sz w:val="18"/>
                <w:szCs w:val="18"/>
              </w:rPr>
            </w:pPr>
            <w:r w:rsidRPr="00F52C10">
              <w:rPr>
                <w:sz w:val="18"/>
                <w:szCs w:val="18"/>
              </w:rPr>
              <w:t>PAK00000</w:t>
            </w:r>
          </w:p>
        </w:tc>
        <w:tc>
          <w:tcPr>
            <w:tcW w:w="1076" w:type="dxa"/>
            <w:tcBorders>
              <w:top w:val="single" w:sz="4" w:space="0" w:color="auto"/>
              <w:left w:val="single" w:sz="4" w:space="0" w:color="auto"/>
              <w:bottom w:val="single" w:sz="4" w:space="0" w:color="auto"/>
              <w:right w:val="single" w:sz="4" w:space="0" w:color="auto"/>
            </w:tcBorders>
          </w:tcPr>
          <w:p w14:paraId="306934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56,50</w:t>
            </w:r>
          </w:p>
        </w:tc>
        <w:tc>
          <w:tcPr>
            <w:tcW w:w="970" w:type="dxa"/>
            <w:tcBorders>
              <w:top w:val="single" w:sz="4" w:space="0" w:color="auto"/>
              <w:left w:val="single" w:sz="4" w:space="0" w:color="auto"/>
              <w:bottom w:val="single" w:sz="4" w:space="0" w:color="auto"/>
              <w:right w:val="single" w:sz="4" w:space="0" w:color="auto"/>
            </w:tcBorders>
          </w:tcPr>
          <w:p w14:paraId="4F21AD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69,90</w:t>
            </w:r>
          </w:p>
        </w:tc>
        <w:tc>
          <w:tcPr>
            <w:tcW w:w="907" w:type="dxa"/>
            <w:tcBorders>
              <w:top w:val="single" w:sz="4" w:space="0" w:color="auto"/>
              <w:left w:val="single" w:sz="4" w:space="0" w:color="auto"/>
              <w:bottom w:val="single" w:sz="4" w:space="0" w:color="auto"/>
              <w:right w:val="single" w:sz="4" w:space="0" w:color="auto"/>
            </w:tcBorders>
          </w:tcPr>
          <w:p w14:paraId="5A03B2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E8A4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9E97C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D61EF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24D0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5CE5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907" w:type="dxa"/>
            <w:tcBorders>
              <w:top w:val="single" w:sz="4" w:space="0" w:color="auto"/>
              <w:left w:val="single" w:sz="4" w:space="0" w:color="auto"/>
              <w:bottom w:val="single" w:sz="4" w:space="0" w:color="auto"/>
              <w:right w:val="single" w:sz="4" w:space="0" w:color="auto"/>
            </w:tcBorders>
          </w:tcPr>
          <w:p w14:paraId="42E8BB25" w14:textId="77777777" w:rsidR="00B82F75" w:rsidRPr="00F52C10" w:rsidRDefault="00B82F75" w:rsidP="00E4628E">
            <w:pPr>
              <w:pStyle w:val="Tabletext0"/>
              <w:spacing w:before="34" w:after="34" w:line="276" w:lineRule="auto"/>
              <w:rPr>
                <w:sz w:val="18"/>
                <w:szCs w:val="18"/>
                <w:lang w:val="en-CA"/>
              </w:rPr>
            </w:pPr>
          </w:p>
        </w:tc>
      </w:tr>
      <w:tr w:rsidR="00B82F75" w:rsidRPr="00F52C10" w14:paraId="35B52D7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B82A059" w14:textId="77777777" w:rsidR="00B82F75" w:rsidRPr="00F52C10" w:rsidRDefault="00B82F75" w:rsidP="00E4628E">
            <w:pPr>
              <w:pStyle w:val="Tabletext0"/>
              <w:spacing w:before="34" w:after="34" w:line="276" w:lineRule="auto"/>
              <w:rPr>
                <w:sz w:val="18"/>
                <w:szCs w:val="18"/>
              </w:rPr>
            </w:pPr>
            <w:r w:rsidRPr="00F52C10">
              <w:rPr>
                <w:sz w:val="18"/>
                <w:szCs w:val="18"/>
              </w:rPr>
              <w:t>PHL00000</w:t>
            </w:r>
          </w:p>
        </w:tc>
        <w:tc>
          <w:tcPr>
            <w:tcW w:w="1076" w:type="dxa"/>
            <w:tcBorders>
              <w:top w:val="single" w:sz="4" w:space="0" w:color="auto"/>
              <w:left w:val="single" w:sz="4" w:space="0" w:color="auto"/>
              <w:bottom w:val="single" w:sz="4" w:space="0" w:color="auto"/>
              <w:right w:val="single" w:sz="4" w:space="0" w:color="auto"/>
            </w:tcBorders>
          </w:tcPr>
          <w:p w14:paraId="2D4E39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161,00</w:t>
            </w:r>
          </w:p>
        </w:tc>
        <w:tc>
          <w:tcPr>
            <w:tcW w:w="970" w:type="dxa"/>
            <w:tcBorders>
              <w:top w:val="single" w:sz="4" w:space="0" w:color="auto"/>
              <w:left w:val="single" w:sz="4" w:space="0" w:color="auto"/>
              <w:bottom w:val="single" w:sz="4" w:space="0" w:color="auto"/>
              <w:right w:val="single" w:sz="4" w:space="0" w:color="auto"/>
            </w:tcBorders>
          </w:tcPr>
          <w:p w14:paraId="2D139F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122,23</w:t>
            </w:r>
          </w:p>
        </w:tc>
        <w:tc>
          <w:tcPr>
            <w:tcW w:w="907" w:type="dxa"/>
            <w:tcBorders>
              <w:top w:val="single" w:sz="4" w:space="0" w:color="auto"/>
              <w:left w:val="single" w:sz="4" w:space="0" w:color="auto"/>
              <w:bottom w:val="single" w:sz="4" w:space="0" w:color="auto"/>
              <w:right w:val="single" w:sz="4" w:space="0" w:color="auto"/>
            </w:tcBorders>
          </w:tcPr>
          <w:p w14:paraId="64EB8B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B5E70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0C716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6721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79,65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7A6E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3FA63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−38,4</w:t>
            </w:r>
          </w:p>
        </w:tc>
        <w:tc>
          <w:tcPr>
            <w:tcW w:w="907" w:type="dxa"/>
            <w:tcBorders>
              <w:top w:val="single" w:sz="4" w:space="0" w:color="auto"/>
              <w:left w:val="single" w:sz="4" w:space="0" w:color="auto"/>
              <w:bottom w:val="single" w:sz="4" w:space="0" w:color="auto"/>
              <w:right w:val="single" w:sz="4" w:space="0" w:color="auto"/>
            </w:tcBorders>
          </w:tcPr>
          <w:p w14:paraId="07D29BF1" w14:textId="77777777" w:rsidR="00B82F75" w:rsidRPr="00F52C10" w:rsidRDefault="00B82F75" w:rsidP="00E4628E">
            <w:pPr>
              <w:pStyle w:val="Tabletext0"/>
              <w:spacing w:before="34" w:after="34" w:line="276" w:lineRule="auto"/>
              <w:rPr>
                <w:sz w:val="18"/>
                <w:szCs w:val="18"/>
                <w:lang w:val="en-CA"/>
              </w:rPr>
            </w:pPr>
          </w:p>
        </w:tc>
      </w:tr>
      <w:tr w:rsidR="00B82F75" w:rsidRPr="00F52C10" w14:paraId="5EB45BB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29D0712" w14:textId="77777777" w:rsidR="00B82F75" w:rsidRPr="00F52C10" w:rsidRDefault="00B82F75" w:rsidP="00E4628E">
            <w:pPr>
              <w:pStyle w:val="Tabletext0"/>
              <w:spacing w:before="34" w:after="34" w:line="276" w:lineRule="auto"/>
              <w:rPr>
                <w:sz w:val="18"/>
                <w:szCs w:val="18"/>
              </w:rPr>
            </w:pPr>
            <w:r w:rsidRPr="00F52C10">
              <w:rPr>
                <w:sz w:val="18"/>
                <w:szCs w:val="18"/>
              </w:rPr>
              <w:t>PLM00000</w:t>
            </w:r>
          </w:p>
        </w:tc>
        <w:tc>
          <w:tcPr>
            <w:tcW w:w="1076" w:type="dxa"/>
            <w:tcBorders>
              <w:top w:val="single" w:sz="4" w:space="0" w:color="auto"/>
              <w:left w:val="single" w:sz="4" w:space="0" w:color="auto"/>
              <w:bottom w:val="single" w:sz="4" w:space="0" w:color="auto"/>
              <w:right w:val="single" w:sz="4" w:space="0" w:color="auto"/>
            </w:tcBorders>
          </w:tcPr>
          <w:p w14:paraId="5D24E7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6BDD68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−161,40</w:t>
            </w:r>
          </w:p>
        </w:tc>
        <w:tc>
          <w:tcPr>
            <w:tcW w:w="907" w:type="dxa"/>
            <w:tcBorders>
              <w:top w:val="single" w:sz="4" w:space="0" w:color="auto"/>
              <w:left w:val="single" w:sz="4" w:space="0" w:color="auto"/>
              <w:bottom w:val="single" w:sz="4" w:space="0" w:color="auto"/>
              <w:right w:val="single" w:sz="4" w:space="0" w:color="auto"/>
            </w:tcBorders>
          </w:tcPr>
          <w:p w14:paraId="27ECF3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4500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A2210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7EE785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8C152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132C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−41,9</w:t>
            </w:r>
          </w:p>
        </w:tc>
        <w:tc>
          <w:tcPr>
            <w:tcW w:w="907" w:type="dxa"/>
            <w:tcBorders>
              <w:top w:val="single" w:sz="4" w:space="0" w:color="auto"/>
              <w:left w:val="single" w:sz="4" w:space="0" w:color="auto"/>
              <w:bottom w:val="single" w:sz="4" w:space="0" w:color="auto"/>
              <w:right w:val="single" w:sz="4" w:space="0" w:color="auto"/>
            </w:tcBorders>
          </w:tcPr>
          <w:p w14:paraId="21AC0123"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7716844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82EE6E0" w14:textId="77777777" w:rsidR="00B82F75" w:rsidRPr="00F52C10" w:rsidRDefault="00B82F75" w:rsidP="00E4628E">
            <w:pPr>
              <w:pStyle w:val="Tabletext0"/>
              <w:spacing w:before="34" w:after="34" w:line="276" w:lineRule="auto"/>
              <w:rPr>
                <w:sz w:val="18"/>
                <w:szCs w:val="18"/>
              </w:rPr>
            </w:pPr>
            <w:r w:rsidRPr="00F52C10">
              <w:rPr>
                <w:sz w:val="18"/>
                <w:szCs w:val="18"/>
              </w:rPr>
              <w:t>PNG00000</w:t>
            </w:r>
          </w:p>
        </w:tc>
        <w:tc>
          <w:tcPr>
            <w:tcW w:w="1076" w:type="dxa"/>
            <w:tcBorders>
              <w:top w:val="single" w:sz="4" w:space="0" w:color="auto"/>
              <w:left w:val="single" w:sz="4" w:space="0" w:color="auto"/>
              <w:bottom w:val="single" w:sz="4" w:space="0" w:color="auto"/>
              <w:right w:val="single" w:sz="4" w:space="0" w:color="auto"/>
            </w:tcBorders>
          </w:tcPr>
          <w:p w14:paraId="4A5BFB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154,10</w:t>
            </w:r>
          </w:p>
        </w:tc>
        <w:tc>
          <w:tcPr>
            <w:tcW w:w="970" w:type="dxa"/>
            <w:tcBorders>
              <w:top w:val="single" w:sz="4" w:space="0" w:color="auto"/>
              <w:left w:val="single" w:sz="4" w:space="0" w:color="auto"/>
              <w:bottom w:val="single" w:sz="4" w:space="0" w:color="auto"/>
              <w:right w:val="single" w:sz="4" w:space="0" w:color="auto"/>
            </w:tcBorders>
          </w:tcPr>
          <w:p w14:paraId="45BC61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148,40</w:t>
            </w:r>
          </w:p>
        </w:tc>
        <w:tc>
          <w:tcPr>
            <w:tcW w:w="907" w:type="dxa"/>
            <w:tcBorders>
              <w:top w:val="single" w:sz="4" w:space="0" w:color="auto"/>
              <w:left w:val="single" w:sz="4" w:space="0" w:color="auto"/>
              <w:bottom w:val="single" w:sz="4" w:space="0" w:color="auto"/>
              <w:right w:val="single" w:sz="4" w:space="0" w:color="auto"/>
            </w:tcBorders>
          </w:tcPr>
          <w:p w14:paraId="66F22B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74E6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6C4ED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BE499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167,00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BE4D2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46B7B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907" w:type="dxa"/>
            <w:tcBorders>
              <w:top w:val="single" w:sz="4" w:space="0" w:color="auto"/>
              <w:left w:val="single" w:sz="4" w:space="0" w:color="auto"/>
              <w:bottom w:val="single" w:sz="4" w:space="0" w:color="auto"/>
              <w:right w:val="single" w:sz="4" w:space="0" w:color="auto"/>
            </w:tcBorders>
          </w:tcPr>
          <w:p w14:paraId="7A5A5908" w14:textId="77777777" w:rsidR="00B82F75" w:rsidRPr="00F52C10" w:rsidRDefault="00B82F75" w:rsidP="00E4628E">
            <w:pPr>
              <w:pStyle w:val="Tabletext0"/>
              <w:spacing w:before="34" w:after="34" w:line="276" w:lineRule="auto"/>
              <w:rPr>
                <w:sz w:val="18"/>
                <w:szCs w:val="18"/>
                <w:lang w:val="en-CA"/>
              </w:rPr>
            </w:pPr>
          </w:p>
        </w:tc>
      </w:tr>
      <w:tr w:rsidR="00B82F75" w:rsidRPr="00F52C10" w14:paraId="56CB169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5DDD271" w14:textId="77777777" w:rsidR="00B82F75" w:rsidRPr="00F52C10" w:rsidRDefault="00B82F75" w:rsidP="00E4628E">
            <w:pPr>
              <w:pStyle w:val="Tabletext0"/>
              <w:spacing w:before="34" w:after="34" w:line="276" w:lineRule="auto"/>
              <w:rPr>
                <w:sz w:val="18"/>
                <w:szCs w:val="18"/>
              </w:rPr>
            </w:pPr>
            <w:r w:rsidRPr="00F52C10">
              <w:rPr>
                <w:sz w:val="18"/>
                <w:szCs w:val="18"/>
              </w:rPr>
              <w:t>PNR00000</w:t>
            </w:r>
          </w:p>
        </w:tc>
        <w:tc>
          <w:tcPr>
            <w:tcW w:w="1076" w:type="dxa"/>
            <w:tcBorders>
              <w:top w:val="single" w:sz="4" w:space="0" w:color="auto"/>
              <w:left w:val="single" w:sz="4" w:space="0" w:color="auto"/>
              <w:bottom w:val="single" w:sz="4" w:space="0" w:color="auto"/>
              <w:right w:val="single" w:sz="4" w:space="0" w:color="auto"/>
            </w:tcBorders>
          </w:tcPr>
          <w:p w14:paraId="19DEFE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−79,20</w:t>
            </w:r>
          </w:p>
        </w:tc>
        <w:tc>
          <w:tcPr>
            <w:tcW w:w="970" w:type="dxa"/>
            <w:tcBorders>
              <w:top w:val="single" w:sz="4" w:space="0" w:color="auto"/>
              <w:left w:val="single" w:sz="4" w:space="0" w:color="auto"/>
              <w:bottom w:val="single" w:sz="4" w:space="0" w:color="auto"/>
              <w:right w:val="single" w:sz="4" w:space="0" w:color="auto"/>
            </w:tcBorders>
          </w:tcPr>
          <w:p w14:paraId="1AD6A9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−80,20</w:t>
            </w:r>
          </w:p>
        </w:tc>
        <w:tc>
          <w:tcPr>
            <w:tcW w:w="907" w:type="dxa"/>
            <w:tcBorders>
              <w:top w:val="single" w:sz="4" w:space="0" w:color="auto"/>
              <w:left w:val="single" w:sz="4" w:space="0" w:color="auto"/>
              <w:bottom w:val="single" w:sz="4" w:space="0" w:color="auto"/>
              <w:right w:val="single" w:sz="4" w:space="0" w:color="auto"/>
            </w:tcBorders>
          </w:tcPr>
          <w:p w14:paraId="383833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2182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3A7A2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10CB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5CF6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695B1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−40,4</w:t>
            </w:r>
          </w:p>
        </w:tc>
        <w:tc>
          <w:tcPr>
            <w:tcW w:w="907" w:type="dxa"/>
            <w:tcBorders>
              <w:top w:val="single" w:sz="4" w:space="0" w:color="auto"/>
              <w:left w:val="single" w:sz="4" w:space="0" w:color="auto"/>
              <w:bottom w:val="single" w:sz="4" w:space="0" w:color="auto"/>
              <w:right w:val="single" w:sz="4" w:space="0" w:color="auto"/>
            </w:tcBorders>
          </w:tcPr>
          <w:p w14:paraId="35D8BCAD" w14:textId="77777777" w:rsidR="00B82F75" w:rsidRPr="00F52C10" w:rsidRDefault="00B82F75" w:rsidP="00E4628E">
            <w:pPr>
              <w:pStyle w:val="Tabletext0"/>
              <w:spacing w:before="34" w:after="34" w:line="276" w:lineRule="auto"/>
              <w:rPr>
                <w:sz w:val="18"/>
                <w:szCs w:val="18"/>
                <w:lang w:val="en-CA"/>
              </w:rPr>
            </w:pPr>
          </w:p>
        </w:tc>
      </w:tr>
      <w:tr w:rsidR="00B82F75" w:rsidRPr="00F52C10" w14:paraId="165A9A7E"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82E34E2" w14:textId="77777777" w:rsidR="00B82F75" w:rsidRPr="00F52C10" w:rsidRDefault="00B82F75" w:rsidP="00E4628E">
            <w:pPr>
              <w:pStyle w:val="Tabletext0"/>
              <w:spacing w:before="34" w:after="34" w:line="276" w:lineRule="auto"/>
              <w:rPr>
                <w:sz w:val="18"/>
                <w:szCs w:val="18"/>
              </w:rPr>
            </w:pPr>
            <w:r w:rsidRPr="00F52C10">
              <w:rPr>
                <w:sz w:val="18"/>
                <w:szCs w:val="18"/>
              </w:rPr>
              <w:t>POL00000</w:t>
            </w:r>
          </w:p>
        </w:tc>
        <w:tc>
          <w:tcPr>
            <w:tcW w:w="1076" w:type="dxa"/>
            <w:tcBorders>
              <w:top w:val="single" w:sz="4" w:space="0" w:color="auto"/>
              <w:left w:val="single" w:sz="4" w:space="0" w:color="auto"/>
              <w:bottom w:val="single" w:sz="4" w:space="0" w:color="auto"/>
              <w:right w:val="single" w:sz="4" w:space="0" w:color="auto"/>
            </w:tcBorders>
          </w:tcPr>
          <w:p w14:paraId="2FAFAB6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15,20</w:t>
            </w:r>
          </w:p>
        </w:tc>
        <w:tc>
          <w:tcPr>
            <w:tcW w:w="970" w:type="dxa"/>
            <w:tcBorders>
              <w:top w:val="single" w:sz="4" w:space="0" w:color="auto"/>
              <w:left w:val="single" w:sz="4" w:space="0" w:color="auto"/>
              <w:bottom w:val="single" w:sz="4" w:space="0" w:color="auto"/>
              <w:right w:val="single" w:sz="4" w:space="0" w:color="auto"/>
            </w:tcBorders>
          </w:tcPr>
          <w:p w14:paraId="014E63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19,30</w:t>
            </w:r>
          </w:p>
        </w:tc>
        <w:tc>
          <w:tcPr>
            <w:tcW w:w="907" w:type="dxa"/>
            <w:tcBorders>
              <w:top w:val="single" w:sz="4" w:space="0" w:color="auto"/>
              <w:left w:val="single" w:sz="4" w:space="0" w:color="auto"/>
              <w:bottom w:val="single" w:sz="4" w:space="0" w:color="auto"/>
              <w:right w:val="single" w:sz="4" w:space="0" w:color="auto"/>
            </w:tcBorders>
          </w:tcPr>
          <w:p w14:paraId="374F1F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52,00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7B19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A7DEE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43F2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AFBB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1BD404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07" w:type="dxa"/>
            <w:tcBorders>
              <w:top w:val="single" w:sz="4" w:space="0" w:color="auto"/>
              <w:left w:val="single" w:sz="4" w:space="0" w:color="auto"/>
              <w:bottom w:val="single" w:sz="4" w:space="0" w:color="auto"/>
              <w:right w:val="single" w:sz="4" w:space="0" w:color="auto"/>
            </w:tcBorders>
          </w:tcPr>
          <w:p w14:paraId="145830F3" w14:textId="77777777" w:rsidR="00B82F75" w:rsidRPr="00F52C10" w:rsidRDefault="00B82F75" w:rsidP="00E4628E">
            <w:pPr>
              <w:pStyle w:val="Tabletext0"/>
              <w:spacing w:before="34" w:after="34" w:line="276" w:lineRule="auto"/>
              <w:rPr>
                <w:sz w:val="18"/>
                <w:szCs w:val="18"/>
                <w:lang w:val="en-CA"/>
              </w:rPr>
            </w:pPr>
          </w:p>
        </w:tc>
      </w:tr>
      <w:tr w:rsidR="00B82F75" w:rsidRPr="00F52C10" w14:paraId="6E73918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CE5A0CD" w14:textId="77777777" w:rsidR="00B82F75" w:rsidRPr="00F52C10" w:rsidRDefault="00B82F75" w:rsidP="00E4628E">
            <w:pPr>
              <w:pStyle w:val="Tabletext0"/>
              <w:spacing w:before="34" w:after="34" w:line="276" w:lineRule="auto"/>
              <w:rPr>
                <w:sz w:val="18"/>
                <w:szCs w:val="18"/>
              </w:rPr>
            </w:pPr>
            <w:r w:rsidRPr="00F52C10">
              <w:rPr>
                <w:sz w:val="18"/>
                <w:szCs w:val="18"/>
              </w:rPr>
              <w:t>POR00000</w:t>
            </w:r>
          </w:p>
        </w:tc>
        <w:tc>
          <w:tcPr>
            <w:tcW w:w="1076" w:type="dxa"/>
            <w:tcBorders>
              <w:top w:val="single" w:sz="4" w:space="0" w:color="auto"/>
              <w:left w:val="single" w:sz="4" w:space="0" w:color="auto"/>
              <w:bottom w:val="single" w:sz="4" w:space="0" w:color="auto"/>
              <w:right w:val="single" w:sz="4" w:space="0" w:color="auto"/>
            </w:tcBorders>
          </w:tcPr>
          <w:p w14:paraId="0056A7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−10,60</w:t>
            </w:r>
          </w:p>
        </w:tc>
        <w:tc>
          <w:tcPr>
            <w:tcW w:w="970" w:type="dxa"/>
            <w:tcBorders>
              <w:top w:val="single" w:sz="4" w:space="0" w:color="auto"/>
              <w:left w:val="single" w:sz="4" w:space="0" w:color="auto"/>
              <w:bottom w:val="single" w:sz="4" w:space="0" w:color="auto"/>
              <w:right w:val="single" w:sz="4" w:space="0" w:color="auto"/>
            </w:tcBorders>
          </w:tcPr>
          <w:p w14:paraId="17710A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07" w:type="dxa"/>
            <w:tcBorders>
              <w:top w:val="single" w:sz="4" w:space="0" w:color="auto"/>
              <w:left w:val="single" w:sz="4" w:space="0" w:color="auto"/>
              <w:bottom w:val="single" w:sz="4" w:space="0" w:color="auto"/>
              <w:right w:val="single" w:sz="4" w:space="0" w:color="auto"/>
            </w:tcBorders>
          </w:tcPr>
          <w:p w14:paraId="66B9B4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D61692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D0B79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C43BAA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D5D09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54D51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−41,2</w:t>
            </w:r>
          </w:p>
        </w:tc>
        <w:tc>
          <w:tcPr>
            <w:tcW w:w="907" w:type="dxa"/>
            <w:tcBorders>
              <w:top w:val="single" w:sz="4" w:space="0" w:color="auto"/>
              <w:left w:val="single" w:sz="4" w:space="0" w:color="auto"/>
              <w:bottom w:val="single" w:sz="4" w:space="0" w:color="auto"/>
              <w:right w:val="single" w:sz="4" w:space="0" w:color="auto"/>
            </w:tcBorders>
          </w:tcPr>
          <w:p w14:paraId="62479031" w14:textId="77777777" w:rsidR="00B82F75" w:rsidRPr="00F52C10" w:rsidRDefault="00B82F75" w:rsidP="00E4628E">
            <w:pPr>
              <w:pStyle w:val="Tabletext0"/>
              <w:spacing w:before="34" w:after="34" w:line="276" w:lineRule="auto"/>
              <w:rPr>
                <w:sz w:val="18"/>
                <w:szCs w:val="18"/>
              </w:rPr>
            </w:pPr>
            <w:r w:rsidRPr="00F52C10">
              <w:rPr>
                <w:sz w:val="18"/>
                <w:szCs w:val="18"/>
              </w:rPr>
              <w:t>*/MB7</w:t>
            </w:r>
          </w:p>
        </w:tc>
      </w:tr>
      <w:tr w:rsidR="00B82F75" w:rsidRPr="00F52C10" w14:paraId="3DD3D5B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2A2A6D5" w14:textId="77777777" w:rsidR="00B82F75" w:rsidRPr="00F52C10" w:rsidRDefault="00B82F75" w:rsidP="00E4628E">
            <w:pPr>
              <w:pStyle w:val="Tabletext0"/>
              <w:spacing w:before="34" w:after="34" w:line="276" w:lineRule="auto"/>
              <w:rPr>
                <w:sz w:val="18"/>
                <w:szCs w:val="18"/>
              </w:rPr>
            </w:pPr>
            <w:r w:rsidRPr="00F52C10">
              <w:rPr>
                <w:sz w:val="18"/>
                <w:szCs w:val="18"/>
              </w:rPr>
              <w:t>PRG00000</w:t>
            </w:r>
          </w:p>
        </w:tc>
        <w:tc>
          <w:tcPr>
            <w:tcW w:w="1076" w:type="dxa"/>
            <w:tcBorders>
              <w:top w:val="single" w:sz="4" w:space="0" w:color="auto"/>
              <w:left w:val="single" w:sz="4" w:space="0" w:color="auto"/>
              <w:bottom w:val="single" w:sz="4" w:space="0" w:color="auto"/>
              <w:right w:val="single" w:sz="4" w:space="0" w:color="auto"/>
            </w:tcBorders>
          </w:tcPr>
          <w:p w14:paraId="14E71B9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−81,50</w:t>
            </w:r>
          </w:p>
        </w:tc>
        <w:tc>
          <w:tcPr>
            <w:tcW w:w="970" w:type="dxa"/>
            <w:tcBorders>
              <w:top w:val="single" w:sz="4" w:space="0" w:color="auto"/>
              <w:left w:val="single" w:sz="4" w:space="0" w:color="auto"/>
              <w:bottom w:val="single" w:sz="4" w:space="0" w:color="auto"/>
              <w:right w:val="single" w:sz="4" w:space="0" w:color="auto"/>
            </w:tcBorders>
          </w:tcPr>
          <w:p w14:paraId="011B0E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−58,70</w:t>
            </w:r>
          </w:p>
        </w:tc>
        <w:tc>
          <w:tcPr>
            <w:tcW w:w="907" w:type="dxa"/>
            <w:tcBorders>
              <w:top w:val="single" w:sz="4" w:space="0" w:color="auto"/>
              <w:left w:val="single" w:sz="4" w:space="0" w:color="auto"/>
              <w:bottom w:val="single" w:sz="4" w:space="0" w:color="auto"/>
              <w:right w:val="single" w:sz="4" w:space="0" w:color="auto"/>
            </w:tcBorders>
          </w:tcPr>
          <w:p w14:paraId="06094F9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3F72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14CC3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EC33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381079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0D5EB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−39,1</w:t>
            </w:r>
          </w:p>
        </w:tc>
        <w:tc>
          <w:tcPr>
            <w:tcW w:w="907" w:type="dxa"/>
            <w:tcBorders>
              <w:top w:val="single" w:sz="4" w:space="0" w:color="auto"/>
              <w:left w:val="single" w:sz="4" w:space="0" w:color="auto"/>
              <w:bottom w:val="single" w:sz="4" w:space="0" w:color="auto"/>
              <w:right w:val="single" w:sz="4" w:space="0" w:color="auto"/>
            </w:tcBorders>
          </w:tcPr>
          <w:p w14:paraId="03F735B3" w14:textId="77777777" w:rsidR="00B82F75" w:rsidRPr="00F52C10" w:rsidRDefault="00B82F75" w:rsidP="00E4628E">
            <w:pPr>
              <w:pStyle w:val="Tabletext0"/>
              <w:spacing w:before="34" w:after="34" w:line="276" w:lineRule="auto"/>
              <w:rPr>
                <w:sz w:val="18"/>
                <w:szCs w:val="18"/>
                <w:lang w:val="en-CA"/>
              </w:rPr>
            </w:pPr>
          </w:p>
        </w:tc>
      </w:tr>
      <w:tr w:rsidR="00B82F75" w:rsidRPr="00F52C10" w14:paraId="3E81D2B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2BB98F8" w14:textId="77777777" w:rsidR="00B82F75" w:rsidRPr="00F52C10" w:rsidRDefault="00B82F75" w:rsidP="00E4628E">
            <w:pPr>
              <w:pStyle w:val="Tabletext0"/>
              <w:spacing w:before="34" w:after="34" w:line="276" w:lineRule="auto"/>
              <w:rPr>
                <w:sz w:val="18"/>
                <w:szCs w:val="18"/>
              </w:rPr>
            </w:pPr>
            <w:r w:rsidRPr="00F52C10">
              <w:rPr>
                <w:sz w:val="18"/>
                <w:szCs w:val="18"/>
              </w:rPr>
              <w:t>PRU00000</w:t>
            </w:r>
          </w:p>
        </w:tc>
        <w:tc>
          <w:tcPr>
            <w:tcW w:w="1076" w:type="dxa"/>
            <w:tcBorders>
              <w:top w:val="single" w:sz="4" w:space="0" w:color="auto"/>
              <w:left w:val="single" w:sz="4" w:space="0" w:color="auto"/>
              <w:bottom w:val="single" w:sz="4" w:space="0" w:color="auto"/>
              <w:right w:val="single" w:sz="4" w:space="0" w:color="auto"/>
            </w:tcBorders>
          </w:tcPr>
          <w:p w14:paraId="71E8056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−89,90</w:t>
            </w:r>
          </w:p>
        </w:tc>
        <w:tc>
          <w:tcPr>
            <w:tcW w:w="970" w:type="dxa"/>
            <w:tcBorders>
              <w:top w:val="single" w:sz="4" w:space="0" w:color="auto"/>
              <w:left w:val="single" w:sz="4" w:space="0" w:color="auto"/>
              <w:bottom w:val="single" w:sz="4" w:space="0" w:color="auto"/>
              <w:right w:val="single" w:sz="4" w:space="0" w:color="auto"/>
            </w:tcBorders>
          </w:tcPr>
          <w:p w14:paraId="6D236FA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−74,20</w:t>
            </w:r>
          </w:p>
        </w:tc>
        <w:tc>
          <w:tcPr>
            <w:tcW w:w="907" w:type="dxa"/>
            <w:tcBorders>
              <w:top w:val="single" w:sz="4" w:space="0" w:color="auto"/>
              <w:left w:val="single" w:sz="4" w:space="0" w:color="auto"/>
              <w:bottom w:val="single" w:sz="4" w:space="0" w:color="auto"/>
              <w:right w:val="single" w:sz="4" w:space="0" w:color="auto"/>
            </w:tcBorders>
          </w:tcPr>
          <w:p w14:paraId="037F05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AF763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FC0376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1999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D2B0FF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116F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−38,7</w:t>
            </w:r>
          </w:p>
        </w:tc>
        <w:tc>
          <w:tcPr>
            <w:tcW w:w="907" w:type="dxa"/>
            <w:tcBorders>
              <w:top w:val="single" w:sz="4" w:space="0" w:color="auto"/>
              <w:left w:val="single" w:sz="4" w:space="0" w:color="auto"/>
              <w:bottom w:val="single" w:sz="4" w:space="0" w:color="auto"/>
              <w:right w:val="single" w:sz="4" w:space="0" w:color="auto"/>
            </w:tcBorders>
          </w:tcPr>
          <w:p w14:paraId="5FF11364" w14:textId="77777777" w:rsidR="00B82F75" w:rsidRPr="00F52C10" w:rsidRDefault="00B82F75" w:rsidP="00E4628E">
            <w:pPr>
              <w:pStyle w:val="Tabletext0"/>
              <w:spacing w:before="34" w:after="34" w:line="276" w:lineRule="auto"/>
              <w:rPr>
                <w:sz w:val="18"/>
                <w:szCs w:val="18"/>
                <w:lang w:val="en-CA"/>
              </w:rPr>
            </w:pPr>
          </w:p>
        </w:tc>
      </w:tr>
      <w:tr w:rsidR="00B82F75" w:rsidRPr="00F52C10" w14:paraId="373CFE4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57EC70D" w14:textId="77777777" w:rsidR="00B82F75" w:rsidRPr="00F52C10" w:rsidRDefault="00B82F75" w:rsidP="00E4628E">
            <w:pPr>
              <w:pStyle w:val="Tabletext0"/>
              <w:spacing w:before="34" w:after="34" w:line="276" w:lineRule="auto"/>
              <w:rPr>
                <w:sz w:val="18"/>
                <w:szCs w:val="18"/>
              </w:rPr>
            </w:pPr>
            <w:r w:rsidRPr="00F52C10">
              <w:rPr>
                <w:sz w:val="18"/>
                <w:szCs w:val="18"/>
              </w:rPr>
              <w:t>PTC00000</w:t>
            </w:r>
          </w:p>
        </w:tc>
        <w:tc>
          <w:tcPr>
            <w:tcW w:w="1076" w:type="dxa"/>
            <w:tcBorders>
              <w:top w:val="single" w:sz="4" w:space="0" w:color="auto"/>
              <w:left w:val="single" w:sz="4" w:space="0" w:color="auto"/>
              <w:bottom w:val="single" w:sz="4" w:space="0" w:color="auto"/>
              <w:right w:val="single" w:sz="4" w:space="0" w:color="auto"/>
            </w:tcBorders>
          </w:tcPr>
          <w:p w14:paraId="3BA6F3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−62,30</w:t>
            </w:r>
          </w:p>
        </w:tc>
        <w:tc>
          <w:tcPr>
            <w:tcW w:w="970" w:type="dxa"/>
            <w:tcBorders>
              <w:top w:val="single" w:sz="4" w:space="0" w:color="auto"/>
              <w:left w:val="single" w:sz="4" w:space="0" w:color="auto"/>
              <w:bottom w:val="single" w:sz="4" w:space="0" w:color="auto"/>
              <w:right w:val="single" w:sz="4" w:space="0" w:color="auto"/>
            </w:tcBorders>
          </w:tcPr>
          <w:p w14:paraId="0ECABF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−130,10</w:t>
            </w:r>
          </w:p>
        </w:tc>
        <w:tc>
          <w:tcPr>
            <w:tcW w:w="907" w:type="dxa"/>
            <w:tcBorders>
              <w:top w:val="single" w:sz="4" w:space="0" w:color="auto"/>
              <w:left w:val="single" w:sz="4" w:space="0" w:color="auto"/>
              <w:bottom w:val="single" w:sz="4" w:space="0" w:color="auto"/>
              <w:right w:val="single" w:sz="4" w:space="0" w:color="auto"/>
            </w:tcBorders>
          </w:tcPr>
          <w:p w14:paraId="132E561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A8EED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E09D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E1780D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6B76A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6EAD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−41,2</w:t>
            </w:r>
          </w:p>
        </w:tc>
        <w:tc>
          <w:tcPr>
            <w:tcW w:w="907" w:type="dxa"/>
            <w:tcBorders>
              <w:top w:val="single" w:sz="4" w:space="0" w:color="auto"/>
              <w:left w:val="single" w:sz="4" w:space="0" w:color="auto"/>
              <w:bottom w:val="single" w:sz="4" w:space="0" w:color="auto"/>
              <w:right w:val="single" w:sz="4" w:space="0" w:color="auto"/>
            </w:tcBorders>
          </w:tcPr>
          <w:p w14:paraId="52022472" w14:textId="77777777" w:rsidR="00B82F75" w:rsidRPr="00F52C10" w:rsidRDefault="00B82F75" w:rsidP="00E4628E">
            <w:pPr>
              <w:pStyle w:val="Tabletext0"/>
              <w:spacing w:before="34" w:after="34" w:line="276" w:lineRule="auto"/>
              <w:rPr>
                <w:sz w:val="18"/>
                <w:szCs w:val="18"/>
                <w:lang w:val="en-CA"/>
              </w:rPr>
            </w:pPr>
          </w:p>
        </w:tc>
      </w:tr>
      <w:tr w:rsidR="00B82F75" w:rsidRPr="00F52C10" w14:paraId="657D57F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9F4EED2" w14:textId="77777777" w:rsidR="00B82F75" w:rsidRPr="00F52C10" w:rsidRDefault="00B82F75" w:rsidP="00E4628E">
            <w:pPr>
              <w:pStyle w:val="Tabletext0"/>
              <w:spacing w:before="34" w:after="34" w:line="276" w:lineRule="auto"/>
              <w:rPr>
                <w:sz w:val="18"/>
                <w:szCs w:val="18"/>
              </w:rPr>
            </w:pPr>
            <w:r w:rsidRPr="00F52C10">
              <w:rPr>
                <w:sz w:val="18"/>
                <w:szCs w:val="18"/>
              </w:rPr>
              <w:t>QAT00000</w:t>
            </w:r>
          </w:p>
        </w:tc>
        <w:tc>
          <w:tcPr>
            <w:tcW w:w="1076" w:type="dxa"/>
            <w:tcBorders>
              <w:top w:val="single" w:sz="4" w:space="0" w:color="auto"/>
              <w:left w:val="single" w:sz="4" w:space="0" w:color="auto"/>
              <w:bottom w:val="single" w:sz="4" w:space="0" w:color="auto"/>
              <w:right w:val="single" w:sz="4" w:space="0" w:color="auto"/>
            </w:tcBorders>
          </w:tcPr>
          <w:p w14:paraId="047ACB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0,90</w:t>
            </w:r>
          </w:p>
        </w:tc>
        <w:tc>
          <w:tcPr>
            <w:tcW w:w="970" w:type="dxa"/>
            <w:tcBorders>
              <w:top w:val="single" w:sz="4" w:space="0" w:color="auto"/>
              <w:left w:val="single" w:sz="4" w:space="0" w:color="auto"/>
              <w:bottom w:val="single" w:sz="4" w:space="0" w:color="auto"/>
              <w:right w:val="single" w:sz="4" w:space="0" w:color="auto"/>
            </w:tcBorders>
          </w:tcPr>
          <w:p w14:paraId="75CF66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51,60</w:t>
            </w:r>
          </w:p>
        </w:tc>
        <w:tc>
          <w:tcPr>
            <w:tcW w:w="907" w:type="dxa"/>
            <w:tcBorders>
              <w:top w:val="single" w:sz="4" w:space="0" w:color="auto"/>
              <w:left w:val="single" w:sz="4" w:space="0" w:color="auto"/>
              <w:bottom w:val="single" w:sz="4" w:space="0" w:color="auto"/>
              <w:right w:val="single" w:sz="4" w:space="0" w:color="auto"/>
            </w:tcBorders>
          </w:tcPr>
          <w:p w14:paraId="309B97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C0C74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4DB7F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AE55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1AB9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658A3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−41,6</w:t>
            </w:r>
          </w:p>
        </w:tc>
        <w:tc>
          <w:tcPr>
            <w:tcW w:w="907" w:type="dxa"/>
            <w:tcBorders>
              <w:top w:val="single" w:sz="4" w:space="0" w:color="auto"/>
              <w:left w:val="single" w:sz="4" w:space="0" w:color="auto"/>
              <w:bottom w:val="single" w:sz="4" w:space="0" w:color="auto"/>
              <w:right w:val="single" w:sz="4" w:space="0" w:color="auto"/>
            </w:tcBorders>
          </w:tcPr>
          <w:p w14:paraId="0181A400" w14:textId="77777777" w:rsidR="00B82F75" w:rsidRPr="00F52C10" w:rsidRDefault="00B82F75" w:rsidP="00E4628E">
            <w:pPr>
              <w:pStyle w:val="Tabletext0"/>
              <w:spacing w:before="34" w:after="34" w:line="276" w:lineRule="auto"/>
              <w:rPr>
                <w:sz w:val="18"/>
                <w:szCs w:val="18"/>
                <w:lang w:val="en-CA"/>
              </w:rPr>
            </w:pPr>
          </w:p>
        </w:tc>
      </w:tr>
      <w:tr w:rsidR="00B82F75" w:rsidRPr="00F52C10" w14:paraId="7916598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4A4488B" w14:textId="77777777" w:rsidR="00B82F75" w:rsidRPr="00F52C10" w:rsidRDefault="00B82F75" w:rsidP="00E4628E">
            <w:pPr>
              <w:pStyle w:val="Tabletext0"/>
              <w:spacing w:before="34" w:after="34" w:line="276" w:lineRule="auto"/>
              <w:rPr>
                <w:sz w:val="18"/>
                <w:szCs w:val="18"/>
              </w:rPr>
            </w:pPr>
            <w:r w:rsidRPr="00F52C10">
              <w:rPr>
                <w:sz w:val="18"/>
                <w:szCs w:val="18"/>
              </w:rPr>
              <w:t>REU00000</w:t>
            </w:r>
          </w:p>
        </w:tc>
        <w:tc>
          <w:tcPr>
            <w:tcW w:w="1076" w:type="dxa"/>
            <w:tcBorders>
              <w:top w:val="single" w:sz="4" w:space="0" w:color="auto"/>
              <w:left w:val="single" w:sz="4" w:space="0" w:color="auto"/>
              <w:bottom w:val="single" w:sz="4" w:space="0" w:color="auto"/>
              <w:right w:val="single" w:sz="4" w:space="0" w:color="auto"/>
            </w:tcBorders>
          </w:tcPr>
          <w:p w14:paraId="7D7FC9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70" w:type="dxa"/>
            <w:tcBorders>
              <w:top w:val="single" w:sz="4" w:space="0" w:color="auto"/>
              <w:left w:val="single" w:sz="4" w:space="0" w:color="auto"/>
              <w:bottom w:val="single" w:sz="4" w:space="0" w:color="auto"/>
              <w:right w:val="single" w:sz="4" w:space="0" w:color="auto"/>
            </w:tcBorders>
          </w:tcPr>
          <w:p w14:paraId="2A51A9CE"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19EC1DD4"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410744"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3C0667C"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7289862"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6AD2AD"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20FFFA"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4908FE73" w14:textId="77777777" w:rsidR="00B82F75" w:rsidRPr="00F52C10" w:rsidRDefault="00B82F75" w:rsidP="00E4628E">
            <w:pPr>
              <w:pStyle w:val="Tabletext0"/>
              <w:spacing w:before="34" w:after="34" w:line="276" w:lineRule="auto"/>
              <w:rPr>
                <w:sz w:val="18"/>
                <w:szCs w:val="18"/>
              </w:rPr>
            </w:pPr>
            <w:r w:rsidRPr="00F52C10">
              <w:rPr>
                <w:sz w:val="18"/>
                <w:szCs w:val="18"/>
              </w:rPr>
              <w:t>1</w:t>
            </w:r>
          </w:p>
        </w:tc>
      </w:tr>
      <w:tr w:rsidR="00B82F75" w:rsidRPr="00F52C10" w14:paraId="0A209F4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97511B0" w14:textId="77777777" w:rsidR="00B82F75" w:rsidRPr="00F52C10" w:rsidRDefault="00B82F75" w:rsidP="00E4628E">
            <w:pPr>
              <w:pStyle w:val="Tabletext0"/>
              <w:spacing w:before="34" w:after="34" w:line="276" w:lineRule="auto"/>
              <w:rPr>
                <w:sz w:val="18"/>
                <w:szCs w:val="18"/>
              </w:rPr>
            </w:pPr>
            <w:r w:rsidRPr="00F52C10">
              <w:rPr>
                <w:sz w:val="18"/>
                <w:szCs w:val="18"/>
              </w:rPr>
              <w:t>REU00002</w:t>
            </w:r>
          </w:p>
        </w:tc>
        <w:tc>
          <w:tcPr>
            <w:tcW w:w="1076" w:type="dxa"/>
            <w:tcBorders>
              <w:top w:val="single" w:sz="4" w:space="0" w:color="auto"/>
              <w:left w:val="single" w:sz="4" w:space="0" w:color="auto"/>
              <w:bottom w:val="single" w:sz="4" w:space="0" w:color="auto"/>
              <w:right w:val="single" w:sz="4" w:space="0" w:color="auto"/>
            </w:tcBorders>
          </w:tcPr>
          <w:p w14:paraId="4B348D2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70" w:type="dxa"/>
            <w:tcBorders>
              <w:top w:val="single" w:sz="4" w:space="0" w:color="auto"/>
              <w:left w:val="single" w:sz="4" w:space="0" w:color="auto"/>
              <w:bottom w:val="single" w:sz="4" w:space="0" w:color="auto"/>
              <w:right w:val="single" w:sz="4" w:space="0" w:color="auto"/>
            </w:tcBorders>
          </w:tcPr>
          <w:p w14:paraId="3A176F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55,60</w:t>
            </w:r>
          </w:p>
        </w:tc>
        <w:tc>
          <w:tcPr>
            <w:tcW w:w="907" w:type="dxa"/>
            <w:tcBorders>
              <w:top w:val="single" w:sz="4" w:space="0" w:color="auto"/>
              <w:left w:val="single" w:sz="4" w:space="0" w:color="auto"/>
              <w:bottom w:val="single" w:sz="4" w:space="0" w:color="auto"/>
              <w:right w:val="single" w:sz="4" w:space="0" w:color="auto"/>
            </w:tcBorders>
          </w:tcPr>
          <w:p w14:paraId="3026F22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241D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18505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7210F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A5610C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CDDD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−40,6</w:t>
            </w:r>
          </w:p>
        </w:tc>
        <w:tc>
          <w:tcPr>
            <w:tcW w:w="907" w:type="dxa"/>
            <w:tcBorders>
              <w:top w:val="single" w:sz="4" w:space="0" w:color="auto"/>
              <w:left w:val="single" w:sz="4" w:space="0" w:color="auto"/>
              <w:bottom w:val="single" w:sz="4" w:space="0" w:color="auto"/>
              <w:right w:val="single" w:sz="4" w:space="0" w:color="auto"/>
            </w:tcBorders>
          </w:tcPr>
          <w:p w14:paraId="7EB1E810" w14:textId="77777777" w:rsidR="00B82F75" w:rsidRPr="00F52C10" w:rsidRDefault="00B82F75" w:rsidP="00E4628E">
            <w:pPr>
              <w:pStyle w:val="Tabletext0"/>
              <w:spacing w:before="34" w:after="34" w:line="276" w:lineRule="auto"/>
              <w:rPr>
                <w:sz w:val="18"/>
                <w:szCs w:val="18"/>
              </w:rPr>
            </w:pPr>
            <w:r w:rsidRPr="00F52C10">
              <w:rPr>
                <w:sz w:val="18"/>
                <w:szCs w:val="18"/>
              </w:rPr>
              <w:t>*/MB1</w:t>
            </w:r>
          </w:p>
        </w:tc>
      </w:tr>
      <w:tr w:rsidR="00B82F75" w:rsidRPr="00F52C10" w14:paraId="7E9D1B2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08A5AC1" w14:textId="77777777" w:rsidR="00B82F75" w:rsidRPr="00F52C10" w:rsidRDefault="00B82F75" w:rsidP="00E4628E">
            <w:pPr>
              <w:pStyle w:val="Tabletext0"/>
              <w:spacing w:before="34" w:after="34" w:line="276" w:lineRule="auto"/>
              <w:rPr>
                <w:sz w:val="18"/>
                <w:szCs w:val="18"/>
              </w:rPr>
            </w:pPr>
            <w:r w:rsidRPr="00F52C10">
              <w:rPr>
                <w:sz w:val="18"/>
                <w:szCs w:val="18"/>
              </w:rPr>
              <w:t>ROU00000</w:t>
            </w:r>
          </w:p>
        </w:tc>
        <w:tc>
          <w:tcPr>
            <w:tcW w:w="1076" w:type="dxa"/>
            <w:tcBorders>
              <w:top w:val="single" w:sz="4" w:space="0" w:color="auto"/>
              <w:left w:val="single" w:sz="4" w:space="0" w:color="auto"/>
              <w:bottom w:val="single" w:sz="4" w:space="0" w:color="auto"/>
              <w:right w:val="single" w:sz="4" w:space="0" w:color="auto"/>
            </w:tcBorders>
          </w:tcPr>
          <w:p w14:paraId="76C865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30,45</w:t>
            </w:r>
          </w:p>
        </w:tc>
        <w:tc>
          <w:tcPr>
            <w:tcW w:w="970" w:type="dxa"/>
            <w:tcBorders>
              <w:top w:val="single" w:sz="4" w:space="0" w:color="auto"/>
              <w:left w:val="single" w:sz="4" w:space="0" w:color="auto"/>
              <w:bottom w:val="single" w:sz="4" w:space="0" w:color="auto"/>
              <w:right w:val="single" w:sz="4" w:space="0" w:color="auto"/>
            </w:tcBorders>
          </w:tcPr>
          <w:p w14:paraId="00E2DD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25,00</w:t>
            </w:r>
          </w:p>
        </w:tc>
        <w:tc>
          <w:tcPr>
            <w:tcW w:w="907" w:type="dxa"/>
            <w:tcBorders>
              <w:top w:val="single" w:sz="4" w:space="0" w:color="auto"/>
              <w:left w:val="single" w:sz="4" w:space="0" w:color="auto"/>
              <w:bottom w:val="single" w:sz="4" w:space="0" w:color="auto"/>
              <w:right w:val="single" w:sz="4" w:space="0" w:color="auto"/>
            </w:tcBorders>
          </w:tcPr>
          <w:p w14:paraId="1A58E0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EB310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69663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70AA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4CDE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AF2AD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−39,6</w:t>
            </w:r>
          </w:p>
        </w:tc>
        <w:tc>
          <w:tcPr>
            <w:tcW w:w="907" w:type="dxa"/>
            <w:tcBorders>
              <w:top w:val="single" w:sz="4" w:space="0" w:color="auto"/>
              <w:left w:val="single" w:sz="4" w:space="0" w:color="auto"/>
              <w:bottom w:val="single" w:sz="4" w:space="0" w:color="auto"/>
              <w:right w:val="single" w:sz="4" w:space="0" w:color="auto"/>
            </w:tcBorders>
          </w:tcPr>
          <w:p w14:paraId="0AF89C9E" w14:textId="77777777" w:rsidR="00B82F75" w:rsidRPr="00F52C10" w:rsidRDefault="00B82F75" w:rsidP="00E4628E">
            <w:pPr>
              <w:pStyle w:val="Tabletext0"/>
              <w:spacing w:before="34" w:after="34" w:line="276" w:lineRule="auto"/>
              <w:rPr>
                <w:sz w:val="18"/>
                <w:szCs w:val="18"/>
                <w:lang w:val="en-CA"/>
              </w:rPr>
            </w:pPr>
          </w:p>
        </w:tc>
      </w:tr>
      <w:tr w:rsidR="00B82F75" w:rsidRPr="00F52C10" w14:paraId="20E8417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C28C658" w14:textId="77777777" w:rsidR="00B82F75" w:rsidRPr="00F52C10" w:rsidRDefault="00B82F75" w:rsidP="00E4628E">
            <w:pPr>
              <w:pStyle w:val="Tabletext0"/>
              <w:spacing w:before="34" w:after="34" w:line="276" w:lineRule="auto"/>
              <w:rPr>
                <w:sz w:val="18"/>
                <w:szCs w:val="18"/>
              </w:rPr>
            </w:pPr>
            <w:r w:rsidRPr="00F52C10">
              <w:rPr>
                <w:sz w:val="18"/>
                <w:szCs w:val="18"/>
              </w:rPr>
              <w:t>RRW00000</w:t>
            </w:r>
          </w:p>
        </w:tc>
        <w:tc>
          <w:tcPr>
            <w:tcW w:w="1076" w:type="dxa"/>
            <w:tcBorders>
              <w:top w:val="single" w:sz="4" w:space="0" w:color="auto"/>
              <w:left w:val="single" w:sz="4" w:space="0" w:color="auto"/>
              <w:bottom w:val="single" w:sz="4" w:space="0" w:color="auto"/>
              <w:right w:val="single" w:sz="4" w:space="0" w:color="auto"/>
            </w:tcBorders>
          </w:tcPr>
          <w:p w14:paraId="734E09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17,60</w:t>
            </w:r>
          </w:p>
        </w:tc>
        <w:tc>
          <w:tcPr>
            <w:tcW w:w="970" w:type="dxa"/>
            <w:tcBorders>
              <w:top w:val="single" w:sz="4" w:space="0" w:color="auto"/>
              <w:left w:val="single" w:sz="4" w:space="0" w:color="auto"/>
              <w:bottom w:val="single" w:sz="4" w:space="0" w:color="auto"/>
              <w:right w:val="single" w:sz="4" w:space="0" w:color="auto"/>
            </w:tcBorders>
          </w:tcPr>
          <w:p w14:paraId="13E032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29,70</w:t>
            </w:r>
          </w:p>
        </w:tc>
        <w:tc>
          <w:tcPr>
            <w:tcW w:w="907" w:type="dxa"/>
            <w:tcBorders>
              <w:top w:val="single" w:sz="4" w:space="0" w:color="auto"/>
              <w:left w:val="single" w:sz="4" w:space="0" w:color="auto"/>
              <w:bottom w:val="single" w:sz="4" w:space="0" w:color="auto"/>
              <w:right w:val="single" w:sz="4" w:space="0" w:color="auto"/>
            </w:tcBorders>
          </w:tcPr>
          <w:p w14:paraId="1B03EA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056E5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AE39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D0CA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F839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7C2C4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−41,9</w:t>
            </w:r>
          </w:p>
        </w:tc>
        <w:tc>
          <w:tcPr>
            <w:tcW w:w="907" w:type="dxa"/>
            <w:tcBorders>
              <w:top w:val="single" w:sz="4" w:space="0" w:color="auto"/>
              <w:left w:val="single" w:sz="4" w:space="0" w:color="auto"/>
              <w:bottom w:val="single" w:sz="4" w:space="0" w:color="auto"/>
              <w:right w:val="single" w:sz="4" w:space="0" w:color="auto"/>
            </w:tcBorders>
          </w:tcPr>
          <w:p w14:paraId="75E658C4" w14:textId="77777777" w:rsidR="00B82F75" w:rsidRPr="00F52C10" w:rsidRDefault="00B82F75" w:rsidP="00E4628E">
            <w:pPr>
              <w:pStyle w:val="Tabletext0"/>
              <w:spacing w:before="34" w:after="34" w:line="276" w:lineRule="auto"/>
              <w:rPr>
                <w:sz w:val="18"/>
                <w:szCs w:val="18"/>
                <w:lang w:val="en-CA"/>
              </w:rPr>
            </w:pPr>
          </w:p>
        </w:tc>
      </w:tr>
      <w:tr w:rsidR="00B82F75" w:rsidRPr="00F52C10" w14:paraId="4276BC2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923C880" w14:textId="77777777" w:rsidR="00B82F75" w:rsidRPr="00F52C10" w:rsidRDefault="00B82F75" w:rsidP="00E4628E">
            <w:pPr>
              <w:pStyle w:val="Tabletext0"/>
              <w:spacing w:before="34" w:after="34" w:line="276" w:lineRule="auto"/>
              <w:rPr>
                <w:sz w:val="18"/>
                <w:szCs w:val="18"/>
              </w:rPr>
            </w:pPr>
            <w:r w:rsidRPr="00F52C10">
              <w:rPr>
                <w:sz w:val="18"/>
                <w:szCs w:val="18"/>
              </w:rPr>
              <w:lastRenderedPageBreak/>
              <w:t>RUS00001</w:t>
            </w:r>
          </w:p>
        </w:tc>
        <w:tc>
          <w:tcPr>
            <w:tcW w:w="1076" w:type="dxa"/>
            <w:tcBorders>
              <w:top w:val="single" w:sz="4" w:space="0" w:color="auto"/>
              <w:left w:val="single" w:sz="4" w:space="0" w:color="auto"/>
              <w:bottom w:val="single" w:sz="4" w:space="0" w:color="auto"/>
              <w:right w:val="single" w:sz="4" w:space="0" w:color="auto"/>
            </w:tcBorders>
          </w:tcPr>
          <w:p w14:paraId="3CCF83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61,00</w:t>
            </w:r>
          </w:p>
        </w:tc>
        <w:tc>
          <w:tcPr>
            <w:tcW w:w="970" w:type="dxa"/>
            <w:tcBorders>
              <w:top w:val="single" w:sz="4" w:space="0" w:color="auto"/>
              <w:left w:val="single" w:sz="4" w:space="0" w:color="auto"/>
              <w:bottom w:val="single" w:sz="4" w:space="0" w:color="auto"/>
              <w:right w:val="single" w:sz="4" w:space="0" w:color="auto"/>
            </w:tcBorders>
          </w:tcPr>
          <w:p w14:paraId="7FED39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51,50</w:t>
            </w:r>
          </w:p>
        </w:tc>
        <w:tc>
          <w:tcPr>
            <w:tcW w:w="907" w:type="dxa"/>
            <w:tcBorders>
              <w:top w:val="single" w:sz="4" w:space="0" w:color="auto"/>
              <w:left w:val="single" w:sz="4" w:space="0" w:color="auto"/>
              <w:bottom w:val="single" w:sz="4" w:space="0" w:color="auto"/>
              <w:right w:val="single" w:sz="4" w:space="0" w:color="auto"/>
            </w:tcBorders>
          </w:tcPr>
          <w:p w14:paraId="4AB0A3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52,99</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58C5B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5,56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49CA9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2,01</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93106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10,74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8E393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DA45A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−38,3</w:t>
            </w:r>
          </w:p>
        </w:tc>
        <w:tc>
          <w:tcPr>
            <w:tcW w:w="907" w:type="dxa"/>
            <w:tcBorders>
              <w:top w:val="single" w:sz="4" w:space="0" w:color="auto"/>
              <w:left w:val="single" w:sz="4" w:space="0" w:color="auto"/>
              <w:bottom w:val="single" w:sz="4" w:space="0" w:color="auto"/>
              <w:right w:val="single" w:sz="4" w:space="0" w:color="auto"/>
            </w:tcBorders>
          </w:tcPr>
          <w:p w14:paraId="1532370D" w14:textId="77777777" w:rsidR="00B82F75" w:rsidRPr="00F52C10" w:rsidRDefault="00B82F75" w:rsidP="00E4628E">
            <w:pPr>
              <w:pStyle w:val="Tabletext0"/>
              <w:spacing w:before="34" w:after="34" w:line="276" w:lineRule="auto"/>
              <w:rPr>
                <w:sz w:val="18"/>
                <w:szCs w:val="18"/>
                <w:lang w:val="en-CA"/>
              </w:rPr>
            </w:pPr>
          </w:p>
        </w:tc>
      </w:tr>
      <w:tr w:rsidR="00B82F75" w:rsidRPr="00F52C10" w14:paraId="0E5A98C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01DC4A4" w14:textId="77777777" w:rsidR="00B82F75" w:rsidRPr="00F52C10" w:rsidRDefault="00B82F75" w:rsidP="00E4628E">
            <w:pPr>
              <w:pStyle w:val="TableT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34" w:after="34" w:line="276" w:lineRule="auto"/>
              <w:rPr>
                <w:sz w:val="18"/>
                <w:szCs w:val="18"/>
              </w:rPr>
            </w:pPr>
            <w:r w:rsidRPr="00F52C10">
              <w:rPr>
                <w:sz w:val="18"/>
                <w:szCs w:val="18"/>
              </w:rPr>
              <w:t>RUS00002</w:t>
            </w:r>
          </w:p>
        </w:tc>
        <w:tc>
          <w:tcPr>
            <w:tcW w:w="1076" w:type="dxa"/>
            <w:tcBorders>
              <w:top w:val="single" w:sz="4" w:space="0" w:color="auto"/>
              <w:left w:val="single" w:sz="4" w:space="0" w:color="auto"/>
              <w:bottom w:val="single" w:sz="4" w:space="0" w:color="auto"/>
              <w:right w:val="single" w:sz="4" w:space="0" w:color="auto"/>
            </w:tcBorders>
          </w:tcPr>
          <w:p w14:paraId="710DAD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88,10</w:t>
            </w:r>
          </w:p>
        </w:tc>
        <w:tc>
          <w:tcPr>
            <w:tcW w:w="970" w:type="dxa"/>
            <w:tcBorders>
              <w:top w:val="single" w:sz="4" w:space="0" w:color="auto"/>
              <w:left w:val="single" w:sz="4" w:space="0" w:color="auto"/>
              <w:bottom w:val="single" w:sz="4" w:space="0" w:color="auto"/>
              <w:right w:val="single" w:sz="4" w:space="0" w:color="auto"/>
            </w:tcBorders>
          </w:tcPr>
          <w:p w14:paraId="34C802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94,80</w:t>
            </w:r>
          </w:p>
        </w:tc>
        <w:tc>
          <w:tcPr>
            <w:tcW w:w="907" w:type="dxa"/>
            <w:tcBorders>
              <w:top w:val="single" w:sz="4" w:space="0" w:color="auto"/>
              <w:left w:val="single" w:sz="4" w:space="0" w:color="auto"/>
              <w:bottom w:val="single" w:sz="4" w:space="0" w:color="auto"/>
              <w:right w:val="single" w:sz="4" w:space="0" w:color="auto"/>
            </w:tcBorders>
          </w:tcPr>
          <w:p w14:paraId="78184B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48,60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08BB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0F6D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BFB0F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99428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E27E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−38,3</w:t>
            </w:r>
          </w:p>
        </w:tc>
        <w:tc>
          <w:tcPr>
            <w:tcW w:w="907" w:type="dxa"/>
            <w:tcBorders>
              <w:top w:val="single" w:sz="4" w:space="0" w:color="auto"/>
              <w:left w:val="single" w:sz="4" w:space="0" w:color="auto"/>
              <w:bottom w:val="single" w:sz="4" w:space="0" w:color="auto"/>
              <w:right w:val="single" w:sz="4" w:space="0" w:color="auto"/>
            </w:tcBorders>
          </w:tcPr>
          <w:p w14:paraId="130DAAB5" w14:textId="77777777" w:rsidR="00B82F75" w:rsidRPr="00F52C10" w:rsidRDefault="00B82F75" w:rsidP="00E4628E">
            <w:pPr>
              <w:pStyle w:val="Tabletext0"/>
              <w:spacing w:before="34" w:after="34" w:line="276" w:lineRule="auto"/>
              <w:rPr>
                <w:sz w:val="18"/>
                <w:szCs w:val="18"/>
                <w:lang w:val="en-CA"/>
              </w:rPr>
            </w:pPr>
          </w:p>
        </w:tc>
      </w:tr>
      <w:tr w:rsidR="00B82F75" w:rsidRPr="00F52C10" w14:paraId="7405C3C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4A2E407" w14:textId="77777777" w:rsidR="00B82F75" w:rsidRPr="00F52C10" w:rsidRDefault="00B82F75" w:rsidP="00E4628E">
            <w:pPr>
              <w:pStyle w:val="Tabletext0"/>
              <w:spacing w:before="34" w:after="34" w:line="276" w:lineRule="auto"/>
              <w:rPr>
                <w:sz w:val="18"/>
                <w:szCs w:val="18"/>
              </w:rPr>
            </w:pPr>
            <w:r w:rsidRPr="00F52C10">
              <w:rPr>
                <w:sz w:val="18"/>
                <w:szCs w:val="18"/>
              </w:rPr>
              <w:t>RUS00003</w:t>
            </w:r>
          </w:p>
        </w:tc>
        <w:tc>
          <w:tcPr>
            <w:tcW w:w="1076" w:type="dxa"/>
            <w:tcBorders>
              <w:top w:val="single" w:sz="4" w:space="0" w:color="auto"/>
              <w:left w:val="single" w:sz="4" w:space="0" w:color="auto"/>
              <w:bottom w:val="single" w:sz="4" w:space="0" w:color="auto"/>
              <w:right w:val="single" w:sz="4" w:space="0" w:color="auto"/>
            </w:tcBorders>
          </w:tcPr>
          <w:p w14:paraId="3812B8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138,50</w:t>
            </w:r>
          </w:p>
        </w:tc>
        <w:tc>
          <w:tcPr>
            <w:tcW w:w="970" w:type="dxa"/>
            <w:tcBorders>
              <w:top w:val="single" w:sz="4" w:space="0" w:color="auto"/>
              <w:left w:val="single" w:sz="4" w:space="0" w:color="auto"/>
              <w:bottom w:val="single" w:sz="4" w:space="0" w:color="auto"/>
              <w:right w:val="single" w:sz="4" w:space="0" w:color="auto"/>
            </w:tcBorders>
          </w:tcPr>
          <w:p w14:paraId="412BF7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138,14</w:t>
            </w:r>
          </w:p>
        </w:tc>
        <w:tc>
          <w:tcPr>
            <w:tcW w:w="907" w:type="dxa"/>
            <w:tcBorders>
              <w:top w:val="single" w:sz="4" w:space="0" w:color="auto"/>
              <w:left w:val="single" w:sz="4" w:space="0" w:color="auto"/>
              <w:bottom w:val="single" w:sz="4" w:space="0" w:color="auto"/>
              <w:right w:val="single" w:sz="4" w:space="0" w:color="auto"/>
            </w:tcBorders>
          </w:tcPr>
          <w:p w14:paraId="4EBA6B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53,83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0AFB9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5,86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61D2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2,09</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CC5F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7D97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717C4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−38,2</w:t>
            </w:r>
          </w:p>
        </w:tc>
        <w:tc>
          <w:tcPr>
            <w:tcW w:w="907" w:type="dxa"/>
            <w:tcBorders>
              <w:top w:val="single" w:sz="4" w:space="0" w:color="auto"/>
              <w:left w:val="single" w:sz="4" w:space="0" w:color="auto"/>
              <w:bottom w:val="single" w:sz="4" w:space="0" w:color="auto"/>
              <w:right w:val="single" w:sz="4" w:space="0" w:color="auto"/>
            </w:tcBorders>
          </w:tcPr>
          <w:p w14:paraId="35E6D853" w14:textId="77777777" w:rsidR="00B82F75" w:rsidRPr="00F52C10" w:rsidRDefault="00B82F75" w:rsidP="00E4628E">
            <w:pPr>
              <w:pStyle w:val="Tabletext0"/>
              <w:spacing w:before="34" w:after="34" w:line="276" w:lineRule="auto"/>
              <w:rPr>
                <w:sz w:val="18"/>
                <w:szCs w:val="18"/>
                <w:lang w:val="en-CA"/>
              </w:rPr>
            </w:pPr>
          </w:p>
        </w:tc>
      </w:tr>
      <w:tr w:rsidR="00B82F75" w:rsidRPr="00F52C10" w14:paraId="5D8E19E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C34FBD8" w14:textId="77777777" w:rsidR="00B82F75" w:rsidRPr="00F52C10" w:rsidRDefault="00B82F75" w:rsidP="00E4628E">
            <w:pPr>
              <w:pStyle w:val="Tabletext0"/>
              <w:spacing w:before="34" w:after="34" w:line="276" w:lineRule="auto"/>
              <w:rPr>
                <w:sz w:val="18"/>
                <w:szCs w:val="18"/>
              </w:rPr>
            </w:pPr>
            <w:r w:rsidRPr="00F52C10">
              <w:rPr>
                <w:sz w:val="18"/>
                <w:szCs w:val="18"/>
              </w:rPr>
              <w:t>S  00000</w:t>
            </w:r>
          </w:p>
        </w:tc>
        <w:tc>
          <w:tcPr>
            <w:tcW w:w="1076" w:type="dxa"/>
            <w:tcBorders>
              <w:top w:val="single" w:sz="4" w:space="0" w:color="auto"/>
              <w:left w:val="single" w:sz="4" w:space="0" w:color="auto"/>
              <w:bottom w:val="single" w:sz="4" w:space="0" w:color="auto"/>
              <w:right w:val="single" w:sz="4" w:space="0" w:color="auto"/>
            </w:tcBorders>
          </w:tcPr>
          <w:p w14:paraId="37AE50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w:t>
            </w:r>
          </w:p>
        </w:tc>
        <w:tc>
          <w:tcPr>
            <w:tcW w:w="970" w:type="dxa"/>
            <w:tcBorders>
              <w:top w:val="single" w:sz="4" w:space="0" w:color="auto"/>
              <w:left w:val="single" w:sz="4" w:space="0" w:color="auto"/>
              <w:bottom w:val="single" w:sz="4" w:space="0" w:color="auto"/>
              <w:right w:val="single" w:sz="4" w:space="0" w:color="auto"/>
            </w:tcBorders>
          </w:tcPr>
          <w:p w14:paraId="355FBA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16,70</w:t>
            </w:r>
          </w:p>
        </w:tc>
        <w:tc>
          <w:tcPr>
            <w:tcW w:w="907" w:type="dxa"/>
            <w:tcBorders>
              <w:top w:val="single" w:sz="4" w:space="0" w:color="auto"/>
              <w:left w:val="single" w:sz="4" w:space="0" w:color="auto"/>
              <w:bottom w:val="single" w:sz="4" w:space="0" w:color="auto"/>
              <w:right w:val="single" w:sz="4" w:space="0" w:color="auto"/>
            </w:tcBorders>
          </w:tcPr>
          <w:p w14:paraId="3475E5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9F9FB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2B0C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8B35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8520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4722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−40,2</w:t>
            </w:r>
          </w:p>
        </w:tc>
        <w:tc>
          <w:tcPr>
            <w:tcW w:w="907" w:type="dxa"/>
            <w:tcBorders>
              <w:top w:val="single" w:sz="4" w:space="0" w:color="auto"/>
              <w:left w:val="single" w:sz="4" w:space="0" w:color="auto"/>
              <w:bottom w:val="single" w:sz="4" w:space="0" w:color="auto"/>
              <w:right w:val="single" w:sz="4" w:space="0" w:color="auto"/>
            </w:tcBorders>
          </w:tcPr>
          <w:p w14:paraId="650DCD69" w14:textId="77777777" w:rsidR="00B82F75" w:rsidRPr="00F52C10" w:rsidRDefault="00B82F75" w:rsidP="00E4628E">
            <w:pPr>
              <w:pStyle w:val="Tabletext0"/>
              <w:spacing w:before="34" w:after="34" w:line="276" w:lineRule="auto"/>
              <w:rPr>
                <w:sz w:val="18"/>
                <w:szCs w:val="18"/>
                <w:lang w:val="en-CA"/>
              </w:rPr>
            </w:pPr>
          </w:p>
        </w:tc>
      </w:tr>
      <w:tr w:rsidR="00B82F75" w:rsidRPr="00F52C10" w14:paraId="78C4D21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F855857" w14:textId="77777777" w:rsidR="00B82F75" w:rsidRPr="00F52C10" w:rsidRDefault="00B82F75" w:rsidP="00E4628E">
            <w:pPr>
              <w:pStyle w:val="Tabletext0"/>
              <w:spacing w:before="34" w:after="34" w:line="276" w:lineRule="auto"/>
              <w:rPr>
                <w:sz w:val="18"/>
                <w:szCs w:val="18"/>
              </w:rPr>
            </w:pPr>
            <w:r w:rsidRPr="00F52C10">
              <w:rPr>
                <w:sz w:val="18"/>
                <w:szCs w:val="18"/>
              </w:rPr>
              <w:t>SDN00001</w:t>
            </w:r>
          </w:p>
        </w:tc>
        <w:tc>
          <w:tcPr>
            <w:tcW w:w="1076" w:type="dxa"/>
            <w:tcBorders>
              <w:top w:val="single" w:sz="4" w:space="0" w:color="auto"/>
              <w:left w:val="single" w:sz="4" w:space="0" w:color="auto"/>
              <w:bottom w:val="single" w:sz="4" w:space="0" w:color="auto"/>
              <w:right w:val="single" w:sz="4" w:space="0" w:color="auto"/>
            </w:tcBorders>
          </w:tcPr>
          <w:p w14:paraId="299AC0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23,55</w:t>
            </w:r>
          </w:p>
        </w:tc>
        <w:tc>
          <w:tcPr>
            <w:tcW w:w="970" w:type="dxa"/>
            <w:tcBorders>
              <w:top w:val="single" w:sz="4" w:space="0" w:color="auto"/>
              <w:left w:val="single" w:sz="4" w:space="0" w:color="auto"/>
              <w:bottom w:val="single" w:sz="4" w:space="0" w:color="auto"/>
              <w:right w:val="single" w:sz="4" w:space="0" w:color="auto"/>
            </w:tcBorders>
          </w:tcPr>
          <w:p w14:paraId="30E22421"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6E90C24E"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27B0CA4"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A0D569"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27CADB"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F9DDF64"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68FE322"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79096717" w14:textId="77777777" w:rsidR="00B82F75" w:rsidRPr="00F52C10" w:rsidRDefault="00B82F75" w:rsidP="00E4628E">
            <w:pPr>
              <w:pStyle w:val="Tabletext0"/>
              <w:spacing w:before="34" w:after="34" w:line="276" w:lineRule="auto"/>
              <w:rPr>
                <w:sz w:val="18"/>
                <w:szCs w:val="18"/>
              </w:rPr>
            </w:pPr>
            <w:r w:rsidRPr="00F52C10">
              <w:rPr>
                <w:sz w:val="18"/>
                <w:szCs w:val="18"/>
              </w:rPr>
              <w:t>1</w:t>
            </w:r>
          </w:p>
        </w:tc>
      </w:tr>
      <w:tr w:rsidR="00B82F75" w:rsidRPr="00F52C10" w14:paraId="00DDFEC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1BCBC8F" w14:textId="77777777" w:rsidR="00B82F75" w:rsidRPr="00F52C10" w:rsidRDefault="00B82F75" w:rsidP="00E4628E">
            <w:pPr>
              <w:pStyle w:val="Tabletext0"/>
              <w:spacing w:before="34" w:after="34" w:line="276" w:lineRule="auto"/>
              <w:rPr>
                <w:sz w:val="18"/>
                <w:szCs w:val="18"/>
              </w:rPr>
            </w:pPr>
            <w:r w:rsidRPr="00F52C10">
              <w:rPr>
                <w:sz w:val="18"/>
                <w:szCs w:val="18"/>
              </w:rPr>
              <w:t>SDN00002</w:t>
            </w:r>
          </w:p>
        </w:tc>
        <w:tc>
          <w:tcPr>
            <w:tcW w:w="1076" w:type="dxa"/>
            <w:tcBorders>
              <w:top w:val="single" w:sz="4" w:space="0" w:color="auto"/>
              <w:left w:val="single" w:sz="4" w:space="0" w:color="auto"/>
              <w:bottom w:val="single" w:sz="4" w:space="0" w:color="auto"/>
              <w:right w:val="single" w:sz="4" w:space="0" w:color="auto"/>
            </w:tcBorders>
          </w:tcPr>
          <w:p w14:paraId="309A8B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23,55</w:t>
            </w:r>
          </w:p>
        </w:tc>
        <w:tc>
          <w:tcPr>
            <w:tcW w:w="970" w:type="dxa"/>
            <w:tcBorders>
              <w:top w:val="single" w:sz="4" w:space="0" w:color="auto"/>
              <w:left w:val="single" w:sz="4" w:space="0" w:color="auto"/>
              <w:bottom w:val="single" w:sz="4" w:space="0" w:color="auto"/>
              <w:right w:val="single" w:sz="4" w:space="0" w:color="auto"/>
            </w:tcBorders>
          </w:tcPr>
          <w:p w14:paraId="33EE0C06"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4E500C49"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F418A5"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6260C4"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326E532"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33662A"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CE3302E"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02BBFCCD" w14:textId="77777777" w:rsidR="00B82F75" w:rsidRPr="00F52C10" w:rsidRDefault="00B82F75" w:rsidP="00E4628E">
            <w:pPr>
              <w:pStyle w:val="Tabletext0"/>
              <w:spacing w:before="34" w:after="34" w:line="276" w:lineRule="auto"/>
              <w:rPr>
                <w:sz w:val="18"/>
                <w:szCs w:val="18"/>
              </w:rPr>
            </w:pPr>
            <w:r w:rsidRPr="00F52C10">
              <w:rPr>
                <w:sz w:val="18"/>
                <w:szCs w:val="18"/>
              </w:rPr>
              <w:t>1</w:t>
            </w:r>
          </w:p>
        </w:tc>
      </w:tr>
      <w:tr w:rsidR="00B82F75" w:rsidRPr="00F52C10" w14:paraId="2E1E8E28"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F838B2E" w14:textId="77777777" w:rsidR="00B82F75" w:rsidRPr="00F52C10" w:rsidRDefault="00B82F75" w:rsidP="00E4628E">
            <w:pPr>
              <w:pStyle w:val="Tabletext0"/>
              <w:spacing w:before="34" w:after="34" w:line="276" w:lineRule="auto"/>
              <w:rPr>
                <w:sz w:val="18"/>
                <w:szCs w:val="18"/>
              </w:rPr>
            </w:pPr>
            <w:r w:rsidRPr="00F52C10">
              <w:rPr>
                <w:sz w:val="18"/>
                <w:szCs w:val="18"/>
              </w:rPr>
              <w:t>SEN00000</w:t>
            </w:r>
          </w:p>
        </w:tc>
        <w:tc>
          <w:tcPr>
            <w:tcW w:w="1076" w:type="dxa"/>
            <w:tcBorders>
              <w:top w:val="single" w:sz="4" w:space="0" w:color="auto"/>
              <w:left w:val="single" w:sz="4" w:space="0" w:color="auto"/>
              <w:bottom w:val="single" w:sz="4" w:space="0" w:color="auto"/>
              <w:right w:val="single" w:sz="4" w:space="0" w:color="auto"/>
            </w:tcBorders>
          </w:tcPr>
          <w:p w14:paraId="547F5CB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−48,40</w:t>
            </w:r>
          </w:p>
        </w:tc>
        <w:tc>
          <w:tcPr>
            <w:tcW w:w="970" w:type="dxa"/>
            <w:tcBorders>
              <w:top w:val="single" w:sz="4" w:space="0" w:color="auto"/>
              <w:left w:val="single" w:sz="4" w:space="0" w:color="auto"/>
              <w:bottom w:val="single" w:sz="4" w:space="0" w:color="auto"/>
              <w:right w:val="single" w:sz="4" w:space="0" w:color="auto"/>
            </w:tcBorders>
          </w:tcPr>
          <w:p w14:paraId="3514AC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−14,00</w:t>
            </w:r>
          </w:p>
        </w:tc>
        <w:tc>
          <w:tcPr>
            <w:tcW w:w="907" w:type="dxa"/>
            <w:tcBorders>
              <w:top w:val="single" w:sz="4" w:space="0" w:color="auto"/>
              <w:left w:val="single" w:sz="4" w:space="0" w:color="auto"/>
              <w:bottom w:val="single" w:sz="4" w:space="0" w:color="auto"/>
              <w:right w:val="single" w:sz="4" w:space="0" w:color="auto"/>
            </w:tcBorders>
          </w:tcPr>
          <w:p w14:paraId="752F4F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01A9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D2F7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57BD1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A1FCF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17856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−40,3</w:t>
            </w:r>
          </w:p>
        </w:tc>
        <w:tc>
          <w:tcPr>
            <w:tcW w:w="907" w:type="dxa"/>
            <w:tcBorders>
              <w:top w:val="single" w:sz="4" w:space="0" w:color="auto"/>
              <w:left w:val="single" w:sz="4" w:space="0" w:color="auto"/>
              <w:bottom w:val="single" w:sz="4" w:space="0" w:color="auto"/>
              <w:right w:val="single" w:sz="4" w:space="0" w:color="auto"/>
            </w:tcBorders>
          </w:tcPr>
          <w:p w14:paraId="20A67D38" w14:textId="77777777" w:rsidR="00B82F75" w:rsidRPr="00F52C10" w:rsidRDefault="00B82F75" w:rsidP="00E4628E">
            <w:pPr>
              <w:pStyle w:val="Tabletext0"/>
              <w:spacing w:before="34" w:after="34" w:line="276" w:lineRule="auto"/>
              <w:rPr>
                <w:sz w:val="18"/>
                <w:szCs w:val="18"/>
                <w:lang w:val="en-CA"/>
              </w:rPr>
            </w:pPr>
          </w:p>
        </w:tc>
      </w:tr>
      <w:tr w:rsidR="00B82F75" w:rsidRPr="00F52C10" w14:paraId="6B984C0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54072F0" w14:textId="77777777" w:rsidR="00B82F75" w:rsidRPr="00F52C10" w:rsidRDefault="00B82F75" w:rsidP="00E4628E">
            <w:pPr>
              <w:pStyle w:val="Tabletext0"/>
              <w:spacing w:before="34" w:after="34" w:line="276" w:lineRule="auto"/>
              <w:rPr>
                <w:sz w:val="18"/>
                <w:szCs w:val="18"/>
              </w:rPr>
            </w:pPr>
            <w:r w:rsidRPr="00F52C10">
              <w:rPr>
                <w:sz w:val="18"/>
                <w:szCs w:val="18"/>
              </w:rPr>
              <w:t>SEY00000</w:t>
            </w:r>
          </w:p>
        </w:tc>
        <w:tc>
          <w:tcPr>
            <w:tcW w:w="1076" w:type="dxa"/>
            <w:tcBorders>
              <w:top w:val="single" w:sz="4" w:space="0" w:color="auto"/>
              <w:left w:val="single" w:sz="4" w:space="0" w:color="auto"/>
              <w:bottom w:val="single" w:sz="4" w:space="0" w:color="auto"/>
              <w:right w:val="single" w:sz="4" w:space="0" w:color="auto"/>
            </w:tcBorders>
          </w:tcPr>
          <w:p w14:paraId="74865C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42,25</w:t>
            </w:r>
          </w:p>
        </w:tc>
        <w:tc>
          <w:tcPr>
            <w:tcW w:w="970" w:type="dxa"/>
            <w:tcBorders>
              <w:top w:val="single" w:sz="4" w:space="0" w:color="auto"/>
              <w:left w:val="single" w:sz="4" w:space="0" w:color="auto"/>
              <w:bottom w:val="single" w:sz="4" w:space="0" w:color="auto"/>
              <w:right w:val="single" w:sz="4" w:space="0" w:color="auto"/>
            </w:tcBorders>
            <w:vAlign w:val="bottom"/>
          </w:tcPr>
          <w:p w14:paraId="618F93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51,50</w:t>
            </w:r>
          </w:p>
        </w:tc>
        <w:tc>
          <w:tcPr>
            <w:tcW w:w="907" w:type="dxa"/>
            <w:tcBorders>
              <w:top w:val="single" w:sz="4" w:space="0" w:color="auto"/>
              <w:left w:val="single" w:sz="4" w:space="0" w:color="auto"/>
              <w:bottom w:val="single" w:sz="4" w:space="0" w:color="auto"/>
              <w:right w:val="single" w:sz="4" w:space="0" w:color="auto"/>
            </w:tcBorders>
            <w:vAlign w:val="bottom"/>
          </w:tcPr>
          <w:p w14:paraId="5C25B7F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2E0FB4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13,80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2B8CAC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3,80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4EB069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48,50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60C66F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37A69D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−43,8</w:t>
            </w:r>
          </w:p>
        </w:tc>
        <w:tc>
          <w:tcPr>
            <w:tcW w:w="907" w:type="dxa"/>
            <w:tcBorders>
              <w:top w:val="single" w:sz="4" w:space="0" w:color="auto"/>
              <w:left w:val="single" w:sz="4" w:space="0" w:color="auto"/>
              <w:bottom w:val="single" w:sz="4" w:space="0" w:color="auto"/>
              <w:right w:val="single" w:sz="4" w:space="0" w:color="auto"/>
            </w:tcBorders>
          </w:tcPr>
          <w:p w14:paraId="0DFADA60" w14:textId="77777777" w:rsidR="00B82F75" w:rsidRPr="00F52C10" w:rsidRDefault="00B82F75" w:rsidP="00E4628E">
            <w:pPr>
              <w:pStyle w:val="Tabletext0"/>
              <w:spacing w:before="34" w:after="34" w:line="276" w:lineRule="auto"/>
              <w:rPr>
                <w:sz w:val="18"/>
                <w:szCs w:val="18"/>
              </w:rPr>
            </w:pPr>
          </w:p>
        </w:tc>
      </w:tr>
      <w:tr w:rsidR="00B82F75" w:rsidRPr="00F52C10" w14:paraId="6A2EF36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CA95008" w14:textId="77777777" w:rsidR="00B82F75" w:rsidRPr="00F52C10" w:rsidRDefault="00B82F75" w:rsidP="00E4628E">
            <w:pPr>
              <w:pStyle w:val="Tabletext0"/>
              <w:spacing w:before="34" w:after="34" w:line="276" w:lineRule="auto"/>
              <w:rPr>
                <w:sz w:val="18"/>
                <w:szCs w:val="18"/>
              </w:rPr>
            </w:pPr>
            <w:r w:rsidRPr="00F52C10">
              <w:rPr>
                <w:sz w:val="18"/>
                <w:szCs w:val="18"/>
              </w:rPr>
              <w:t>SLM00000</w:t>
            </w:r>
          </w:p>
        </w:tc>
        <w:tc>
          <w:tcPr>
            <w:tcW w:w="1076" w:type="dxa"/>
            <w:tcBorders>
              <w:top w:val="single" w:sz="4" w:space="0" w:color="auto"/>
              <w:left w:val="single" w:sz="4" w:space="0" w:color="auto"/>
              <w:bottom w:val="single" w:sz="4" w:space="0" w:color="auto"/>
              <w:right w:val="single" w:sz="4" w:space="0" w:color="auto"/>
            </w:tcBorders>
          </w:tcPr>
          <w:p w14:paraId="167012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147,50</w:t>
            </w:r>
          </w:p>
        </w:tc>
        <w:tc>
          <w:tcPr>
            <w:tcW w:w="970" w:type="dxa"/>
            <w:tcBorders>
              <w:top w:val="single" w:sz="4" w:space="0" w:color="auto"/>
              <w:left w:val="single" w:sz="4" w:space="0" w:color="auto"/>
              <w:bottom w:val="single" w:sz="4" w:space="0" w:color="auto"/>
              <w:right w:val="single" w:sz="4" w:space="0" w:color="auto"/>
            </w:tcBorders>
          </w:tcPr>
          <w:p w14:paraId="64792F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07" w:type="dxa"/>
            <w:tcBorders>
              <w:top w:val="single" w:sz="4" w:space="0" w:color="auto"/>
              <w:left w:val="single" w:sz="4" w:space="0" w:color="auto"/>
              <w:bottom w:val="single" w:sz="4" w:space="0" w:color="auto"/>
              <w:right w:val="single" w:sz="4" w:space="0" w:color="auto"/>
            </w:tcBorders>
          </w:tcPr>
          <w:p w14:paraId="181339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8426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D6D7F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283E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02F14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EEE8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−39,5</w:t>
            </w:r>
          </w:p>
        </w:tc>
        <w:tc>
          <w:tcPr>
            <w:tcW w:w="907" w:type="dxa"/>
            <w:tcBorders>
              <w:top w:val="single" w:sz="4" w:space="0" w:color="auto"/>
              <w:left w:val="single" w:sz="4" w:space="0" w:color="auto"/>
              <w:bottom w:val="single" w:sz="4" w:space="0" w:color="auto"/>
              <w:right w:val="single" w:sz="4" w:space="0" w:color="auto"/>
            </w:tcBorders>
          </w:tcPr>
          <w:p w14:paraId="6F6754D9" w14:textId="77777777" w:rsidR="00B82F75" w:rsidRPr="00F52C10" w:rsidRDefault="00B82F75" w:rsidP="00E4628E">
            <w:pPr>
              <w:pStyle w:val="Tabletext0"/>
              <w:spacing w:before="34" w:after="34" w:line="276" w:lineRule="auto"/>
              <w:rPr>
                <w:sz w:val="18"/>
                <w:szCs w:val="18"/>
                <w:lang w:val="en-CA"/>
              </w:rPr>
            </w:pPr>
          </w:p>
        </w:tc>
      </w:tr>
      <w:tr w:rsidR="00B82F75" w:rsidRPr="00F52C10" w14:paraId="492B90B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63BB578" w14:textId="77777777" w:rsidR="00B82F75" w:rsidRPr="00F52C10" w:rsidRDefault="00B82F75" w:rsidP="00E4628E">
            <w:pPr>
              <w:pStyle w:val="Tabletext0"/>
              <w:spacing w:before="34" w:after="34" w:line="276" w:lineRule="auto"/>
              <w:rPr>
                <w:sz w:val="18"/>
                <w:szCs w:val="18"/>
              </w:rPr>
            </w:pPr>
            <w:r w:rsidRPr="00F52C10">
              <w:rPr>
                <w:sz w:val="18"/>
                <w:szCs w:val="18"/>
              </w:rPr>
              <w:t>SLV00000</w:t>
            </w:r>
          </w:p>
        </w:tc>
        <w:tc>
          <w:tcPr>
            <w:tcW w:w="1076" w:type="dxa"/>
            <w:tcBorders>
              <w:top w:val="single" w:sz="4" w:space="0" w:color="auto"/>
              <w:left w:val="single" w:sz="4" w:space="0" w:color="auto"/>
              <w:bottom w:val="single" w:sz="4" w:space="0" w:color="auto"/>
              <w:right w:val="single" w:sz="4" w:space="0" w:color="auto"/>
            </w:tcBorders>
          </w:tcPr>
          <w:p w14:paraId="5BAD7F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−130,50</w:t>
            </w:r>
          </w:p>
        </w:tc>
        <w:tc>
          <w:tcPr>
            <w:tcW w:w="970" w:type="dxa"/>
            <w:tcBorders>
              <w:top w:val="single" w:sz="4" w:space="0" w:color="auto"/>
              <w:left w:val="single" w:sz="4" w:space="0" w:color="auto"/>
              <w:bottom w:val="single" w:sz="4" w:space="0" w:color="auto"/>
              <w:right w:val="single" w:sz="4" w:space="0" w:color="auto"/>
            </w:tcBorders>
          </w:tcPr>
          <w:p w14:paraId="29F8B9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−89,00</w:t>
            </w:r>
          </w:p>
        </w:tc>
        <w:tc>
          <w:tcPr>
            <w:tcW w:w="907" w:type="dxa"/>
            <w:tcBorders>
              <w:top w:val="single" w:sz="4" w:space="0" w:color="auto"/>
              <w:left w:val="single" w:sz="4" w:space="0" w:color="auto"/>
              <w:bottom w:val="single" w:sz="4" w:space="0" w:color="auto"/>
              <w:right w:val="single" w:sz="4" w:space="0" w:color="auto"/>
            </w:tcBorders>
          </w:tcPr>
          <w:p w14:paraId="4602CC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7815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DCED3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28CFB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5A5B9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BAE0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−40,9</w:t>
            </w:r>
          </w:p>
        </w:tc>
        <w:tc>
          <w:tcPr>
            <w:tcW w:w="907" w:type="dxa"/>
            <w:tcBorders>
              <w:top w:val="single" w:sz="4" w:space="0" w:color="auto"/>
              <w:left w:val="single" w:sz="4" w:space="0" w:color="auto"/>
              <w:bottom w:val="single" w:sz="4" w:space="0" w:color="auto"/>
              <w:right w:val="single" w:sz="4" w:space="0" w:color="auto"/>
            </w:tcBorders>
          </w:tcPr>
          <w:p w14:paraId="6932491B" w14:textId="77777777" w:rsidR="00B82F75" w:rsidRPr="00F52C10" w:rsidRDefault="00B82F75" w:rsidP="00E4628E">
            <w:pPr>
              <w:pStyle w:val="Tabletext0"/>
              <w:spacing w:before="34" w:after="34" w:line="276" w:lineRule="auto"/>
              <w:rPr>
                <w:sz w:val="18"/>
                <w:szCs w:val="18"/>
                <w:lang w:val="en-CA"/>
              </w:rPr>
            </w:pPr>
          </w:p>
        </w:tc>
      </w:tr>
      <w:tr w:rsidR="00B82F75" w:rsidRPr="00F52C10" w14:paraId="28198C8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75B7248" w14:textId="77777777" w:rsidR="00B82F75" w:rsidRPr="00F52C10" w:rsidRDefault="00B82F75" w:rsidP="00E4628E">
            <w:pPr>
              <w:pStyle w:val="Tabletext0"/>
              <w:spacing w:before="34" w:after="34" w:line="276" w:lineRule="auto"/>
              <w:rPr>
                <w:sz w:val="18"/>
                <w:szCs w:val="18"/>
              </w:rPr>
            </w:pPr>
            <w:r w:rsidRPr="00F52C10">
              <w:rPr>
                <w:sz w:val="18"/>
                <w:szCs w:val="18"/>
              </w:rPr>
              <w:t>SMA00000</w:t>
            </w:r>
          </w:p>
        </w:tc>
        <w:tc>
          <w:tcPr>
            <w:tcW w:w="1076" w:type="dxa"/>
            <w:tcBorders>
              <w:top w:val="single" w:sz="4" w:space="0" w:color="auto"/>
              <w:left w:val="single" w:sz="4" w:space="0" w:color="auto"/>
              <w:bottom w:val="single" w:sz="4" w:space="0" w:color="auto"/>
              <w:right w:val="single" w:sz="4" w:space="0" w:color="auto"/>
            </w:tcBorders>
          </w:tcPr>
          <w:p w14:paraId="7A3BF7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699927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−170,70</w:t>
            </w:r>
          </w:p>
        </w:tc>
        <w:tc>
          <w:tcPr>
            <w:tcW w:w="907" w:type="dxa"/>
            <w:tcBorders>
              <w:top w:val="single" w:sz="4" w:space="0" w:color="auto"/>
              <w:left w:val="single" w:sz="4" w:space="0" w:color="auto"/>
              <w:bottom w:val="single" w:sz="4" w:space="0" w:color="auto"/>
              <w:right w:val="single" w:sz="4" w:space="0" w:color="auto"/>
            </w:tcBorders>
          </w:tcPr>
          <w:p w14:paraId="339A89A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A05D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22A0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C844B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A62E8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6FB93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−42,2</w:t>
            </w:r>
          </w:p>
        </w:tc>
        <w:tc>
          <w:tcPr>
            <w:tcW w:w="907" w:type="dxa"/>
            <w:tcBorders>
              <w:top w:val="single" w:sz="4" w:space="0" w:color="auto"/>
              <w:left w:val="single" w:sz="4" w:space="0" w:color="auto"/>
              <w:bottom w:val="single" w:sz="4" w:space="0" w:color="auto"/>
              <w:right w:val="single" w:sz="4" w:space="0" w:color="auto"/>
            </w:tcBorders>
          </w:tcPr>
          <w:p w14:paraId="5C223A0B"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1AFB8DC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7307998" w14:textId="77777777" w:rsidR="00B82F75" w:rsidRPr="00F52C10" w:rsidRDefault="00B82F75" w:rsidP="00E4628E">
            <w:pPr>
              <w:pStyle w:val="Tabletext0"/>
              <w:spacing w:before="34" w:after="34" w:line="276" w:lineRule="auto"/>
              <w:rPr>
                <w:sz w:val="18"/>
                <w:szCs w:val="18"/>
              </w:rPr>
            </w:pPr>
            <w:r w:rsidRPr="00F52C10">
              <w:rPr>
                <w:sz w:val="18"/>
                <w:szCs w:val="18"/>
              </w:rPr>
              <w:t>SMO00000</w:t>
            </w:r>
          </w:p>
        </w:tc>
        <w:tc>
          <w:tcPr>
            <w:tcW w:w="1076" w:type="dxa"/>
            <w:tcBorders>
              <w:top w:val="single" w:sz="4" w:space="0" w:color="auto"/>
              <w:left w:val="single" w:sz="4" w:space="0" w:color="auto"/>
              <w:bottom w:val="single" w:sz="4" w:space="0" w:color="auto"/>
              <w:right w:val="single" w:sz="4" w:space="0" w:color="auto"/>
            </w:tcBorders>
          </w:tcPr>
          <w:p w14:paraId="19B5AD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−125,50</w:t>
            </w:r>
          </w:p>
        </w:tc>
        <w:tc>
          <w:tcPr>
            <w:tcW w:w="970" w:type="dxa"/>
            <w:tcBorders>
              <w:top w:val="single" w:sz="4" w:space="0" w:color="auto"/>
              <w:left w:val="single" w:sz="4" w:space="0" w:color="auto"/>
              <w:bottom w:val="single" w:sz="4" w:space="0" w:color="auto"/>
              <w:right w:val="single" w:sz="4" w:space="0" w:color="auto"/>
            </w:tcBorders>
          </w:tcPr>
          <w:p w14:paraId="69D406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−172,10</w:t>
            </w:r>
          </w:p>
        </w:tc>
        <w:tc>
          <w:tcPr>
            <w:tcW w:w="907" w:type="dxa"/>
            <w:tcBorders>
              <w:top w:val="single" w:sz="4" w:space="0" w:color="auto"/>
              <w:left w:val="single" w:sz="4" w:space="0" w:color="auto"/>
              <w:bottom w:val="single" w:sz="4" w:space="0" w:color="auto"/>
              <w:right w:val="single" w:sz="4" w:space="0" w:color="auto"/>
            </w:tcBorders>
          </w:tcPr>
          <w:p w14:paraId="060B7C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1C565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CD57B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F2E7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9AED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8981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−41,1</w:t>
            </w:r>
          </w:p>
        </w:tc>
        <w:tc>
          <w:tcPr>
            <w:tcW w:w="907" w:type="dxa"/>
            <w:tcBorders>
              <w:top w:val="single" w:sz="4" w:space="0" w:color="auto"/>
              <w:left w:val="single" w:sz="4" w:space="0" w:color="auto"/>
              <w:bottom w:val="single" w:sz="4" w:space="0" w:color="auto"/>
              <w:right w:val="single" w:sz="4" w:space="0" w:color="auto"/>
            </w:tcBorders>
          </w:tcPr>
          <w:p w14:paraId="0D29E324" w14:textId="77777777" w:rsidR="00B82F75" w:rsidRPr="00F52C10" w:rsidRDefault="00B82F75" w:rsidP="00E4628E">
            <w:pPr>
              <w:pStyle w:val="Tabletext0"/>
              <w:spacing w:before="34" w:after="34" w:line="276" w:lineRule="auto"/>
              <w:rPr>
                <w:sz w:val="18"/>
                <w:szCs w:val="18"/>
                <w:lang w:val="en-CA"/>
              </w:rPr>
            </w:pPr>
          </w:p>
        </w:tc>
      </w:tr>
      <w:tr w:rsidR="00B82F75" w:rsidRPr="00F52C10" w14:paraId="0F1F548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F7A0F5D" w14:textId="77777777" w:rsidR="00B82F75" w:rsidRPr="00F52C10" w:rsidRDefault="00B82F75" w:rsidP="00E4628E">
            <w:pPr>
              <w:pStyle w:val="Tabletext0"/>
              <w:spacing w:before="34" w:after="34" w:line="276" w:lineRule="auto"/>
              <w:rPr>
                <w:sz w:val="18"/>
                <w:szCs w:val="18"/>
              </w:rPr>
            </w:pPr>
            <w:r w:rsidRPr="00F52C10">
              <w:rPr>
                <w:sz w:val="18"/>
                <w:szCs w:val="18"/>
              </w:rPr>
              <w:t>SMR00000</w:t>
            </w:r>
          </w:p>
        </w:tc>
        <w:tc>
          <w:tcPr>
            <w:tcW w:w="1076" w:type="dxa"/>
            <w:tcBorders>
              <w:top w:val="single" w:sz="4" w:space="0" w:color="auto"/>
              <w:left w:val="single" w:sz="4" w:space="0" w:color="auto"/>
              <w:bottom w:val="single" w:sz="4" w:space="0" w:color="auto"/>
              <w:right w:val="single" w:sz="4" w:space="0" w:color="auto"/>
            </w:tcBorders>
          </w:tcPr>
          <w:p w14:paraId="48AC2B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16,50</w:t>
            </w:r>
          </w:p>
        </w:tc>
        <w:tc>
          <w:tcPr>
            <w:tcW w:w="970" w:type="dxa"/>
            <w:tcBorders>
              <w:top w:val="single" w:sz="4" w:space="0" w:color="auto"/>
              <w:left w:val="single" w:sz="4" w:space="0" w:color="auto"/>
              <w:bottom w:val="single" w:sz="4" w:space="0" w:color="auto"/>
              <w:right w:val="single" w:sz="4" w:space="0" w:color="auto"/>
            </w:tcBorders>
          </w:tcPr>
          <w:p w14:paraId="102074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12,50</w:t>
            </w:r>
          </w:p>
        </w:tc>
        <w:tc>
          <w:tcPr>
            <w:tcW w:w="907" w:type="dxa"/>
            <w:tcBorders>
              <w:top w:val="single" w:sz="4" w:space="0" w:color="auto"/>
              <w:left w:val="single" w:sz="4" w:space="0" w:color="auto"/>
              <w:bottom w:val="single" w:sz="4" w:space="0" w:color="auto"/>
              <w:right w:val="single" w:sz="4" w:space="0" w:color="auto"/>
            </w:tcBorders>
          </w:tcPr>
          <w:p w14:paraId="482272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C99DD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5DB696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D678FF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90B31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D74FB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−42,0</w:t>
            </w:r>
          </w:p>
        </w:tc>
        <w:tc>
          <w:tcPr>
            <w:tcW w:w="907" w:type="dxa"/>
            <w:tcBorders>
              <w:top w:val="single" w:sz="4" w:space="0" w:color="auto"/>
              <w:left w:val="single" w:sz="4" w:space="0" w:color="auto"/>
              <w:bottom w:val="single" w:sz="4" w:space="0" w:color="auto"/>
              <w:right w:val="single" w:sz="4" w:space="0" w:color="auto"/>
            </w:tcBorders>
          </w:tcPr>
          <w:p w14:paraId="4BE0EE35" w14:textId="77777777" w:rsidR="00B82F75" w:rsidRPr="00F52C10" w:rsidRDefault="00B82F75" w:rsidP="00E4628E">
            <w:pPr>
              <w:pStyle w:val="Tabletext0"/>
              <w:spacing w:before="34" w:after="34" w:line="276" w:lineRule="auto"/>
              <w:rPr>
                <w:sz w:val="18"/>
                <w:szCs w:val="18"/>
                <w:lang w:val="en-CA"/>
              </w:rPr>
            </w:pPr>
          </w:p>
        </w:tc>
      </w:tr>
      <w:tr w:rsidR="00B82F75" w:rsidRPr="00F52C10" w14:paraId="120D856E"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FF985E5" w14:textId="77777777" w:rsidR="00B82F75" w:rsidRPr="00F52C10" w:rsidRDefault="00B82F75" w:rsidP="00E4628E">
            <w:pPr>
              <w:pStyle w:val="Tabletext0"/>
              <w:spacing w:before="34" w:after="34" w:line="276" w:lineRule="auto"/>
              <w:rPr>
                <w:sz w:val="18"/>
                <w:szCs w:val="18"/>
              </w:rPr>
            </w:pPr>
            <w:r w:rsidRPr="00F52C10">
              <w:rPr>
                <w:sz w:val="18"/>
                <w:szCs w:val="18"/>
              </w:rPr>
              <w:t>SNG00000</w:t>
            </w:r>
          </w:p>
        </w:tc>
        <w:tc>
          <w:tcPr>
            <w:tcW w:w="1076" w:type="dxa"/>
            <w:tcBorders>
              <w:top w:val="single" w:sz="4" w:space="0" w:color="auto"/>
              <w:left w:val="single" w:sz="4" w:space="0" w:color="auto"/>
              <w:bottom w:val="single" w:sz="4" w:space="0" w:color="auto"/>
              <w:right w:val="single" w:sz="4" w:space="0" w:color="auto"/>
            </w:tcBorders>
          </w:tcPr>
          <w:p w14:paraId="6292826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98,10</w:t>
            </w:r>
          </w:p>
        </w:tc>
        <w:tc>
          <w:tcPr>
            <w:tcW w:w="970" w:type="dxa"/>
            <w:tcBorders>
              <w:top w:val="single" w:sz="4" w:space="0" w:color="auto"/>
              <w:left w:val="single" w:sz="4" w:space="0" w:color="auto"/>
              <w:bottom w:val="single" w:sz="4" w:space="0" w:color="auto"/>
              <w:right w:val="single" w:sz="4" w:space="0" w:color="auto"/>
            </w:tcBorders>
          </w:tcPr>
          <w:p w14:paraId="29A165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103,90</w:t>
            </w:r>
          </w:p>
        </w:tc>
        <w:tc>
          <w:tcPr>
            <w:tcW w:w="907" w:type="dxa"/>
            <w:tcBorders>
              <w:top w:val="single" w:sz="4" w:space="0" w:color="auto"/>
              <w:left w:val="single" w:sz="4" w:space="0" w:color="auto"/>
              <w:bottom w:val="single" w:sz="4" w:space="0" w:color="auto"/>
              <w:right w:val="single" w:sz="4" w:space="0" w:color="auto"/>
            </w:tcBorders>
          </w:tcPr>
          <w:p w14:paraId="2FC2FF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6DE88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3A4B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72DF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EF372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C6F53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−41,6</w:t>
            </w:r>
          </w:p>
        </w:tc>
        <w:tc>
          <w:tcPr>
            <w:tcW w:w="907" w:type="dxa"/>
            <w:tcBorders>
              <w:top w:val="single" w:sz="4" w:space="0" w:color="auto"/>
              <w:left w:val="single" w:sz="4" w:space="0" w:color="auto"/>
              <w:bottom w:val="single" w:sz="4" w:space="0" w:color="auto"/>
              <w:right w:val="single" w:sz="4" w:space="0" w:color="auto"/>
            </w:tcBorders>
          </w:tcPr>
          <w:p w14:paraId="35E44A92" w14:textId="77777777" w:rsidR="00B82F75" w:rsidRPr="00F52C10" w:rsidRDefault="00B82F75" w:rsidP="00E4628E">
            <w:pPr>
              <w:pStyle w:val="Tabletext0"/>
              <w:spacing w:before="34" w:after="34" w:line="276" w:lineRule="auto"/>
              <w:rPr>
                <w:sz w:val="18"/>
                <w:szCs w:val="18"/>
                <w:lang w:val="en-CA"/>
              </w:rPr>
            </w:pPr>
          </w:p>
        </w:tc>
      </w:tr>
      <w:tr w:rsidR="00B82F75" w:rsidRPr="00F52C10" w14:paraId="73D47690"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BC47DE4" w14:textId="77777777" w:rsidR="00B82F75" w:rsidRPr="00F52C10" w:rsidRDefault="00B82F75" w:rsidP="00E4628E">
            <w:pPr>
              <w:pStyle w:val="Tabletext0"/>
              <w:spacing w:before="34" w:after="34" w:line="276" w:lineRule="auto"/>
              <w:rPr>
                <w:sz w:val="18"/>
                <w:szCs w:val="18"/>
              </w:rPr>
            </w:pPr>
            <w:r w:rsidRPr="00F52C10">
              <w:rPr>
                <w:sz w:val="18"/>
                <w:szCs w:val="18"/>
              </w:rPr>
              <w:t>SOM00000</w:t>
            </w:r>
          </w:p>
        </w:tc>
        <w:tc>
          <w:tcPr>
            <w:tcW w:w="1076" w:type="dxa"/>
            <w:tcBorders>
              <w:top w:val="single" w:sz="4" w:space="0" w:color="auto"/>
              <w:left w:val="single" w:sz="4" w:space="0" w:color="auto"/>
              <w:bottom w:val="single" w:sz="4" w:space="0" w:color="auto"/>
              <w:right w:val="single" w:sz="4" w:space="0" w:color="auto"/>
            </w:tcBorders>
          </w:tcPr>
          <w:p w14:paraId="2C1E5E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98,40</w:t>
            </w:r>
          </w:p>
        </w:tc>
        <w:tc>
          <w:tcPr>
            <w:tcW w:w="970" w:type="dxa"/>
            <w:tcBorders>
              <w:top w:val="single" w:sz="4" w:space="0" w:color="auto"/>
              <w:left w:val="single" w:sz="4" w:space="0" w:color="auto"/>
              <w:bottom w:val="single" w:sz="4" w:space="0" w:color="auto"/>
              <w:right w:val="single" w:sz="4" w:space="0" w:color="auto"/>
            </w:tcBorders>
          </w:tcPr>
          <w:p w14:paraId="242604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46,00</w:t>
            </w:r>
          </w:p>
        </w:tc>
        <w:tc>
          <w:tcPr>
            <w:tcW w:w="907" w:type="dxa"/>
            <w:tcBorders>
              <w:top w:val="single" w:sz="4" w:space="0" w:color="auto"/>
              <w:left w:val="single" w:sz="4" w:space="0" w:color="auto"/>
              <w:bottom w:val="single" w:sz="4" w:space="0" w:color="auto"/>
              <w:right w:val="single" w:sz="4" w:space="0" w:color="auto"/>
            </w:tcBorders>
          </w:tcPr>
          <w:p w14:paraId="618896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119F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2439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BCD0D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9C4F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B9785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−38,8</w:t>
            </w:r>
          </w:p>
        </w:tc>
        <w:tc>
          <w:tcPr>
            <w:tcW w:w="907" w:type="dxa"/>
            <w:tcBorders>
              <w:top w:val="single" w:sz="4" w:space="0" w:color="auto"/>
              <w:left w:val="single" w:sz="4" w:space="0" w:color="auto"/>
              <w:bottom w:val="single" w:sz="4" w:space="0" w:color="auto"/>
              <w:right w:val="single" w:sz="4" w:space="0" w:color="auto"/>
            </w:tcBorders>
          </w:tcPr>
          <w:p w14:paraId="3EF26333" w14:textId="77777777" w:rsidR="00B82F75" w:rsidRPr="00F52C10" w:rsidRDefault="00B82F75" w:rsidP="00E4628E">
            <w:pPr>
              <w:pStyle w:val="Tabletext0"/>
              <w:spacing w:before="34" w:after="34" w:line="276" w:lineRule="auto"/>
              <w:rPr>
                <w:sz w:val="18"/>
                <w:szCs w:val="18"/>
                <w:lang w:val="en-CA"/>
              </w:rPr>
            </w:pPr>
          </w:p>
        </w:tc>
      </w:tr>
      <w:tr w:rsidR="00B82F75" w:rsidRPr="00F52C10" w14:paraId="70B0ABF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8D566C0" w14:textId="77777777" w:rsidR="00B82F75" w:rsidRPr="00F52C10" w:rsidRDefault="00B82F75" w:rsidP="00E4628E">
            <w:pPr>
              <w:pStyle w:val="Tabletext0"/>
              <w:spacing w:before="34" w:after="34" w:line="276" w:lineRule="auto"/>
              <w:rPr>
                <w:sz w:val="18"/>
                <w:szCs w:val="18"/>
              </w:rPr>
            </w:pPr>
            <w:r w:rsidRPr="00F52C10">
              <w:rPr>
                <w:sz w:val="18"/>
                <w:szCs w:val="18"/>
              </w:rPr>
              <w:t>SPM00000</w:t>
            </w:r>
          </w:p>
        </w:tc>
        <w:tc>
          <w:tcPr>
            <w:tcW w:w="1076" w:type="dxa"/>
            <w:tcBorders>
              <w:top w:val="single" w:sz="4" w:space="0" w:color="auto"/>
              <w:left w:val="single" w:sz="4" w:space="0" w:color="auto"/>
              <w:bottom w:val="single" w:sz="4" w:space="0" w:color="auto"/>
              <w:right w:val="single" w:sz="4" w:space="0" w:color="auto"/>
            </w:tcBorders>
          </w:tcPr>
          <w:p w14:paraId="6DD3B81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70" w:type="dxa"/>
            <w:tcBorders>
              <w:top w:val="single" w:sz="4" w:space="0" w:color="auto"/>
              <w:left w:val="single" w:sz="4" w:space="0" w:color="auto"/>
              <w:bottom w:val="single" w:sz="4" w:space="0" w:color="auto"/>
              <w:right w:val="single" w:sz="4" w:space="0" w:color="auto"/>
            </w:tcBorders>
          </w:tcPr>
          <w:p w14:paraId="6E49B96B"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1D5B3C47"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2433C1"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E2434A"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E3C2EFE"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E3C08E"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5EF235"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Pr>
          <w:p w14:paraId="4E7EC74D" w14:textId="77777777" w:rsidR="00B82F75" w:rsidRPr="00F52C10" w:rsidRDefault="00B82F75" w:rsidP="00E4628E">
            <w:pPr>
              <w:pStyle w:val="Tabletext0"/>
              <w:spacing w:before="34" w:after="34" w:line="276" w:lineRule="auto"/>
              <w:rPr>
                <w:sz w:val="18"/>
                <w:szCs w:val="18"/>
              </w:rPr>
            </w:pPr>
            <w:r w:rsidRPr="00F52C10">
              <w:rPr>
                <w:sz w:val="18"/>
                <w:szCs w:val="18"/>
              </w:rPr>
              <w:t>1</w:t>
            </w:r>
          </w:p>
        </w:tc>
      </w:tr>
      <w:tr w:rsidR="00B82F75" w:rsidRPr="00F52C10" w14:paraId="7ECCF55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4C1F826" w14:textId="77777777" w:rsidR="00B82F75" w:rsidRPr="00F52C10" w:rsidRDefault="00B82F75" w:rsidP="00E4628E">
            <w:pPr>
              <w:pStyle w:val="Tabletext0"/>
              <w:spacing w:before="34" w:after="34" w:line="276" w:lineRule="auto"/>
              <w:rPr>
                <w:sz w:val="18"/>
                <w:szCs w:val="18"/>
              </w:rPr>
            </w:pPr>
            <w:r w:rsidRPr="00F52C10">
              <w:rPr>
                <w:sz w:val="18"/>
                <w:szCs w:val="18"/>
              </w:rPr>
              <w:t>SRL00000</w:t>
            </w:r>
          </w:p>
        </w:tc>
        <w:tc>
          <w:tcPr>
            <w:tcW w:w="1076" w:type="dxa"/>
            <w:tcBorders>
              <w:top w:val="single" w:sz="4" w:space="0" w:color="auto"/>
              <w:left w:val="single" w:sz="4" w:space="0" w:color="auto"/>
              <w:bottom w:val="single" w:sz="4" w:space="0" w:color="auto"/>
              <w:right w:val="single" w:sz="4" w:space="0" w:color="auto"/>
            </w:tcBorders>
          </w:tcPr>
          <w:p w14:paraId="6059A6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−51,80</w:t>
            </w:r>
          </w:p>
        </w:tc>
        <w:tc>
          <w:tcPr>
            <w:tcW w:w="970" w:type="dxa"/>
            <w:tcBorders>
              <w:top w:val="single" w:sz="4" w:space="0" w:color="auto"/>
              <w:left w:val="single" w:sz="4" w:space="0" w:color="auto"/>
              <w:bottom w:val="single" w:sz="4" w:space="0" w:color="auto"/>
              <w:right w:val="single" w:sz="4" w:space="0" w:color="auto"/>
            </w:tcBorders>
          </w:tcPr>
          <w:p w14:paraId="6A4F3D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−11,90</w:t>
            </w:r>
          </w:p>
        </w:tc>
        <w:tc>
          <w:tcPr>
            <w:tcW w:w="907" w:type="dxa"/>
            <w:tcBorders>
              <w:top w:val="single" w:sz="4" w:space="0" w:color="auto"/>
              <w:left w:val="single" w:sz="4" w:space="0" w:color="auto"/>
              <w:bottom w:val="single" w:sz="4" w:space="0" w:color="auto"/>
              <w:right w:val="single" w:sz="4" w:space="0" w:color="auto"/>
            </w:tcBorders>
          </w:tcPr>
          <w:p w14:paraId="7D08BE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809D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81894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20D09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92E18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7ED6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−41,4</w:t>
            </w:r>
          </w:p>
        </w:tc>
        <w:tc>
          <w:tcPr>
            <w:tcW w:w="907" w:type="dxa"/>
            <w:tcBorders>
              <w:top w:val="single" w:sz="4" w:space="0" w:color="auto"/>
              <w:left w:val="single" w:sz="4" w:space="0" w:color="auto"/>
              <w:bottom w:val="single" w:sz="4" w:space="0" w:color="auto"/>
              <w:right w:val="single" w:sz="4" w:space="0" w:color="auto"/>
            </w:tcBorders>
          </w:tcPr>
          <w:p w14:paraId="74EB37EA" w14:textId="77777777" w:rsidR="00B82F75" w:rsidRPr="00F52C10" w:rsidRDefault="00B82F75" w:rsidP="00E4628E">
            <w:pPr>
              <w:pStyle w:val="Tabletext0"/>
              <w:spacing w:before="34" w:after="34" w:line="276" w:lineRule="auto"/>
              <w:rPr>
                <w:sz w:val="18"/>
                <w:szCs w:val="18"/>
                <w:lang w:val="en-CA"/>
              </w:rPr>
            </w:pPr>
          </w:p>
        </w:tc>
      </w:tr>
      <w:tr w:rsidR="00B82F75" w:rsidRPr="00F52C10" w14:paraId="10AF4D4A"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7ED8CE3" w14:textId="77777777" w:rsidR="00B82F75" w:rsidRPr="00F52C10" w:rsidRDefault="00B82F75" w:rsidP="00E4628E">
            <w:pPr>
              <w:pStyle w:val="Tabletext0"/>
              <w:spacing w:before="34" w:after="34" w:line="276" w:lineRule="auto"/>
              <w:rPr>
                <w:sz w:val="18"/>
                <w:szCs w:val="18"/>
              </w:rPr>
            </w:pPr>
            <w:r w:rsidRPr="00F52C10">
              <w:rPr>
                <w:sz w:val="18"/>
                <w:szCs w:val="18"/>
              </w:rPr>
              <w:t>STP00000</w:t>
            </w:r>
          </w:p>
        </w:tc>
        <w:tc>
          <w:tcPr>
            <w:tcW w:w="1076" w:type="dxa"/>
            <w:tcBorders>
              <w:top w:val="single" w:sz="4" w:space="0" w:color="auto"/>
              <w:left w:val="single" w:sz="4" w:space="0" w:color="auto"/>
              <w:bottom w:val="single" w:sz="4" w:space="0" w:color="auto"/>
              <w:right w:val="single" w:sz="4" w:space="0" w:color="auto"/>
            </w:tcBorders>
          </w:tcPr>
          <w:p w14:paraId="0F4298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30,25</w:t>
            </w:r>
          </w:p>
        </w:tc>
        <w:tc>
          <w:tcPr>
            <w:tcW w:w="970" w:type="dxa"/>
            <w:tcBorders>
              <w:top w:val="single" w:sz="4" w:space="0" w:color="auto"/>
              <w:left w:val="single" w:sz="4" w:space="0" w:color="auto"/>
              <w:bottom w:val="single" w:sz="4" w:space="0" w:color="auto"/>
              <w:right w:val="single" w:sz="4" w:space="0" w:color="auto"/>
            </w:tcBorders>
          </w:tcPr>
          <w:p w14:paraId="08DECE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7,00</w:t>
            </w:r>
          </w:p>
        </w:tc>
        <w:tc>
          <w:tcPr>
            <w:tcW w:w="907" w:type="dxa"/>
            <w:tcBorders>
              <w:top w:val="single" w:sz="4" w:space="0" w:color="auto"/>
              <w:left w:val="single" w:sz="4" w:space="0" w:color="auto"/>
              <w:bottom w:val="single" w:sz="4" w:space="0" w:color="auto"/>
              <w:right w:val="single" w:sz="4" w:space="0" w:color="auto"/>
            </w:tcBorders>
          </w:tcPr>
          <w:p w14:paraId="66A373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79433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B8787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96995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9954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3FF6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−41,7</w:t>
            </w:r>
          </w:p>
        </w:tc>
        <w:tc>
          <w:tcPr>
            <w:tcW w:w="907" w:type="dxa"/>
            <w:tcBorders>
              <w:top w:val="single" w:sz="4" w:space="0" w:color="auto"/>
              <w:left w:val="single" w:sz="4" w:space="0" w:color="auto"/>
              <w:bottom w:val="single" w:sz="4" w:space="0" w:color="auto"/>
              <w:right w:val="single" w:sz="4" w:space="0" w:color="auto"/>
            </w:tcBorders>
          </w:tcPr>
          <w:p w14:paraId="63D8D6A4" w14:textId="77777777" w:rsidR="00B82F75" w:rsidRPr="00F52C10" w:rsidRDefault="00B82F75" w:rsidP="00E4628E">
            <w:pPr>
              <w:pStyle w:val="Tabletext0"/>
              <w:spacing w:before="34" w:after="34" w:line="276" w:lineRule="auto"/>
              <w:rPr>
                <w:sz w:val="18"/>
                <w:szCs w:val="18"/>
                <w:lang w:val="en-CA"/>
              </w:rPr>
            </w:pPr>
          </w:p>
        </w:tc>
      </w:tr>
      <w:tr w:rsidR="00B82F75" w:rsidRPr="00F52C10" w14:paraId="4689C597"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034BF17" w14:textId="77777777" w:rsidR="00B82F75" w:rsidRPr="00F52C10" w:rsidRDefault="00B82F75" w:rsidP="00E4628E">
            <w:pPr>
              <w:pStyle w:val="Tabletext0"/>
              <w:spacing w:before="34" w:after="34" w:line="276" w:lineRule="auto"/>
              <w:rPr>
                <w:sz w:val="18"/>
                <w:szCs w:val="18"/>
              </w:rPr>
            </w:pPr>
            <w:r w:rsidRPr="00F52C10">
              <w:rPr>
                <w:sz w:val="18"/>
                <w:szCs w:val="18"/>
              </w:rPr>
              <w:t>SUI00000</w:t>
            </w:r>
          </w:p>
        </w:tc>
        <w:tc>
          <w:tcPr>
            <w:tcW w:w="1076" w:type="dxa"/>
            <w:tcBorders>
              <w:top w:val="single" w:sz="4" w:space="0" w:color="auto"/>
              <w:left w:val="single" w:sz="4" w:space="0" w:color="auto"/>
              <w:bottom w:val="single" w:sz="4" w:space="0" w:color="auto"/>
              <w:right w:val="single" w:sz="4" w:space="0" w:color="auto"/>
            </w:tcBorders>
          </w:tcPr>
          <w:p w14:paraId="729399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9,45</w:t>
            </w:r>
          </w:p>
        </w:tc>
        <w:tc>
          <w:tcPr>
            <w:tcW w:w="970" w:type="dxa"/>
            <w:tcBorders>
              <w:top w:val="single" w:sz="4" w:space="0" w:color="auto"/>
              <w:left w:val="single" w:sz="4" w:space="0" w:color="auto"/>
              <w:bottom w:val="single" w:sz="4" w:space="0" w:color="auto"/>
              <w:right w:val="single" w:sz="4" w:space="0" w:color="auto"/>
            </w:tcBorders>
          </w:tcPr>
          <w:p w14:paraId="237348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8,20</w:t>
            </w:r>
          </w:p>
        </w:tc>
        <w:tc>
          <w:tcPr>
            <w:tcW w:w="907" w:type="dxa"/>
            <w:tcBorders>
              <w:top w:val="single" w:sz="4" w:space="0" w:color="auto"/>
              <w:left w:val="single" w:sz="4" w:space="0" w:color="auto"/>
              <w:bottom w:val="single" w:sz="4" w:space="0" w:color="auto"/>
              <w:right w:val="single" w:sz="4" w:space="0" w:color="auto"/>
            </w:tcBorders>
          </w:tcPr>
          <w:p w14:paraId="18AB10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5B1DC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6F7B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6E213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12F7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4A280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07" w:type="dxa"/>
            <w:tcBorders>
              <w:top w:val="single" w:sz="4" w:space="0" w:color="auto"/>
              <w:left w:val="single" w:sz="4" w:space="0" w:color="auto"/>
              <w:bottom w:val="single" w:sz="4" w:space="0" w:color="auto"/>
              <w:right w:val="single" w:sz="4" w:space="0" w:color="auto"/>
            </w:tcBorders>
          </w:tcPr>
          <w:p w14:paraId="793021B3" w14:textId="77777777" w:rsidR="00B82F75" w:rsidRPr="00F52C10" w:rsidRDefault="00B82F75" w:rsidP="00E4628E">
            <w:pPr>
              <w:pStyle w:val="Tabletext0"/>
              <w:spacing w:before="34" w:after="34" w:line="276" w:lineRule="auto"/>
              <w:rPr>
                <w:sz w:val="18"/>
                <w:szCs w:val="18"/>
                <w:lang w:val="en-CA"/>
              </w:rPr>
            </w:pPr>
          </w:p>
        </w:tc>
      </w:tr>
      <w:tr w:rsidR="00B82F75" w:rsidRPr="00F52C10" w14:paraId="3E295AD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E6E0B8C" w14:textId="77777777" w:rsidR="00B82F75" w:rsidRPr="00F52C10" w:rsidRDefault="00B82F75" w:rsidP="00E4628E">
            <w:pPr>
              <w:pStyle w:val="Tabletext0"/>
              <w:spacing w:before="34" w:after="34" w:line="276" w:lineRule="auto"/>
              <w:rPr>
                <w:sz w:val="18"/>
                <w:szCs w:val="18"/>
              </w:rPr>
            </w:pPr>
            <w:r w:rsidRPr="00F52C10">
              <w:rPr>
                <w:sz w:val="18"/>
                <w:szCs w:val="18"/>
              </w:rPr>
              <w:t>SUR00000</w:t>
            </w:r>
          </w:p>
        </w:tc>
        <w:tc>
          <w:tcPr>
            <w:tcW w:w="1076" w:type="dxa"/>
            <w:tcBorders>
              <w:top w:val="single" w:sz="4" w:space="0" w:color="auto"/>
              <w:left w:val="single" w:sz="4" w:space="0" w:color="auto"/>
              <w:bottom w:val="single" w:sz="4" w:space="0" w:color="auto"/>
              <w:right w:val="single" w:sz="4" w:space="0" w:color="auto"/>
            </w:tcBorders>
          </w:tcPr>
          <w:p w14:paraId="4EBDBD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−77,00</w:t>
            </w:r>
          </w:p>
        </w:tc>
        <w:tc>
          <w:tcPr>
            <w:tcW w:w="970" w:type="dxa"/>
            <w:tcBorders>
              <w:top w:val="single" w:sz="4" w:space="0" w:color="auto"/>
              <w:left w:val="single" w:sz="4" w:space="0" w:color="auto"/>
              <w:bottom w:val="single" w:sz="4" w:space="0" w:color="auto"/>
              <w:right w:val="single" w:sz="4" w:space="0" w:color="auto"/>
            </w:tcBorders>
          </w:tcPr>
          <w:p w14:paraId="601F51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−55,60</w:t>
            </w:r>
          </w:p>
        </w:tc>
        <w:tc>
          <w:tcPr>
            <w:tcW w:w="907" w:type="dxa"/>
            <w:tcBorders>
              <w:top w:val="single" w:sz="4" w:space="0" w:color="auto"/>
              <w:left w:val="single" w:sz="4" w:space="0" w:color="auto"/>
              <w:bottom w:val="single" w:sz="4" w:space="0" w:color="auto"/>
              <w:right w:val="single" w:sz="4" w:space="0" w:color="auto"/>
            </w:tcBorders>
          </w:tcPr>
          <w:p w14:paraId="2C93E5A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DECA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E02FAF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3634C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373B7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4683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−40,7</w:t>
            </w:r>
          </w:p>
        </w:tc>
        <w:tc>
          <w:tcPr>
            <w:tcW w:w="907" w:type="dxa"/>
            <w:tcBorders>
              <w:top w:val="single" w:sz="4" w:space="0" w:color="auto"/>
              <w:left w:val="single" w:sz="4" w:space="0" w:color="auto"/>
              <w:bottom w:val="single" w:sz="4" w:space="0" w:color="auto"/>
              <w:right w:val="single" w:sz="4" w:space="0" w:color="auto"/>
            </w:tcBorders>
          </w:tcPr>
          <w:p w14:paraId="513A21A3" w14:textId="77777777" w:rsidR="00B82F75" w:rsidRPr="00F52C10" w:rsidRDefault="00B82F75" w:rsidP="00E4628E">
            <w:pPr>
              <w:pStyle w:val="Tabletext0"/>
              <w:spacing w:before="34" w:after="34" w:line="276" w:lineRule="auto"/>
              <w:rPr>
                <w:sz w:val="18"/>
                <w:szCs w:val="18"/>
                <w:lang w:val="en-CA"/>
              </w:rPr>
            </w:pPr>
          </w:p>
        </w:tc>
      </w:tr>
      <w:tr w:rsidR="00B82F75" w:rsidRPr="00F52C10" w14:paraId="1E5FB36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38E7771" w14:textId="77777777" w:rsidR="00B82F75" w:rsidRPr="00F52C10" w:rsidRDefault="00B82F75" w:rsidP="00E4628E">
            <w:pPr>
              <w:pStyle w:val="Tabletext0"/>
              <w:spacing w:before="34" w:after="34" w:line="276" w:lineRule="auto"/>
              <w:rPr>
                <w:sz w:val="18"/>
                <w:szCs w:val="18"/>
              </w:rPr>
            </w:pPr>
            <w:r w:rsidRPr="00F52C10">
              <w:rPr>
                <w:sz w:val="18"/>
                <w:szCs w:val="18"/>
              </w:rPr>
              <w:t>SVK00000</w:t>
            </w:r>
          </w:p>
        </w:tc>
        <w:tc>
          <w:tcPr>
            <w:tcW w:w="1076" w:type="dxa"/>
            <w:tcBorders>
              <w:top w:val="single" w:sz="4" w:space="0" w:color="auto"/>
              <w:left w:val="single" w:sz="4" w:space="0" w:color="auto"/>
              <w:bottom w:val="single" w:sz="4" w:space="0" w:color="auto"/>
              <w:right w:val="single" w:sz="4" w:space="0" w:color="auto"/>
            </w:tcBorders>
          </w:tcPr>
          <w:p w14:paraId="1B8910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−19,82</w:t>
            </w:r>
          </w:p>
        </w:tc>
        <w:tc>
          <w:tcPr>
            <w:tcW w:w="970" w:type="dxa"/>
            <w:tcBorders>
              <w:top w:val="single" w:sz="4" w:space="0" w:color="auto"/>
              <w:left w:val="single" w:sz="4" w:space="0" w:color="auto"/>
              <w:bottom w:val="single" w:sz="4" w:space="0" w:color="auto"/>
              <w:right w:val="single" w:sz="4" w:space="0" w:color="auto"/>
            </w:tcBorders>
          </w:tcPr>
          <w:p w14:paraId="744FBD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17,30</w:t>
            </w:r>
          </w:p>
        </w:tc>
        <w:tc>
          <w:tcPr>
            <w:tcW w:w="907" w:type="dxa"/>
            <w:tcBorders>
              <w:top w:val="single" w:sz="4" w:space="0" w:color="auto"/>
              <w:left w:val="single" w:sz="4" w:space="0" w:color="auto"/>
              <w:bottom w:val="single" w:sz="4" w:space="0" w:color="auto"/>
              <w:right w:val="single" w:sz="4" w:space="0" w:color="auto"/>
            </w:tcBorders>
          </w:tcPr>
          <w:p w14:paraId="3226404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07DB19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131C7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536D7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3E59F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B2813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07" w:type="dxa"/>
            <w:tcBorders>
              <w:top w:val="single" w:sz="4" w:space="0" w:color="auto"/>
              <w:left w:val="single" w:sz="4" w:space="0" w:color="auto"/>
              <w:bottom w:val="single" w:sz="4" w:space="0" w:color="auto"/>
              <w:right w:val="single" w:sz="4" w:space="0" w:color="auto"/>
            </w:tcBorders>
          </w:tcPr>
          <w:p w14:paraId="0B7B9069" w14:textId="77777777" w:rsidR="00B82F75" w:rsidRPr="00F52C10" w:rsidRDefault="00B82F75" w:rsidP="00E4628E">
            <w:pPr>
              <w:pStyle w:val="Tabletext0"/>
              <w:spacing w:before="34" w:after="34" w:line="276" w:lineRule="auto"/>
              <w:rPr>
                <w:sz w:val="18"/>
                <w:szCs w:val="18"/>
                <w:lang w:val="en-CA"/>
              </w:rPr>
            </w:pPr>
          </w:p>
        </w:tc>
      </w:tr>
      <w:tr w:rsidR="00B82F75" w:rsidRPr="00F52C10" w14:paraId="780ADB9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8727D83" w14:textId="77777777" w:rsidR="00B82F75" w:rsidRPr="00F52C10" w:rsidRDefault="00B82F75" w:rsidP="00E4628E">
            <w:pPr>
              <w:pStyle w:val="Tabletext0"/>
              <w:spacing w:before="34" w:after="34" w:line="276" w:lineRule="auto"/>
              <w:rPr>
                <w:sz w:val="18"/>
                <w:szCs w:val="18"/>
              </w:rPr>
            </w:pPr>
            <w:r w:rsidRPr="00F52C10">
              <w:rPr>
                <w:sz w:val="18"/>
                <w:szCs w:val="18"/>
              </w:rPr>
              <w:t>SWZ00000</w:t>
            </w:r>
          </w:p>
        </w:tc>
        <w:tc>
          <w:tcPr>
            <w:tcW w:w="1076" w:type="dxa"/>
            <w:tcBorders>
              <w:top w:val="single" w:sz="4" w:space="0" w:color="auto"/>
              <w:left w:val="single" w:sz="4" w:space="0" w:color="auto"/>
              <w:bottom w:val="single" w:sz="4" w:space="0" w:color="auto"/>
              <w:right w:val="single" w:sz="4" w:space="0" w:color="auto"/>
            </w:tcBorders>
          </w:tcPr>
          <w:p w14:paraId="3B45F7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30,10</w:t>
            </w:r>
          </w:p>
        </w:tc>
        <w:tc>
          <w:tcPr>
            <w:tcW w:w="970" w:type="dxa"/>
            <w:tcBorders>
              <w:top w:val="single" w:sz="4" w:space="0" w:color="auto"/>
              <w:left w:val="single" w:sz="4" w:space="0" w:color="auto"/>
              <w:bottom w:val="single" w:sz="4" w:space="0" w:color="auto"/>
              <w:right w:val="single" w:sz="4" w:space="0" w:color="auto"/>
            </w:tcBorders>
          </w:tcPr>
          <w:p w14:paraId="063620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31,30</w:t>
            </w:r>
          </w:p>
        </w:tc>
        <w:tc>
          <w:tcPr>
            <w:tcW w:w="907" w:type="dxa"/>
            <w:tcBorders>
              <w:top w:val="single" w:sz="4" w:space="0" w:color="auto"/>
              <w:left w:val="single" w:sz="4" w:space="0" w:color="auto"/>
              <w:bottom w:val="single" w:sz="4" w:space="0" w:color="auto"/>
              <w:right w:val="single" w:sz="4" w:space="0" w:color="auto"/>
            </w:tcBorders>
          </w:tcPr>
          <w:p w14:paraId="658F97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AE857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24295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71DBF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E111E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C71B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−42,0</w:t>
            </w:r>
          </w:p>
        </w:tc>
        <w:tc>
          <w:tcPr>
            <w:tcW w:w="907" w:type="dxa"/>
            <w:tcBorders>
              <w:top w:val="single" w:sz="4" w:space="0" w:color="auto"/>
              <w:left w:val="single" w:sz="4" w:space="0" w:color="auto"/>
              <w:bottom w:val="single" w:sz="4" w:space="0" w:color="auto"/>
              <w:right w:val="single" w:sz="4" w:space="0" w:color="auto"/>
            </w:tcBorders>
          </w:tcPr>
          <w:p w14:paraId="2E83240D" w14:textId="77777777" w:rsidR="00B82F75" w:rsidRPr="00F52C10" w:rsidRDefault="00B82F75" w:rsidP="00E4628E">
            <w:pPr>
              <w:pStyle w:val="Tabletext0"/>
              <w:spacing w:before="34" w:after="34" w:line="276" w:lineRule="auto"/>
              <w:rPr>
                <w:sz w:val="18"/>
                <w:szCs w:val="18"/>
                <w:lang w:val="en-CA"/>
              </w:rPr>
            </w:pPr>
          </w:p>
        </w:tc>
      </w:tr>
      <w:tr w:rsidR="00B82F75" w:rsidRPr="00F52C10" w14:paraId="134821A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3980E85" w14:textId="77777777" w:rsidR="00B82F75" w:rsidRPr="00F52C10" w:rsidRDefault="00B82F75" w:rsidP="00E4628E">
            <w:pPr>
              <w:pStyle w:val="Tabletext0"/>
              <w:spacing w:before="34" w:after="34" w:line="276" w:lineRule="auto"/>
              <w:rPr>
                <w:sz w:val="18"/>
                <w:szCs w:val="18"/>
              </w:rPr>
            </w:pPr>
            <w:r w:rsidRPr="00F52C10">
              <w:rPr>
                <w:sz w:val="18"/>
                <w:szCs w:val="18"/>
              </w:rPr>
              <w:t>SYR00000</w:t>
            </w:r>
          </w:p>
        </w:tc>
        <w:tc>
          <w:tcPr>
            <w:tcW w:w="1076" w:type="dxa"/>
            <w:tcBorders>
              <w:top w:val="single" w:sz="4" w:space="0" w:color="auto"/>
              <w:left w:val="single" w:sz="4" w:space="0" w:color="auto"/>
              <w:bottom w:val="single" w:sz="4" w:space="0" w:color="auto"/>
              <w:right w:val="single" w:sz="4" w:space="0" w:color="auto"/>
            </w:tcBorders>
          </w:tcPr>
          <w:p w14:paraId="0B71E1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18,00</w:t>
            </w:r>
          </w:p>
        </w:tc>
        <w:tc>
          <w:tcPr>
            <w:tcW w:w="970" w:type="dxa"/>
            <w:tcBorders>
              <w:top w:val="single" w:sz="4" w:space="0" w:color="auto"/>
              <w:left w:val="single" w:sz="4" w:space="0" w:color="auto"/>
              <w:bottom w:val="single" w:sz="4" w:space="0" w:color="auto"/>
              <w:right w:val="single" w:sz="4" w:space="0" w:color="auto"/>
            </w:tcBorders>
          </w:tcPr>
          <w:p w14:paraId="2AD771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38,60</w:t>
            </w:r>
          </w:p>
        </w:tc>
        <w:tc>
          <w:tcPr>
            <w:tcW w:w="907" w:type="dxa"/>
            <w:tcBorders>
              <w:top w:val="single" w:sz="4" w:space="0" w:color="auto"/>
              <w:left w:val="single" w:sz="4" w:space="0" w:color="auto"/>
              <w:bottom w:val="single" w:sz="4" w:space="0" w:color="auto"/>
              <w:right w:val="single" w:sz="4" w:space="0" w:color="auto"/>
            </w:tcBorders>
          </w:tcPr>
          <w:p w14:paraId="26180D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3DA5A7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CE6C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C16744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47840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44E835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−40,8</w:t>
            </w:r>
          </w:p>
        </w:tc>
        <w:tc>
          <w:tcPr>
            <w:tcW w:w="907" w:type="dxa"/>
            <w:tcBorders>
              <w:top w:val="single" w:sz="4" w:space="0" w:color="auto"/>
              <w:left w:val="single" w:sz="4" w:space="0" w:color="auto"/>
              <w:bottom w:val="single" w:sz="4" w:space="0" w:color="auto"/>
              <w:right w:val="single" w:sz="4" w:space="0" w:color="auto"/>
            </w:tcBorders>
          </w:tcPr>
          <w:p w14:paraId="7311F746" w14:textId="77777777" w:rsidR="00B82F75" w:rsidRPr="00F52C10" w:rsidRDefault="00B82F75" w:rsidP="00E4628E">
            <w:pPr>
              <w:pStyle w:val="Tabletext0"/>
              <w:spacing w:before="34" w:after="34" w:line="276" w:lineRule="auto"/>
              <w:rPr>
                <w:sz w:val="18"/>
                <w:szCs w:val="18"/>
                <w:lang w:val="en-CA"/>
              </w:rPr>
            </w:pPr>
          </w:p>
        </w:tc>
      </w:tr>
      <w:tr w:rsidR="00B82F75" w:rsidRPr="00F52C10" w14:paraId="76A81170"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13EF83A" w14:textId="77777777" w:rsidR="00B82F75" w:rsidRPr="00F52C10" w:rsidRDefault="00B82F75" w:rsidP="00E4628E">
            <w:pPr>
              <w:pStyle w:val="Tabletext0"/>
              <w:spacing w:before="34" w:after="34" w:line="276" w:lineRule="auto"/>
              <w:rPr>
                <w:sz w:val="18"/>
                <w:szCs w:val="18"/>
              </w:rPr>
            </w:pPr>
            <w:r w:rsidRPr="00F52C10">
              <w:rPr>
                <w:sz w:val="18"/>
                <w:szCs w:val="18"/>
              </w:rPr>
              <w:t>TCD00000</w:t>
            </w:r>
          </w:p>
        </w:tc>
        <w:tc>
          <w:tcPr>
            <w:tcW w:w="1076" w:type="dxa"/>
            <w:tcBorders>
              <w:top w:val="single" w:sz="4" w:space="0" w:color="auto"/>
              <w:left w:val="single" w:sz="4" w:space="0" w:color="auto"/>
              <w:bottom w:val="single" w:sz="4" w:space="0" w:color="auto"/>
              <w:right w:val="single" w:sz="4" w:space="0" w:color="auto"/>
            </w:tcBorders>
          </w:tcPr>
          <w:p w14:paraId="77C5A1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−9,90</w:t>
            </w:r>
          </w:p>
        </w:tc>
        <w:tc>
          <w:tcPr>
            <w:tcW w:w="970" w:type="dxa"/>
            <w:tcBorders>
              <w:top w:val="single" w:sz="4" w:space="0" w:color="auto"/>
              <w:left w:val="single" w:sz="4" w:space="0" w:color="auto"/>
              <w:bottom w:val="single" w:sz="4" w:space="0" w:color="auto"/>
              <w:right w:val="single" w:sz="4" w:space="0" w:color="auto"/>
            </w:tcBorders>
          </w:tcPr>
          <w:p w14:paraId="73D6B8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18,40</w:t>
            </w:r>
          </w:p>
        </w:tc>
        <w:tc>
          <w:tcPr>
            <w:tcW w:w="907" w:type="dxa"/>
            <w:tcBorders>
              <w:top w:val="single" w:sz="4" w:space="0" w:color="auto"/>
              <w:left w:val="single" w:sz="4" w:space="0" w:color="auto"/>
              <w:bottom w:val="single" w:sz="4" w:space="0" w:color="auto"/>
              <w:right w:val="single" w:sz="4" w:space="0" w:color="auto"/>
            </w:tcBorders>
          </w:tcPr>
          <w:p w14:paraId="0F7172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E4BFE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4750A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1D2B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97,00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F16A5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2E910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907" w:type="dxa"/>
            <w:tcBorders>
              <w:top w:val="single" w:sz="4" w:space="0" w:color="auto"/>
              <w:left w:val="single" w:sz="4" w:space="0" w:color="auto"/>
              <w:bottom w:val="single" w:sz="4" w:space="0" w:color="auto"/>
              <w:right w:val="single" w:sz="4" w:space="0" w:color="auto"/>
            </w:tcBorders>
          </w:tcPr>
          <w:p w14:paraId="021B9176" w14:textId="77777777" w:rsidR="00B82F75" w:rsidRPr="00F52C10" w:rsidRDefault="00B82F75" w:rsidP="00E4628E">
            <w:pPr>
              <w:pStyle w:val="Tabletext0"/>
              <w:spacing w:before="34" w:after="34" w:line="276" w:lineRule="auto"/>
              <w:rPr>
                <w:sz w:val="18"/>
                <w:szCs w:val="18"/>
                <w:lang w:val="en-CA"/>
              </w:rPr>
            </w:pPr>
          </w:p>
        </w:tc>
      </w:tr>
      <w:tr w:rsidR="00B82F75" w:rsidRPr="00F52C10" w14:paraId="25D0FA6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8B1F106" w14:textId="77777777" w:rsidR="00B82F75" w:rsidRPr="00F52C10" w:rsidRDefault="00B82F75" w:rsidP="00E4628E">
            <w:pPr>
              <w:pStyle w:val="Tabletext0"/>
              <w:spacing w:before="34" w:after="34" w:line="276" w:lineRule="auto"/>
              <w:rPr>
                <w:sz w:val="18"/>
                <w:szCs w:val="18"/>
              </w:rPr>
            </w:pPr>
            <w:r w:rsidRPr="00F52C10">
              <w:rPr>
                <w:sz w:val="18"/>
                <w:szCs w:val="18"/>
              </w:rPr>
              <w:t>TGO00000</w:t>
            </w:r>
          </w:p>
        </w:tc>
        <w:tc>
          <w:tcPr>
            <w:tcW w:w="1076" w:type="dxa"/>
            <w:tcBorders>
              <w:top w:val="single" w:sz="4" w:space="0" w:color="auto"/>
              <w:left w:val="single" w:sz="4" w:space="0" w:color="auto"/>
              <w:bottom w:val="single" w:sz="4" w:space="0" w:color="auto"/>
              <w:right w:val="single" w:sz="4" w:space="0" w:color="auto"/>
            </w:tcBorders>
          </w:tcPr>
          <w:p w14:paraId="4D783C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−23,15</w:t>
            </w:r>
          </w:p>
        </w:tc>
        <w:tc>
          <w:tcPr>
            <w:tcW w:w="970" w:type="dxa"/>
            <w:tcBorders>
              <w:top w:val="single" w:sz="4" w:space="0" w:color="auto"/>
              <w:left w:val="single" w:sz="4" w:space="0" w:color="auto"/>
              <w:bottom w:val="single" w:sz="4" w:space="0" w:color="auto"/>
              <w:right w:val="single" w:sz="4" w:space="0" w:color="auto"/>
            </w:tcBorders>
          </w:tcPr>
          <w:p w14:paraId="18C866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07" w:type="dxa"/>
            <w:tcBorders>
              <w:top w:val="single" w:sz="4" w:space="0" w:color="auto"/>
              <w:left w:val="single" w:sz="4" w:space="0" w:color="auto"/>
              <w:bottom w:val="single" w:sz="4" w:space="0" w:color="auto"/>
              <w:right w:val="single" w:sz="4" w:space="0" w:color="auto"/>
            </w:tcBorders>
          </w:tcPr>
          <w:p w14:paraId="5B04323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B06994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3429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73500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66FC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4F87C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−40,4</w:t>
            </w:r>
          </w:p>
        </w:tc>
        <w:tc>
          <w:tcPr>
            <w:tcW w:w="907" w:type="dxa"/>
            <w:tcBorders>
              <w:top w:val="single" w:sz="4" w:space="0" w:color="auto"/>
              <w:left w:val="single" w:sz="4" w:space="0" w:color="auto"/>
              <w:bottom w:val="single" w:sz="4" w:space="0" w:color="auto"/>
              <w:right w:val="single" w:sz="4" w:space="0" w:color="auto"/>
            </w:tcBorders>
          </w:tcPr>
          <w:p w14:paraId="2BC453D6" w14:textId="77777777" w:rsidR="00B82F75" w:rsidRPr="00F52C10" w:rsidRDefault="00B82F75" w:rsidP="00E4628E">
            <w:pPr>
              <w:pStyle w:val="Tabletext0"/>
              <w:spacing w:before="34" w:after="34" w:line="276" w:lineRule="auto"/>
              <w:rPr>
                <w:sz w:val="18"/>
                <w:szCs w:val="18"/>
                <w:lang w:val="en-CA"/>
              </w:rPr>
            </w:pPr>
          </w:p>
        </w:tc>
      </w:tr>
      <w:tr w:rsidR="00B82F75" w:rsidRPr="00F52C10" w14:paraId="07F5E890"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D223992" w14:textId="77777777" w:rsidR="00B82F75" w:rsidRPr="00F52C10" w:rsidRDefault="00B82F75" w:rsidP="00E4628E">
            <w:pPr>
              <w:pStyle w:val="Tabletext0"/>
              <w:spacing w:before="34" w:after="34" w:line="276" w:lineRule="auto"/>
              <w:rPr>
                <w:sz w:val="18"/>
                <w:szCs w:val="18"/>
              </w:rPr>
            </w:pPr>
            <w:r w:rsidRPr="00F52C10">
              <w:rPr>
                <w:sz w:val="18"/>
                <w:szCs w:val="18"/>
              </w:rPr>
              <w:t>THA00000</w:t>
            </w:r>
          </w:p>
        </w:tc>
        <w:tc>
          <w:tcPr>
            <w:tcW w:w="1076" w:type="dxa"/>
            <w:tcBorders>
              <w:top w:val="single" w:sz="4" w:space="0" w:color="auto"/>
              <w:left w:val="single" w:sz="4" w:space="0" w:color="auto"/>
              <w:bottom w:val="single" w:sz="4" w:space="0" w:color="auto"/>
              <w:right w:val="single" w:sz="4" w:space="0" w:color="auto"/>
            </w:tcBorders>
          </w:tcPr>
          <w:p w14:paraId="05078A2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120,60</w:t>
            </w:r>
          </w:p>
        </w:tc>
        <w:tc>
          <w:tcPr>
            <w:tcW w:w="970" w:type="dxa"/>
            <w:tcBorders>
              <w:top w:val="single" w:sz="4" w:space="0" w:color="auto"/>
              <w:left w:val="single" w:sz="4" w:space="0" w:color="auto"/>
              <w:bottom w:val="single" w:sz="4" w:space="0" w:color="auto"/>
              <w:right w:val="single" w:sz="4" w:space="0" w:color="auto"/>
            </w:tcBorders>
          </w:tcPr>
          <w:p w14:paraId="0D4CCF0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100,90</w:t>
            </w:r>
          </w:p>
        </w:tc>
        <w:tc>
          <w:tcPr>
            <w:tcW w:w="907" w:type="dxa"/>
            <w:tcBorders>
              <w:top w:val="single" w:sz="4" w:space="0" w:color="auto"/>
              <w:left w:val="single" w:sz="4" w:space="0" w:color="auto"/>
              <w:bottom w:val="single" w:sz="4" w:space="0" w:color="auto"/>
              <w:right w:val="single" w:sz="4" w:space="0" w:color="auto"/>
            </w:tcBorders>
          </w:tcPr>
          <w:p w14:paraId="56AEB1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CF2A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49176E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B8B80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83,00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CC3B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10E1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−38,8</w:t>
            </w:r>
          </w:p>
        </w:tc>
        <w:tc>
          <w:tcPr>
            <w:tcW w:w="907" w:type="dxa"/>
            <w:tcBorders>
              <w:top w:val="single" w:sz="4" w:space="0" w:color="auto"/>
              <w:left w:val="single" w:sz="4" w:space="0" w:color="auto"/>
              <w:bottom w:val="single" w:sz="4" w:space="0" w:color="auto"/>
              <w:right w:val="single" w:sz="4" w:space="0" w:color="auto"/>
            </w:tcBorders>
          </w:tcPr>
          <w:p w14:paraId="69B60BF7" w14:textId="77777777" w:rsidR="00B82F75" w:rsidRPr="00F52C10" w:rsidRDefault="00B82F75" w:rsidP="00E4628E">
            <w:pPr>
              <w:pStyle w:val="Tabletext0"/>
              <w:spacing w:before="34" w:after="34" w:line="276" w:lineRule="auto"/>
              <w:rPr>
                <w:sz w:val="18"/>
                <w:szCs w:val="18"/>
                <w:lang w:val="en-CA"/>
              </w:rPr>
            </w:pPr>
          </w:p>
        </w:tc>
      </w:tr>
      <w:tr w:rsidR="00B82F75" w:rsidRPr="00F52C10" w14:paraId="62327B1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FE78A04" w14:textId="77777777" w:rsidR="00B82F75" w:rsidRPr="00F52C10" w:rsidRDefault="00B82F75" w:rsidP="00E4628E">
            <w:pPr>
              <w:pStyle w:val="Tabletext0"/>
              <w:spacing w:before="34" w:after="34" w:line="276" w:lineRule="auto"/>
              <w:rPr>
                <w:sz w:val="18"/>
                <w:szCs w:val="18"/>
              </w:rPr>
            </w:pPr>
            <w:r w:rsidRPr="00F52C10">
              <w:rPr>
                <w:sz w:val="18"/>
                <w:szCs w:val="18"/>
              </w:rPr>
              <w:lastRenderedPageBreak/>
              <w:t>TON00000</w:t>
            </w:r>
          </w:p>
        </w:tc>
        <w:tc>
          <w:tcPr>
            <w:tcW w:w="1076" w:type="dxa"/>
            <w:tcBorders>
              <w:top w:val="single" w:sz="4" w:space="0" w:color="auto"/>
              <w:left w:val="single" w:sz="4" w:space="0" w:color="auto"/>
              <w:bottom w:val="single" w:sz="4" w:space="0" w:color="auto"/>
              <w:right w:val="single" w:sz="4" w:space="0" w:color="auto"/>
            </w:tcBorders>
          </w:tcPr>
          <w:p w14:paraId="70A6B40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−128,00</w:t>
            </w:r>
          </w:p>
        </w:tc>
        <w:tc>
          <w:tcPr>
            <w:tcW w:w="970" w:type="dxa"/>
            <w:tcBorders>
              <w:top w:val="single" w:sz="4" w:space="0" w:color="auto"/>
              <w:left w:val="single" w:sz="4" w:space="0" w:color="auto"/>
              <w:bottom w:val="single" w:sz="4" w:space="0" w:color="auto"/>
              <w:right w:val="single" w:sz="4" w:space="0" w:color="auto"/>
            </w:tcBorders>
          </w:tcPr>
          <w:p w14:paraId="4654BA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−175,20</w:t>
            </w:r>
          </w:p>
        </w:tc>
        <w:tc>
          <w:tcPr>
            <w:tcW w:w="907" w:type="dxa"/>
            <w:tcBorders>
              <w:top w:val="single" w:sz="4" w:space="0" w:color="auto"/>
              <w:left w:val="single" w:sz="4" w:space="0" w:color="auto"/>
              <w:bottom w:val="single" w:sz="4" w:space="0" w:color="auto"/>
              <w:right w:val="single" w:sz="4" w:space="0" w:color="auto"/>
            </w:tcBorders>
          </w:tcPr>
          <w:p w14:paraId="3B959A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5637A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7105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EE58E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A146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08F1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w:t>
            </w:r>
          </w:p>
        </w:tc>
        <w:tc>
          <w:tcPr>
            <w:tcW w:w="907" w:type="dxa"/>
            <w:tcBorders>
              <w:top w:val="single" w:sz="4" w:space="0" w:color="auto"/>
              <w:left w:val="single" w:sz="4" w:space="0" w:color="auto"/>
              <w:bottom w:val="single" w:sz="4" w:space="0" w:color="auto"/>
              <w:right w:val="single" w:sz="4" w:space="0" w:color="auto"/>
            </w:tcBorders>
          </w:tcPr>
          <w:p w14:paraId="1F1776BA" w14:textId="77777777" w:rsidR="00B82F75" w:rsidRPr="00F52C10" w:rsidRDefault="00B82F75" w:rsidP="00E4628E">
            <w:pPr>
              <w:pStyle w:val="Tabletext0"/>
              <w:spacing w:before="34" w:after="34" w:line="276" w:lineRule="auto"/>
              <w:rPr>
                <w:sz w:val="18"/>
                <w:szCs w:val="18"/>
                <w:lang w:val="en-CA"/>
              </w:rPr>
            </w:pPr>
          </w:p>
        </w:tc>
      </w:tr>
      <w:tr w:rsidR="00B82F75" w:rsidRPr="00F52C10" w14:paraId="5C89B87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5A8D9B4" w14:textId="77777777" w:rsidR="00B82F75" w:rsidRPr="00F52C10" w:rsidRDefault="00B82F75" w:rsidP="00E4628E">
            <w:pPr>
              <w:pStyle w:val="Tabletext0"/>
              <w:spacing w:before="34" w:after="34" w:line="276" w:lineRule="auto"/>
              <w:rPr>
                <w:sz w:val="18"/>
                <w:szCs w:val="18"/>
              </w:rPr>
            </w:pPr>
            <w:r w:rsidRPr="00F52C10">
              <w:rPr>
                <w:sz w:val="18"/>
                <w:szCs w:val="18"/>
              </w:rPr>
              <w:t>TRD00000</w:t>
            </w:r>
          </w:p>
        </w:tc>
        <w:tc>
          <w:tcPr>
            <w:tcW w:w="1076" w:type="dxa"/>
            <w:tcBorders>
              <w:top w:val="single" w:sz="4" w:space="0" w:color="auto"/>
              <w:left w:val="single" w:sz="4" w:space="0" w:color="auto"/>
              <w:bottom w:val="single" w:sz="4" w:space="0" w:color="auto"/>
              <w:right w:val="single" w:sz="4" w:space="0" w:color="auto"/>
            </w:tcBorders>
          </w:tcPr>
          <w:p w14:paraId="79B498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−73,40</w:t>
            </w:r>
          </w:p>
        </w:tc>
        <w:tc>
          <w:tcPr>
            <w:tcW w:w="970" w:type="dxa"/>
            <w:tcBorders>
              <w:top w:val="single" w:sz="4" w:space="0" w:color="auto"/>
              <w:left w:val="single" w:sz="4" w:space="0" w:color="auto"/>
              <w:bottom w:val="single" w:sz="4" w:space="0" w:color="auto"/>
              <w:right w:val="single" w:sz="4" w:space="0" w:color="auto"/>
            </w:tcBorders>
          </w:tcPr>
          <w:p w14:paraId="2050CC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−61,10</w:t>
            </w:r>
          </w:p>
        </w:tc>
        <w:tc>
          <w:tcPr>
            <w:tcW w:w="907" w:type="dxa"/>
            <w:tcBorders>
              <w:top w:val="single" w:sz="4" w:space="0" w:color="auto"/>
              <w:left w:val="single" w:sz="4" w:space="0" w:color="auto"/>
              <w:bottom w:val="single" w:sz="4" w:space="0" w:color="auto"/>
              <w:right w:val="single" w:sz="4" w:space="0" w:color="auto"/>
            </w:tcBorders>
          </w:tcPr>
          <w:p w14:paraId="56AF29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8C832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3F3A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BC34B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33F4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A3C35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w:t>
            </w:r>
          </w:p>
        </w:tc>
        <w:tc>
          <w:tcPr>
            <w:tcW w:w="907" w:type="dxa"/>
            <w:tcBorders>
              <w:top w:val="single" w:sz="4" w:space="0" w:color="auto"/>
              <w:left w:val="single" w:sz="4" w:space="0" w:color="auto"/>
              <w:bottom w:val="single" w:sz="4" w:space="0" w:color="auto"/>
              <w:right w:val="single" w:sz="4" w:space="0" w:color="auto"/>
            </w:tcBorders>
          </w:tcPr>
          <w:p w14:paraId="32CC23E4" w14:textId="77777777" w:rsidR="00B82F75" w:rsidRPr="00F52C10" w:rsidRDefault="00B82F75" w:rsidP="00E4628E">
            <w:pPr>
              <w:pStyle w:val="Tabletext0"/>
              <w:spacing w:before="34" w:after="34" w:line="276" w:lineRule="auto"/>
              <w:rPr>
                <w:sz w:val="18"/>
                <w:szCs w:val="18"/>
                <w:lang w:val="en-CA"/>
              </w:rPr>
            </w:pPr>
          </w:p>
        </w:tc>
      </w:tr>
      <w:tr w:rsidR="00B82F75" w:rsidRPr="00F52C10" w14:paraId="22C7D23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A75C65B" w14:textId="77777777" w:rsidR="00B82F75" w:rsidRPr="00F52C10" w:rsidRDefault="00B82F75" w:rsidP="00E4628E">
            <w:pPr>
              <w:pStyle w:val="Tabletext0"/>
              <w:spacing w:before="34" w:after="34" w:line="276" w:lineRule="auto"/>
              <w:rPr>
                <w:sz w:val="18"/>
                <w:szCs w:val="18"/>
              </w:rPr>
            </w:pPr>
            <w:r w:rsidRPr="00F52C10">
              <w:rPr>
                <w:sz w:val="18"/>
                <w:szCs w:val="18"/>
              </w:rPr>
              <w:t>TUN00000</w:t>
            </w:r>
          </w:p>
        </w:tc>
        <w:tc>
          <w:tcPr>
            <w:tcW w:w="1076" w:type="dxa"/>
            <w:tcBorders>
              <w:top w:val="single" w:sz="4" w:space="0" w:color="auto"/>
              <w:left w:val="single" w:sz="4" w:space="0" w:color="auto"/>
              <w:bottom w:val="single" w:sz="4" w:space="0" w:color="auto"/>
              <w:right w:val="single" w:sz="4" w:space="0" w:color="auto"/>
            </w:tcBorders>
          </w:tcPr>
          <w:p w14:paraId="03475B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5,74</w:t>
            </w:r>
          </w:p>
        </w:tc>
        <w:tc>
          <w:tcPr>
            <w:tcW w:w="970" w:type="dxa"/>
            <w:tcBorders>
              <w:top w:val="single" w:sz="4" w:space="0" w:color="auto"/>
              <w:left w:val="single" w:sz="4" w:space="0" w:color="auto"/>
              <w:bottom w:val="single" w:sz="4" w:space="0" w:color="auto"/>
              <w:right w:val="single" w:sz="4" w:space="0" w:color="auto"/>
            </w:tcBorders>
          </w:tcPr>
          <w:p w14:paraId="639B05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9,40</w:t>
            </w:r>
          </w:p>
        </w:tc>
        <w:tc>
          <w:tcPr>
            <w:tcW w:w="907" w:type="dxa"/>
            <w:tcBorders>
              <w:top w:val="single" w:sz="4" w:space="0" w:color="auto"/>
              <w:left w:val="single" w:sz="4" w:space="0" w:color="auto"/>
              <w:bottom w:val="single" w:sz="4" w:space="0" w:color="auto"/>
              <w:right w:val="single" w:sz="4" w:space="0" w:color="auto"/>
            </w:tcBorders>
          </w:tcPr>
          <w:p w14:paraId="4D24257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EBD20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88E7D9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7548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76187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3A2D6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−40,3</w:t>
            </w:r>
          </w:p>
        </w:tc>
        <w:tc>
          <w:tcPr>
            <w:tcW w:w="907" w:type="dxa"/>
            <w:tcBorders>
              <w:top w:val="single" w:sz="4" w:space="0" w:color="auto"/>
              <w:left w:val="single" w:sz="4" w:space="0" w:color="auto"/>
              <w:bottom w:val="single" w:sz="4" w:space="0" w:color="auto"/>
              <w:right w:val="single" w:sz="4" w:space="0" w:color="auto"/>
            </w:tcBorders>
          </w:tcPr>
          <w:p w14:paraId="791B2E30" w14:textId="77777777" w:rsidR="00B82F75" w:rsidRPr="00F52C10" w:rsidRDefault="00B82F75" w:rsidP="00E4628E">
            <w:pPr>
              <w:pStyle w:val="Tabletext0"/>
              <w:spacing w:before="34" w:after="34" w:line="276" w:lineRule="auto"/>
              <w:rPr>
                <w:sz w:val="18"/>
                <w:szCs w:val="18"/>
                <w:lang w:val="en-CA"/>
              </w:rPr>
            </w:pPr>
          </w:p>
        </w:tc>
      </w:tr>
      <w:tr w:rsidR="00B82F75" w:rsidRPr="00F52C10" w14:paraId="2DCC1A31"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6D8354F" w14:textId="77777777" w:rsidR="00B82F75" w:rsidRPr="00F52C10" w:rsidRDefault="00B82F75" w:rsidP="00E4628E">
            <w:pPr>
              <w:pStyle w:val="Tabletext0"/>
              <w:spacing w:before="34" w:after="34" w:line="276" w:lineRule="auto"/>
              <w:rPr>
                <w:sz w:val="18"/>
                <w:szCs w:val="18"/>
              </w:rPr>
            </w:pPr>
            <w:r w:rsidRPr="00F52C10">
              <w:rPr>
                <w:sz w:val="18"/>
                <w:szCs w:val="18"/>
              </w:rPr>
              <w:t>TUR00000</w:t>
            </w:r>
          </w:p>
        </w:tc>
        <w:tc>
          <w:tcPr>
            <w:tcW w:w="1076" w:type="dxa"/>
            <w:tcBorders>
              <w:top w:val="single" w:sz="4" w:space="0" w:color="auto"/>
              <w:left w:val="single" w:sz="4" w:space="0" w:color="auto"/>
              <w:bottom w:val="single" w:sz="4" w:space="0" w:color="auto"/>
              <w:right w:val="single" w:sz="4" w:space="0" w:color="auto"/>
            </w:tcBorders>
          </w:tcPr>
          <w:p w14:paraId="0F8213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8,50</w:t>
            </w:r>
          </w:p>
        </w:tc>
        <w:tc>
          <w:tcPr>
            <w:tcW w:w="970" w:type="dxa"/>
            <w:tcBorders>
              <w:top w:val="single" w:sz="4" w:space="0" w:color="auto"/>
              <w:left w:val="single" w:sz="4" w:space="0" w:color="auto"/>
              <w:bottom w:val="single" w:sz="4" w:space="0" w:color="auto"/>
              <w:right w:val="single" w:sz="4" w:space="0" w:color="auto"/>
            </w:tcBorders>
          </w:tcPr>
          <w:p w14:paraId="0C3DB1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34,10</w:t>
            </w:r>
          </w:p>
        </w:tc>
        <w:tc>
          <w:tcPr>
            <w:tcW w:w="907" w:type="dxa"/>
            <w:tcBorders>
              <w:top w:val="single" w:sz="4" w:space="0" w:color="auto"/>
              <w:left w:val="single" w:sz="4" w:space="0" w:color="auto"/>
              <w:bottom w:val="single" w:sz="4" w:space="0" w:color="auto"/>
              <w:right w:val="single" w:sz="4" w:space="0" w:color="auto"/>
            </w:tcBorders>
          </w:tcPr>
          <w:p w14:paraId="35D71C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863EF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F97D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A635A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171,00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080C54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1E45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−38,6</w:t>
            </w:r>
          </w:p>
        </w:tc>
        <w:tc>
          <w:tcPr>
            <w:tcW w:w="907" w:type="dxa"/>
            <w:tcBorders>
              <w:top w:val="single" w:sz="4" w:space="0" w:color="auto"/>
              <w:left w:val="single" w:sz="4" w:space="0" w:color="auto"/>
              <w:bottom w:val="single" w:sz="4" w:space="0" w:color="auto"/>
              <w:right w:val="single" w:sz="4" w:space="0" w:color="auto"/>
            </w:tcBorders>
          </w:tcPr>
          <w:p w14:paraId="7F6055E4" w14:textId="77777777" w:rsidR="00B82F75" w:rsidRPr="00F52C10" w:rsidRDefault="00B82F75" w:rsidP="00E4628E">
            <w:pPr>
              <w:pStyle w:val="Tabletext0"/>
              <w:spacing w:before="34" w:after="34" w:line="276" w:lineRule="auto"/>
              <w:rPr>
                <w:sz w:val="18"/>
                <w:szCs w:val="18"/>
                <w:lang w:val="en-CA"/>
              </w:rPr>
            </w:pPr>
          </w:p>
        </w:tc>
      </w:tr>
      <w:tr w:rsidR="00B82F75" w:rsidRPr="00F52C10" w14:paraId="6A509E6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0A15A824" w14:textId="77777777" w:rsidR="00B82F75" w:rsidRPr="00F52C10" w:rsidRDefault="00B82F75" w:rsidP="00E4628E">
            <w:pPr>
              <w:pStyle w:val="Tabletext0"/>
              <w:spacing w:before="34" w:after="34" w:line="276" w:lineRule="auto"/>
              <w:rPr>
                <w:sz w:val="18"/>
                <w:szCs w:val="18"/>
              </w:rPr>
            </w:pPr>
            <w:r w:rsidRPr="00F52C10">
              <w:rPr>
                <w:sz w:val="18"/>
                <w:szCs w:val="18"/>
              </w:rPr>
              <w:t>TUV00000</w:t>
            </w:r>
          </w:p>
        </w:tc>
        <w:tc>
          <w:tcPr>
            <w:tcW w:w="1076" w:type="dxa"/>
            <w:tcBorders>
              <w:top w:val="single" w:sz="4" w:space="0" w:color="auto"/>
              <w:left w:val="single" w:sz="4" w:space="0" w:color="auto"/>
              <w:bottom w:val="single" w:sz="4" w:space="0" w:color="auto"/>
              <w:right w:val="single" w:sz="4" w:space="0" w:color="auto"/>
            </w:tcBorders>
          </w:tcPr>
          <w:p w14:paraId="7BE014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158,00</w:t>
            </w:r>
          </w:p>
        </w:tc>
        <w:tc>
          <w:tcPr>
            <w:tcW w:w="970" w:type="dxa"/>
            <w:tcBorders>
              <w:top w:val="single" w:sz="4" w:space="0" w:color="auto"/>
              <w:left w:val="single" w:sz="4" w:space="0" w:color="auto"/>
              <w:bottom w:val="single" w:sz="4" w:space="0" w:color="auto"/>
              <w:right w:val="single" w:sz="4" w:space="0" w:color="auto"/>
            </w:tcBorders>
          </w:tcPr>
          <w:p w14:paraId="5E7EEE1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179,20</w:t>
            </w:r>
          </w:p>
        </w:tc>
        <w:tc>
          <w:tcPr>
            <w:tcW w:w="907" w:type="dxa"/>
            <w:tcBorders>
              <w:top w:val="single" w:sz="4" w:space="0" w:color="auto"/>
              <w:left w:val="single" w:sz="4" w:space="0" w:color="auto"/>
              <w:bottom w:val="single" w:sz="4" w:space="0" w:color="auto"/>
              <w:right w:val="single" w:sz="4" w:space="0" w:color="auto"/>
            </w:tcBorders>
          </w:tcPr>
          <w:p w14:paraId="46805A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0B3D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46FC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429CB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F8394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E92D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w:t>
            </w:r>
          </w:p>
        </w:tc>
        <w:tc>
          <w:tcPr>
            <w:tcW w:w="907" w:type="dxa"/>
            <w:tcBorders>
              <w:top w:val="single" w:sz="4" w:space="0" w:color="auto"/>
              <w:left w:val="single" w:sz="4" w:space="0" w:color="auto"/>
              <w:bottom w:val="single" w:sz="4" w:space="0" w:color="auto"/>
              <w:right w:val="single" w:sz="4" w:space="0" w:color="auto"/>
            </w:tcBorders>
          </w:tcPr>
          <w:p w14:paraId="1D7D486F" w14:textId="77777777" w:rsidR="00B82F75" w:rsidRPr="00F52C10" w:rsidRDefault="00B82F75" w:rsidP="00E4628E">
            <w:pPr>
              <w:pStyle w:val="Tabletext0"/>
              <w:spacing w:before="34" w:after="34" w:line="276" w:lineRule="auto"/>
              <w:rPr>
                <w:sz w:val="18"/>
                <w:szCs w:val="18"/>
                <w:lang w:val="en-CA"/>
              </w:rPr>
            </w:pPr>
          </w:p>
        </w:tc>
      </w:tr>
      <w:tr w:rsidR="00B82F75" w:rsidRPr="00F52C10" w14:paraId="134EDA70"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1D95AE4" w14:textId="77777777" w:rsidR="00B82F75" w:rsidRPr="00F52C10" w:rsidRDefault="00B82F75" w:rsidP="00E4628E">
            <w:pPr>
              <w:pStyle w:val="Tabletext0"/>
              <w:spacing w:before="34" w:after="34" w:line="276" w:lineRule="auto"/>
              <w:rPr>
                <w:sz w:val="18"/>
                <w:szCs w:val="18"/>
              </w:rPr>
            </w:pPr>
            <w:r w:rsidRPr="00F52C10">
              <w:rPr>
                <w:sz w:val="18"/>
                <w:szCs w:val="18"/>
              </w:rPr>
              <w:t>TZA00000</w:t>
            </w:r>
          </w:p>
        </w:tc>
        <w:tc>
          <w:tcPr>
            <w:tcW w:w="1076" w:type="dxa"/>
            <w:tcBorders>
              <w:top w:val="single" w:sz="4" w:space="0" w:color="auto"/>
              <w:left w:val="single" w:sz="4" w:space="0" w:color="auto"/>
              <w:bottom w:val="single" w:sz="4" w:space="0" w:color="auto"/>
              <w:right w:val="single" w:sz="4" w:space="0" w:color="auto"/>
            </w:tcBorders>
          </w:tcPr>
          <w:p w14:paraId="7A809A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67,50</w:t>
            </w:r>
          </w:p>
        </w:tc>
        <w:tc>
          <w:tcPr>
            <w:tcW w:w="970" w:type="dxa"/>
            <w:tcBorders>
              <w:top w:val="single" w:sz="4" w:space="0" w:color="auto"/>
              <w:left w:val="single" w:sz="4" w:space="0" w:color="auto"/>
              <w:bottom w:val="single" w:sz="4" w:space="0" w:color="auto"/>
              <w:right w:val="single" w:sz="4" w:space="0" w:color="auto"/>
            </w:tcBorders>
          </w:tcPr>
          <w:p w14:paraId="32AB20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35,40</w:t>
            </w:r>
          </w:p>
        </w:tc>
        <w:tc>
          <w:tcPr>
            <w:tcW w:w="907" w:type="dxa"/>
            <w:tcBorders>
              <w:top w:val="single" w:sz="4" w:space="0" w:color="auto"/>
              <w:left w:val="single" w:sz="4" w:space="0" w:color="auto"/>
              <w:bottom w:val="single" w:sz="4" w:space="0" w:color="auto"/>
              <w:right w:val="single" w:sz="4" w:space="0" w:color="auto"/>
            </w:tcBorders>
          </w:tcPr>
          <w:p w14:paraId="6A1673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A5F87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DEFCE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CBE8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0920BA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D599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−39,3</w:t>
            </w:r>
          </w:p>
        </w:tc>
        <w:tc>
          <w:tcPr>
            <w:tcW w:w="907" w:type="dxa"/>
            <w:tcBorders>
              <w:top w:val="single" w:sz="4" w:space="0" w:color="auto"/>
              <w:left w:val="single" w:sz="4" w:space="0" w:color="auto"/>
              <w:bottom w:val="single" w:sz="4" w:space="0" w:color="auto"/>
              <w:right w:val="single" w:sz="4" w:space="0" w:color="auto"/>
            </w:tcBorders>
          </w:tcPr>
          <w:p w14:paraId="3669C8F3" w14:textId="77777777" w:rsidR="00B82F75" w:rsidRPr="00F52C10" w:rsidRDefault="00B82F75" w:rsidP="00E4628E">
            <w:pPr>
              <w:pStyle w:val="Tabletext0"/>
              <w:spacing w:before="34" w:after="34" w:line="276" w:lineRule="auto"/>
              <w:rPr>
                <w:sz w:val="18"/>
                <w:szCs w:val="18"/>
                <w:lang w:val="en-CA"/>
              </w:rPr>
            </w:pPr>
          </w:p>
        </w:tc>
      </w:tr>
      <w:tr w:rsidR="00B82F75" w:rsidRPr="00F52C10" w14:paraId="3A544684"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31EAB17" w14:textId="77777777" w:rsidR="00B82F75" w:rsidRPr="00F52C10" w:rsidRDefault="00B82F75" w:rsidP="00E4628E">
            <w:pPr>
              <w:pStyle w:val="Tabletext0"/>
              <w:spacing w:before="34" w:after="34" w:line="276" w:lineRule="auto"/>
              <w:rPr>
                <w:sz w:val="18"/>
                <w:szCs w:val="18"/>
              </w:rPr>
            </w:pPr>
            <w:r w:rsidRPr="00F52C10">
              <w:rPr>
                <w:sz w:val="18"/>
                <w:szCs w:val="18"/>
              </w:rPr>
              <w:t>UAE00000</w:t>
            </w:r>
          </w:p>
        </w:tc>
        <w:tc>
          <w:tcPr>
            <w:tcW w:w="1076" w:type="dxa"/>
            <w:tcBorders>
              <w:top w:val="single" w:sz="4" w:space="0" w:color="auto"/>
              <w:left w:val="single" w:sz="4" w:space="0" w:color="auto"/>
              <w:bottom w:val="single" w:sz="4" w:space="0" w:color="auto"/>
              <w:right w:val="single" w:sz="4" w:space="0" w:color="auto"/>
            </w:tcBorders>
          </w:tcPr>
          <w:p w14:paraId="5A96783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63,50</w:t>
            </w:r>
          </w:p>
        </w:tc>
        <w:tc>
          <w:tcPr>
            <w:tcW w:w="970" w:type="dxa"/>
            <w:tcBorders>
              <w:top w:val="single" w:sz="4" w:space="0" w:color="auto"/>
              <w:left w:val="single" w:sz="4" w:space="0" w:color="auto"/>
              <w:bottom w:val="single" w:sz="4" w:space="0" w:color="auto"/>
              <w:right w:val="single" w:sz="4" w:space="0" w:color="auto"/>
            </w:tcBorders>
          </w:tcPr>
          <w:p w14:paraId="598F58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53,80</w:t>
            </w:r>
          </w:p>
        </w:tc>
        <w:tc>
          <w:tcPr>
            <w:tcW w:w="907" w:type="dxa"/>
            <w:tcBorders>
              <w:top w:val="single" w:sz="4" w:space="0" w:color="auto"/>
              <w:left w:val="single" w:sz="4" w:space="0" w:color="auto"/>
              <w:bottom w:val="single" w:sz="4" w:space="0" w:color="auto"/>
              <w:right w:val="single" w:sz="4" w:space="0" w:color="auto"/>
            </w:tcBorders>
          </w:tcPr>
          <w:p w14:paraId="6B3C9A1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EF0E6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D552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D923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93D8E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99B8F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−41,1</w:t>
            </w:r>
          </w:p>
        </w:tc>
        <w:tc>
          <w:tcPr>
            <w:tcW w:w="907" w:type="dxa"/>
            <w:tcBorders>
              <w:top w:val="single" w:sz="4" w:space="0" w:color="auto"/>
              <w:left w:val="single" w:sz="4" w:space="0" w:color="auto"/>
              <w:bottom w:val="single" w:sz="4" w:space="0" w:color="auto"/>
              <w:right w:val="single" w:sz="4" w:space="0" w:color="auto"/>
            </w:tcBorders>
          </w:tcPr>
          <w:p w14:paraId="3FE11E4D" w14:textId="77777777" w:rsidR="00B82F75" w:rsidRPr="00F52C10" w:rsidRDefault="00B82F75" w:rsidP="00E4628E">
            <w:pPr>
              <w:pStyle w:val="Tabletext0"/>
              <w:spacing w:before="34" w:after="34" w:line="276" w:lineRule="auto"/>
              <w:rPr>
                <w:sz w:val="18"/>
                <w:szCs w:val="18"/>
                <w:lang w:val="en-CA"/>
              </w:rPr>
            </w:pPr>
          </w:p>
        </w:tc>
      </w:tr>
      <w:tr w:rsidR="00B82F75" w:rsidRPr="00F52C10" w14:paraId="15585E5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E2207ED" w14:textId="77777777" w:rsidR="00B82F75" w:rsidRPr="00F52C10" w:rsidRDefault="00B82F75" w:rsidP="00E4628E">
            <w:pPr>
              <w:pStyle w:val="Tabletext0"/>
              <w:spacing w:before="34" w:after="34" w:line="276" w:lineRule="auto"/>
              <w:rPr>
                <w:sz w:val="18"/>
                <w:szCs w:val="18"/>
              </w:rPr>
            </w:pPr>
            <w:r w:rsidRPr="00F52C10">
              <w:rPr>
                <w:sz w:val="18"/>
                <w:szCs w:val="18"/>
              </w:rPr>
              <w:t>UGA00000</w:t>
            </w:r>
          </w:p>
        </w:tc>
        <w:tc>
          <w:tcPr>
            <w:tcW w:w="1076" w:type="dxa"/>
            <w:tcBorders>
              <w:top w:val="single" w:sz="4" w:space="0" w:color="auto"/>
              <w:left w:val="single" w:sz="4" w:space="0" w:color="auto"/>
              <w:bottom w:val="single" w:sz="4" w:space="0" w:color="auto"/>
              <w:right w:val="single" w:sz="4" w:space="0" w:color="auto"/>
            </w:tcBorders>
          </w:tcPr>
          <w:p w14:paraId="0A96DE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31,50</w:t>
            </w:r>
          </w:p>
        </w:tc>
        <w:tc>
          <w:tcPr>
            <w:tcW w:w="970" w:type="dxa"/>
            <w:tcBorders>
              <w:top w:val="single" w:sz="4" w:space="0" w:color="auto"/>
              <w:left w:val="single" w:sz="4" w:space="0" w:color="auto"/>
              <w:bottom w:val="single" w:sz="4" w:space="0" w:color="auto"/>
              <w:right w:val="single" w:sz="4" w:space="0" w:color="auto"/>
            </w:tcBorders>
          </w:tcPr>
          <w:p w14:paraId="58CF63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32,20</w:t>
            </w:r>
          </w:p>
        </w:tc>
        <w:tc>
          <w:tcPr>
            <w:tcW w:w="907" w:type="dxa"/>
            <w:tcBorders>
              <w:top w:val="single" w:sz="4" w:space="0" w:color="auto"/>
              <w:left w:val="single" w:sz="4" w:space="0" w:color="auto"/>
              <w:bottom w:val="single" w:sz="4" w:space="0" w:color="auto"/>
              <w:right w:val="single" w:sz="4" w:space="0" w:color="auto"/>
            </w:tcBorders>
          </w:tcPr>
          <w:p w14:paraId="27323D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658A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B8636C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EFB2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4AD31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342BA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−40,3</w:t>
            </w:r>
          </w:p>
        </w:tc>
        <w:tc>
          <w:tcPr>
            <w:tcW w:w="907" w:type="dxa"/>
            <w:tcBorders>
              <w:top w:val="single" w:sz="4" w:space="0" w:color="auto"/>
              <w:left w:val="single" w:sz="4" w:space="0" w:color="auto"/>
              <w:bottom w:val="single" w:sz="4" w:space="0" w:color="auto"/>
              <w:right w:val="single" w:sz="4" w:space="0" w:color="auto"/>
            </w:tcBorders>
          </w:tcPr>
          <w:p w14:paraId="11F594C1" w14:textId="77777777" w:rsidR="00B82F75" w:rsidRPr="00F52C10" w:rsidRDefault="00B82F75" w:rsidP="00E4628E">
            <w:pPr>
              <w:pStyle w:val="Tabletext0"/>
              <w:spacing w:before="34" w:after="34" w:line="276" w:lineRule="auto"/>
              <w:rPr>
                <w:sz w:val="18"/>
                <w:szCs w:val="18"/>
                <w:lang w:val="en-CA"/>
              </w:rPr>
            </w:pPr>
          </w:p>
        </w:tc>
      </w:tr>
      <w:tr w:rsidR="00B82F75" w:rsidRPr="00F52C10" w14:paraId="0646936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A283294" w14:textId="77777777" w:rsidR="00B82F75" w:rsidRPr="00F52C10" w:rsidRDefault="00B82F75" w:rsidP="00E4628E">
            <w:pPr>
              <w:pStyle w:val="Tabletext0"/>
              <w:spacing w:before="34" w:after="34" w:line="276" w:lineRule="auto"/>
              <w:rPr>
                <w:sz w:val="18"/>
                <w:szCs w:val="18"/>
              </w:rPr>
            </w:pPr>
            <w:r w:rsidRPr="00F52C10">
              <w:rPr>
                <w:sz w:val="18"/>
                <w:szCs w:val="18"/>
              </w:rPr>
              <w:t>UKR00001</w:t>
            </w:r>
          </w:p>
        </w:tc>
        <w:tc>
          <w:tcPr>
            <w:tcW w:w="1076" w:type="dxa"/>
            <w:tcBorders>
              <w:top w:val="single" w:sz="4" w:space="0" w:color="auto"/>
              <w:left w:val="single" w:sz="4" w:space="0" w:color="auto"/>
              <w:bottom w:val="single" w:sz="4" w:space="0" w:color="auto"/>
              <w:right w:val="single" w:sz="4" w:space="0" w:color="auto"/>
            </w:tcBorders>
          </w:tcPr>
          <w:p w14:paraId="732945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38,20</w:t>
            </w:r>
          </w:p>
        </w:tc>
        <w:tc>
          <w:tcPr>
            <w:tcW w:w="970" w:type="dxa"/>
            <w:tcBorders>
              <w:top w:val="single" w:sz="4" w:space="0" w:color="auto"/>
              <w:left w:val="single" w:sz="4" w:space="0" w:color="auto"/>
              <w:bottom w:val="single" w:sz="4" w:space="0" w:color="auto"/>
              <w:right w:val="single" w:sz="4" w:space="0" w:color="auto"/>
            </w:tcBorders>
          </w:tcPr>
          <w:p w14:paraId="114C37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31,73</w:t>
            </w:r>
          </w:p>
        </w:tc>
        <w:tc>
          <w:tcPr>
            <w:tcW w:w="907" w:type="dxa"/>
            <w:tcBorders>
              <w:top w:val="single" w:sz="4" w:space="0" w:color="auto"/>
              <w:left w:val="single" w:sz="4" w:space="0" w:color="auto"/>
              <w:bottom w:val="single" w:sz="4" w:space="0" w:color="auto"/>
              <w:right w:val="single" w:sz="4" w:space="0" w:color="auto"/>
            </w:tcBorders>
          </w:tcPr>
          <w:p w14:paraId="33F75A1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48,22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480A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1,98</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B8A1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0FD0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178,15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CC812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w:t>
            </w:r>
            <w:r w:rsidRPr="00F52C10">
              <w:rPr>
                <w:sz w:val="18"/>
                <w:szCs w:val="18"/>
                <w:lang w:val="en-US"/>
              </w:rPr>
              <w:t>15,1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86B7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w:t>
            </w:r>
            <w:r w:rsidRPr="00F52C10">
              <w:rPr>
                <w:sz w:val="18"/>
                <w:szCs w:val="18"/>
                <w:lang w:val="en-US"/>
              </w:rPr>
              <w:t>40,7</w:t>
            </w:r>
          </w:p>
        </w:tc>
        <w:tc>
          <w:tcPr>
            <w:tcW w:w="907" w:type="dxa"/>
            <w:tcBorders>
              <w:top w:val="single" w:sz="4" w:space="0" w:color="auto"/>
              <w:left w:val="single" w:sz="4" w:space="0" w:color="auto"/>
              <w:bottom w:val="single" w:sz="4" w:space="0" w:color="auto"/>
              <w:right w:val="single" w:sz="4" w:space="0" w:color="auto"/>
            </w:tcBorders>
          </w:tcPr>
          <w:p w14:paraId="252E8F92" w14:textId="77777777" w:rsidR="00B82F75" w:rsidRPr="00F52C10" w:rsidRDefault="00B82F75" w:rsidP="00E4628E">
            <w:pPr>
              <w:pStyle w:val="Tabletext0"/>
              <w:spacing w:before="34" w:after="34" w:line="276" w:lineRule="auto"/>
              <w:rPr>
                <w:sz w:val="18"/>
                <w:szCs w:val="18"/>
                <w:lang w:val="en-CA"/>
              </w:rPr>
            </w:pPr>
          </w:p>
        </w:tc>
      </w:tr>
      <w:tr w:rsidR="00B82F75" w:rsidRPr="00F52C10" w14:paraId="4F9F667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C92B010" w14:textId="77777777" w:rsidR="00B82F75" w:rsidRPr="00F52C10" w:rsidRDefault="00B82F75" w:rsidP="00E4628E">
            <w:pPr>
              <w:pStyle w:val="Tabletext0"/>
              <w:spacing w:before="34" w:after="34" w:line="276" w:lineRule="auto"/>
              <w:rPr>
                <w:sz w:val="18"/>
                <w:szCs w:val="18"/>
              </w:rPr>
            </w:pPr>
            <w:r w:rsidRPr="00F52C10">
              <w:rPr>
                <w:sz w:val="18"/>
                <w:szCs w:val="18"/>
              </w:rPr>
              <w:t>URG00000</w:t>
            </w:r>
          </w:p>
        </w:tc>
        <w:tc>
          <w:tcPr>
            <w:tcW w:w="1076" w:type="dxa"/>
            <w:tcBorders>
              <w:top w:val="single" w:sz="4" w:space="0" w:color="auto"/>
              <w:left w:val="single" w:sz="4" w:space="0" w:color="auto"/>
              <w:bottom w:val="single" w:sz="4" w:space="0" w:color="auto"/>
              <w:right w:val="single" w:sz="4" w:space="0" w:color="auto"/>
            </w:tcBorders>
          </w:tcPr>
          <w:p w14:paraId="02792C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−86,10</w:t>
            </w:r>
          </w:p>
        </w:tc>
        <w:tc>
          <w:tcPr>
            <w:tcW w:w="970" w:type="dxa"/>
            <w:tcBorders>
              <w:top w:val="single" w:sz="4" w:space="0" w:color="auto"/>
              <w:left w:val="single" w:sz="4" w:space="0" w:color="auto"/>
              <w:bottom w:val="single" w:sz="4" w:space="0" w:color="auto"/>
              <w:right w:val="single" w:sz="4" w:space="0" w:color="auto"/>
            </w:tcBorders>
          </w:tcPr>
          <w:p w14:paraId="7D9ED16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−56,30</w:t>
            </w:r>
          </w:p>
        </w:tc>
        <w:tc>
          <w:tcPr>
            <w:tcW w:w="907" w:type="dxa"/>
            <w:tcBorders>
              <w:top w:val="single" w:sz="4" w:space="0" w:color="auto"/>
              <w:left w:val="single" w:sz="4" w:space="0" w:color="auto"/>
              <w:bottom w:val="single" w:sz="4" w:space="0" w:color="auto"/>
              <w:right w:val="single" w:sz="4" w:space="0" w:color="auto"/>
            </w:tcBorders>
          </w:tcPr>
          <w:p w14:paraId="50D4D1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F67FF6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3BE34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2FED4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2496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7B7FD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−40,7</w:t>
            </w:r>
          </w:p>
        </w:tc>
        <w:tc>
          <w:tcPr>
            <w:tcW w:w="907" w:type="dxa"/>
            <w:tcBorders>
              <w:top w:val="single" w:sz="4" w:space="0" w:color="auto"/>
              <w:left w:val="single" w:sz="4" w:space="0" w:color="auto"/>
              <w:bottom w:val="single" w:sz="4" w:space="0" w:color="auto"/>
              <w:right w:val="single" w:sz="4" w:space="0" w:color="auto"/>
            </w:tcBorders>
          </w:tcPr>
          <w:p w14:paraId="287FF324" w14:textId="77777777" w:rsidR="00B82F75" w:rsidRPr="00F52C10" w:rsidRDefault="00B82F75" w:rsidP="00E4628E">
            <w:pPr>
              <w:pStyle w:val="Tabletext0"/>
              <w:spacing w:before="34" w:after="34" w:line="276" w:lineRule="auto"/>
              <w:rPr>
                <w:sz w:val="18"/>
                <w:szCs w:val="18"/>
                <w:lang w:val="en-CA"/>
              </w:rPr>
            </w:pPr>
          </w:p>
        </w:tc>
      </w:tr>
      <w:tr w:rsidR="00B82F75" w:rsidRPr="00F52C10" w14:paraId="10B0B42D"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12A105C" w14:textId="77777777" w:rsidR="00B82F75" w:rsidRPr="00F52C10" w:rsidRDefault="00B82F75" w:rsidP="00E4628E">
            <w:pPr>
              <w:pStyle w:val="Tabletext0"/>
              <w:spacing w:before="34" w:after="34" w:line="276" w:lineRule="auto"/>
              <w:rPr>
                <w:sz w:val="18"/>
                <w:szCs w:val="18"/>
              </w:rPr>
            </w:pPr>
            <w:r w:rsidRPr="00F52C10">
              <w:rPr>
                <w:sz w:val="18"/>
                <w:szCs w:val="18"/>
              </w:rPr>
              <w:t>USA00000</w:t>
            </w:r>
          </w:p>
        </w:tc>
        <w:tc>
          <w:tcPr>
            <w:tcW w:w="1076" w:type="dxa"/>
            <w:tcBorders>
              <w:top w:val="single" w:sz="4" w:space="0" w:color="auto"/>
              <w:left w:val="single" w:sz="4" w:space="0" w:color="auto"/>
              <w:bottom w:val="single" w:sz="4" w:space="0" w:color="auto"/>
              <w:right w:val="single" w:sz="4" w:space="0" w:color="auto"/>
            </w:tcBorders>
          </w:tcPr>
          <w:p w14:paraId="35C277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−101,00</w:t>
            </w:r>
          </w:p>
        </w:tc>
        <w:tc>
          <w:tcPr>
            <w:tcW w:w="970" w:type="dxa"/>
            <w:tcBorders>
              <w:top w:val="single" w:sz="4" w:space="0" w:color="auto"/>
              <w:left w:val="single" w:sz="4" w:space="0" w:color="auto"/>
              <w:bottom w:val="single" w:sz="4" w:space="0" w:color="auto"/>
              <w:right w:val="single" w:sz="4" w:space="0" w:color="auto"/>
            </w:tcBorders>
          </w:tcPr>
          <w:p w14:paraId="0067DC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−93,90</w:t>
            </w:r>
          </w:p>
        </w:tc>
        <w:tc>
          <w:tcPr>
            <w:tcW w:w="907" w:type="dxa"/>
            <w:tcBorders>
              <w:top w:val="single" w:sz="4" w:space="0" w:color="auto"/>
              <w:left w:val="single" w:sz="4" w:space="0" w:color="auto"/>
              <w:bottom w:val="single" w:sz="4" w:space="0" w:color="auto"/>
              <w:right w:val="single" w:sz="4" w:space="0" w:color="auto"/>
            </w:tcBorders>
          </w:tcPr>
          <w:p w14:paraId="2B70D9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357BE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41D9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49E22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75AD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−0,9</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7FEF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−38,3</w:t>
            </w:r>
          </w:p>
        </w:tc>
        <w:tc>
          <w:tcPr>
            <w:tcW w:w="907" w:type="dxa"/>
            <w:tcBorders>
              <w:top w:val="single" w:sz="4" w:space="0" w:color="auto"/>
              <w:left w:val="single" w:sz="4" w:space="0" w:color="auto"/>
              <w:bottom w:val="single" w:sz="4" w:space="0" w:color="auto"/>
              <w:right w:val="single" w:sz="4" w:space="0" w:color="auto"/>
            </w:tcBorders>
          </w:tcPr>
          <w:p w14:paraId="1A1AC97E" w14:textId="77777777" w:rsidR="00B82F75" w:rsidRPr="00F52C10" w:rsidRDefault="00B82F75" w:rsidP="00E4628E">
            <w:pPr>
              <w:pStyle w:val="Tabletext0"/>
              <w:spacing w:before="34" w:after="34" w:line="276" w:lineRule="auto"/>
              <w:rPr>
                <w:sz w:val="18"/>
                <w:szCs w:val="18"/>
              </w:rPr>
            </w:pPr>
            <w:r w:rsidRPr="00F52C10">
              <w:rPr>
                <w:sz w:val="18"/>
                <w:szCs w:val="18"/>
              </w:rPr>
              <w:t>*/MB16</w:t>
            </w:r>
          </w:p>
        </w:tc>
      </w:tr>
      <w:tr w:rsidR="00B82F75" w:rsidRPr="00F52C10" w14:paraId="45671DBF"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5FCEE2C" w14:textId="77777777" w:rsidR="00B82F75" w:rsidRPr="00F52C10" w:rsidRDefault="00B82F75" w:rsidP="00E4628E">
            <w:pPr>
              <w:pStyle w:val="Tabletext0"/>
              <w:spacing w:before="34" w:after="34" w:line="276" w:lineRule="auto"/>
              <w:rPr>
                <w:sz w:val="18"/>
                <w:szCs w:val="18"/>
              </w:rPr>
            </w:pPr>
            <w:r w:rsidRPr="00F52C10">
              <w:rPr>
                <w:sz w:val="18"/>
                <w:szCs w:val="18"/>
              </w:rPr>
              <w:t>USAVIPRT</w:t>
            </w:r>
          </w:p>
        </w:tc>
        <w:tc>
          <w:tcPr>
            <w:tcW w:w="1076" w:type="dxa"/>
            <w:tcBorders>
              <w:top w:val="single" w:sz="4" w:space="0" w:color="auto"/>
              <w:left w:val="single" w:sz="4" w:space="0" w:color="auto"/>
              <w:bottom w:val="single" w:sz="4" w:space="0" w:color="auto"/>
              <w:right w:val="single" w:sz="4" w:space="0" w:color="auto"/>
            </w:tcBorders>
          </w:tcPr>
          <w:p w14:paraId="334A07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−101,00</w:t>
            </w:r>
          </w:p>
        </w:tc>
        <w:tc>
          <w:tcPr>
            <w:tcW w:w="970" w:type="dxa"/>
            <w:tcBorders>
              <w:top w:val="single" w:sz="4" w:space="0" w:color="auto"/>
              <w:left w:val="single" w:sz="4" w:space="0" w:color="auto"/>
              <w:bottom w:val="single" w:sz="4" w:space="0" w:color="auto"/>
              <w:right w:val="single" w:sz="4" w:space="0" w:color="auto"/>
            </w:tcBorders>
          </w:tcPr>
          <w:p w14:paraId="3A06A5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−64,50</w:t>
            </w:r>
          </w:p>
        </w:tc>
        <w:tc>
          <w:tcPr>
            <w:tcW w:w="907" w:type="dxa"/>
            <w:tcBorders>
              <w:top w:val="single" w:sz="4" w:space="0" w:color="auto"/>
              <w:left w:val="single" w:sz="4" w:space="0" w:color="auto"/>
              <w:bottom w:val="single" w:sz="4" w:space="0" w:color="auto"/>
              <w:right w:val="single" w:sz="4" w:space="0" w:color="auto"/>
            </w:tcBorders>
          </w:tcPr>
          <w:p w14:paraId="2BF512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D82F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B1CD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B364C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D133C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6086C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−41,4</w:t>
            </w:r>
          </w:p>
        </w:tc>
        <w:tc>
          <w:tcPr>
            <w:tcW w:w="907" w:type="dxa"/>
            <w:tcBorders>
              <w:top w:val="single" w:sz="4" w:space="0" w:color="auto"/>
              <w:left w:val="single" w:sz="4" w:space="0" w:color="auto"/>
              <w:bottom w:val="single" w:sz="4" w:space="0" w:color="auto"/>
              <w:right w:val="single" w:sz="4" w:space="0" w:color="auto"/>
            </w:tcBorders>
          </w:tcPr>
          <w:p w14:paraId="2C2FEB6A" w14:textId="77777777" w:rsidR="00B82F75" w:rsidRPr="00F52C10" w:rsidRDefault="00B82F75" w:rsidP="00E4628E">
            <w:pPr>
              <w:pStyle w:val="Tabletext0"/>
              <w:spacing w:before="34" w:after="34" w:line="276" w:lineRule="auto"/>
              <w:rPr>
                <w:sz w:val="18"/>
                <w:szCs w:val="18"/>
              </w:rPr>
            </w:pPr>
            <w:r w:rsidRPr="00F52C10">
              <w:rPr>
                <w:sz w:val="18"/>
                <w:szCs w:val="18"/>
              </w:rPr>
              <w:t>*/MB16</w:t>
            </w:r>
          </w:p>
        </w:tc>
      </w:tr>
      <w:tr w:rsidR="00B82F75" w:rsidRPr="00F52C10" w14:paraId="5247FC5E"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vAlign w:val="bottom"/>
          </w:tcPr>
          <w:p w14:paraId="1FECF2D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UZB00000</w:t>
            </w:r>
          </w:p>
        </w:tc>
        <w:tc>
          <w:tcPr>
            <w:tcW w:w="1076" w:type="dxa"/>
            <w:tcBorders>
              <w:top w:val="single" w:sz="4" w:space="0" w:color="auto"/>
              <w:left w:val="single" w:sz="4" w:space="0" w:color="auto"/>
              <w:bottom w:val="single" w:sz="4" w:space="0" w:color="auto"/>
              <w:right w:val="single" w:sz="4" w:space="0" w:color="auto"/>
            </w:tcBorders>
            <w:vAlign w:val="bottom"/>
          </w:tcPr>
          <w:p w14:paraId="602DF741"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110,50</w:t>
            </w:r>
          </w:p>
        </w:tc>
        <w:tc>
          <w:tcPr>
            <w:tcW w:w="970" w:type="dxa"/>
            <w:tcBorders>
              <w:top w:val="single" w:sz="4" w:space="0" w:color="auto"/>
              <w:left w:val="single" w:sz="4" w:space="0" w:color="auto"/>
              <w:bottom w:val="single" w:sz="4" w:space="0" w:color="auto"/>
              <w:right w:val="single" w:sz="4" w:space="0" w:color="auto"/>
            </w:tcBorders>
            <w:vAlign w:val="bottom"/>
          </w:tcPr>
          <w:p w14:paraId="5E7352D3"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65,45</w:t>
            </w:r>
          </w:p>
        </w:tc>
        <w:tc>
          <w:tcPr>
            <w:tcW w:w="907" w:type="dxa"/>
            <w:tcBorders>
              <w:top w:val="single" w:sz="4" w:space="0" w:color="auto"/>
              <w:left w:val="single" w:sz="4" w:space="0" w:color="auto"/>
              <w:bottom w:val="single" w:sz="4" w:space="0" w:color="auto"/>
              <w:right w:val="single" w:sz="4" w:space="0" w:color="auto"/>
            </w:tcBorders>
            <w:vAlign w:val="bottom"/>
          </w:tcPr>
          <w:p w14:paraId="093D5D2B"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41,09</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122BFF69"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3CF208E1"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2C4B803F"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6783C8ED"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tcPr>
          <w:p w14:paraId="45C01659"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−40,3</w:t>
            </w:r>
          </w:p>
        </w:tc>
        <w:tc>
          <w:tcPr>
            <w:tcW w:w="907" w:type="dxa"/>
            <w:tcBorders>
              <w:top w:val="single" w:sz="4" w:space="0" w:color="auto"/>
              <w:left w:val="single" w:sz="4" w:space="0" w:color="auto"/>
              <w:bottom w:val="single" w:sz="4" w:space="0" w:color="auto"/>
              <w:right w:val="single" w:sz="4" w:space="0" w:color="auto"/>
            </w:tcBorders>
            <w:vAlign w:val="bottom"/>
          </w:tcPr>
          <w:p w14:paraId="75261D8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0A78C6D5"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EA975B2" w14:textId="77777777" w:rsidR="00B82F75" w:rsidRPr="00F52C10" w:rsidRDefault="00B82F75" w:rsidP="00E4628E">
            <w:pPr>
              <w:pStyle w:val="Tabletext0"/>
              <w:spacing w:before="34" w:after="34" w:line="276" w:lineRule="auto"/>
              <w:rPr>
                <w:sz w:val="18"/>
                <w:szCs w:val="18"/>
              </w:rPr>
            </w:pPr>
            <w:r w:rsidRPr="00F52C10">
              <w:rPr>
                <w:sz w:val="18"/>
                <w:szCs w:val="18"/>
              </w:rPr>
              <w:t>VCT00000</w:t>
            </w:r>
          </w:p>
        </w:tc>
        <w:tc>
          <w:tcPr>
            <w:tcW w:w="1076" w:type="dxa"/>
            <w:tcBorders>
              <w:top w:val="single" w:sz="4" w:space="0" w:color="auto"/>
              <w:left w:val="single" w:sz="4" w:space="0" w:color="auto"/>
              <w:bottom w:val="single" w:sz="4" w:space="0" w:color="auto"/>
              <w:right w:val="single" w:sz="4" w:space="0" w:color="auto"/>
            </w:tcBorders>
          </w:tcPr>
          <w:p w14:paraId="3614F5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−93,10</w:t>
            </w:r>
          </w:p>
        </w:tc>
        <w:tc>
          <w:tcPr>
            <w:tcW w:w="970" w:type="dxa"/>
            <w:tcBorders>
              <w:top w:val="single" w:sz="4" w:space="0" w:color="auto"/>
              <w:left w:val="single" w:sz="4" w:space="0" w:color="auto"/>
              <w:bottom w:val="single" w:sz="4" w:space="0" w:color="auto"/>
              <w:right w:val="single" w:sz="4" w:space="0" w:color="auto"/>
            </w:tcBorders>
          </w:tcPr>
          <w:p w14:paraId="5D18F0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−61,10</w:t>
            </w:r>
          </w:p>
        </w:tc>
        <w:tc>
          <w:tcPr>
            <w:tcW w:w="907" w:type="dxa"/>
            <w:tcBorders>
              <w:top w:val="single" w:sz="4" w:space="0" w:color="auto"/>
              <w:left w:val="single" w:sz="4" w:space="0" w:color="auto"/>
              <w:bottom w:val="single" w:sz="4" w:space="0" w:color="auto"/>
              <w:right w:val="single" w:sz="4" w:space="0" w:color="auto"/>
            </w:tcBorders>
          </w:tcPr>
          <w:p w14:paraId="20D6FE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2EEA8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B996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2BFA7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D7B6E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345A3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−41,5</w:t>
            </w:r>
          </w:p>
        </w:tc>
        <w:tc>
          <w:tcPr>
            <w:tcW w:w="907" w:type="dxa"/>
            <w:tcBorders>
              <w:top w:val="single" w:sz="4" w:space="0" w:color="auto"/>
              <w:left w:val="single" w:sz="4" w:space="0" w:color="auto"/>
              <w:bottom w:val="single" w:sz="4" w:space="0" w:color="auto"/>
              <w:right w:val="single" w:sz="4" w:space="0" w:color="auto"/>
            </w:tcBorders>
          </w:tcPr>
          <w:p w14:paraId="01969FB0" w14:textId="77777777" w:rsidR="00B82F75" w:rsidRPr="00F52C10" w:rsidRDefault="00B82F75" w:rsidP="00E4628E">
            <w:pPr>
              <w:pStyle w:val="Tabletext0"/>
              <w:spacing w:before="34" w:after="34" w:line="276" w:lineRule="auto"/>
              <w:rPr>
                <w:sz w:val="18"/>
                <w:szCs w:val="18"/>
                <w:lang w:val="en-CA"/>
              </w:rPr>
            </w:pPr>
          </w:p>
        </w:tc>
      </w:tr>
      <w:tr w:rsidR="00B82F75" w:rsidRPr="00F52C10" w14:paraId="61B5EDC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56708D14" w14:textId="77777777" w:rsidR="00B82F75" w:rsidRPr="00F52C10" w:rsidRDefault="00B82F75" w:rsidP="00E4628E">
            <w:pPr>
              <w:pStyle w:val="Tabletext0"/>
              <w:spacing w:before="34" w:after="34" w:line="276" w:lineRule="auto"/>
              <w:rPr>
                <w:sz w:val="18"/>
                <w:szCs w:val="18"/>
              </w:rPr>
            </w:pPr>
            <w:r w:rsidRPr="00F52C10">
              <w:rPr>
                <w:sz w:val="18"/>
                <w:szCs w:val="18"/>
              </w:rPr>
              <w:t>VEN00001</w:t>
            </w:r>
          </w:p>
        </w:tc>
        <w:tc>
          <w:tcPr>
            <w:tcW w:w="1076" w:type="dxa"/>
            <w:tcBorders>
              <w:top w:val="single" w:sz="4" w:space="0" w:color="auto"/>
              <w:left w:val="single" w:sz="4" w:space="0" w:color="auto"/>
              <w:bottom w:val="single" w:sz="4" w:space="0" w:color="auto"/>
              <w:right w:val="single" w:sz="4" w:space="0" w:color="auto"/>
            </w:tcBorders>
          </w:tcPr>
          <w:p w14:paraId="36E12A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−82,70</w:t>
            </w:r>
          </w:p>
        </w:tc>
        <w:tc>
          <w:tcPr>
            <w:tcW w:w="970" w:type="dxa"/>
            <w:tcBorders>
              <w:top w:val="single" w:sz="4" w:space="0" w:color="auto"/>
              <w:left w:val="single" w:sz="4" w:space="0" w:color="auto"/>
              <w:bottom w:val="single" w:sz="4" w:space="0" w:color="auto"/>
              <w:right w:val="single" w:sz="4" w:space="0" w:color="auto"/>
            </w:tcBorders>
          </w:tcPr>
          <w:p w14:paraId="77224D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−66,40</w:t>
            </w:r>
          </w:p>
        </w:tc>
        <w:tc>
          <w:tcPr>
            <w:tcW w:w="907" w:type="dxa"/>
            <w:tcBorders>
              <w:top w:val="single" w:sz="4" w:space="0" w:color="auto"/>
              <w:left w:val="single" w:sz="4" w:space="0" w:color="auto"/>
              <w:bottom w:val="single" w:sz="4" w:space="0" w:color="auto"/>
              <w:right w:val="single" w:sz="4" w:space="0" w:color="auto"/>
            </w:tcBorders>
          </w:tcPr>
          <w:p w14:paraId="7A0AF2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0B3C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72623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D32CD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142,00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096A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494A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w:t>
            </w:r>
          </w:p>
        </w:tc>
        <w:tc>
          <w:tcPr>
            <w:tcW w:w="907" w:type="dxa"/>
            <w:tcBorders>
              <w:top w:val="single" w:sz="4" w:space="0" w:color="auto"/>
              <w:left w:val="single" w:sz="4" w:space="0" w:color="auto"/>
              <w:bottom w:val="single" w:sz="4" w:space="0" w:color="auto"/>
              <w:right w:val="single" w:sz="4" w:space="0" w:color="auto"/>
            </w:tcBorders>
          </w:tcPr>
          <w:p w14:paraId="43C117AC" w14:textId="77777777" w:rsidR="00B82F75" w:rsidRPr="00F52C10" w:rsidRDefault="00B82F75" w:rsidP="00E4628E">
            <w:pPr>
              <w:pStyle w:val="Tabletext0"/>
              <w:spacing w:before="34" w:after="34" w:line="276" w:lineRule="auto"/>
              <w:rPr>
                <w:sz w:val="18"/>
                <w:szCs w:val="18"/>
              </w:rPr>
            </w:pPr>
            <w:r w:rsidRPr="00F52C10">
              <w:rPr>
                <w:sz w:val="18"/>
                <w:szCs w:val="18"/>
              </w:rPr>
              <w:t>*/MB17</w:t>
            </w:r>
          </w:p>
        </w:tc>
      </w:tr>
      <w:tr w:rsidR="00B82F75" w:rsidRPr="00F52C10" w14:paraId="69C860E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1B6F283C" w14:textId="77777777" w:rsidR="00B82F75" w:rsidRPr="00F52C10" w:rsidRDefault="00B82F75" w:rsidP="00E4628E">
            <w:pPr>
              <w:pStyle w:val="Tabletext0"/>
              <w:spacing w:before="34" w:after="34" w:line="276" w:lineRule="auto"/>
              <w:rPr>
                <w:sz w:val="18"/>
                <w:szCs w:val="18"/>
              </w:rPr>
            </w:pPr>
            <w:r w:rsidRPr="00F52C10">
              <w:rPr>
                <w:sz w:val="18"/>
                <w:szCs w:val="18"/>
              </w:rPr>
              <w:t>VEN00002</w:t>
            </w:r>
          </w:p>
        </w:tc>
        <w:tc>
          <w:tcPr>
            <w:tcW w:w="1076" w:type="dxa"/>
            <w:tcBorders>
              <w:top w:val="single" w:sz="4" w:space="0" w:color="auto"/>
              <w:left w:val="single" w:sz="4" w:space="0" w:color="auto"/>
              <w:bottom w:val="single" w:sz="4" w:space="0" w:color="auto"/>
              <w:right w:val="single" w:sz="4" w:space="0" w:color="auto"/>
            </w:tcBorders>
          </w:tcPr>
          <w:p w14:paraId="126749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−82,70</w:t>
            </w:r>
          </w:p>
        </w:tc>
        <w:tc>
          <w:tcPr>
            <w:tcW w:w="970" w:type="dxa"/>
            <w:tcBorders>
              <w:top w:val="single" w:sz="4" w:space="0" w:color="auto"/>
              <w:left w:val="single" w:sz="4" w:space="0" w:color="auto"/>
              <w:bottom w:val="single" w:sz="4" w:space="0" w:color="auto"/>
              <w:right w:val="single" w:sz="4" w:space="0" w:color="auto"/>
            </w:tcBorders>
          </w:tcPr>
          <w:p w14:paraId="1F8847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−63,60</w:t>
            </w:r>
          </w:p>
        </w:tc>
        <w:tc>
          <w:tcPr>
            <w:tcW w:w="907" w:type="dxa"/>
            <w:tcBorders>
              <w:top w:val="single" w:sz="4" w:space="0" w:color="auto"/>
              <w:left w:val="single" w:sz="4" w:space="0" w:color="auto"/>
              <w:bottom w:val="single" w:sz="4" w:space="0" w:color="auto"/>
              <w:right w:val="single" w:sz="4" w:space="0" w:color="auto"/>
            </w:tcBorders>
          </w:tcPr>
          <w:p w14:paraId="4A2C9CA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15,70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C8346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3F27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8D725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B862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C9CC22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−41,7</w:t>
            </w:r>
          </w:p>
        </w:tc>
        <w:tc>
          <w:tcPr>
            <w:tcW w:w="907" w:type="dxa"/>
            <w:tcBorders>
              <w:top w:val="single" w:sz="4" w:space="0" w:color="auto"/>
              <w:left w:val="single" w:sz="4" w:space="0" w:color="auto"/>
              <w:bottom w:val="single" w:sz="4" w:space="0" w:color="auto"/>
              <w:right w:val="single" w:sz="4" w:space="0" w:color="auto"/>
            </w:tcBorders>
          </w:tcPr>
          <w:p w14:paraId="04D13AC6" w14:textId="77777777" w:rsidR="00B82F75" w:rsidRPr="00F52C10" w:rsidRDefault="00B82F75" w:rsidP="00E4628E">
            <w:pPr>
              <w:pStyle w:val="Tabletext0"/>
              <w:spacing w:before="34" w:after="34" w:line="276" w:lineRule="auto"/>
              <w:rPr>
                <w:sz w:val="18"/>
                <w:szCs w:val="18"/>
              </w:rPr>
            </w:pPr>
            <w:r w:rsidRPr="00F52C10">
              <w:rPr>
                <w:sz w:val="18"/>
                <w:szCs w:val="18"/>
              </w:rPr>
              <w:t>*/MB17</w:t>
            </w:r>
          </w:p>
        </w:tc>
      </w:tr>
      <w:tr w:rsidR="00B82F75" w:rsidRPr="00F52C10" w14:paraId="7150C9DC"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73B10E8" w14:textId="77777777" w:rsidR="00B82F75" w:rsidRPr="00F52C10" w:rsidRDefault="00B82F75" w:rsidP="00E4628E">
            <w:pPr>
              <w:pStyle w:val="Tabletext0"/>
              <w:spacing w:before="34" w:after="34" w:line="276" w:lineRule="auto"/>
              <w:rPr>
                <w:sz w:val="18"/>
                <w:szCs w:val="18"/>
              </w:rPr>
            </w:pPr>
            <w:r w:rsidRPr="00F52C10">
              <w:rPr>
                <w:sz w:val="18"/>
                <w:szCs w:val="18"/>
              </w:rPr>
              <w:t>VTN00000</w:t>
            </w:r>
          </w:p>
        </w:tc>
        <w:tc>
          <w:tcPr>
            <w:tcW w:w="1076" w:type="dxa"/>
            <w:tcBorders>
              <w:top w:val="single" w:sz="4" w:space="0" w:color="auto"/>
              <w:left w:val="single" w:sz="4" w:space="0" w:color="auto"/>
              <w:bottom w:val="single" w:sz="4" w:space="0" w:color="auto"/>
              <w:right w:val="single" w:sz="4" w:space="0" w:color="auto"/>
            </w:tcBorders>
          </w:tcPr>
          <w:p w14:paraId="40045F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107,00</w:t>
            </w:r>
          </w:p>
        </w:tc>
        <w:tc>
          <w:tcPr>
            <w:tcW w:w="970" w:type="dxa"/>
            <w:tcBorders>
              <w:top w:val="single" w:sz="4" w:space="0" w:color="auto"/>
              <w:left w:val="single" w:sz="4" w:space="0" w:color="auto"/>
              <w:bottom w:val="single" w:sz="4" w:space="0" w:color="auto"/>
              <w:right w:val="single" w:sz="4" w:space="0" w:color="auto"/>
            </w:tcBorders>
          </w:tcPr>
          <w:p w14:paraId="02D3C6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16,00</w:t>
            </w:r>
          </w:p>
        </w:tc>
        <w:tc>
          <w:tcPr>
            <w:tcW w:w="907" w:type="dxa"/>
            <w:tcBorders>
              <w:top w:val="single" w:sz="4" w:space="0" w:color="auto"/>
              <w:left w:val="single" w:sz="4" w:space="0" w:color="auto"/>
              <w:bottom w:val="single" w:sz="4" w:space="0" w:color="auto"/>
              <w:right w:val="single" w:sz="4" w:space="0" w:color="auto"/>
            </w:tcBorders>
          </w:tcPr>
          <w:p w14:paraId="1160A76E"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03D2DF" w14:textId="77777777" w:rsidR="00B82F75" w:rsidRPr="00F52C10" w:rsidRDefault="00B82F75" w:rsidP="00E4628E">
            <w:pPr>
              <w:pStyle w:val="Tabletext0"/>
              <w:spacing w:before="34" w:after="34" w:line="276" w:lineRule="auto"/>
              <w:jc w:val="right"/>
              <w:rPr>
                <w:sz w:val="18"/>
                <w:szCs w:val="18"/>
                <w:lang w:val="en-CA"/>
              </w:rPr>
            </w:pP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BD906C" w14:textId="77777777" w:rsidR="00B82F75" w:rsidRPr="00F52C10" w:rsidRDefault="00B82F75" w:rsidP="00E4628E">
            <w:pPr>
              <w:pStyle w:val="Tabletext0"/>
              <w:spacing w:before="34" w:after="34" w:line="276" w:lineRule="auto"/>
              <w:jc w:val="right"/>
              <w:rPr>
                <w:sz w:val="18"/>
                <w:szCs w:val="18"/>
                <w:lang w:val="en-CA"/>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5A7027" w14:textId="77777777" w:rsidR="00B82F75" w:rsidRPr="00F52C10" w:rsidRDefault="00B82F75" w:rsidP="00E4628E">
            <w:pPr>
              <w:pStyle w:val="Tabletext0"/>
              <w:spacing w:before="34" w:after="34" w:line="276" w:lineRule="auto"/>
              <w:jc w:val="right"/>
              <w:rPr>
                <w:sz w:val="18"/>
                <w:szCs w:val="18"/>
                <w:lang w:val="en-CA"/>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88D57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16BEA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−35,8</w:t>
            </w:r>
          </w:p>
        </w:tc>
        <w:tc>
          <w:tcPr>
            <w:tcW w:w="907" w:type="dxa"/>
            <w:tcBorders>
              <w:top w:val="single" w:sz="4" w:space="0" w:color="auto"/>
              <w:left w:val="single" w:sz="4" w:space="0" w:color="auto"/>
              <w:bottom w:val="single" w:sz="4" w:space="0" w:color="auto"/>
              <w:right w:val="single" w:sz="4" w:space="0" w:color="auto"/>
            </w:tcBorders>
          </w:tcPr>
          <w:p w14:paraId="74014F6C" w14:textId="77777777" w:rsidR="00B82F75" w:rsidRPr="00F52C10" w:rsidRDefault="00B82F75" w:rsidP="00E4628E">
            <w:pPr>
              <w:pStyle w:val="Tabletext0"/>
              <w:spacing w:before="34" w:after="34" w:line="276" w:lineRule="auto"/>
              <w:rPr>
                <w:sz w:val="18"/>
                <w:szCs w:val="18"/>
              </w:rPr>
            </w:pPr>
            <w:r w:rsidRPr="00F52C10">
              <w:rPr>
                <w:sz w:val="18"/>
                <w:szCs w:val="18"/>
              </w:rPr>
              <w:t>3</w:t>
            </w:r>
          </w:p>
        </w:tc>
      </w:tr>
      <w:tr w:rsidR="00B82F75" w:rsidRPr="00F52C10" w14:paraId="3A787370"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35CDEDA" w14:textId="77777777" w:rsidR="00B82F75" w:rsidRPr="00F52C10" w:rsidRDefault="00B82F75" w:rsidP="00E4628E">
            <w:pPr>
              <w:pStyle w:val="Tabletext0"/>
              <w:spacing w:before="34" w:after="34" w:line="276" w:lineRule="auto"/>
              <w:rPr>
                <w:sz w:val="18"/>
                <w:szCs w:val="18"/>
              </w:rPr>
            </w:pPr>
            <w:r w:rsidRPr="00F52C10">
              <w:rPr>
                <w:sz w:val="18"/>
                <w:szCs w:val="18"/>
              </w:rPr>
              <w:t>VUT00000</w:t>
            </w:r>
          </w:p>
        </w:tc>
        <w:tc>
          <w:tcPr>
            <w:tcW w:w="1076" w:type="dxa"/>
            <w:tcBorders>
              <w:top w:val="single" w:sz="4" w:space="0" w:color="auto"/>
              <w:left w:val="single" w:sz="4" w:space="0" w:color="auto"/>
              <w:bottom w:val="single" w:sz="4" w:space="0" w:color="auto"/>
              <w:right w:val="single" w:sz="4" w:space="0" w:color="auto"/>
            </w:tcBorders>
          </w:tcPr>
          <w:p w14:paraId="5CDE3A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150,70</w:t>
            </w:r>
          </w:p>
        </w:tc>
        <w:tc>
          <w:tcPr>
            <w:tcW w:w="970" w:type="dxa"/>
            <w:tcBorders>
              <w:top w:val="single" w:sz="4" w:space="0" w:color="auto"/>
              <w:left w:val="single" w:sz="4" w:space="0" w:color="auto"/>
              <w:bottom w:val="single" w:sz="4" w:space="0" w:color="auto"/>
              <w:right w:val="single" w:sz="4" w:space="0" w:color="auto"/>
            </w:tcBorders>
          </w:tcPr>
          <w:p w14:paraId="547BAF0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168,40</w:t>
            </w:r>
          </w:p>
        </w:tc>
        <w:tc>
          <w:tcPr>
            <w:tcW w:w="907" w:type="dxa"/>
            <w:tcBorders>
              <w:top w:val="single" w:sz="4" w:space="0" w:color="auto"/>
              <w:left w:val="single" w:sz="4" w:space="0" w:color="auto"/>
              <w:bottom w:val="single" w:sz="4" w:space="0" w:color="auto"/>
              <w:right w:val="single" w:sz="4" w:space="0" w:color="auto"/>
            </w:tcBorders>
          </w:tcPr>
          <w:p w14:paraId="27F705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A8F44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5550C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AD8C4E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905AC6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9B3BBE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−40,3</w:t>
            </w:r>
          </w:p>
        </w:tc>
        <w:tc>
          <w:tcPr>
            <w:tcW w:w="907" w:type="dxa"/>
            <w:tcBorders>
              <w:top w:val="single" w:sz="4" w:space="0" w:color="auto"/>
              <w:left w:val="single" w:sz="4" w:space="0" w:color="auto"/>
              <w:bottom w:val="single" w:sz="4" w:space="0" w:color="auto"/>
              <w:right w:val="single" w:sz="4" w:space="0" w:color="auto"/>
            </w:tcBorders>
          </w:tcPr>
          <w:p w14:paraId="7F3BF6D0" w14:textId="77777777" w:rsidR="00B82F75" w:rsidRPr="00F52C10" w:rsidRDefault="00B82F75" w:rsidP="00E4628E">
            <w:pPr>
              <w:pStyle w:val="Tabletext0"/>
              <w:spacing w:before="34" w:after="34" w:line="276" w:lineRule="auto"/>
              <w:rPr>
                <w:sz w:val="18"/>
                <w:szCs w:val="18"/>
                <w:lang w:val="en-CA"/>
              </w:rPr>
            </w:pPr>
          </w:p>
        </w:tc>
      </w:tr>
      <w:tr w:rsidR="00B82F75" w:rsidRPr="00F52C10" w14:paraId="1238BD39"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39F15C7D" w14:textId="77777777" w:rsidR="00B82F75" w:rsidRPr="00F52C10" w:rsidRDefault="00B82F75" w:rsidP="00E4628E">
            <w:pPr>
              <w:pStyle w:val="Tabletext0"/>
              <w:spacing w:before="34" w:after="34" w:line="276" w:lineRule="auto"/>
              <w:rPr>
                <w:sz w:val="18"/>
                <w:szCs w:val="18"/>
              </w:rPr>
            </w:pPr>
            <w:r w:rsidRPr="00F52C10">
              <w:rPr>
                <w:sz w:val="18"/>
                <w:szCs w:val="18"/>
              </w:rPr>
              <w:t>WAK00000</w:t>
            </w:r>
          </w:p>
        </w:tc>
        <w:tc>
          <w:tcPr>
            <w:tcW w:w="1076" w:type="dxa"/>
            <w:tcBorders>
              <w:top w:val="single" w:sz="4" w:space="0" w:color="auto"/>
              <w:left w:val="single" w:sz="4" w:space="0" w:color="auto"/>
              <w:bottom w:val="single" w:sz="4" w:space="0" w:color="auto"/>
              <w:right w:val="single" w:sz="4" w:space="0" w:color="auto"/>
            </w:tcBorders>
          </w:tcPr>
          <w:p w14:paraId="7B7608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7A2619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166,50</w:t>
            </w:r>
          </w:p>
        </w:tc>
        <w:tc>
          <w:tcPr>
            <w:tcW w:w="907" w:type="dxa"/>
            <w:tcBorders>
              <w:top w:val="single" w:sz="4" w:space="0" w:color="auto"/>
              <w:left w:val="single" w:sz="4" w:space="0" w:color="auto"/>
              <w:bottom w:val="single" w:sz="4" w:space="0" w:color="auto"/>
              <w:right w:val="single" w:sz="4" w:space="0" w:color="auto"/>
            </w:tcBorders>
          </w:tcPr>
          <w:p w14:paraId="22BC40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AF144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E39B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ABF25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141D7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8B9F3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−41,9</w:t>
            </w:r>
          </w:p>
        </w:tc>
        <w:tc>
          <w:tcPr>
            <w:tcW w:w="907" w:type="dxa"/>
            <w:tcBorders>
              <w:top w:val="single" w:sz="4" w:space="0" w:color="auto"/>
              <w:left w:val="single" w:sz="4" w:space="0" w:color="auto"/>
              <w:bottom w:val="single" w:sz="4" w:space="0" w:color="auto"/>
              <w:right w:val="single" w:sz="4" w:space="0" w:color="auto"/>
            </w:tcBorders>
          </w:tcPr>
          <w:p w14:paraId="70CA0BEF"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2DC17EB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5BFEEAD" w14:textId="77777777" w:rsidR="00B82F75" w:rsidRPr="00F52C10" w:rsidRDefault="00B82F75" w:rsidP="00E4628E">
            <w:pPr>
              <w:pStyle w:val="Tabletext0"/>
              <w:spacing w:before="34" w:after="34" w:line="276" w:lineRule="auto"/>
              <w:rPr>
                <w:sz w:val="18"/>
                <w:szCs w:val="18"/>
              </w:rPr>
            </w:pPr>
            <w:r w:rsidRPr="00F52C10">
              <w:rPr>
                <w:sz w:val="18"/>
                <w:szCs w:val="18"/>
              </w:rPr>
              <w:t>WAL00000</w:t>
            </w:r>
          </w:p>
        </w:tc>
        <w:tc>
          <w:tcPr>
            <w:tcW w:w="1076" w:type="dxa"/>
            <w:tcBorders>
              <w:top w:val="single" w:sz="4" w:space="0" w:color="auto"/>
              <w:left w:val="single" w:sz="4" w:space="0" w:color="auto"/>
              <w:bottom w:val="single" w:sz="4" w:space="0" w:color="auto"/>
              <w:right w:val="single" w:sz="4" w:space="0" w:color="auto"/>
            </w:tcBorders>
          </w:tcPr>
          <w:p w14:paraId="4F343A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70" w:type="dxa"/>
            <w:tcBorders>
              <w:top w:val="single" w:sz="4" w:space="0" w:color="auto"/>
              <w:left w:val="single" w:sz="4" w:space="0" w:color="auto"/>
              <w:bottom w:val="single" w:sz="4" w:space="0" w:color="auto"/>
              <w:right w:val="single" w:sz="4" w:space="0" w:color="auto"/>
            </w:tcBorders>
          </w:tcPr>
          <w:p w14:paraId="21C120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−177,10</w:t>
            </w:r>
          </w:p>
        </w:tc>
        <w:tc>
          <w:tcPr>
            <w:tcW w:w="907" w:type="dxa"/>
            <w:tcBorders>
              <w:top w:val="single" w:sz="4" w:space="0" w:color="auto"/>
              <w:left w:val="single" w:sz="4" w:space="0" w:color="auto"/>
              <w:bottom w:val="single" w:sz="4" w:space="0" w:color="auto"/>
              <w:right w:val="single" w:sz="4" w:space="0" w:color="auto"/>
            </w:tcBorders>
          </w:tcPr>
          <w:p w14:paraId="0915CB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43815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6AFA2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ECDB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A531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B6B94C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−39,8</w:t>
            </w:r>
          </w:p>
        </w:tc>
        <w:tc>
          <w:tcPr>
            <w:tcW w:w="907" w:type="dxa"/>
            <w:tcBorders>
              <w:top w:val="single" w:sz="4" w:space="0" w:color="auto"/>
              <w:left w:val="single" w:sz="4" w:space="0" w:color="auto"/>
              <w:bottom w:val="single" w:sz="4" w:space="0" w:color="auto"/>
              <w:right w:val="single" w:sz="4" w:space="0" w:color="auto"/>
            </w:tcBorders>
          </w:tcPr>
          <w:p w14:paraId="5936FE2A" w14:textId="77777777" w:rsidR="00B82F75" w:rsidRPr="00F52C10" w:rsidRDefault="00B82F75" w:rsidP="00E4628E">
            <w:pPr>
              <w:pStyle w:val="Tabletext0"/>
              <w:spacing w:before="34" w:after="34" w:line="276" w:lineRule="auto"/>
              <w:rPr>
                <w:sz w:val="18"/>
                <w:szCs w:val="18"/>
              </w:rPr>
            </w:pPr>
            <w:r w:rsidRPr="00F52C10">
              <w:rPr>
                <w:sz w:val="18"/>
                <w:szCs w:val="18"/>
              </w:rPr>
              <w:t>*/MB1</w:t>
            </w:r>
          </w:p>
        </w:tc>
      </w:tr>
      <w:tr w:rsidR="00B82F75" w:rsidRPr="00F52C10" w14:paraId="713237E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73278DDE" w14:textId="77777777" w:rsidR="00B82F75" w:rsidRPr="00F52C10" w:rsidRDefault="00B82F75" w:rsidP="00E4628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before="34" w:after="34" w:line="276" w:lineRule="auto"/>
              <w:rPr>
                <w:sz w:val="18"/>
                <w:szCs w:val="18"/>
              </w:rPr>
            </w:pPr>
            <w:r w:rsidRPr="00F52C10">
              <w:rPr>
                <w:sz w:val="18"/>
                <w:szCs w:val="18"/>
              </w:rPr>
              <w:t>XAN00000</w:t>
            </w:r>
          </w:p>
        </w:tc>
        <w:tc>
          <w:tcPr>
            <w:tcW w:w="1076" w:type="dxa"/>
            <w:tcBorders>
              <w:top w:val="single" w:sz="4" w:space="0" w:color="auto"/>
              <w:left w:val="single" w:sz="4" w:space="0" w:color="auto"/>
              <w:bottom w:val="single" w:sz="4" w:space="0" w:color="auto"/>
              <w:right w:val="single" w:sz="4" w:space="0" w:color="auto"/>
            </w:tcBorders>
          </w:tcPr>
          <w:p w14:paraId="4F7A77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w:t>
            </w:r>
          </w:p>
        </w:tc>
        <w:tc>
          <w:tcPr>
            <w:tcW w:w="970" w:type="dxa"/>
            <w:tcBorders>
              <w:top w:val="single" w:sz="4" w:space="0" w:color="auto"/>
              <w:left w:val="single" w:sz="4" w:space="0" w:color="auto"/>
              <w:bottom w:val="single" w:sz="4" w:space="0" w:color="auto"/>
              <w:right w:val="single" w:sz="4" w:space="0" w:color="auto"/>
            </w:tcBorders>
          </w:tcPr>
          <w:p w14:paraId="2854F04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−65,60</w:t>
            </w:r>
          </w:p>
        </w:tc>
        <w:tc>
          <w:tcPr>
            <w:tcW w:w="907" w:type="dxa"/>
            <w:tcBorders>
              <w:top w:val="single" w:sz="4" w:space="0" w:color="auto"/>
              <w:left w:val="single" w:sz="4" w:space="0" w:color="auto"/>
              <w:bottom w:val="single" w:sz="4" w:space="0" w:color="auto"/>
              <w:right w:val="single" w:sz="4" w:space="0" w:color="auto"/>
            </w:tcBorders>
          </w:tcPr>
          <w:p w14:paraId="5D9317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EFF5A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40C65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067E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136A9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9017C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w:t>
            </w:r>
          </w:p>
        </w:tc>
        <w:tc>
          <w:tcPr>
            <w:tcW w:w="907" w:type="dxa"/>
            <w:tcBorders>
              <w:top w:val="single" w:sz="4" w:space="0" w:color="auto"/>
              <w:left w:val="single" w:sz="4" w:space="0" w:color="auto"/>
              <w:bottom w:val="single" w:sz="4" w:space="0" w:color="auto"/>
              <w:right w:val="single" w:sz="4" w:space="0" w:color="auto"/>
            </w:tcBorders>
          </w:tcPr>
          <w:p w14:paraId="1915B7A0" w14:textId="77777777" w:rsidR="00B82F75" w:rsidRPr="00F52C10" w:rsidRDefault="00B82F75" w:rsidP="00E4628E">
            <w:pPr>
              <w:pStyle w:val="Tabletext0"/>
              <w:spacing w:before="34" w:after="34" w:line="276" w:lineRule="auto"/>
              <w:rPr>
                <w:sz w:val="18"/>
                <w:szCs w:val="18"/>
              </w:rPr>
            </w:pPr>
            <w:r w:rsidRPr="00F52C10">
              <w:rPr>
                <w:sz w:val="18"/>
                <w:szCs w:val="18"/>
              </w:rPr>
              <w:t>*/MB5</w:t>
            </w:r>
          </w:p>
        </w:tc>
      </w:tr>
      <w:tr w:rsidR="00B82F75" w:rsidRPr="00F52C10" w14:paraId="55F5A92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E96D33C" w14:textId="77777777" w:rsidR="00B82F75" w:rsidRPr="00F52C10" w:rsidRDefault="00B82F75" w:rsidP="00E4628E">
            <w:pPr>
              <w:pStyle w:val="Tabletext0"/>
              <w:spacing w:before="34" w:after="34" w:line="276" w:lineRule="auto"/>
              <w:rPr>
                <w:sz w:val="18"/>
                <w:szCs w:val="18"/>
              </w:rPr>
            </w:pPr>
            <w:r w:rsidRPr="00F52C10">
              <w:rPr>
                <w:sz w:val="18"/>
                <w:szCs w:val="18"/>
              </w:rPr>
              <w:t>XCQ00000</w:t>
            </w:r>
          </w:p>
        </w:tc>
        <w:tc>
          <w:tcPr>
            <w:tcW w:w="1076" w:type="dxa"/>
            <w:tcBorders>
              <w:top w:val="single" w:sz="4" w:space="0" w:color="auto"/>
              <w:left w:val="single" w:sz="4" w:space="0" w:color="auto"/>
              <w:bottom w:val="single" w:sz="4" w:space="0" w:color="auto"/>
              <w:right w:val="single" w:sz="4" w:space="0" w:color="auto"/>
            </w:tcBorders>
          </w:tcPr>
          <w:p w14:paraId="6B3281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70" w:type="dxa"/>
            <w:tcBorders>
              <w:top w:val="single" w:sz="4" w:space="0" w:color="auto"/>
              <w:left w:val="single" w:sz="4" w:space="0" w:color="auto"/>
              <w:bottom w:val="single" w:sz="4" w:space="0" w:color="auto"/>
              <w:right w:val="single" w:sz="4" w:space="0" w:color="auto"/>
            </w:tcBorders>
          </w:tcPr>
          <w:p w14:paraId="0BA3FF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173,40</w:t>
            </w:r>
          </w:p>
        </w:tc>
        <w:tc>
          <w:tcPr>
            <w:tcW w:w="907" w:type="dxa"/>
            <w:tcBorders>
              <w:top w:val="single" w:sz="4" w:space="0" w:color="auto"/>
              <w:left w:val="single" w:sz="4" w:space="0" w:color="auto"/>
              <w:bottom w:val="single" w:sz="4" w:space="0" w:color="auto"/>
              <w:right w:val="single" w:sz="4" w:space="0" w:color="auto"/>
            </w:tcBorders>
          </w:tcPr>
          <w:p w14:paraId="2D95DD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6454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90FC1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C77FA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1D48B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E868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−35,6</w:t>
            </w:r>
          </w:p>
        </w:tc>
        <w:tc>
          <w:tcPr>
            <w:tcW w:w="907" w:type="dxa"/>
            <w:tcBorders>
              <w:top w:val="single" w:sz="4" w:space="0" w:color="auto"/>
              <w:left w:val="single" w:sz="4" w:space="0" w:color="auto"/>
              <w:bottom w:val="single" w:sz="4" w:space="0" w:color="auto"/>
              <w:right w:val="single" w:sz="4" w:space="0" w:color="auto"/>
            </w:tcBorders>
          </w:tcPr>
          <w:p w14:paraId="7C013907" w14:textId="77777777" w:rsidR="00B82F75" w:rsidRPr="00F52C10" w:rsidRDefault="00B82F75" w:rsidP="00E4628E">
            <w:pPr>
              <w:pStyle w:val="Tabletext0"/>
              <w:spacing w:before="34" w:after="34" w:line="276" w:lineRule="auto"/>
              <w:rPr>
                <w:sz w:val="18"/>
                <w:szCs w:val="18"/>
              </w:rPr>
            </w:pPr>
            <w:r w:rsidRPr="00F52C10">
              <w:rPr>
                <w:sz w:val="18"/>
                <w:szCs w:val="18"/>
              </w:rPr>
              <w:t>*/MB2</w:t>
            </w:r>
          </w:p>
        </w:tc>
      </w:tr>
      <w:tr w:rsidR="00B82F75" w:rsidRPr="00F52C10" w14:paraId="496439E6"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C67B88D" w14:textId="77777777" w:rsidR="00B82F75" w:rsidRPr="00F52C10" w:rsidRDefault="00B82F75" w:rsidP="00E4628E">
            <w:pPr>
              <w:pStyle w:val="Tabletext0"/>
              <w:spacing w:before="34" w:after="34" w:line="276" w:lineRule="auto"/>
              <w:rPr>
                <w:sz w:val="18"/>
                <w:szCs w:val="18"/>
              </w:rPr>
            </w:pPr>
            <w:r w:rsidRPr="00F52C10">
              <w:rPr>
                <w:sz w:val="18"/>
                <w:szCs w:val="18"/>
              </w:rPr>
              <w:t>XYU00000</w:t>
            </w:r>
          </w:p>
        </w:tc>
        <w:tc>
          <w:tcPr>
            <w:tcW w:w="1076" w:type="dxa"/>
            <w:tcBorders>
              <w:top w:val="single" w:sz="4" w:space="0" w:color="auto"/>
              <w:left w:val="single" w:sz="4" w:space="0" w:color="auto"/>
              <w:bottom w:val="single" w:sz="4" w:space="0" w:color="auto"/>
              <w:right w:val="single" w:sz="4" w:space="0" w:color="auto"/>
            </w:tcBorders>
          </w:tcPr>
          <w:p w14:paraId="421FE2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43,04</w:t>
            </w:r>
          </w:p>
        </w:tc>
        <w:tc>
          <w:tcPr>
            <w:tcW w:w="970" w:type="dxa"/>
            <w:tcBorders>
              <w:top w:val="single" w:sz="4" w:space="0" w:color="auto"/>
              <w:left w:val="single" w:sz="4" w:space="0" w:color="auto"/>
              <w:bottom w:val="single" w:sz="4" w:space="0" w:color="auto"/>
              <w:right w:val="single" w:sz="4" w:space="0" w:color="auto"/>
            </w:tcBorders>
          </w:tcPr>
          <w:p w14:paraId="5C43E3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18,70</w:t>
            </w:r>
          </w:p>
        </w:tc>
        <w:tc>
          <w:tcPr>
            <w:tcW w:w="907" w:type="dxa"/>
            <w:tcBorders>
              <w:top w:val="single" w:sz="4" w:space="0" w:color="auto"/>
              <w:left w:val="single" w:sz="4" w:space="0" w:color="auto"/>
              <w:bottom w:val="single" w:sz="4" w:space="0" w:color="auto"/>
              <w:right w:val="single" w:sz="4" w:space="0" w:color="auto"/>
            </w:tcBorders>
          </w:tcPr>
          <w:p w14:paraId="3383B3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44,40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E95B4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04934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362347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8304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5B40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−40,5</w:t>
            </w:r>
          </w:p>
        </w:tc>
        <w:tc>
          <w:tcPr>
            <w:tcW w:w="907" w:type="dxa"/>
            <w:tcBorders>
              <w:top w:val="single" w:sz="4" w:space="0" w:color="auto"/>
              <w:left w:val="single" w:sz="4" w:space="0" w:color="auto"/>
              <w:bottom w:val="single" w:sz="4" w:space="0" w:color="auto"/>
              <w:right w:val="single" w:sz="4" w:space="0" w:color="auto"/>
            </w:tcBorders>
          </w:tcPr>
          <w:p w14:paraId="61D1D1A3" w14:textId="77777777" w:rsidR="00B82F75" w:rsidRPr="00F52C10" w:rsidRDefault="00B82F75" w:rsidP="00E4628E">
            <w:pPr>
              <w:pStyle w:val="Tabletext0"/>
              <w:spacing w:before="34" w:after="34" w:line="276" w:lineRule="auto"/>
              <w:rPr>
                <w:sz w:val="18"/>
                <w:szCs w:val="18"/>
                <w:lang w:val="en-CA"/>
              </w:rPr>
            </w:pPr>
          </w:p>
        </w:tc>
      </w:tr>
      <w:tr w:rsidR="00B82F75" w:rsidRPr="00F52C10" w14:paraId="4DAFD46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250E04AC" w14:textId="77777777" w:rsidR="00B82F75" w:rsidRPr="00F52C10" w:rsidRDefault="00B82F75" w:rsidP="00E4628E">
            <w:pPr>
              <w:pStyle w:val="Tabletext0"/>
              <w:spacing w:before="34" w:after="34" w:line="276" w:lineRule="auto"/>
              <w:rPr>
                <w:sz w:val="18"/>
                <w:szCs w:val="18"/>
              </w:rPr>
            </w:pPr>
            <w:r w:rsidRPr="00F52C10">
              <w:rPr>
                <w:sz w:val="18"/>
                <w:szCs w:val="18"/>
              </w:rPr>
              <w:t>YEM00001</w:t>
            </w:r>
          </w:p>
        </w:tc>
        <w:tc>
          <w:tcPr>
            <w:tcW w:w="1076" w:type="dxa"/>
            <w:tcBorders>
              <w:top w:val="single" w:sz="4" w:space="0" w:color="auto"/>
              <w:left w:val="single" w:sz="4" w:space="0" w:color="auto"/>
              <w:bottom w:val="single" w:sz="4" w:space="0" w:color="auto"/>
              <w:right w:val="single" w:sz="4" w:space="0" w:color="auto"/>
            </w:tcBorders>
          </w:tcPr>
          <w:p w14:paraId="25D605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27,00</w:t>
            </w:r>
          </w:p>
        </w:tc>
        <w:tc>
          <w:tcPr>
            <w:tcW w:w="970" w:type="dxa"/>
            <w:tcBorders>
              <w:top w:val="single" w:sz="4" w:space="0" w:color="auto"/>
              <w:left w:val="single" w:sz="4" w:space="0" w:color="auto"/>
              <w:bottom w:val="single" w:sz="4" w:space="0" w:color="auto"/>
              <w:right w:val="single" w:sz="4" w:space="0" w:color="auto"/>
            </w:tcBorders>
          </w:tcPr>
          <w:p w14:paraId="1E979F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44,20</w:t>
            </w:r>
          </w:p>
        </w:tc>
        <w:tc>
          <w:tcPr>
            <w:tcW w:w="907" w:type="dxa"/>
            <w:tcBorders>
              <w:top w:val="single" w:sz="4" w:space="0" w:color="auto"/>
              <w:left w:val="single" w:sz="4" w:space="0" w:color="auto"/>
              <w:bottom w:val="single" w:sz="4" w:space="0" w:color="auto"/>
              <w:right w:val="single" w:sz="4" w:space="0" w:color="auto"/>
            </w:tcBorders>
          </w:tcPr>
          <w:p w14:paraId="39D60E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406D0A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8009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EFF74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92755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0C1C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−41,4</w:t>
            </w:r>
          </w:p>
        </w:tc>
        <w:tc>
          <w:tcPr>
            <w:tcW w:w="907" w:type="dxa"/>
            <w:tcBorders>
              <w:top w:val="single" w:sz="4" w:space="0" w:color="auto"/>
              <w:left w:val="single" w:sz="4" w:space="0" w:color="auto"/>
              <w:bottom w:val="single" w:sz="4" w:space="0" w:color="auto"/>
              <w:right w:val="single" w:sz="4" w:space="0" w:color="auto"/>
            </w:tcBorders>
          </w:tcPr>
          <w:p w14:paraId="4CAAC0B6" w14:textId="77777777" w:rsidR="00B82F75" w:rsidRPr="00F52C10" w:rsidRDefault="00B82F75" w:rsidP="00E4628E">
            <w:pPr>
              <w:pStyle w:val="Tabletext0"/>
              <w:spacing w:before="34" w:after="34" w:line="276" w:lineRule="auto"/>
              <w:rPr>
                <w:sz w:val="18"/>
                <w:szCs w:val="18"/>
                <w:lang w:val="en-CA"/>
              </w:rPr>
            </w:pPr>
          </w:p>
        </w:tc>
      </w:tr>
      <w:tr w:rsidR="00B82F75" w:rsidRPr="00F52C10" w14:paraId="5AF38BB3"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6D74DF97" w14:textId="77777777" w:rsidR="00B82F75" w:rsidRPr="00F52C10" w:rsidRDefault="00B82F75" w:rsidP="00E4628E">
            <w:pPr>
              <w:pStyle w:val="Tabletext0"/>
              <w:spacing w:before="34" w:after="34" w:line="276" w:lineRule="auto"/>
              <w:rPr>
                <w:sz w:val="18"/>
                <w:szCs w:val="18"/>
              </w:rPr>
            </w:pPr>
            <w:r w:rsidRPr="00F52C10">
              <w:rPr>
                <w:sz w:val="18"/>
                <w:szCs w:val="18"/>
              </w:rPr>
              <w:t>YEM00002</w:t>
            </w:r>
          </w:p>
        </w:tc>
        <w:tc>
          <w:tcPr>
            <w:tcW w:w="1076" w:type="dxa"/>
            <w:tcBorders>
              <w:top w:val="single" w:sz="4" w:space="0" w:color="auto"/>
              <w:left w:val="single" w:sz="4" w:space="0" w:color="auto"/>
              <w:bottom w:val="single" w:sz="4" w:space="0" w:color="auto"/>
              <w:right w:val="single" w:sz="4" w:space="0" w:color="auto"/>
            </w:tcBorders>
          </w:tcPr>
          <w:p w14:paraId="37B292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108,00</w:t>
            </w:r>
          </w:p>
        </w:tc>
        <w:tc>
          <w:tcPr>
            <w:tcW w:w="970" w:type="dxa"/>
            <w:tcBorders>
              <w:top w:val="single" w:sz="4" w:space="0" w:color="auto"/>
              <w:left w:val="single" w:sz="4" w:space="0" w:color="auto"/>
              <w:bottom w:val="single" w:sz="4" w:space="0" w:color="auto"/>
              <w:right w:val="single" w:sz="4" w:space="0" w:color="auto"/>
            </w:tcBorders>
          </w:tcPr>
          <w:p w14:paraId="589AC4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49,90</w:t>
            </w:r>
          </w:p>
        </w:tc>
        <w:tc>
          <w:tcPr>
            <w:tcW w:w="907" w:type="dxa"/>
            <w:tcBorders>
              <w:top w:val="single" w:sz="4" w:space="0" w:color="auto"/>
              <w:left w:val="single" w:sz="4" w:space="0" w:color="auto"/>
              <w:bottom w:val="single" w:sz="4" w:space="0" w:color="auto"/>
              <w:right w:val="single" w:sz="4" w:space="0" w:color="auto"/>
            </w:tcBorders>
          </w:tcPr>
          <w:p w14:paraId="446709C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FEE61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710AF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62CF8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64E5B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1AE6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−39,7</w:t>
            </w:r>
          </w:p>
        </w:tc>
        <w:tc>
          <w:tcPr>
            <w:tcW w:w="907" w:type="dxa"/>
            <w:tcBorders>
              <w:top w:val="single" w:sz="4" w:space="0" w:color="auto"/>
              <w:left w:val="single" w:sz="4" w:space="0" w:color="auto"/>
              <w:bottom w:val="single" w:sz="4" w:space="0" w:color="auto"/>
              <w:right w:val="single" w:sz="4" w:space="0" w:color="auto"/>
            </w:tcBorders>
          </w:tcPr>
          <w:p w14:paraId="7DFFD74C" w14:textId="77777777" w:rsidR="00B82F75" w:rsidRPr="00F52C10" w:rsidRDefault="00B82F75" w:rsidP="00E4628E">
            <w:pPr>
              <w:pStyle w:val="Tabletext0"/>
              <w:spacing w:before="34" w:after="34" w:line="276" w:lineRule="auto"/>
              <w:rPr>
                <w:sz w:val="18"/>
                <w:szCs w:val="18"/>
                <w:lang w:val="en-CA"/>
              </w:rPr>
            </w:pPr>
          </w:p>
        </w:tc>
      </w:tr>
      <w:tr w:rsidR="00B82F75" w:rsidRPr="00F52C10" w14:paraId="3712112B"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C432D11" w14:textId="77777777" w:rsidR="00B82F75" w:rsidRPr="00F52C10" w:rsidRDefault="00B82F75" w:rsidP="00E4628E">
            <w:pPr>
              <w:pStyle w:val="Tabletext0"/>
              <w:spacing w:before="34" w:after="34" w:line="276" w:lineRule="auto"/>
              <w:rPr>
                <w:sz w:val="18"/>
                <w:szCs w:val="18"/>
              </w:rPr>
            </w:pPr>
            <w:r w:rsidRPr="00F52C10">
              <w:rPr>
                <w:sz w:val="18"/>
                <w:szCs w:val="18"/>
              </w:rPr>
              <w:t>ZMB00000</w:t>
            </w:r>
          </w:p>
        </w:tc>
        <w:tc>
          <w:tcPr>
            <w:tcW w:w="1076" w:type="dxa"/>
            <w:tcBorders>
              <w:top w:val="single" w:sz="4" w:space="0" w:color="auto"/>
              <w:left w:val="single" w:sz="4" w:space="0" w:color="auto"/>
              <w:bottom w:val="single" w:sz="4" w:space="0" w:color="auto"/>
              <w:right w:val="single" w:sz="4" w:space="0" w:color="auto"/>
            </w:tcBorders>
          </w:tcPr>
          <w:p w14:paraId="4824B3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39,55</w:t>
            </w:r>
          </w:p>
        </w:tc>
        <w:tc>
          <w:tcPr>
            <w:tcW w:w="970" w:type="dxa"/>
            <w:tcBorders>
              <w:top w:val="single" w:sz="4" w:space="0" w:color="auto"/>
              <w:left w:val="single" w:sz="4" w:space="0" w:color="auto"/>
              <w:bottom w:val="single" w:sz="4" w:space="0" w:color="auto"/>
              <w:right w:val="single" w:sz="4" w:space="0" w:color="auto"/>
            </w:tcBorders>
          </w:tcPr>
          <w:p w14:paraId="42FD82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27,90</w:t>
            </w:r>
          </w:p>
        </w:tc>
        <w:tc>
          <w:tcPr>
            <w:tcW w:w="907" w:type="dxa"/>
            <w:tcBorders>
              <w:top w:val="single" w:sz="4" w:space="0" w:color="auto"/>
              <w:left w:val="single" w:sz="4" w:space="0" w:color="auto"/>
              <w:bottom w:val="single" w:sz="4" w:space="0" w:color="auto"/>
              <w:right w:val="single" w:sz="4" w:space="0" w:color="auto"/>
            </w:tcBorders>
          </w:tcPr>
          <w:p w14:paraId="12818A2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−12,80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E9EE6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10AC8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5A8B36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3F717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94913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−39,6</w:t>
            </w:r>
          </w:p>
        </w:tc>
        <w:tc>
          <w:tcPr>
            <w:tcW w:w="907" w:type="dxa"/>
            <w:tcBorders>
              <w:top w:val="single" w:sz="4" w:space="0" w:color="auto"/>
              <w:left w:val="single" w:sz="4" w:space="0" w:color="auto"/>
              <w:bottom w:val="single" w:sz="4" w:space="0" w:color="auto"/>
              <w:right w:val="single" w:sz="4" w:space="0" w:color="auto"/>
            </w:tcBorders>
          </w:tcPr>
          <w:p w14:paraId="437693D4" w14:textId="77777777" w:rsidR="00B82F75" w:rsidRPr="00F52C10" w:rsidRDefault="00B82F75" w:rsidP="00E4628E">
            <w:pPr>
              <w:pStyle w:val="Tabletext0"/>
              <w:spacing w:before="34" w:after="34" w:line="276" w:lineRule="auto"/>
              <w:rPr>
                <w:sz w:val="18"/>
                <w:szCs w:val="18"/>
                <w:lang w:val="en-CA"/>
              </w:rPr>
            </w:pPr>
          </w:p>
        </w:tc>
      </w:tr>
      <w:tr w:rsidR="00B82F75" w:rsidRPr="00F52C10" w14:paraId="0E8436D2" w14:textId="77777777" w:rsidTr="004473CA">
        <w:trPr>
          <w:jc w:val="center"/>
        </w:trPr>
        <w:tc>
          <w:tcPr>
            <w:tcW w:w="1191" w:type="dxa"/>
            <w:tcBorders>
              <w:top w:val="single" w:sz="4" w:space="0" w:color="auto"/>
              <w:left w:val="single" w:sz="4" w:space="0" w:color="auto"/>
              <w:bottom w:val="single" w:sz="4" w:space="0" w:color="auto"/>
              <w:right w:val="single" w:sz="4" w:space="0" w:color="auto"/>
            </w:tcBorders>
          </w:tcPr>
          <w:p w14:paraId="4B2980B4" w14:textId="77777777" w:rsidR="00B82F75" w:rsidRPr="00F52C10" w:rsidRDefault="00B82F75" w:rsidP="00E4628E">
            <w:pPr>
              <w:pStyle w:val="Tabletext0"/>
              <w:spacing w:before="34" w:after="34" w:line="276" w:lineRule="auto"/>
              <w:rPr>
                <w:sz w:val="18"/>
                <w:szCs w:val="18"/>
              </w:rPr>
            </w:pPr>
            <w:r w:rsidRPr="00F52C10">
              <w:rPr>
                <w:sz w:val="18"/>
                <w:szCs w:val="18"/>
              </w:rPr>
              <w:lastRenderedPageBreak/>
              <w:t>ZWE00000</w:t>
            </w:r>
          </w:p>
        </w:tc>
        <w:tc>
          <w:tcPr>
            <w:tcW w:w="1076" w:type="dxa"/>
            <w:tcBorders>
              <w:top w:val="single" w:sz="4" w:space="0" w:color="auto"/>
              <w:left w:val="single" w:sz="4" w:space="0" w:color="auto"/>
              <w:bottom w:val="single" w:sz="4" w:space="0" w:color="auto"/>
              <w:right w:val="single" w:sz="4" w:space="0" w:color="auto"/>
            </w:tcBorders>
          </w:tcPr>
          <w:p w14:paraId="123B4A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65,60</w:t>
            </w:r>
          </w:p>
        </w:tc>
        <w:tc>
          <w:tcPr>
            <w:tcW w:w="970" w:type="dxa"/>
            <w:tcBorders>
              <w:top w:val="single" w:sz="4" w:space="0" w:color="auto"/>
              <w:left w:val="single" w:sz="4" w:space="0" w:color="auto"/>
              <w:bottom w:val="single" w:sz="4" w:space="0" w:color="auto"/>
              <w:right w:val="single" w:sz="4" w:space="0" w:color="auto"/>
            </w:tcBorders>
          </w:tcPr>
          <w:p w14:paraId="079EBF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30,00</w:t>
            </w:r>
          </w:p>
        </w:tc>
        <w:tc>
          <w:tcPr>
            <w:tcW w:w="907" w:type="dxa"/>
            <w:tcBorders>
              <w:top w:val="single" w:sz="4" w:space="0" w:color="auto"/>
              <w:left w:val="single" w:sz="4" w:space="0" w:color="auto"/>
              <w:bottom w:val="single" w:sz="4" w:space="0" w:color="auto"/>
              <w:right w:val="single" w:sz="4" w:space="0" w:color="auto"/>
            </w:tcBorders>
          </w:tcPr>
          <w:p w14:paraId="70253C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−18,90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F83AB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95BE2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4FB1C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08630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70024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−39,9</w:t>
            </w:r>
          </w:p>
        </w:tc>
        <w:tc>
          <w:tcPr>
            <w:tcW w:w="907" w:type="dxa"/>
            <w:tcBorders>
              <w:top w:val="single" w:sz="4" w:space="0" w:color="auto"/>
              <w:left w:val="single" w:sz="4" w:space="0" w:color="auto"/>
              <w:bottom w:val="single" w:sz="4" w:space="0" w:color="auto"/>
              <w:right w:val="single" w:sz="4" w:space="0" w:color="auto"/>
            </w:tcBorders>
          </w:tcPr>
          <w:p w14:paraId="3B88E9F5" w14:textId="77777777" w:rsidR="00B82F75" w:rsidRPr="00F52C10" w:rsidRDefault="00B82F75" w:rsidP="00E4628E">
            <w:pPr>
              <w:pStyle w:val="Tabletext0"/>
              <w:spacing w:before="34" w:after="34" w:line="276" w:lineRule="auto"/>
              <w:rPr>
                <w:sz w:val="18"/>
                <w:szCs w:val="18"/>
                <w:lang w:val="en-CA"/>
              </w:rPr>
            </w:pPr>
          </w:p>
        </w:tc>
      </w:tr>
    </w:tbl>
    <w:p w14:paraId="0137CF77" w14:textId="77777777" w:rsidR="00B82F75" w:rsidRPr="00F52C10" w:rsidRDefault="00B82F75" w:rsidP="00E4628E">
      <w:pPr>
        <w:spacing w:line="276" w:lineRule="auto"/>
        <w:rPr>
          <w:sz w:val="4"/>
          <w:szCs w:val="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994"/>
        <w:gridCol w:w="994"/>
        <w:gridCol w:w="924"/>
        <w:gridCol w:w="882"/>
        <w:gridCol w:w="867"/>
        <w:gridCol w:w="980"/>
        <w:gridCol w:w="952"/>
        <w:gridCol w:w="910"/>
        <w:gridCol w:w="933"/>
        <w:gridCol w:w="18"/>
      </w:tblGrid>
      <w:tr w:rsidR="00B82F75" w:rsidRPr="00F52C10" w14:paraId="14BB1B76" w14:textId="77777777" w:rsidTr="004473CA">
        <w:trPr>
          <w:tblHeader/>
          <w:jc w:val="center"/>
        </w:trPr>
        <w:tc>
          <w:tcPr>
            <w:tcW w:w="9644" w:type="dxa"/>
            <w:gridSpan w:val="11"/>
            <w:tcBorders>
              <w:top w:val="nil"/>
              <w:left w:val="nil"/>
              <w:bottom w:val="single" w:sz="4" w:space="0" w:color="auto"/>
              <w:right w:val="nil"/>
            </w:tcBorders>
            <w:hideMark/>
          </w:tcPr>
          <w:p w14:paraId="551EAC0C" w14:textId="77777777" w:rsidR="00B82F75" w:rsidRPr="00F52C10" w:rsidRDefault="00B82F75" w:rsidP="00E4628E">
            <w:pPr>
              <w:pStyle w:val="Tablehead"/>
              <w:spacing w:line="276" w:lineRule="auto"/>
              <w:jc w:val="right"/>
              <w:rPr>
                <w:lang w:val="en-US"/>
              </w:rPr>
            </w:pPr>
            <w:r w:rsidRPr="00F52C10">
              <w:rPr>
                <w:lang w:val="en-US"/>
              </w:rPr>
              <w:t>10,70-10,95 GHz, 11,20-11,45 GHz, 12,75-13,25 GHz</w:t>
            </w:r>
          </w:p>
        </w:tc>
      </w:tr>
      <w:tr w:rsidR="00B82F75" w:rsidRPr="00F52C10" w14:paraId="112E791C" w14:textId="77777777" w:rsidTr="004473CA">
        <w:trPr>
          <w:gridAfter w:val="1"/>
          <w:wAfter w:w="18" w:type="dxa"/>
          <w:tblHeader/>
          <w:jc w:val="center"/>
        </w:trPr>
        <w:tc>
          <w:tcPr>
            <w:tcW w:w="1190" w:type="dxa"/>
            <w:tcBorders>
              <w:top w:val="single" w:sz="4" w:space="0" w:color="auto"/>
              <w:left w:val="single" w:sz="4" w:space="0" w:color="auto"/>
              <w:bottom w:val="single" w:sz="4" w:space="0" w:color="auto"/>
              <w:right w:val="single" w:sz="4" w:space="0" w:color="auto"/>
            </w:tcBorders>
            <w:hideMark/>
          </w:tcPr>
          <w:p w14:paraId="6919274D" w14:textId="77777777" w:rsidR="00B82F75" w:rsidRPr="00F52C10" w:rsidRDefault="00B82F75" w:rsidP="00E4628E">
            <w:pPr>
              <w:pStyle w:val="Tablehead"/>
              <w:spacing w:line="276" w:lineRule="auto"/>
              <w:rPr>
                <w:lang w:val="en-US"/>
              </w:rPr>
            </w:pPr>
            <w:r w:rsidRPr="00F52C10">
              <w:rPr>
                <w:lang w:val="en-US"/>
              </w:rPr>
              <w:t>1</w:t>
            </w:r>
          </w:p>
        </w:tc>
        <w:tc>
          <w:tcPr>
            <w:tcW w:w="994" w:type="dxa"/>
            <w:tcBorders>
              <w:top w:val="single" w:sz="4" w:space="0" w:color="auto"/>
              <w:left w:val="single" w:sz="4" w:space="0" w:color="auto"/>
              <w:bottom w:val="single" w:sz="4" w:space="0" w:color="auto"/>
              <w:right w:val="single" w:sz="4" w:space="0" w:color="auto"/>
            </w:tcBorders>
            <w:hideMark/>
          </w:tcPr>
          <w:p w14:paraId="05059FF9" w14:textId="77777777" w:rsidR="00B82F75" w:rsidRPr="00F52C10" w:rsidRDefault="00B82F75" w:rsidP="00E4628E">
            <w:pPr>
              <w:pStyle w:val="Tablehead"/>
              <w:spacing w:line="276" w:lineRule="auto"/>
              <w:rPr>
                <w:lang w:val="en-US"/>
              </w:rPr>
            </w:pPr>
            <w:r w:rsidRPr="00F52C10">
              <w:rPr>
                <w:lang w:val="en-US"/>
              </w:rPr>
              <w:t>2</w:t>
            </w:r>
          </w:p>
        </w:tc>
        <w:tc>
          <w:tcPr>
            <w:tcW w:w="994" w:type="dxa"/>
            <w:tcBorders>
              <w:top w:val="single" w:sz="4" w:space="0" w:color="auto"/>
              <w:left w:val="single" w:sz="4" w:space="0" w:color="auto"/>
              <w:bottom w:val="single" w:sz="4" w:space="0" w:color="auto"/>
              <w:right w:val="single" w:sz="4" w:space="0" w:color="auto"/>
            </w:tcBorders>
            <w:hideMark/>
          </w:tcPr>
          <w:p w14:paraId="43D6D59E" w14:textId="77777777" w:rsidR="00B82F75" w:rsidRPr="00F52C10" w:rsidRDefault="00B82F75" w:rsidP="00E4628E">
            <w:pPr>
              <w:pStyle w:val="Tablehead"/>
              <w:spacing w:line="276" w:lineRule="auto"/>
              <w:rPr>
                <w:lang w:val="en-US"/>
              </w:rPr>
            </w:pPr>
            <w:r w:rsidRPr="00F52C10">
              <w:rPr>
                <w:lang w:val="en-US"/>
              </w:rPr>
              <w:t>3</w:t>
            </w:r>
          </w:p>
        </w:tc>
        <w:tc>
          <w:tcPr>
            <w:tcW w:w="924" w:type="dxa"/>
            <w:tcBorders>
              <w:top w:val="single" w:sz="4" w:space="0" w:color="auto"/>
              <w:left w:val="single" w:sz="4" w:space="0" w:color="auto"/>
              <w:bottom w:val="single" w:sz="4" w:space="0" w:color="auto"/>
              <w:right w:val="single" w:sz="4" w:space="0" w:color="auto"/>
            </w:tcBorders>
            <w:hideMark/>
          </w:tcPr>
          <w:p w14:paraId="23CDF726" w14:textId="77777777" w:rsidR="00B82F75" w:rsidRPr="00F52C10" w:rsidRDefault="00B82F75" w:rsidP="00E4628E">
            <w:pPr>
              <w:pStyle w:val="Tablehead"/>
              <w:spacing w:line="276" w:lineRule="auto"/>
              <w:rPr>
                <w:lang w:val="en-US"/>
              </w:rPr>
            </w:pPr>
            <w:r w:rsidRPr="00F52C10">
              <w:rPr>
                <w:lang w:val="en-US"/>
              </w:rPr>
              <w:t>4</w:t>
            </w:r>
          </w:p>
        </w:tc>
        <w:tc>
          <w:tcPr>
            <w:tcW w:w="882" w:type="dxa"/>
            <w:tcBorders>
              <w:top w:val="single" w:sz="4" w:space="0" w:color="auto"/>
              <w:left w:val="single" w:sz="4" w:space="0" w:color="auto"/>
              <w:bottom w:val="single" w:sz="4" w:space="0" w:color="auto"/>
              <w:right w:val="single" w:sz="4" w:space="0" w:color="auto"/>
            </w:tcBorders>
            <w:hideMark/>
          </w:tcPr>
          <w:p w14:paraId="2F8F4419" w14:textId="77777777" w:rsidR="00B82F75" w:rsidRPr="00F52C10" w:rsidRDefault="00B82F75" w:rsidP="00E4628E">
            <w:pPr>
              <w:pStyle w:val="Tablehead"/>
              <w:spacing w:line="276" w:lineRule="auto"/>
              <w:rPr>
                <w:lang w:val="en-US"/>
              </w:rPr>
            </w:pPr>
            <w:r w:rsidRPr="00F52C10">
              <w:rPr>
                <w:lang w:val="en-US"/>
              </w:rPr>
              <w:t>5</w:t>
            </w:r>
          </w:p>
        </w:tc>
        <w:tc>
          <w:tcPr>
            <w:tcW w:w="867" w:type="dxa"/>
            <w:tcBorders>
              <w:top w:val="single" w:sz="4" w:space="0" w:color="auto"/>
              <w:left w:val="single" w:sz="4" w:space="0" w:color="auto"/>
              <w:bottom w:val="single" w:sz="4" w:space="0" w:color="auto"/>
              <w:right w:val="single" w:sz="4" w:space="0" w:color="auto"/>
            </w:tcBorders>
            <w:hideMark/>
          </w:tcPr>
          <w:p w14:paraId="26343E03" w14:textId="77777777" w:rsidR="00B82F75" w:rsidRPr="00F52C10" w:rsidRDefault="00B82F75" w:rsidP="00E4628E">
            <w:pPr>
              <w:pStyle w:val="Tablehead"/>
              <w:spacing w:line="276" w:lineRule="auto"/>
              <w:rPr>
                <w:lang w:val="en-US"/>
              </w:rPr>
            </w:pPr>
            <w:r w:rsidRPr="00F52C10">
              <w:rPr>
                <w:lang w:val="en-US"/>
              </w:rPr>
              <w:t>6</w:t>
            </w:r>
          </w:p>
        </w:tc>
        <w:tc>
          <w:tcPr>
            <w:tcW w:w="980" w:type="dxa"/>
            <w:tcBorders>
              <w:top w:val="single" w:sz="4" w:space="0" w:color="auto"/>
              <w:left w:val="single" w:sz="4" w:space="0" w:color="auto"/>
              <w:bottom w:val="single" w:sz="4" w:space="0" w:color="auto"/>
              <w:right w:val="single" w:sz="4" w:space="0" w:color="auto"/>
            </w:tcBorders>
            <w:hideMark/>
          </w:tcPr>
          <w:p w14:paraId="3D3BC524" w14:textId="77777777" w:rsidR="00B82F75" w:rsidRPr="00F52C10" w:rsidRDefault="00B82F75" w:rsidP="00E4628E">
            <w:pPr>
              <w:pStyle w:val="Tablehead"/>
              <w:spacing w:line="276" w:lineRule="auto"/>
              <w:rPr>
                <w:lang w:val="en-US"/>
              </w:rPr>
            </w:pPr>
            <w:r w:rsidRPr="00F52C10">
              <w:rPr>
                <w:lang w:val="en-US"/>
              </w:rPr>
              <w:t>7</w:t>
            </w:r>
          </w:p>
        </w:tc>
        <w:tc>
          <w:tcPr>
            <w:tcW w:w="952" w:type="dxa"/>
            <w:tcBorders>
              <w:top w:val="single" w:sz="4" w:space="0" w:color="auto"/>
              <w:left w:val="single" w:sz="4" w:space="0" w:color="auto"/>
              <w:bottom w:val="single" w:sz="4" w:space="0" w:color="auto"/>
              <w:right w:val="single" w:sz="4" w:space="0" w:color="auto"/>
            </w:tcBorders>
            <w:hideMark/>
          </w:tcPr>
          <w:p w14:paraId="3906DDEE" w14:textId="77777777" w:rsidR="00B82F75" w:rsidRPr="00F52C10" w:rsidRDefault="00B82F75" w:rsidP="00E4628E">
            <w:pPr>
              <w:pStyle w:val="Tablehead"/>
              <w:spacing w:line="276" w:lineRule="auto"/>
              <w:rPr>
                <w:lang w:val="en-US"/>
              </w:rPr>
            </w:pPr>
            <w:r w:rsidRPr="00F52C10">
              <w:rPr>
                <w:lang w:val="en-US"/>
              </w:rPr>
              <w:t>8</w:t>
            </w:r>
          </w:p>
        </w:tc>
        <w:tc>
          <w:tcPr>
            <w:tcW w:w="910" w:type="dxa"/>
            <w:tcBorders>
              <w:top w:val="single" w:sz="4" w:space="0" w:color="auto"/>
              <w:left w:val="single" w:sz="4" w:space="0" w:color="auto"/>
              <w:bottom w:val="single" w:sz="4" w:space="0" w:color="auto"/>
              <w:right w:val="single" w:sz="4" w:space="0" w:color="auto"/>
            </w:tcBorders>
            <w:hideMark/>
          </w:tcPr>
          <w:p w14:paraId="577CC3DC" w14:textId="77777777" w:rsidR="00B82F75" w:rsidRPr="00F52C10" w:rsidRDefault="00B82F75" w:rsidP="00E4628E">
            <w:pPr>
              <w:pStyle w:val="Tablehead"/>
              <w:spacing w:line="276" w:lineRule="auto"/>
              <w:rPr>
                <w:lang w:val="en-US"/>
              </w:rPr>
            </w:pPr>
            <w:r w:rsidRPr="00F52C10">
              <w:rPr>
                <w:lang w:val="en-US"/>
              </w:rPr>
              <w:t>9</w:t>
            </w:r>
          </w:p>
        </w:tc>
        <w:tc>
          <w:tcPr>
            <w:tcW w:w="933" w:type="dxa"/>
            <w:tcBorders>
              <w:top w:val="single" w:sz="4" w:space="0" w:color="auto"/>
              <w:left w:val="single" w:sz="4" w:space="0" w:color="auto"/>
              <w:bottom w:val="single" w:sz="4" w:space="0" w:color="auto"/>
              <w:right w:val="single" w:sz="4" w:space="0" w:color="auto"/>
            </w:tcBorders>
            <w:hideMark/>
          </w:tcPr>
          <w:p w14:paraId="6872A4F0" w14:textId="77777777" w:rsidR="00B82F75" w:rsidRPr="00F52C10" w:rsidRDefault="00B82F75" w:rsidP="00E4628E">
            <w:pPr>
              <w:pStyle w:val="Tablehead"/>
              <w:spacing w:line="276" w:lineRule="auto"/>
              <w:rPr>
                <w:lang w:val="en-US"/>
              </w:rPr>
            </w:pPr>
            <w:r w:rsidRPr="00F52C10">
              <w:rPr>
                <w:lang w:val="en-US"/>
              </w:rPr>
              <w:t>10</w:t>
            </w:r>
          </w:p>
        </w:tc>
      </w:tr>
      <w:tr w:rsidR="00B82F75" w:rsidRPr="00F52C10" w14:paraId="4591B3BF"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EE8EC8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ABW00000</w:t>
            </w:r>
          </w:p>
        </w:tc>
        <w:tc>
          <w:tcPr>
            <w:tcW w:w="994" w:type="dxa"/>
            <w:tcBorders>
              <w:top w:val="single" w:sz="4" w:space="0" w:color="auto"/>
              <w:left w:val="single" w:sz="4" w:space="0" w:color="auto"/>
              <w:bottom w:val="single" w:sz="4" w:space="0" w:color="auto"/>
              <w:right w:val="single" w:sz="4" w:space="0" w:color="auto"/>
            </w:tcBorders>
            <w:hideMark/>
          </w:tcPr>
          <w:p w14:paraId="08C7E5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−98,20</w:t>
            </w:r>
          </w:p>
        </w:tc>
        <w:tc>
          <w:tcPr>
            <w:tcW w:w="994" w:type="dxa"/>
            <w:tcBorders>
              <w:top w:val="single" w:sz="4" w:space="0" w:color="auto"/>
              <w:left w:val="single" w:sz="4" w:space="0" w:color="auto"/>
              <w:bottom w:val="single" w:sz="4" w:space="0" w:color="auto"/>
              <w:right w:val="single" w:sz="4" w:space="0" w:color="auto"/>
            </w:tcBorders>
            <w:hideMark/>
          </w:tcPr>
          <w:p w14:paraId="77ABA3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−69,10</w:t>
            </w:r>
          </w:p>
        </w:tc>
        <w:tc>
          <w:tcPr>
            <w:tcW w:w="924" w:type="dxa"/>
            <w:tcBorders>
              <w:top w:val="single" w:sz="4" w:space="0" w:color="auto"/>
              <w:left w:val="single" w:sz="4" w:space="0" w:color="auto"/>
              <w:bottom w:val="single" w:sz="4" w:space="0" w:color="auto"/>
              <w:right w:val="single" w:sz="4" w:space="0" w:color="auto"/>
            </w:tcBorders>
            <w:hideMark/>
          </w:tcPr>
          <w:p w14:paraId="0E9C11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450AB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5CF9F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1B11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E7217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0C97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−25,8</w:t>
            </w:r>
          </w:p>
        </w:tc>
        <w:tc>
          <w:tcPr>
            <w:tcW w:w="933" w:type="dxa"/>
            <w:tcBorders>
              <w:top w:val="single" w:sz="4" w:space="0" w:color="auto"/>
              <w:left w:val="single" w:sz="4" w:space="0" w:color="auto"/>
              <w:bottom w:val="single" w:sz="4" w:space="0" w:color="auto"/>
              <w:right w:val="single" w:sz="4" w:space="0" w:color="auto"/>
            </w:tcBorders>
          </w:tcPr>
          <w:p w14:paraId="30263A27" w14:textId="77777777" w:rsidR="00B82F75" w:rsidRPr="00F52C10" w:rsidRDefault="00B82F75" w:rsidP="00E4628E">
            <w:pPr>
              <w:pStyle w:val="Tabletext0"/>
              <w:spacing w:before="34" w:after="34" w:line="276" w:lineRule="auto"/>
              <w:rPr>
                <w:sz w:val="18"/>
                <w:szCs w:val="18"/>
                <w:lang w:val="en-CA"/>
              </w:rPr>
            </w:pPr>
          </w:p>
        </w:tc>
      </w:tr>
      <w:tr w:rsidR="00B82F75" w:rsidRPr="00F52C10" w14:paraId="77DF195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1A98E7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ADL00000</w:t>
            </w:r>
          </w:p>
        </w:tc>
        <w:tc>
          <w:tcPr>
            <w:tcW w:w="994" w:type="dxa"/>
            <w:tcBorders>
              <w:top w:val="single" w:sz="4" w:space="0" w:color="auto"/>
              <w:left w:val="single" w:sz="4" w:space="0" w:color="auto"/>
              <w:bottom w:val="single" w:sz="4" w:space="0" w:color="auto"/>
              <w:right w:val="single" w:sz="4" w:space="0" w:color="auto"/>
            </w:tcBorders>
            <w:hideMark/>
          </w:tcPr>
          <w:p w14:paraId="60CB2A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94" w:type="dxa"/>
            <w:tcBorders>
              <w:top w:val="single" w:sz="4" w:space="0" w:color="auto"/>
              <w:left w:val="single" w:sz="4" w:space="0" w:color="auto"/>
              <w:bottom w:val="single" w:sz="4" w:space="0" w:color="auto"/>
              <w:right w:val="single" w:sz="4" w:space="0" w:color="auto"/>
            </w:tcBorders>
            <w:hideMark/>
          </w:tcPr>
          <w:p w14:paraId="6D1DA3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140,00</w:t>
            </w:r>
          </w:p>
        </w:tc>
        <w:tc>
          <w:tcPr>
            <w:tcW w:w="924" w:type="dxa"/>
            <w:tcBorders>
              <w:top w:val="single" w:sz="4" w:space="0" w:color="auto"/>
              <w:left w:val="single" w:sz="4" w:space="0" w:color="auto"/>
              <w:bottom w:val="single" w:sz="4" w:space="0" w:color="auto"/>
              <w:right w:val="single" w:sz="4" w:space="0" w:color="auto"/>
            </w:tcBorders>
            <w:hideMark/>
          </w:tcPr>
          <w:p w14:paraId="251B9E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A4F8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6DC141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FAA4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178F73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B0BA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−31,9</w:t>
            </w:r>
          </w:p>
        </w:tc>
        <w:tc>
          <w:tcPr>
            <w:tcW w:w="933" w:type="dxa"/>
            <w:tcBorders>
              <w:top w:val="single" w:sz="4" w:space="0" w:color="auto"/>
              <w:left w:val="single" w:sz="4" w:space="0" w:color="auto"/>
              <w:bottom w:val="single" w:sz="4" w:space="0" w:color="auto"/>
              <w:right w:val="single" w:sz="4" w:space="0" w:color="auto"/>
            </w:tcBorders>
            <w:hideMark/>
          </w:tcPr>
          <w:p w14:paraId="2EF13DD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w:t>
            </w:r>
          </w:p>
        </w:tc>
      </w:tr>
      <w:tr w:rsidR="00B82F75" w:rsidRPr="00F52C10" w14:paraId="44739D4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4DBA7B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AFG00000</w:t>
            </w:r>
          </w:p>
        </w:tc>
        <w:tc>
          <w:tcPr>
            <w:tcW w:w="994" w:type="dxa"/>
            <w:tcBorders>
              <w:top w:val="single" w:sz="4" w:space="0" w:color="auto"/>
              <w:left w:val="single" w:sz="4" w:space="0" w:color="auto"/>
              <w:bottom w:val="single" w:sz="4" w:space="0" w:color="auto"/>
              <w:right w:val="single" w:sz="4" w:space="0" w:color="auto"/>
            </w:tcBorders>
            <w:hideMark/>
          </w:tcPr>
          <w:p w14:paraId="39BF2A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50,00</w:t>
            </w:r>
          </w:p>
        </w:tc>
        <w:tc>
          <w:tcPr>
            <w:tcW w:w="994" w:type="dxa"/>
            <w:tcBorders>
              <w:top w:val="single" w:sz="4" w:space="0" w:color="auto"/>
              <w:left w:val="single" w:sz="4" w:space="0" w:color="auto"/>
              <w:bottom w:val="single" w:sz="4" w:space="0" w:color="auto"/>
              <w:right w:val="single" w:sz="4" w:space="0" w:color="auto"/>
            </w:tcBorders>
            <w:hideMark/>
          </w:tcPr>
          <w:p w14:paraId="75CF0BE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66,40</w:t>
            </w:r>
          </w:p>
        </w:tc>
        <w:tc>
          <w:tcPr>
            <w:tcW w:w="924" w:type="dxa"/>
            <w:tcBorders>
              <w:top w:val="single" w:sz="4" w:space="0" w:color="auto"/>
              <w:left w:val="single" w:sz="4" w:space="0" w:color="auto"/>
              <w:bottom w:val="single" w:sz="4" w:space="0" w:color="auto"/>
              <w:right w:val="single" w:sz="4" w:space="0" w:color="auto"/>
            </w:tcBorders>
            <w:hideMark/>
          </w:tcPr>
          <w:p w14:paraId="23078F3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40E91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DFDC2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B2B74B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D2A0F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19480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−29,2</w:t>
            </w:r>
          </w:p>
        </w:tc>
        <w:tc>
          <w:tcPr>
            <w:tcW w:w="933" w:type="dxa"/>
            <w:tcBorders>
              <w:top w:val="single" w:sz="4" w:space="0" w:color="auto"/>
              <w:left w:val="single" w:sz="4" w:space="0" w:color="auto"/>
              <w:bottom w:val="single" w:sz="4" w:space="0" w:color="auto"/>
              <w:right w:val="single" w:sz="4" w:space="0" w:color="auto"/>
            </w:tcBorders>
          </w:tcPr>
          <w:p w14:paraId="592390B7" w14:textId="77777777" w:rsidR="00B82F75" w:rsidRPr="00F52C10" w:rsidRDefault="00B82F75" w:rsidP="00E4628E">
            <w:pPr>
              <w:pStyle w:val="Tabletext0"/>
              <w:spacing w:before="34" w:after="34" w:line="276" w:lineRule="auto"/>
              <w:rPr>
                <w:sz w:val="18"/>
                <w:szCs w:val="18"/>
                <w:lang w:val="en-CA"/>
              </w:rPr>
            </w:pPr>
          </w:p>
        </w:tc>
      </w:tr>
      <w:tr w:rsidR="00B82F75" w:rsidRPr="00F52C10" w14:paraId="2FC09DE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265ED7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AFS00000</w:t>
            </w:r>
          </w:p>
        </w:tc>
        <w:tc>
          <w:tcPr>
            <w:tcW w:w="994" w:type="dxa"/>
            <w:tcBorders>
              <w:top w:val="single" w:sz="4" w:space="0" w:color="auto"/>
              <w:left w:val="single" w:sz="4" w:space="0" w:color="auto"/>
              <w:bottom w:val="single" w:sz="4" w:space="0" w:color="auto"/>
              <w:right w:val="single" w:sz="4" w:space="0" w:color="auto"/>
            </w:tcBorders>
            <w:hideMark/>
          </w:tcPr>
          <w:p w14:paraId="3B5295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71,00</w:t>
            </w:r>
          </w:p>
        </w:tc>
        <w:tc>
          <w:tcPr>
            <w:tcW w:w="994" w:type="dxa"/>
            <w:tcBorders>
              <w:top w:val="single" w:sz="4" w:space="0" w:color="auto"/>
              <w:left w:val="single" w:sz="4" w:space="0" w:color="auto"/>
              <w:bottom w:val="single" w:sz="4" w:space="0" w:color="auto"/>
              <w:right w:val="single" w:sz="4" w:space="0" w:color="auto"/>
            </w:tcBorders>
            <w:hideMark/>
          </w:tcPr>
          <w:p w14:paraId="6A2E5E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27,20</w:t>
            </w:r>
          </w:p>
        </w:tc>
        <w:tc>
          <w:tcPr>
            <w:tcW w:w="924" w:type="dxa"/>
            <w:tcBorders>
              <w:top w:val="single" w:sz="4" w:space="0" w:color="auto"/>
              <w:left w:val="single" w:sz="4" w:space="0" w:color="auto"/>
              <w:bottom w:val="single" w:sz="4" w:space="0" w:color="auto"/>
              <w:right w:val="single" w:sz="4" w:space="0" w:color="auto"/>
            </w:tcBorders>
            <w:hideMark/>
          </w:tcPr>
          <w:p w14:paraId="0FDB42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9A4A5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C6324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280A1F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128,00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BD2F9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7B192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−26,7</w:t>
            </w:r>
          </w:p>
        </w:tc>
        <w:tc>
          <w:tcPr>
            <w:tcW w:w="933" w:type="dxa"/>
            <w:tcBorders>
              <w:top w:val="single" w:sz="4" w:space="0" w:color="auto"/>
              <w:left w:val="single" w:sz="4" w:space="0" w:color="auto"/>
              <w:bottom w:val="single" w:sz="4" w:space="0" w:color="auto"/>
              <w:right w:val="single" w:sz="4" w:space="0" w:color="auto"/>
            </w:tcBorders>
          </w:tcPr>
          <w:p w14:paraId="325987EF" w14:textId="77777777" w:rsidR="00B82F75" w:rsidRPr="00F52C10" w:rsidRDefault="00B82F75" w:rsidP="00E4628E">
            <w:pPr>
              <w:pStyle w:val="Tabletext0"/>
              <w:spacing w:before="34" w:after="34" w:line="276" w:lineRule="auto"/>
              <w:rPr>
                <w:sz w:val="18"/>
                <w:szCs w:val="18"/>
                <w:lang w:val="en-CA"/>
              </w:rPr>
            </w:pPr>
          </w:p>
        </w:tc>
      </w:tr>
      <w:tr w:rsidR="00B82F75" w:rsidRPr="00F52C10" w14:paraId="74DCE4A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B76D56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AGL00000</w:t>
            </w:r>
          </w:p>
        </w:tc>
        <w:tc>
          <w:tcPr>
            <w:tcW w:w="994" w:type="dxa"/>
            <w:tcBorders>
              <w:top w:val="single" w:sz="4" w:space="0" w:color="auto"/>
              <w:left w:val="single" w:sz="4" w:space="0" w:color="auto"/>
              <w:bottom w:val="single" w:sz="4" w:space="0" w:color="auto"/>
              <w:right w:val="single" w:sz="4" w:space="0" w:color="auto"/>
            </w:tcBorders>
            <w:hideMark/>
          </w:tcPr>
          <w:p w14:paraId="68E692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−36,10</w:t>
            </w:r>
          </w:p>
        </w:tc>
        <w:tc>
          <w:tcPr>
            <w:tcW w:w="994" w:type="dxa"/>
            <w:tcBorders>
              <w:top w:val="single" w:sz="4" w:space="0" w:color="auto"/>
              <w:left w:val="single" w:sz="4" w:space="0" w:color="auto"/>
              <w:bottom w:val="single" w:sz="4" w:space="0" w:color="auto"/>
              <w:right w:val="single" w:sz="4" w:space="0" w:color="auto"/>
            </w:tcBorders>
            <w:hideMark/>
          </w:tcPr>
          <w:p w14:paraId="707C47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w:t>
            </w:r>
          </w:p>
        </w:tc>
        <w:tc>
          <w:tcPr>
            <w:tcW w:w="924" w:type="dxa"/>
            <w:tcBorders>
              <w:top w:val="single" w:sz="4" w:space="0" w:color="auto"/>
              <w:left w:val="single" w:sz="4" w:space="0" w:color="auto"/>
              <w:bottom w:val="single" w:sz="4" w:space="0" w:color="auto"/>
              <w:right w:val="single" w:sz="4" w:space="0" w:color="auto"/>
            </w:tcBorders>
            <w:hideMark/>
          </w:tcPr>
          <w:p w14:paraId="6AD554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51822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E4B4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5F51D6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74F0B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C43C4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−25,8</w:t>
            </w:r>
          </w:p>
        </w:tc>
        <w:tc>
          <w:tcPr>
            <w:tcW w:w="933" w:type="dxa"/>
            <w:tcBorders>
              <w:top w:val="single" w:sz="4" w:space="0" w:color="auto"/>
              <w:left w:val="single" w:sz="4" w:space="0" w:color="auto"/>
              <w:bottom w:val="single" w:sz="4" w:space="0" w:color="auto"/>
              <w:right w:val="single" w:sz="4" w:space="0" w:color="auto"/>
            </w:tcBorders>
          </w:tcPr>
          <w:p w14:paraId="4EE651CC" w14:textId="77777777" w:rsidR="00B82F75" w:rsidRPr="00F52C10" w:rsidRDefault="00B82F75" w:rsidP="00E4628E">
            <w:pPr>
              <w:pStyle w:val="Tabletext0"/>
              <w:spacing w:before="34" w:after="34" w:line="276" w:lineRule="auto"/>
              <w:rPr>
                <w:sz w:val="18"/>
                <w:szCs w:val="18"/>
                <w:lang w:val="en-CA"/>
              </w:rPr>
            </w:pPr>
          </w:p>
        </w:tc>
      </w:tr>
      <w:tr w:rsidR="00B82F75" w:rsidRPr="00F52C10" w14:paraId="19C8478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93C1FC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ALB00000</w:t>
            </w:r>
          </w:p>
        </w:tc>
        <w:tc>
          <w:tcPr>
            <w:tcW w:w="994" w:type="dxa"/>
            <w:tcBorders>
              <w:top w:val="single" w:sz="4" w:space="0" w:color="auto"/>
              <w:left w:val="single" w:sz="4" w:space="0" w:color="auto"/>
              <w:bottom w:val="single" w:sz="4" w:space="0" w:color="auto"/>
              <w:right w:val="single" w:sz="4" w:space="0" w:color="auto"/>
            </w:tcBorders>
            <w:hideMark/>
          </w:tcPr>
          <w:p w14:paraId="729BD1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4,13</w:t>
            </w:r>
          </w:p>
        </w:tc>
        <w:tc>
          <w:tcPr>
            <w:tcW w:w="994" w:type="dxa"/>
            <w:tcBorders>
              <w:top w:val="single" w:sz="4" w:space="0" w:color="auto"/>
              <w:left w:val="single" w:sz="4" w:space="0" w:color="auto"/>
              <w:bottom w:val="single" w:sz="4" w:space="0" w:color="auto"/>
              <w:right w:val="single" w:sz="4" w:space="0" w:color="auto"/>
            </w:tcBorders>
            <w:hideMark/>
          </w:tcPr>
          <w:p w14:paraId="5ECAEF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20,00</w:t>
            </w:r>
          </w:p>
        </w:tc>
        <w:tc>
          <w:tcPr>
            <w:tcW w:w="924" w:type="dxa"/>
            <w:tcBorders>
              <w:top w:val="single" w:sz="4" w:space="0" w:color="auto"/>
              <w:left w:val="single" w:sz="4" w:space="0" w:color="auto"/>
              <w:bottom w:val="single" w:sz="4" w:space="0" w:color="auto"/>
              <w:right w:val="single" w:sz="4" w:space="0" w:color="auto"/>
            </w:tcBorders>
            <w:hideMark/>
          </w:tcPr>
          <w:p w14:paraId="2A5B43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3C67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5C42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737C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97E74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5205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−28,2</w:t>
            </w:r>
          </w:p>
        </w:tc>
        <w:tc>
          <w:tcPr>
            <w:tcW w:w="933" w:type="dxa"/>
            <w:tcBorders>
              <w:top w:val="single" w:sz="4" w:space="0" w:color="auto"/>
              <w:left w:val="single" w:sz="4" w:space="0" w:color="auto"/>
              <w:bottom w:val="single" w:sz="4" w:space="0" w:color="auto"/>
              <w:right w:val="single" w:sz="4" w:space="0" w:color="auto"/>
            </w:tcBorders>
          </w:tcPr>
          <w:p w14:paraId="7C9C7883" w14:textId="77777777" w:rsidR="00B82F75" w:rsidRPr="00F52C10" w:rsidRDefault="00B82F75" w:rsidP="00E4628E">
            <w:pPr>
              <w:pStyle w:val="Tabletext0"/>
              <w:spacing w:before="34" w:after="34" w:line="276" w:lineRule="auto"/>
              <w:rPr>
                <w:sz w:val="18"/>
                <w:szCs w:val="18"/>
                <w:lang w:val="en-CA"/>
              </w:rPr>
            </w:pPr>
          </w:p>
        </w:tc>
      </w:tr>
      <w:tr w:rsidR="00B82F75" w:rsidRPr="00F52C10" w14:paraId="25921CF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36C11D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ALG00000</w:t>
            </w:r>
          </w:p>
        </w:tc>
        <w:tc>
          <w:tcPr>
            <w:tcW w:w="994" w:type="dxa"/>
            <w:tcBorders>
              <w:top w:val="single" w:sz="4" w:space="0" w:color="auto"/>
              <w:left w:val="single" w:sz="4" w:space="0" w:color="auto"/>
              <w:bottom w:val="single" w:sz="4" w:space="0" w:color="auto"/>
              <w:right w:val="single" w:sz="4" w:space="0" w:color="auto"/>
            </w:tcBorders>
            <w:hideMark/>
          </w:tcPr>
          <w:p w14:paraId="53F4D6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−33,50</w:t>
            </w:r>
          </w:p>
        </w:tc>
        <w:tc>
          <w:tcPr>
            <w:tcW w:w="994" w:type="dxa"/>
            <w:tcBorders>
              <w:top w:val="single" w:sz="4" w:space="0" w:color="auto"/>
              <w:left w:val="single" w:sz="4" w:space="0" w:color="auto"/>
              <w:bottom w:val="single" w:sz="4" w:space="0" w:color="auto"/>
              <w:right w:val="single" w:sz="4" w:space="0" w:color="auto"/>
            </w:tcBorders>
            <w:hideMark/>
          </w:tcPr>
          <w:p w14:paraId="72D2AF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24" w:type="dxa"/>
            <w:tcBorders>
              <w:top w:val="single" w:sz="4" w:space="0" w:color="auto"/>
              <w:left w:val="single" w:sz="4" w:space="0" w:color="auto"/>
              <w:bottom w:val="single" w:sz="4" w:space="0" w:color="auto"/>
              <w:right w:val="single" w:sz="4" w:space="0" w:color="auto"/>
            </w:tcBorders>
            <w:hideMark/>
          </w:tcPr>
          <w:p w14:paraId="17B69D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3C17B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B038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36B30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2A56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5168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−26,6</w:t>
            </w:r>
          </w:p>
        </w:tc>
        <w:tc>
          <w:tcPr>
            <w:tcW w:w="933" w:type="dxa"/>
            <w:tcBorders>
              <w:top w:val="single" w:sz="4" w:space="0" w:color="auto"/>
              <w:left w:val="single" w:sz="4" w:space="0" w:color="auto"/>
              <w:bottom w:val="single" w:sz="4" w:space="0" w:color="auto"/>
              <w:right w:val="single" w:sz="4" w:space="0" w:color="auto"/>
            </w:tcBorders>
          </w:tcPr>
          <w:p w14:paraId="2719D877" w14:textId="77777777" w:rsidR="00B82F75" w:rsidRPr="00F52C10" w:rsidRDefault="00B82F75" w:rsidP="00E4628E">
            <w:pPr>
              <w:pStyle w:val="Tabletext0"/>
              <w:spacing w:before="34" w:after="34" w:line="276" w:lineRule="auto"/>
              <w:rPr>
                <w:sz w:val="18"/>
                <w:szCs w:val="18"/>
                <w:lang w:val="en-CA"/>
              </w:rPr>
            </w:pPr>
          </w:p>
        </w:tc>
      </w:tr>
      <w:tr w:rsidR="00B82F75" w:rsidRPr="00F52C10" w14:paraId="0F02AC8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16DA0A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ALS00000</w:t>
            </w:r>
          </w:p>
        </w:tc>
        <w:tc>
          <w:tcPr>
            <w:tcW w:w="994" w:type="dxa"/>
            <w:tcBorders>
              <w:top w:val="single" w:sz="4" w:space="0" w:color="auto"/>
              <w:left w:val="single" w:sz="4" w:space="0" w:color="auto"/>
              <w:bottom w:val="single" w:sz="4" w:space="0" w:color="auto"/>
              <w:right w:val="single" w:sz="4" w:space="0" w:color="auto"/>
            </w:tcBorders>
            <w:hideMark/>
          </w:tcPr>
          <w:p w14:paraId="15B9AC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0F25C3B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−158,60</w:t>
            </w:r>
          </w:p>
        </w:tc>
        <w:tc>
          <w:tcPr>
            <w:tcW w:w="924" w:type="dxa"/>
            <w:tcBorders>
              <w:top w:val="single" w:sz="4" w:space="0" w:color="auto"/>
              <w:left w:val="single" w:sz="4" w:space="0" w:color="auto"/>
              <w:bottom w:val="single" w:sz="4" w:space="0" w:color="auto"/>
              <w:right w:val="single" w:sz="4" w:space="0" w:color="auto"/>
            </w:tcBorders>
            <w:hideMark/>
          </w:tcPr>
          <w:p w14:paraId="36D29F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936E4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D8C4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BF96E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FDDD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834C4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−28,7</w:t>
            </w:r>
          </w:p>
        </w:tc>
        <w:tc>
          <w:tcPr>
            <w:tcW w:w="933" w:type="dxa"/>
            <w:tcBorders>
              <w:top w:val="single" w:sz="4" w:space="0" w:color="auto"/>
              <w:left w:val="single" w:sz="4" w:space="0" w:color="auto"/>
              <w:bottom w:val="single" w:sz="4" w:space="0" w:color="auto"/>
              <w:right w:val="single" w:sz="4" w:space="0" w:color="auto"/>
            </w:tcBorders>
            <w:hideMark/>
          </w:tcPr>
          <w:p w14:paraId="7B6C90F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0F27285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4A070B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AND00000</w:t>
            </w:r>
          </w:p>
        </w:tc>
        <w:tc>
          <w:tcPr>
            <w:tcW w:w="994" w:type="dxa"/>
            <w:tcBorders>
              <w:top w:val="single" w:sz="4" w:space="0" w:color="auto"/>
              <w:left w:val="single" w:sz="4" w:space="0" w:color="auto"/>
              <w:bottom w:val="single" w:sz="4" w:space="0" w:color="auto"/>
              <w:right w:val="single" w:sz="4" w:space="0" w:color="auto"/>
            </w:tcBorders>
            <w:hideMark/>
          </w:tcPr>
          <w:p w14:paraId="4A10B1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−41,00</w:t>
            </w:r>
          </w:p>
        </w:tc>
        <w:tc>
          <w:tcPr>
            <w:tcW w:w="994" w:type="dxa"/>
            <w:tcBorders>
              <w:top w:val="single" w:sz="4" w:space="0" w:color="auto"/>
              <w:left w:val="single" w:sz="4" w:space="0" w:color="auto"/>
              <w:bottom w:val="single" w:sz="4" w:space="0" w:color="auto"/>
              <w:right w:val="single" w:sz="4" w:space="0" w:color="auto"/>
            </w:tcBorders>
            <w:hideMark/>
          </w:tcPr>
          <w:p w14:paraId="7D6950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924" w:type="dxa"/>
            <w:tcBorders>
              <w:top w:val="single" w:sz="4" w:space="0" w:color="auto"/>
              <w:left w:val="single" w:sz="4" w:space="0" w:color="auto"/>
              <w:bottom w:val="single" w:sz="4" w:space="0" w:color="auto"/>
              <w:right w:val="single" w:sz="4" w:space="0" w:color="auto"/>
            </w:tcBorders>
            <w:hideMark/>
          </w:tcPr>
          <w:p w14:paraId="4C4EB4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62F0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A5A3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589D0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FF9F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3875F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933" w:type="dxa"/>
            <w:tcBorders>
              <w:top w:val="single" w:sz="4" w:space="0" w:color="auto"/>
              <w:left w:val="single" w:sz="4" w:space="0" w:color="auto"/>
              <w:bottom w:val="single" w:sz="4" w:space="0" w:color="auto"/>
              <w:right w:val="single" w:sz="4" w:space="0" w:color="auto"/>
            </w:tcBorders>
          </w:tcPr>
          <w:p w14:paraId="5B5CB8B7" w14:textId="77777777" w:rsidR="00B82F75" w:rsidRPr="00F52C10" w:rsidRDefault="00B82F75" w:rsidP="00E4628E">
            <w:pPr>
              <w:pStyle w:val="Tabletext0"/>
              <w:spacing w:before="34" w:after="34" w:line="276" w:lineRule="auto"/>
              <w:rPr>
                <w:sz w:val="18"/>
                <w:szCs w:val="18"/>
                <w:lang w:val="en-CA"/>
              </w:rPr>
            </w:pPr>
          </w:p>
        </w:tc>
      </w:tr>
      <w:tr w:rsidR="00B82F75" w:rsidRPr="00F52C10" w14:paraId="1E2A317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C44302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ARG00000</w:t>
            </w:r>
          </w:p>
        </w:tc>
        <w:tc>
          <w:tcPr>
            <w:tcW w:w="994" w:type="dxa"/>
            <w:tcBorders>
              <w:top w:val="single" w:sz="4" w:space="0" w:color="auto"/>
              <w:left w:val="single" w:sz="4" w:space="0" w:color="auto"/>
              <w:bottom w:val="single" w:sz="4" w:space="0" w:color="auto"/>
              <w:right w:val="single" w:sz="4" w:space="0" w:color="auto"/>
            </w:tcBorders>
            <w:hideMark/>
          </w:tcPr>
          <w:p w14:paraId="0EF752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−51,00</w:t>
            </w:r>
          </w:p>
        </w:tc>
        <w:tc>
          <w:tcPr>
            <w:tcW w:w="994" w:type="dxa"/>
            <w:tcBorders>
              <w:top w:val="single" w:sz="4" w:space="0" w:color="auto"/>
              <w:left w:val="single" w:sz="4" w:space="0" w:color="auto"/>
              <w:bottom w:val="single" w:sz="4" w:space="0" w:color="auto"/>
              <w:right w:val="single" w:sz="4" w:space="0" w:color="auto"/>
            </w:tcBorders>
            <w:hideMark/>
          </w:tcPr>
          <w:p w14:paraId="4128DE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−62,00</w:t>
            </w:r>
          </w:p>
        </w:tc>
        <w:tc>
          <w:tcPr>
            <w:tcW w:w="924" w:type="dxa"/>
            <w:tcBorders>
              <w:top w:val="single" w:sz="4" w:space="0" w:color="auto"/>
              <w:left w:val="single" w:sz="4" w:space="0" w:color="auto"/>
              <w:bottom w:val="single" w:sz="4" w:space="0" w:color="auto"/>
              <w:right w:val="single" w:sz="4" w:space="0" w:color="auto"/>
            </w:tcBorders>
            <w:hideMark/>
          </w:tcPr>
          <w:p w14:paraId="57EAA8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060AE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0A83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656533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C291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637A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−21,9</w:t>
            </w:r>
          </w:p>
        </w:tc>
        <w:tc>
          <w:tcPr>
            <w:tcW w:w="933" w:type="dxa"/>
            <w:tcBorders>
              <w:top w:val="single" w:sz="4" w:space="0" w:color="auto"/>
              <w:left w:val="single" w:sz="4" w:space="0" w:color="auto"/>
              <w:bottom w:val="single" w:sz="4" w:space="0" w:color="auto"/>
              <w:right w:val="single" w:sz="4" w:space="0" w:color="auto"/>
            </w:tcBorders>
            <w:hideMark/>
          </w:tcPr>
          <w:p w14:paraId="125D3E4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*/MB3</w:t>
            </w:r>
          </w:p>
        </w:tc>
      </w:tr>
      <w:tr w:rsidR="00B82F75" w:rsidRPr="00F52C10" w14:paraId="611DD15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3B83A4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ARGINSUL</w:t>
            </w:r>
          </w:p>
        </w:tc>
        <w:tc>
          <w:tcPr>
            <w:tcW w:w="994" w:type="dxa"/>
            <w:tcBorders>
              <w:top w:val="single" w:sz="4" w:space="0" w:color="auto"/>
              <w:left w:val="single" w:sz="4" w:space="0" w:color="auto"/>
              <w:bottom w:val="single" w:sz="4" w:space="0" w:color="auto"/>
              <w:right w:val="single" w:sz="4" w:space="0" w:color="auto"/>
            </w:tcBorders>
            <w:hideMark/>
          </w:tcPr>
          <w:p w14:paraId="5DA0C1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−51,00</w:t>
            </w:r>
          </w:p>
        </w:tc>
        <w:tc>
          <w:tcPr>
            <w:tcW w:w="994" w:type="dxa"/>
            <w:tcBorders>
              <w:top w:val="single" w:sz="4" w:space="0" w:color="auto"/>
              <w:left w:val="single" w:sz="4" w:space="0" w:color="auto"/>
              <w:bottom w:val="single" w:sz="4" w:space="0" w:color="auto"/>
              <w:right w:val="single" w:sz="4" w:space="0" w:color="auto"/>
            </w:tcBorders>
            <w:hideMark/>
          </w:tcPr>
          <w:p w14:paraId="7B3615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−60,00</w:t>
            </w:r>
          </w:p>
        </w:tc>
        <w:tc>
          <w:tcPr>
            <w:tcW w:w="924" w:type="dxa"/>
            <w:tcBorders>
              <w:top w:val="single" w:sz="4" w:space="0" w:color="auto"/>
              <w:left w:val="single" w:sz="4" w:space="0" w:color="auto"/>
              <w:bottom w:val="single" w:sz="4" w:space="0" w:color="auto"/>
              <w:right w:val="single" w:sz="4" w:space="0" w:color="auto"/>
            </w:tcBorders>
            <w:hideMark/>
          </w:tcPr>
          <w:p w14:paraId="64D0A5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37A31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1CC51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66192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3176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AA67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−28,6</w:t>
            </w:r>
          </w:p>
        </w:tc>
        <w:tc>
          <w:tcPr>
            <w:tcW w:w="933" w:type="dxa"/>
            <w:tcBorders>
              <w:top w:val="single" w:sz="4" w:space="0" w:color="auto"/>
              <w:left w:val="single" w:sz="4" w:space="0" w:color="auto"/>
              <w:bottom w:val="single" w:sz="4" w:space="0" w:color="auto"/>
              <w:right w:val="single" w:sz="4" w:space="0" w:color="auto"/>
            </w:tcBorders>
            <w:hideMark/>
          </w:tcPr>
          <w:p w14:paraId="005F3FC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*/MB3</w:t>
            </w:r>
          </w:p>
        </w:tc>
      </w:tr>
      <w:tr w:rsidR="00B82F75" w:rsidRPr="00F52C10" w14:paraId="5A9D9EA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FF4C49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ARM00000</w:t>
            </w:r>
          </w:p>
        </w:tc>
        <w:tc>
          <w:tcPr>
            <w:tcW w:w="994" w:type="dxa"/>
            <w:tcBorders>
              <w:top w:val="single" w:sz="4" w:space="0" w:color="auto"/>
              <w:left w:val="single" w:sz="4" w:space="0" w:color="auto"/>
              <w:bottom w:val="single" w:sz="4" w:space="0" w:color="auto"/>
              <w:right w:val="single" w:sz="4" w:space="0" w:color="auto"/>
            </w:tcBorders>
            <w:hideMark/>
          </w:tcPr>
          <w:p w14:paraId="7C2759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71,40</w:t>
            </w:r>
          </w:p>
        </w:tc>
        <w:tc>
          <w:tcPr>
            <w:tcW w:w="994" w:type="dxa"/>
            <w:tcBorders>
              <w:top w:val="single" w:sz="4" w:space="0" w:color="auto"/>
              <w:left w:val="single" w:sz="4" w:space="0" w:color="auto"/>
              <w:bottom w:val="single" w:sz="4" w:space="0" w:color="auto"/>
              <w:right w:val="single" w:sz="4" w:space="0" w:color="auto"/>
            </w:tcBorders>
            <w:hideMark/>
          </w:tcPr>
          <w:p w14:paraId="0CB0EC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45,13</w:t>
            </w:r>
          </w:p>
        </w:tc>
        <w:tc>
          <w:tcPr>
            <w:tcW w:w="924" w:type="dxa"/>
            <w:tcBorders>
              <w:top w:val="single" w:sz="4" w:space="0" w:color="auto"/>
              <w:left w:val="single" w:sz="4" w:space="0" w:color="auto"/>
              <w:bottom w:val="single" w:sz="4" w:space="0" w:color="auto"/>
              <w:right w:val="single" w:sz="4" w:space="0" w:color="auto"/>
            </w:tcBorders>
            <w:hideMark/>
          </w:tcPr>
          <w:p w14:paraId="7A7A48D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40,12</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4A74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5B4C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087A8F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F6983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DEECC9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−30,1</w:t>
            </w:r>
          </w:p>
        </w:tc>
        <w:tc>
          <w:tcPr>
            <w:tcW w:w="933" w:type="dxa"/>
            <w:tcBorders>
              <w:top w:val="single" w:sz="4" w:space="0" w:color="auto"/>
              <w:left w:val="single" w:sz="4" w:space="0" w:color="auto"/>
              <w:bottom w:val="single" w:sz="4" w:space="0" w:color="auto"/>
              <w:right w:val="single" w:sz="4" w:space="0" w:color="auto"/>
            </w:tcBorders>
          </w:tcPr>
          <w:p w14:paraId="6D2C614C" w14:textId="77777777" w:rsidR="00B82F75" w:rsidRPr="00F52C10" w:rsidRDefault="00B82F75" w:rsidP="00E4628E">
            <w:pPr>
              <w:pStyle w:val="Tabletext0"/>
              <w:spacing w:before="34" w:after="34" w:line="276" w:lineRule="auto"/>
              <w:rPr>
                <w:sz w:val="18"/>
                <w:szCs w:val="18"/>
                <w:lang w:val="en-CA"/>
              </w:rPr>
            </w:pPr>
          </w:p>
        </w:tc>
      </w:tr>
      <w:tr w:rsidR="00B82F75" w:rsidRPr="00F52C10" w14:paraId="1BCC88D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BDBC12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ARS00000</w:t>
            </w:r>
          </w:p>
        </w:tc>
        <w:tc>
          <w:tcPr>
            <w:tcW w:w="994" w:type="dxa"/>
            <w:tcBorders>
              <w:top w:val="single" w:sz="4" w:space="0" w:color="auto"/>
              <w:left w:val="single" w:sz="4" w:space="0" w:color="auto"/>
              <w:bottom w:val="single" w:sz="4" w:space="0" w:color="auto"/>
              <w:right w:val="single" w:sz="4" w:space="0" w:color="auto"/>
            </w:tcBorders>
            <w:hideMark/>
          </w:tcPr>
          <w:p w14:paraId="688D21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51,90</w:t>
            </w:r>
          </w:p>
        </w:tc>
        <w:tc>
          <w:tcPr>
            <w:tcW w:w="994" w:type="dxa"/>
            <w:tcBorders>
              <w:top w:val="single" w:sz="4" w:space="0" w:color="auto"/>
              <w:left w:val="single" w:sz="4" w:space="0" w:color="auto"/>
              <w:bottom w:val="single" w:sz="4" w:space="0" w:color="auto"/>
              <w:right w:val="single" w:sz="4" w:space="0" w:color="auto"/>
            </w:tcBorders>
            <w:hideMark/>
          </w:tcPr>
          <w:p w14:paraId="093B9D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45,70</w:t>
            </w:r>
          </w:p>
        </w:tc>
        <w:tc>
          <w:tcPr>
            <w:tcW w:w="924" w:type="dxa"/>
            <w:tcBorders>
              <w:top w:val="single" w:sz="4" w:space="0" w:color="auto"/>
              <w:left w:val="single" w:sz="4" w:space="0" w:color="auto"/>
              <w:bottom w:val="single" w:sz="4" w:space="0" w:color="auto"/>
              <w:right w:val="single" w:sz="4" w:space="0" w:color="auto"/>
            </w:tcBorders>
            <w:hideMark/>
          </w:tcPr>
          <w:p w14:paraId="4F1E42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6FB83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9FC1E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2326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7923E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07E7C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−29,4</w:t>
            </w:r>
          </w:p>
        </w:tc>
        <w:tc>
          <w:tcPr>
            <w:tcW w:w="933" w:type="dxa"/>
            <w:tcBorders>
              <w:top w:val="single" w:sz="4" w:space="0" w:color="auto"/>
              <w:left w:val="single" w:sz="4" w:space="0" w:color="auto"/>
              <w:bottom w:val="single" w:sz="4" w:space="0" w:color="auto"/>
              <w:right w:val="single" w:sz="4" w:space="0" w:color="auto"/>
            </w:tcBorders>
          </w:tcPr>
          <w:p w14:paraId="3F758DC5" w14:textId="77777777" w:rsidR="00B82F75" w:rsidRPr="00F52C10" w:rsidRDefault="00B82F75" w:rsidP="00E4628E">
            <w:pPr>
              <w:pStyle w:val="Tabletext0"/>
              <w:spacing w:before="34" w:after="34" w:line="276" w:lineRule="auto"/>
              <w:rPr>
                <w:sz w:val="18"/>
                <w:szCs w:val="18"/>
                <w:lang w:val="en-CA"/>
              </w:rPr>
            </w:pPr>
          </w:p>
        </w:tc>
      </w:tr>
      <w:tr w:rsidR="00B82F75" w:rsidRPr="00F52C10" w14:paraId="5E20006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0A9BA5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ASCSTHTC</w:t>
            </w:r>
          </w:p>
        </w:tc>
        <w:tc>
          <w:tcPr>
            <w:tcW w:w="994" w:type="dxa"/>
            <w:tcBorders>
              <w:top w:val="single" w:sz="4" w:space="0" w:color="auto"/>
              <w:left w:val="single" w:sz="4" w:space="0" w:color="auto"/>
              <w:bottom w:val="single" w:sz="4" w:space="0" w:color="auto"/>
              <w:right w:val="single" w:sz="4" w:space="0" w:color="auto"/>
            </w:tcBorders>
            <w:hideMark/>
          </w:tcPr>
          <w:p w14:paraId="5A5EF5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−37,10</w:t>
            </w:r>
          </w:p>
        </w:tc>
        <w:tc>
          <w:tcPr>
            <w:tcW w:w="994" w:type="dxa"/>
            <w:tcBorders>
              <w:top w:val="single" w:sz="4" w:space="0" w:color="auto"/>
              <w:left w:val="single" w:sz="4" w:space="0" w:color="auto"/>
              <w:bottom w:val="single" w:sz="4" w:space="0" w:color="auto"/>
              <w:right w:val="single" w:sz="4" w:space="0" w:color="auto"/>
            </w:tcBorders>
            <w:hideMark/>
          </w:tcPr>
          <w:p w14:paraId="07F44B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−11,80</w:t>
            </w:r>
          </w:p>
        </w:tc>
        <w:tc>
          <w:tcPr>
            <w:tcW w:w="924" w:type="dxa"/>
            <w:tcBorders>
              <w:top w:val="single" w:sz="4" w:space="0" w:color="auto"/>
              <w:left w:val="single" w:sz="4" w:space="0" w:color="auto"/>
              <w:bottom w:val="single" w:sz="4" w:space="0" w:color="auto"/>
              <w:right w:val="single" w:sz="4" w:space="0" w:color="auto"/>
            </w:tcBorders>
            <w:hideMark/>
          </w:tcPr>
          <w:p w14:paraId="41FF96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54B10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CE4A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40445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2FBA7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B645C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−28,6</w:t>
            </w:r>
          </w:p>
        </w:tc>
        <w:tc>
          <w:tcPr>
            <w:tcW w:w="933" w:type="dxa"/>
            <w:tcBorders>
              <w:top w:val="single" w:sz="4" w:space="0" w:color="auto"/>
              <w:left w:val="single" w:sz="4" w:space="0" w:color="auto"/>
              <w:bottom w:val="single" w:sz="4" w:space="0" w:color="auto"/>
              <w:right w:val="single" w:sz="4" w:space="0" w:color="auto"/>
            </w:tcBorders>
            <w:hideMark/>
          </w:tcPr>
          <w:p w14:paraId="7440343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*/MB4</w:t>
            </w:r>
          </w:p>
        </w:tc>
      </w:tr>
      <w:tr w:rsidR="00B82F75" w:rsidRPr="00F52C10" w14:paraId="274391F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CBBD11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ATG00000</w:t>
            </w:r>
          </w:p>
        </w:tc>
        <w:tc>
          <w:tcPr>
            <w:tcW w:w="994" w:type="dxa"/>
            <w:tcBorders>
              <w:top w:val="single" w:sz="4" w:space="0" w:color="auto"/>
              <w:left w:val="single" w:sz="4" w:space="0" w:color="auto"/>
              <w:bottom w:val="single" w:sz="4" w:space="0" w:color="auto"/>
              <w:right w:val="single" w:sz="4" w:space="0" w:color="auto"/>
            </w:tcBorders>
            <w:hideMark/>
          </w:tcPr>
          <w:p w14:paraId="1C508A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−77,70</w:t>
            </w:r>
          </w:p>
        </w:tc>
        <w:tc>
          <w:tcPr>
            <w:tcW w:w="994" w:type="dxa"/>
            <w:tcBorders>
              <w:top w:val="single" w:sz="4" w:space="0" w:color="auto"/>
              <w:left w:val="single" w:sz="4" w:space="0" w:color="auto"/>
              <w:bottom w:val="single" w:sz="4" w:space="0" w:color="auto"/>
              <w:right w:val="single" w:sz="4" w:space="0" w:color="auto"/>
            </w:tcBorders>
            <w:hideMark/>
          </w:tcPr>
          <w:p w14:paraId="58CE53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−61,80</w:t>
            </w:r>
          </w:p>
        </w:tc>
        <w:tc>
          <w:tcPr>
            <w:tcW w:w="924" w:type="dxa"/>
            <w:tcBorders>
              <w:top w:val="single" w:sz="4" w:space="0" w:color="auto"/>
              <w:left w:val="single" w:sz="4" w:space="0" w:color="auto"/>
              <w:bottom w:val="single" w:sz="4" w:space="0" w:color="auto"/>
              <w:right w:val="single" w:sz="4" w:space="0" w:color="auto"/>
            </w:tcBorders>
            <w:hideMark/>
          </w:tcPr>
          <w:p w14:paraId="7E55B4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003F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9909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F04B7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30C7F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17303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−27,1</w:t>
            </w:r>
          </w:p>
        </w:tc>
        <w:tc>
          <w:tcPr>
            <w:tcW w:w="933" w:type="dxa"/>
            <w:tcBorders>
              <w:top w:val="single" w:sz="4" w:space="0" w:color="auto"/>
              <w:left w:val="single" w:sz="4" w:space="0" w:color="auto"/>
              <w:bottom w:val="single" w:sz="4" w:space="0" w:color="auto"/>
              <w:right w:val="single" w:sz="4" w:space="0" w:color="auto"/>
            </w:tcBorders>
          </w:tcPr>
          <w:p w14:paraId="5456F6B6" w14:textId="77777777" w:rsidR="00B82F75" w:rsidRPr="00F52C10" w:rsidRDefault="00B82F75" w:rsidP="00E4628E">
            <w:pPr>
              <w:pStyle w:val="Tabletext0"/>
              <w:spacing w:before="34" w:after="34" w:line="276" w:lineRule="auto"/>
              <w:rPr>
                <w:sz w:val="18"/>
                <w:szCs w:val="18"/>
                <w:lang w:val="en-CA"/>
              </w:rPr>
            </w:pPr>
          </w:p>
        </w:tc>
      </w:tr>
      <w:tr w:rsidR="00B82F75" w:rsidRPr="00F52C10" w14:paraId="4C8CB96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6436F2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AUS00001</w:t>
            </w:r>
          </w:p>
        </w:tc>
        <w:tc>
          <w:tcPr>
            <w:tcW w:w="994" w:type="dxa"/>
            <w:tcBorders>
              <w:top w:val="single" w:sz="4" w:space="0" w:color="auto"/>
              <w:left w:val="single" w:sz="4" w:space="0" w:color="auto"/>
              <w:bottom w:val="single" w:sz="4" w:space="0" w:color="auto"/>
              <w:right w:val="single" w:sz="4" w:space="0" w:color="auto"/>
            </w:tcBorders>
            <w:hideMark/>
          </w:tcPr>
          <w:p w14:paraId="440BC4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144,10</w:t>
            </w:r>
          </w:p>
        </w:tc>
        <w:tc>
          <w:tcPr>
            <w:tcW w:w="994" w:type="dxa"/>
            <w:tcBorders>
              <w:top w:val="single" w:sz="4" w:space="0" w:color="auto"/>
              <w:left w:val="single" w:sz="4" w:space="0" w:color="auto"/>
              <w:bottom w:val="single" w:sz="4" w:space="0" w:color="auto"/>
              <w:right w:val="single" w:sz="4" w:space="0" w:color="auto"/>
            </w:tcBorders>
            <w:hideMark/>
          </w:tcPr>
          <w:p w14:paraId="126CBF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134,30</w:t>
            </w:r>
          </w:p>
        </w:tc>
        <w:tc>
          <w:tcPr>
            <w:tcW w:w="924" w:type="dxa"/>
            <w:tcBorders>
              <w:top w:val="single" w:sz="4" w:space="0" w:color="auto"/>
              <w:left w:val="single" w:sz="4" w:space="0" w:color="auto"/>
              <w:bottom w:val="single" w:sz="4" w:space="0" w:color="auto"/>
              <w:right w:val="single" w:sz="4" w:space="0" w:color="auto"/>
            </w:tcBorders>
            <w:hideMark/>
          </w:tcPr>
          <w:p w14:paraId="70FC563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B8544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AECE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73457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E1AC96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4ADE0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−22,1</w:t>
            </w:r>
          </w:p>
        </w:tc>
        <w:tc>
          <w:tcPr>
            <w:tcW w:w="933" w:type="dxa"/>
            <w:tcBorders>
              <w:top w:val="single" w:sz="4" w:space="0" w:color="auto"/>
              <w:left w:val="single" w:sz="4" w:space="0" w:color="auto"/>
              <w:bottom w:val="single" w:sz="4" w:space="0" w:color="auto"/>
              <w:right w:val="single" w:sz="4" w:space="0" w:color="auto"/>
            </w:tcBorders>
            <w:hideMark/>
          </w:tcPr>
          <w:p w14:paraId="5D882F5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*/MB6</w:t>
            </w:r>
          </w:p>
        </w:tc>
      </w:tr>
      <w:tr w:rsidR="00B82F75" w:rsidRPr="00F52C10" w14:paraId="2106692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DB08E7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AUS00002</w:t>
            </w:r>
          </w:p>
        </w:tc>
        <w:tc>
          <w:tcPr>
            <w:tcW w:w="994" w:type="dxa"/>
            <w:tcBorders>
              <w:top w:val="single" w:sz="4" w:space="0" w:color="auto"/>
              <w:left w:val="single" w:sz="4" w:space="0" w:color="auto"/>
              <w:bottom w:val="single" w:sz="4" w:space="0" w:color="auto"/>
              <w:right w:val="single" w:sz="4" w:space="0" w:color="auto"/>
            </w:tcBorders>
            <w:hideMark/>
          </w:tcPr>
          <w:p w14:paraId="0957197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144,10</w:t>
            </w:r>
          </w:p>
        </w:tc>
        <w:tc>
          <w:tcPr>
            <w:tcW w:w="994" w:type="dxa"/>
            <w:tcBorders>
              <w:top w:val="single" w:sz="4" w:space="0" w:color="auto"/>
              <w:left w:val="single" w:sz="4" w:space="0" w:color="auto"/>
              <w:bottom w:val="single" w:sz="4" w:space="0" w:color="auto"/>
              <w:right w:val="single" w:sz="4" w:space="0" w:color="auto"/>
            </w:tcBorders>
            <w:hideMark/>
          </w:tcPr>
          <w:p w14:paraId="6D79C6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163,60</w:t>
            </w:r>
          </w:p>
        </w:tc>
        <w:tc>
          <w:tcPr>
            <w:tcW w:w="924" w:type="dxa"/>
            <w:tcBorders>
              <w:top w:val="single" w:sz="4" w:space="0" w:color="auto"/>
              <w:left w:val="single" w:sz="4" w:space="0" w:color="auto"/>
              <w:bottom w:val="single" w:sz="4" w:space="0" w:color="auto"/>
              <w:right w:val="single" w:sz="4" w:space="0" w:color="auto"/>
            </w:tcBorders>
            <w:hideMark/>
          </w:tcPr>
          <w:p w14:paraId="73C3BA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C4D3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7FDFB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5A8EE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CCAC6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A38B3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−26,5</w:t>
            </w:r>
          </w:p>
        </w:tc>
        <w:tc>
          <w:tcPr>
            <w:tcW w:w="933" w:type="dxa"/>
            <w:tcBorders>
              <w:top w:val="single" w:sz="4" w:space="0" w:color="auto"/>
              <w:left w:val="single" w:sz="4" w:space="0" w:color="auto"/>
              <w:bottom w:val="single" w:sz="4" w:space="0" w:color="auto"/>
              <w:right w:val="single" w:sz="4" w:space="0" w:color="auto"/>
            </w:tcBorders>
            <w:hideMark/>
          </w:tcPr>
          <w:p w14:paraId="1C3B10F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*/MB6</w:t>
            </w:r>
          </w:p>
        </w:tc>
      </w:tr>
      <w:tr w:rsidR="00B82F75" w:rsidRPr="00F52C10" w14:paraId="02CE3CA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DFD21C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AUS00003</w:t>
            </w:r>
          </w:p>
        </w:tc>
        <w:tc>
          <w:tcPr>
            <w:tcW w:w="994" w:type="dxa"/>
            <w:tcBorders>
              <w:top w:val="single" w:sz="4" w:space="0" w:color="auto"/>
              <w:left w:val="single" w:sz="4" w:space="0" w:color="auto"/>
              <w:bottom w:val="single" w:sz="4" w:space="0" w:color="auto"/>
              <w:right w:val="single" w:sz="4" w:space="0" w:color="auto"/>
            </w:tcBorders>
            <w:hideMark/>
          </w:tcPr>
          <w:p w14:paraId="4305F8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144,10</w:t>
            </w:r>
          </w:p>
        </w:tc>
        <w:tc>
          <w:tcPr>
            <w:tcW w:w="994" w:type="dxa"/>
            <w:tcBorders>
              <w:top w:val="single" w:sz="4" w:space="0" w:color="auto"/>
              <w:left w:val="single" w:sz="4" w:space="0" w:color="auto"/>
              <w:bottom w:val="single" w:sz="4" w:space="0" w:color="auto"/>
              <w:right w:val="single" w:sz="4" w:space="0" w:color="auto"/>
            </w:tcBorders>
            <w:hideMark/>
          </w:tcPr>
          <w:p w14:paraId="5714A6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101,50</w:t>
            </w:r>
          </w:p>
        </w:tc>
        <w:tc>
          <w:tcPr>
            <w:tcW w:w="924" w:type="dxa"/>
            <w:tcBorders>
              <w:top w:val="single" w:sz="4" w:space="0" w:color="auto"/>
              <w:left w:val="single" w:sz="4" w:space="0" w:color="auto"/>
              <w:bottom w:val="single" w:sz="4" w:space="0" w:color="auto"/>
              <w:right w:val="single" w:sz="4" w:space="0" w:color="auto"/>
            </w:tcBorders>
            <w:hideMark/>
          </w:tcPr>
          <w:p w14:paraId="4E3DA9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E893F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594E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24C1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238F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5186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−28,5</w:t>
            </w:r>
          </w:p>
        </w:tc>
        <w:tc>
          <w:tcPr>
            <w:tcW w:w="933" w:type="dxa"/>
            <w:tcBorders>
              <w:top w:val="single" w:sz="4" w:space="0" w:color="auto"/>
              <w:left w:val="single" w:sz="4" w:space="0" w:color="auto"/>
              <w:bottom w:val="single" w:sz="4" w:space="0" w:color="auto"/>
              <w:right w:val="single" w:sz="4" w:space="0" w:color="auto"/>
            </w:tcBorders>
            <w:hideMark/>
          </w:tcPr>
          <w:p w14:paraId="5DB1A32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*/MB6</w:t>
            </w:r>
          </w:p>
        </w:tc>
      </w:tr>
      <w:tr w:rsidR="00B82F75" w:rsidRPr="00F52C10" w14:paraId="33ED3DD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CF9D92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AUS00004</w:t>
            </w:r>
          </w:p>
        </w:tc>
        <w:tc>
          <w:tcPr>
            <w:tcW w:w="994" w:type="dxa"/>
            <w:tcBorders>
              <w:top w:val="single" w:sz="4" w:space="0" w:color="auto"/>
              <w:left w:val="single" w:sz="4" w:space="0" w:color="auto"/>
              <w:bottom w:val="single" w:sz="4" w:space="0" w:color="auto"/>
              <w:right w:val="single" w:sz="4" w:space="0" w:color="auto"/>
            </w:tcBorders>
            <w:hideMark/>
          </w:tcPr>
          <w:p w14:paraId="580CFB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144,10</w:t>
            </w:r>
          </w:p>
        </w:tc>
        <w:tc>
          <w:tcPr>
            <w:tcW w:w="994" w:type="dxa"/>
            <w:tcBorders>
              <w:top w:val="single" w:sz="4" w:space="0" w:color="auto"/>
              <w:left w:val="single" w:sz="4" w:space="0" w:color="auto"/>
              <w:bottom w:val="single" w:sz="4" w:space="0" w:color="auto"/>
              <w:right w:val="single" w:sz="4" w:space="0" w:color="auto"/>
            </w:tcBorders>
            <w:hideMark/>
          </w:tcPr>
          <w:p w14:paraId="052596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24" w:type="dxa"/>
            <w:tcBorders>
              <w:top w:val="single" w:sz="4" w:space="0" w:color="auto"/>
              <w:left w:val="single" w:sz="4" w:space="0" w:color="auto"/>
              <w:bottom w:val="single" w:sz="4" w:space="0" w:color="auto"/>
              <w:right w:val="single" w:sz="4" w:space="0" w:color="auto"/>
            </w:tcBorders>
            <w:hideMark/>
          </w:tcPr>
          <w:p w14:paraId="0E165B4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B8D73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02413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31A23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C844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9F961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−32,3</w:t>
            </w:r>
          </w:p>
        </w:tc>
        <w:tc>
          <w:tcPr>
            <w:tcW w:w="933" w:type="dxa"/>
            <w:tcBorders>
              <w:top w:val="single" w:sz="4" w:space="0" w:color="auto"/>
              <w:left w:val="single" w:sz="4" w:space="0" w:color="auto"/>
              <w:bottom w:val="single" w:sz="4" w:space="0" w:color="auto"/>
              <w:right w:val="single" w:sz="4" w:space="0" w:color="auto"/>
            </w:tcBorders>
            <w:hideMark/>
          </w:tcPr>
          <w:p w14:paraId="6F0F2AE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*/MB6</w:t>
            </w:r>
          </w:p>
        </w:tc>
      </w:tr>
      <w:tr w:rsidR="00B82F75" w:rsidRPr="00F52C10" w14:paraId="431F3C6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F69AF2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AUS00005</w:t>
            </w:r>
          </w:p>
        </w:tc>
        <w:tc>
          <w:tcPr>
            <w:tcW w:w="994" w:type="dxa"/>
            <w:tcBorders>
              <w:top w:val="single" w:sz="4" w:space="0" w:color="auto"/>
              <w:left w:val="single" w:sz="4" w:space="0" w:color="auto"/>
              <w:bottom w:val="single" w:sz="4" w:space="0" w:color="auto"/>
              <w:right w:val="single" w:sz="4" w:space="0" w:color="auto"/>
            </w:tcBorders>
            <w:hideMark/>
          </w:tcPr>
          <w:p w14:paraId="047058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144,10</w:t>
            </w:r>
          </w:p>
        </w:tc>
        <w:tc>
          <w:tcPr>
            <w:tcW w:w="994" w:type="dxa"/>
            <w:tcBorders>
              <w:top w:val="single" w:sz="4" w:space="0" w:color="auto"/>
              <w:left w:val="single" w:sz="4" w:space="0" w:color="auto"/>
              <w:bottom w:val="single" w:sz="4" w:space="0" w:color="auto"/>
              <w:right w:val="single" w:sz="4" w:space="0" w:color="auto"/>
            </w:tcBorders>
            <w:hideMark/>
          </w:tcPr>
          <w:p w14:paraId="650FA6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110,40</w:t>
            </w:r>
          </w:p>
        </w:tc>
        <w:tc>
          <w:tcPr>
            <w:tcW w:w="924" w:type="dxa"/>
            <w:tcBorders>
              <w:top w:val="single" w:sz="4" w:space="0" w:color="auto"/>
              <w:left w:val="single" w:sz="4" w:space="0" w:color="auto"/>
              <w:bottom w:val="single" w:sz="4" w:space="0" w:color="auto"/>
              <w:right w:val="single" w:sz="4" w:space="0" w:color="auto"/>
            </w:tcBorders>
            <w:hideMark/>
          </w:tcPr>
          <w:p w14:paraId="2482D7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A3F5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F168F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F90C9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0953E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89504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−31,8</w:t>
            </w:r>
          </w:p>
        </w:tc>
        <w:tc>
          <w:tcPr>
            <w:tcW w:w="933" w:type="dxa"/>
            <w:tcBorders>
              <w:top w:val="single" w:sz="4" w:space="0" w:color="auto"/>
              <w:left w:val="single" w:sz="4" w:space="0" w:color="auto"/>
              <w:bottom w:val="single" w:sz="4" w:space="0" w:color="auto"/>
              <w:right w:val="single" w:sz="4" w:space="0" w:color="auto"/>
            </w:tcBorders>
            <w:hideMark/>
          </w:tcPr>
          <w:p w14:paraId="27C81D7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*/MB6</w:t>
            </w:r>
          </w:p>
        </w:tc>
      </w:tr>
      <w:tr w:rsidR="00B82F75" w:rsidRPr="00F52C10" w14:paraId="49F5B0C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05D94B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AUT00000</w:t>
            </w:r>
          </w:p>
        </w:tc>
        <w:tc>
          <w:tcPr>
            <w:tcW w:w="994" w:type="dxa"/>
            <w:tcBorders>
              <w:top w:val="single" w:sz="4" w:space="0" w:color="auto"/>
              <w:left w:val="single" w:sz="4" w:space="0" w:color="auto"/>
              <w:bottom w:val="single" w:sz="4" w:space="0" w:color="auto"/>
              <w:right w:val="single" w:sz="4" w:space="0" w:color="auto"/>
            </w:tcBorders>
            <w:hideMark/>
          </w:tcPr>
          <w:p w14:paraId="411EDA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−11,40</w:t>
            </w:r>
          </w:p>
        </w:tc>
        <w:tc>
          <w:tcPr>
            <w:tcW w:w="994" w:type="dxa"/>
            <w:tcBorders>
              <w:top w:val="single" w:sz="4" w:space="0" w:color="auto"/>
              <w:left w:val="single" w:sz="4" w:space="0" w:color="auto"/>
              <w:bottom w:val="single" w:sz="4" w:space="0" w:color="auto"/>
              <w:right w:val="single" w:sz="4" w:space="0" w:color="auto"/>
            </w:tcBorders>
            <w:hideMark/>
          </w:tcPr>
          <w:p w14:paraId="57B78F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13,20</w:t>
            </w:r>
          </w:p>
        </w:tc>
        <w:tc>
          <w:tcPr>
            <w:tcW w:w="924" w:type="dxa"/>
            <w:tcBorders>
              <w:top w:val="single" w:sz="4" w:space="0" w:color="auto"/>
              <w:left w:val="single" w:sz="4" w:space="0" w:color="auto"/>
              <w:bottom w:val="single" w:sz="4" w:space="0" w:color="auto"/>
              <w:right w:val="single" w:sz="4" w:space="0" w:color="auto"/>
            </w:tcBorders>
            <w:hideMark/>
          </w:tcPr>
          <w:p w14:paraId="38111E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D73E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37BAA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A5A82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4A48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5BF78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−27,2</w:t>
            </w:r>
          </w:p>
        </w:tc>
        <w:tc>
          <w:tcPr>
            <w:tcW w:w="933" w:type="dxa"/>
            <w:tcBorders>
              <w:top w:val="single" w:sz="4" w:space="0" w:color="auto"/>
              <w:left w:val="single" w:sz="4" w:space="0" w:color="auto"/>
              <w:bottom w:val="single" w:sz="4" w:space="0" w:color="auto"/>
              <w:right w:val="single" w:sz="4" w:space="0" w:color="auto"/>
            </w:tcBorders>
          </w:tcPr>
          <w:p w14:paraId="6D895E5B" w14:textId="77777777" w:rsidR="00B82F75" w:rsidRPr="00F52C10" w:rsidRDefault="00B82F75" w:rsidP="00E4628E">
            <w:pPr>
              <w:pStyle w:val="Tabletext0"/>
              <w:spacing w:before="34" w:after="34" w:line="276" w:lineRule="auto"/>
              <w:rPr>
                <w:sz w:val="18"/>
                <w:szCs w:val="18"/>
                <w:lang w:val="en-CA"/>
              </w:rPr>
            </w:pPr>
          </w:p>
        </w:tc>
      </w:tr>
      <w:tr w:rsidR="00B82F75" w:rsidRPr="00F52C10" w14:paraId="62C67B8C" w14:textId="77777777" w:rsidTr="004473CA">
        <w:trPr>
          <w:jc w:val="center"/>
        </w:trPr>
        <w:tc>
          <w:tcPr>
            <w:tcW w:w="1190" w:type="dxa"/>
            <w:tcBorders>
              <w:top w:val="single" w:sz="4" w:space="0" w:color="auto"/>
              <w:left w:val="single" w:sz="4" w:space="0" w:color="auto"/>
              <w:bottom w:val="single" w:sz="4" w:space="0" w:color="auto"/>
              <w:right w:val="single" w:sz="4" w:space="0" w:color="auto"/>
            </w:tcBorders>
            <w:vAlign w:val="bottom"/>
            <w:hideMark/>
          </w:tcPr>
          <w:p w14:paraId="718AEB4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AZE00000</w:t>
            </w:r>
          </w:p>
        </w:tc>
        <w:tc>
          <w:tcPr>
            <w:tcW w:w="994" w:type="dxa"/>
            <w:tcBorders>
              <w:top w:val="single" w:sz="4" w:space="0" w:color="auto"/>
              <w:left w:val="single" w:sz="4" w:space="0" w:color="auto"/>
              <w:bottom w:val="single" w:sz="4" w:space="0" w:color="auto"/>
              <w:right w:val="single" w:sz="4" w:space="0" w:color="auto"/>
            </w:tcBorders>
            <w:vAlign w:val="bottom"/>
            <w:hideMark/>
          </w:tcPr>
          <w:p w14:paraId="7971C73B"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95,90</w:t>
            </w:r>
          </w:p>
        </w:tc>
        <w:tc>
          <w:tcPr>
            <w:tcW w:w="994" w:type="dxa"/>
            <w:tcBorders>
              <w:top w:val="single" w:sz="4" w:space="0" w:color="auto"/>
              <w:left w:val="single" w:sz="4" w:space="0" w:color="auto"/>
              <w:bottom w:val="single" w:sz="4" w:space="0" w:color="auto"/>
              <w:right w:val="single" w:sz="4" w:space="0" w:color="auto"/>
            </w:tcBorders>
            <w:vAlign w:val="bottom"/>
            <w:hideMark/>
          </w:tcPr>
          <w:p w14:paraId="1CF50FC2"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47,20</w:t>
            </w:r>
          </w:p>
        </w:tc>
        <w:tc>
          <w:tcPr>
            <w:tcW w:w="924" w:type="dxa"/>
            <w:tcBorders>
              <w:top w:val="single" w:sz="4" w:space="0" w:color="auto"/>
              <w:left w:val="single" w:sz="4" w:space="0" w:color="auto"/>
              <w:bottom w:val="single" w:sz="4" w:space="0" w:color="auto"/>
              <w:right w:val="single" w:sz="4" w:space="0" w:color="auto"/>
            </w:tcBorders>
            <w:vAlign w:val="bottom"/>
            <w:hideMark/>
          </w:tcPr>
          <w:p w14:paraId="006A398E"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40,34</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062EB948"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4986B794"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503D857C"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6336C308"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46E4F3B4"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−31,0</w:t>
            </w:r>
          </w:p>
        </w:tc>
        <w:tc>
          <w:tcPr>
            <w:tcW w:w="951" w:type="dxa"/>
            <w:gridSpan w:val="2"/>
            <w:tcBorders>
              <w:top w:val="single" w:sz="4" w:space="0" w:color="auto"/>
              <w:left w:val="single" w:sz="4" w:space="0" w:color="auto"/>
              <w:bottom w:val="single" w:sz="4" w:space="0" w:color="auto"/>
              <w:right w:val="single" w:sz="4" w:space="0" w:color="auto"/>
            </w:tcBorders>
            <w:vAlign w:val="bottom"/>
            <w:hideMark/>
          </w:tcPr>
          <w:p w14:paraId="58662C8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340CF29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37EA18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lastRenderedPageBreak/>
              <w:t>AZR00000</w:t>
            </w:r>
          </w:p>
        </w:tc>
        <w:tc>
          <w:tcPr>
            <w:tcW w:w="994" w:type="dxa"/>
            <w:tcBorders>
              <w:top w:val="single" w:sz="4" w:space="0" w:color="auto"/>
              <w:left w:val="single" w:sz="4" w:space="0" w:color="auto"/>
              <w:bottom w:val="single" w:sz="4" w:space="0" w:color="auto"/>
              <w:right w:val="single" w:sz="4" w:space="0" w:color="auto"/>
            </w:tcBorders>
            <w:hideMark/>
          </w:tcPr>
          <w:p w14:paraId="5C0748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−10,60</w:t>
            </w:r>
          </w:p>
        </w:tc>
        <w:tc>
          <w:tcPr>
            <w:tcW w:w="994" w:type="dxa"/>
            <w:tcBorders>
              <w:top w:val="single" w:sz="4" w:space="0" w:color="auto"/>
              <w:left w:val="single" w:sz="4" w:space="0" w:color="auto"/>
              <w:bottom w:val="single" w:sz="4" w:space="0" w:color="auto"/>
              <w:right w:val="single" w:sz="4" w:space="0" w:color="auto"/>
            </w:tcBorders>
            <w:hideMark/>
          </w:tcPr>
          <w:p w14:paraId="1E6ABB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−28,00</w:t>
            </w:r>
          </w:p>
        </w:tc>
        <w:tc>
          <w:tcPr>
            <w:tcW w:w="924" w:type="dxa"/>
            <w:tcBorders>
              <w:top w:val="single" w:sz="4" w:space="0" w:color="auto"/>
              <w:left w:val="single" w:sz="4" w:space="0" w:color="auto"/>
              <w:bottom w:val="single" w:sz="4" w:space="0" w:color="auto"/>
              <w:right w:val="single" w:sz="4" w:space="0" w:color="auto"/>
            </w:tcBorders>
            <w:hideMark/>
          </w:tcPr>
          <w:p w14:paraId="7FB756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789AD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7D95A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73F2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1A796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9AF33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−27,9</w:t>
            </w:r>
          </w:p>
        </w:tc>
        <w:tc>
          <w:tcPr>
            <w:tcW w:w="933" w:type="dxa"/>
            <w:tcBorders>
              <w:top w:val="single" w:sz="4" w:space="0" w:color="auto"/>
              <w:left w:val="single" w:sz="4" w:space="0" w:color="auto"/>
              <w:bottom w:val="single" w:sz="4" w:space="0" w:color="auto"/>
              <w:right w:val="single" w:sz="4" w:space="0" w:color="auto"/>
            </w:tcBorders>
            <w:hideMark/>
          </w:tcPr>
          <w:p w14:paraId="4160A7A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*/MB7</w:t>
            </w:r>
          </w:p>
        </w:tc>
      </w:tr>
      <w:tr w:rsidR="00B82F75" w:rsidRPr="00F52C10" w14:paraId="369B7D8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FC419F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  00001</w:t>
            </w:r>
          </w:p>
        </w:tc>
        <w:tc>
          <w:tcPr>
            <w:tcW w:w="994" w:type="dxa"/>
            <w:tcBorders>
              <w:top w:val="single" w:sz="4" w:space="0" w:color="auto"/>
              <w:left w:val="single" w:sz="4" w:space="0" w:color="auto"/>
              <w:bottom w:val="single" w:sz="4" w:space="0" w:color="auto"/>
              <w:right w:val="single" w:sz="4" w:space="0" w:color="auto"/>
            </w:tcBorders>
            <w:hideMark/>
          </w:tcPr>
          <w:p w14:paraId="5124397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−66,25</w:t>
            </w:r>
          </w:p>
        </w:tc>
        <w:tc>
          <w:tcPr>
            <w:tcW w:w="994" w:type="dxa"/>
            <w:tcBorders>
              <w:top w:val="single" w:sz="4" w:space="0" w:color="auto"/>
              <w:left w:val="single" w:sz="4" w:space="0" w:color="auto"/>
              <w:bottom w:val="single" w:sz="4" w:space="0" w:color="auto"/>
              <w:right w:val="single" w:sz="4" w:space="0" w:color="auto"/>
            </w:tcBorders>
            <w:hideMark/>
          </w:tcPr>
          <w:p w14:paraId="75BE9C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−62,60</w:t>
            </w:r>
          </w:p>
        </w:tc>
        <w:tc>
          <w:tcPr>
            <w:tcW w:w="924" w:type="dxa"/>
            <w:tcBorders>
              <w:top w:val="single" w:sz="4" w:space="0" w:color="auto"/>
              <w:left w:val="single" w:sz="4" w:space="0" w:color="auto"/>
              <w:bottom w:val="single" w:sz="4" w:space="0" w:color="auto"/>
              <w:right w:val="single" w:sz="4" w:space="0" w:color="auto"/>
            </w:tcBorders>
            <w:hideMark/>
          </w:tcPr>
          <w:p w14:paraId="2C7BFD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B69D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C56C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BE70A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8F9D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A971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−22,4</w:t>
            </w:r>
          </w:p>
        </w:tc>
        <w:tc>
          <w:tcPr>
            <w:tcW w:w="933" w:type="dxa"/>
            <w:tcBorders>
              <w:top w:val="single" w:sz="4" w:space="0" w:color="auto"/>
              <w:left w:val="single" w:sz="4" w:space="0" w:color="auto"/>
              <w:bottom w:val="single" w:sz="4" w:space="0" w:color="auto"/>
              <w:right w:val="single" w:sz="4" w:space="0" w:color="auto"/>
            </w:tcBorders>
          </w:tcPr>
          <w:p w14:paraId="6072FE87" w14:textId="77777777" w:rsidR="00B82F75" w:rsidRPr="00F52C10" w:rsidRDefault="00B82F75" w:rsidP="00E4628E">
            <w:pPr>
              <w:pStyle w:val="Tabletext0"/>
              <w:spacing w:before="34" w:after="34" w:line="276" w:lineRule="auto"/>
              <w:rPr>
                <w:sz w:val="18"/>
                <w:szCs w:val="18"/>
                <w:lang w:val="en-CA"/>
              </w:rPr>
            </w:pPr>
          </w:p>
        </w:tc>
      </w:tr>
      <w:tr w:rsidR="00B82F75" w:rsidRPr="00F52C10" w14:paraId="0AFFDC9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62A660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  00002</w:t>
            </w:r>
          </w:p>
        </w:tc>
        <w:tc>
          <w:tcPr>
            <w:tcW w:w="994" w:type="dxa"/>
            <w:tcBorders>
              <w:top w:val="single" w:sz="4" w:space="0" w:color="auto"/>
              <w:left w:val="single" w:sz="4" w:space="0" w:color="auto"/>
              <w:bottom w:val="single" w:sz="4" w:space="0" w:color="auto"/>
              <w:right w:val="single" w:sz="4" w:space="0" w:color="auto"/>
            </w:tcBorders>
            <w:hideMark/>
          </w:tcPr>
          <w:p w14:paraId="2398DB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−63,60</w:t>
            </w:r>
          </w:p>
        </w:tc>
        <w:tc>
          <w:tcPr>
            <w:tcW w:w="994" w:type="dxa"/>
            <w:tcBorders>
              <w:top w:val="single" w:sz="4" w:space="0" w:color="auto"/>
              <w:left w:val="single" w:sz="4" w:space="0" w:color="auto"/>
              <w:bottom w:val="single" w:sz="4" w:space="0" w:color="auto"/>
              <w:right w:val="single" w:sz="4" w:space="0" w:color="auto"/>
            </w:tcBorders>
            <w:hideMark/>
          </w:tcPr>
          <w:p w14:paraId="3A354F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−45,40</w:t>
            </w:r>
          </w:p>
        </w:tc>
        <w:tc>
          <w:tcPr>
            <w:tcW w:w="924" w:type="dxa"/>
            <w:tcBorders>
              <w:top w:val="single" w:sz="4" w:space="0" w:color="auto"/>
              <w:left w:val="single" w:sz="4" w:space="0" w:color="auto"/>
              <w:bottom w:val="single" w:sz="4" w:space="0" w:color="auto"/>
              <w:right w:val="single" w:sz="4" w:space="0" w:color="auto"/>
            </w:tcBorders>
            <w:hideMark/>
          </w:tcPr>
          <w:p w14:paraId="2A3F1B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215CF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9B34F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F0472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A6532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D0E8A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−22,4</w:t>
            </w:r>
          </w:p>
        </w:tc>
        <w:tc>
          <w:tcPr>
            <w:tcW w:w="933" w:type="dxa"/>
            <w:tcBorders>
              <w:top w:val="single" w:sz="4" w:space="0" w:color="auto"/>
              <w:left w:val="single" w:sz="4" w:space="0" w:color="auto"/>
              <w:bottom w:val="single" w:sz="4" w:space="0" w:color="auto"/>
              <w:right w:val="single" w:sz="4" w:space="0" w:color="auto"/>
            </w:tcBorders>
          </w:tcPr>
          <w:p w14:paraId="7C7AB85E" w14:textId="77777777" w:rsidR="00B82F75" w:rsidRPr="00F52C10" w:rsidRDefault="00B82F75" w:rsidP="00E4628E">
            <w:pPr>
              <w:pStyle w:val="Tabletext0"/>
              <w:spacing w:before="34" w:after="34" w:line="276" w:lineRule="auto"/>
              <w:rPr>
                <w:sz w:val="18"/>
                <w:szCs w:val="18"/>
                <w:lang w:val="en-CA"/>
              </w:rPr>
            </w:pPr>
          </w:p>
        </w:tc>
      </w:tr>
      <w:tr w:rsidR="00B82F75" w:rsidRPr="00F52C10" w14:paraId="4842EB4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4BE832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  00003</w:t>
            </w:r>
          </w:p>
        </w:tc>
        <w:tc>
          <w:tcPr>
            <w:tcW w:w="994" w:type="dxa"/>
            <w:tcBorders>
              <w:top w:val="single" w:sz="4" w:space="0" w:color="auto"/>
              <w:left w:val="single" w:sz="4" w:space="0" w:color="auto"/>
              <w:bottom w:val="single" w:sz="4" w:space="0" w:color="auto"/>
              <w:right w:val="single" w:sz="4" w:space="0" w:color="auto"/>
            </w:tcBorders>
            <w:hideMark/>
          </w:tcPr>
          <w:p w14:paraId="6BBADB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−69,45</w:t>
            </w:r>
          </w:p>
        </w:tc>
        <w:tc>
          <w:tcPr>
            <w:tcW w:w="994" w:type="dxa"/>
            <w:tcBorders>
              <w:top w:val="single" w:sz="4" w:space="0" w:color="auto"/>
              <w:left w:val="single" w:sz="4" w:space="0" w:color="auto"/>
              <w:bottom w:val="single" w:sz="4" w:space="0" w:color="auto"/>
              <w:right w:val="single" w:sz="4" w:space="0" w:color="auto"/>
            </w:tcBorders>
            <w:hideMark/>
          </w:tcPr>
          <w:p w14:paraId="7A77C71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−50,00</w:t>
            </w:r>
          </w:p>
        </w:tc>
        <w:tc>
          <w:tcPr>
            <w:tcW w:w="924" w:type="dxa"/>
            <w:tcBorders>
              <w:top w:val="single" w:sz="4" w:space="0" w:color="auto"/>
              <w:left w:val="single" w:sz="4" w:space="0" w:color="auto"/>
              <w:bottom w:val="single" w:sz="4" w:space="0" w:color="auto"/>
              <w:right w:val="single" w:sz="4" w:space="0" w:color="auto"/>
            </w:tcBorders>
            <w:hideMark/>
          </w:tcPr>
          <w:p w14:paraId="601D5A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11A542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1C5A0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CB5A4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F715E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3DBF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−22,2</w:t>
            </w:r>
          </w:p>
        </w:tc>
        <w:tc>
          <w:tcPr>
            <w:tcW w:w="933" w:type="dxa"/>
            <w:tcBorders>
              <w:top w:val="single" w:sz="4" w:space="0" w:color="auto"/>
              <w:left w:val="single" w:sz="4" w:space="0" w:color="auto"/>
              <w:bottom w:val="single" w:sz="4" w:space="0" w:color="auto"/>
              <w:right w:val="single" w:sz="4" w:space="0" w:color="auto"/>
            </w:tcBorders>
          </w:tcPr>
          <w:p w14:paraId="6AF4B14E" w14:textId="77777777" w:rsidR="00B82F75" w:rsidRPr="00F52C10" w:rsidRDefault="00B82F75" w:rsidP="00E4628E">
            <w:pPr>
              <w:pStyle w:val="Tabletext0"/>
              <w:spacing w:before="34" w:after="34" w:line="276" w:lineRule="auto"/>
              <w:rPr>
                <w:sz w:val="18"/>
                <w:szCs w:val="18"/>
                <w:lang w:val="en-CA"/>
              </w:rPr>
            </w:pPr>
          </w:p>
        </w:tc>
      </w:tr>
      <w:tr w:rsidR="00B82F75" w:rsidRPr="00F52C10" w14:paraId="241AEE0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A48086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BAH00000</w:t>
            </w:r>
          </w:p>
        </w:tc>
        <w:tc>
          <w:tcPr>
            <w:tcW w:w="994" w:type="dxa"/>
            <w:tcBorders>
              <w:top w:val="single" w:sz="4" w:space="0" w:color="auto"/>
              <w:left w:val="single" w:sz="4" w:space="0" w:color="auto"/>
              <w:bottom w:val="single" w:sz="4" w:space="0" w:color="auto"/>
              <w:right w:val="single" w:sz="4" w:space="0" w:color="auto"/>
            </w:tcBorders>
            <w:hideMark/>
          </w:tcPr>
          <w:p w14:paraId="487872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−74,30</w:t>
            </w:r>
          </w:p>
        </w:tc>
        <w:tc>
          <w:tcPr>
            <w:tcW w:w="994" w:type="dxa"/>
            <w:tcBorders>
              <w:top w:val="single" w:sz="4" w:space="0" w:color="auto"/>
              <w:left w:val="single" w:sz="4" w:space="0" w:color="auto"/>
              <w:bottom w:val="single" w:sz="4" w:space="0" w:color="auto"/>
              <w:right w:val="single" w:sz="4" w:space="0" w:color="auto"/>
            </w:tcBorders>
            <w:hideMark/>
          </w:tcPr>
          <w:p w14:paraId="4FD7F7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−75,80</w:t>
            </w:r>
          </w:p>
        </w:tc>
        <w:tc>
          <w:tcPr>
            <w:tcW w:w="924" w:type="dxa"/>
            <w:tcBorders>
              <w:top w:val="single" w:sz="4" w:space="0" w:color="auto"/>
              <w:left w:val="single" w:sz="4" w:space="0" w:color="auto"/>
              <w:bottom w:val="single" w:sz="4" w:space="0" w:color="auto"/>
              <w:right w:val="single" w:sz="4" w:space="0" w:color="auto"/>
            </w:tcBorders>
            <w:hideMark/>
          </w:tcPr>
          <w:p w14:paraId="2B46DC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88717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AF07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D07EA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3974E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EAA12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−24,5</w:t>
            </w:r>
          </w:p>
        </w:tc>
        <w:tc>
          <w:tcPr>
            <w:tcW w:w="933" w:type="dxa"/>
            <w:tcBorders>
              <w:top w:val="single" w:sz="4" w:space="0" w:color="auto"/>
              <w:left w:val="single" w:sz="4" w:space="0" w:color="auto"/>
              <w:bottom w:val="single" w:sz="4" w:space="0" w:color="auto"/>
              <w:right w:val="single" w:sz="4" w:space="0" w:color="auto"/>
            </w:tcBorders>
          </w:tcPr>
          <w:p w14:paraId="0DA23D6B" w14:textId="77777777" w:rsidR="00B82F75" w:rsidRPr="00F52C10" w:rsidRDefault="00B82F75" w:rsidP="00E4628E">
            <w:pPr>
              <w:pStyle w:val="Tabletext0"/>
              <w:spacing w:before="34" w:after="34" w:line="276" w:lineRule="auto"/>
              <w:rPr>
                <w:sz w:val="18"/>
                <w:szCs w:val="18"/>
                <w:lang w:val="en-CA"/>
              </w:rPr>
            </w:pPr>
          </w:p>
        </w:tc>
      </w:tr>
      <w:tr w:rsidR="00B82F75" w:rsidRPr="00F52C10" w14:paraId="0A55DD0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82ACA0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BDI00000</w:t>
            </w:r>
          </w:p>
        </w:tc>
        <w:tc>
          <w:tcPr>
            <w:tcW w:w="994" w:type="dxa"/>
            <w:tcBorders>
              <w:top w:val="single" w:sz="4" w:space="0" w:color="auto"/>
              <w:left w:val="single" w:sz="4" w:space="0" w:color="auto"/>
              <w:bottom w:val="single" w:sz="4" w:space="0" w:color="auto"/>
              <w:right w:val="single" w:sz="4" w:space="0" w:color="auto"/>
            </w:tcBorders>
            <w:hideMark/>
          </w:tcPr>
          <w:p w14:paraId="5C9450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w:t>
            </w:r>
          </w:p>
        </w:tc>
        <w:tc>
          <w:tcPr>
            <w:tcW w:w="994" w:type="dxa"/>
            <w:tcBorders>
              <w:top w:val="single" w:sz="4" w:space="0" w:color="auto"/>
              <w:left w:val="single" w:sz="4" w:space="0" w:color="auto"/>
              <w:bottom w:val="single" w:sz="4" w:space="0" w:color="auto"/>
              <w:right w:val="single" w:sz="4" w:space="0" w:color="auto"/>
            </w:tcBorders>
            <w:hideMark/>
          </w:tcPr>
          <w:p w14:paraId="40D095D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29,90</w:t>
            </w:r>
          </w:p>
        </w:tc>
        <w:tc>
          <w:tcPr>
            <w:tcW w:w="924" w:type="dxa"/>
            <w:tcBorders>
              <w:top w:val="single" w:sz="4" w:space="0" w:color="auto"/>
              <w:left w:val="single" w:sz="4" w:space="0" w:color="auto"/>
              <w:bottom w:val="single" w:sz="4" w:space="0" w:color="auto"/>
              <w:right w:val="single" w:sz="4" w:space="0" w:color="auto"/>
            </w:tcBorders>
            <w:hideMark/>
          </w:tcPr>
          <w:p w14:paraId="1D11F2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483F5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56FCF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D85CF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18139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598D0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−29,9</w:t>
            </w:r>
          </w:p>
        </w:tc>
        <w:tc>
          <w:tcPr>
            <w:tcW w:w="933" w:type="dxa"/>
            <w:tcBorders>
              <w:top w:val="single" w:sz="4" w:space="0" w:color="auto"/>
              <w:left w:val="single" w:sz="4" w:space="0" w:color="auto"/>
              <w:bottom w:val="single" w:sz="4" w:space="0" w:color="auto"/>
              <w:right w:val="single" w:sz="4" w:space="0" w:color="auto"/>
            </w:tcBorders>
          </w:tcPr>
          <w:p w14:paraId="427B2C0E" w14:textId="77777777" w:rsidR="00B82F75" w:rsidRPr="00F52C10" w:rsidRDefault="00B82F75" w:rsidP="00E4628E">
            <w:pPr>
              <w:pStyle w:val="Tabletext0"/>
              <w:spacing w:before="34" w:after="34" w:line="276" w:lineRule="auto"/>
              <w:rPr>
                <w:sz w:val="18"/>
                <w:szCs w:val="18"/>
                <w:lang w:val="en-CA"/>
              </w:rPr>
            </w:pPr>
          </w:p>
        </w:tc>
      </w:tr>
      <w:tr w:rsidR="00B82F75" w:rsidRPr="00F52C10" w14:paraId="2408BAB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B0CCAA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BEL00000</w:t>
            </w:r>
          </w:p>
        </w:tc>
        <w:tc>
          <w:tcPr>
            <w:tcW w:w="994" w:type="dxa"/>
            <w:tcBorders>
              <w:top w:val="single" w:sz="4" w:space="0" w:color="auto"/>
              <w:left w:val="single" w:sz="4" w:space="0" w:color="auto"/>
              <w:bottom w:val="single" w:sz="4" w:space="0" w:color="auto"/>
              <w:right w:val="single" w:sz="4" w:space="0" w:color="auto"/>
            </w:tcBorders>
            <w:hideMark/>
          </w:tcPr>
          <w:p w14:paraId="54C842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54,55</w:t>
            </w:r>
          </w:p>
        </w:tc>
        <w:tc>
          <w:tcPr>
            <w:tcW w:w="994" w:type="dxa"/>
            <w:tcBorders>
              <w:top w:val="single" w:sz="4" w:space="0" w:color="auto"/>
              <w:left w:val="single" w:sz="4" w:space="0" w:color="auto"/>
              <w:bottom w:val="single" w:sz="4" w:space="0" w:color="auto"/>
              <w:right w:val="single" w:sz="4" w:space="0" w:color="auto"/>
            </w:tcBorders>
            <w:hideMark/>
          </w:tcPr>
          <w:p w14:paraId="219C2D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5,20</w:t>
            </w:r>
          </w:p>
        </w:tc>
        <w:tc>
          <w:tcPr>
            <w:tcW w:w="924" w:type="dxa"/>
            <w:tcBorders>
              <w:top w:val="single" w:sz="4" w:space="0" w:color="auto"/>
              <w:left w:val="single" w:sz="4" w:space="0" w:color="auto"/>
              <w:bottom w:val="single" w:sz="4" w:space="0" w:color="auto"/>
              <w:right w:val="single" w:sz="4" w:space="0" w:color="auto"/>
            </w:tcBorders>
            <w:hideMark/>
          </w:tcPr>
          <w:p w14:paraId="7F94A7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4FDBB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51988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F9859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9EDF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F820F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−30,2</w:t>
            </w:r>
          </w:p>
        </w:tc>
        <w:tc>
          <w:tcPr>
            <w:tcW w:w="933" w:type="dxa"/>
            <w:tcBorders>
              <w:top w:val="single" w:sz="4" w:space="0" w:color="auto"/>
              <w:left w:val="single" w:sz="4" w:space="0" w:color="auto"/>
              <w:bottom w:val="single" w:sz="4" w:space="0" w:color="auto"/>
              <w:right w:val="single" w:sz="4" w:space="0" w:color="auto"/>
            </w:tcBorders>
          </w:tcPr>
          <w:p w14:paraId="6115FFF1" w14:textId="77777777" w:rsidR="00B82F75" w:rsidRPr="00F52C10" w:rsidRDefault="00B82F75" w:rsidP="00E4628E">
            <w:pPr>
              <w:pStyle w:val="Tabletext0"/>
              <w:spacing w:before="34" w:after="34" w:line="276" w:lineRule="auto"/>
              <w:rPr>
                <w:sz w:val="18"/>
                <w:szCs w:val="18"/>
                <w:lang w:val="en-CA"/>
              </w:rPr>
            </w:pPr>
          </w:p>
        </w:tc>
      </w:tr>
      <w:tr w:rsidR="00B82F75" w:rsidRPr="00F52C10" w14:paraId="5917F78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DEEA84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BEN00000</w:t>
            </w:r>
          </w:p>
        </w:tc>
        <w:tc>
          <w:tcPr>
            <w:tcW w:w="994" w:type="dxa"/>
            <w:tcBorders>
              <w:top w:val="single" w:sz="4" w:space="0" w:color="auto"/>
              <w:left w:val="single" w:sz="4" w:space="0" w:color="auto"/>
              <w:bottom w:val="single" w:sz="4" w:space="0" w:color="auto"/>
              <w:right w:val="single" w:sz="4" w:space="0" w:color="auto"/>
            </w:tcBorders>
            <w:hideMark/>
          </w:tcPr>
          <w:p w14:paraId="47B9E0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−30,60</w:t>
            </w:r>
          </w:p>
        </w:tc>
        <w:tc>
          <w:tcPr>
            <w:tcW w:w="994" w:type="dxa"/>
            <w:tcBorders>
              <w:top w:val="single" w:sz="4" w:space="0" w:color="auto"/>
              <w:left w:val="single" w:sz="4" w:space="0" w:color="auto"/>
              <w:bottom w:val="single" w:sz="4" w:space="0" w:color="auto"/>
              <w:right w:val="single" w:sz="4" w:space="0" w:color="auto"/>
            </w:tcBorders>
            <w:hideMark/>
          </w:tcPr>
          <w:p w14:paraId="40DD66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24" w:type="dxa"/>
            <w:tcBorders>
              <w:top w:val="single" w:sz="4" w:space="0" w:color="auto"/>
              <w:left w:val="single" w:sz="4" w:space="0" w:color="auto"/>
              <w:bottom w:val="single" w:sz="4" w:space="0" w:color="auto"/>
              <w:right w:val="single" w:sz="4" w:space="0" w:color="auto"/>
            </w:tcBorders>
            <w:hideMark/>
          </w:tcPr>
          <w:p w14:paraId="08C32E6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D6F8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FEDE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BADD5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6E3202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256586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33" w:type="dxa"/>
            <w:tcBorders>
              <w:top w:val="single" w:sz="4" w:space="0" w:color="auto"/>
              <w:left w:val="single" w:sz="4" w:space="0" w:color="auto"/>
              <w:bottom w:val="single" w:sz="4" w:space="0" w:color="auto"/>
              <w:right w:val="single" w:sz="4" w:space="0" w:color="auto"/>
            </w:tcBorders>
          </w:tcPr>
          <w:p w14:paraId="758A637F" w14:textId="77777777" w:rsidR="00B82F75" w:rsidRPr="00F52C10" w:rsidRDefault="00B82F75" w:rsidP="00E4628E">
            <w:pPr>
              <w:pStyle w:val="Tabletext0"/>
              <w:spacing w:before="34" w:after="34" w:line="276" w:lineRule="auto"/>
              <w:rPr>
                <w:sz w:val="18"/>
                <w:szCs w:val="18"/>
                <w:lang w:val="en-CA"/>
              </w:rPr>
            </w:pPr>
          </w:p>
        </w:tc>
      </w:tr>
      <w:tr w:rsidR="00B82F75" w:rsidRPr="00F52C10" w14:paraId="499F0FEF"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7808BC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BERCAYS</w:t>
            </w:r>
          </w:p>
        </w:tc>
        <w:tc>
          <w:tcPr>
            <w:tcW w:w="994" w:type="dxa"/>
            <w:tcBorders>
              <w:top w:val="single" w:sz="4" w:space="0" w:color="auto"/>
              <w:left w:val="single" w:sz="4" w:space="0" w:color="auto"/>
              <w:bottom w:val="single" w:sz="4" w:space="0" w:color="auto"/>
              <w:right w:val="single" w:sz="4" w:space="0" w:color="auto"/>
            </w:tcBorders>
            <w:hideMark/>
          </w:tcPr>
          <w:p w14:paraId="69801E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−37,10</w:t>
            </w:r>
          </w:p>
        </w:tc>
        <w:tc>
          <w:tcPr>
            <w:tcW w:w="994" w:type="dxa"/>
            <w:tcBorders>
              <w:top w:val="single" w:sz="4" w:space="0" w:color="auto"/>
              <w:left w:val="single" w:sz="4" w:space="0" w:color="auto"/>
              <w:bottom w:val="single" w:sz="4" w:space="0" w:color="auto"/>
              <w:right w:val="single" w:sz="4" w:space="0" w:color="auto"/>
            </w:tcBorders>
            <w:hideMark/>
          </w:tcPr>
          <w:p w14:paraId="731C05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−68,60</w:t>
            </w:r>
          </w:p>
        </w:tc>
        <w:tc>
          <w:tcPr>
            <w:tcW w:w="924" w:type="dxa"/>
            <w:tcBorders>
              <w:top w:val="single" w:sz="4" w:space="0" w:color="auto"/>
              <w:left w:val="single" w:sz="4" w:space="0" w:color="auto"/>
              <w:bottom w:val="single" w:sz="4" w:space="0" w:color="auto"/>
              <w:right w:val="single" w:sz="4" w:space="0" w:color="auto"/>
            </w:tcBorders>
            <w:hideMark/>
          </w:tcPr>
          <w:p w14:paraId="14FC97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4EE5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CCDA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7EA78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92514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807E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−21,8</w:t>
            </w:r>
          </w:p>
        </w:tc>
        <w:tc>
          <w:tcPr>
            <w:tcW w:w="933" w:type="dxa"/>
            <w:tcBorders>
              <w:top w:val="single" w:sz="4" w:space="0" w:color="auto"/>
              <w:left w:val="single" w:sz="4" w:space="0" w:color="auto"/>
              <w:bottom w:val="single" w:sz="4" w:space="0" w:color="auto"/>
              <w:right w:val="single" w:sz="4" w:space="0" w:color="auto"/>
            </w:tcBorders>
            <w:hideMark/>
          </w:tcPr>
          <w:p w14:paraId="32823E5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*/MB4</w:t>
            </w:r>
          </w:p>
        </w:tc>
      </w:tr>
      <w:tr w:rsidR="00B82F75" w:rsidRPr="00F52C10" w14:paraId="5F609B9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6332CB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BFA00000</w:t>
            </w:r>
          </w:p>
        </w:tc>
        <w:tc>
          <w:tcPr>
            <w:tcW w:w="994" w:type="dxa"/>
            <w:tcBorders>
              <w:top w:val="single" w:sz="4" w:space="0" w:color="auto"/>
              <w:left w:val="single" w:sz="4" w:space="0" w:color="auto"/>
              <w:bottom w:val="single" w:sz="4" w:space="0" w:color="auto"/>
              <w:right w:val="single" w:sz="4" w:space="0" w:color="auto"/>
            </w:tcBorders>
            <w:hideMark/>
          </w:tcPr>
          <w:p w14:paraId="24479A7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10,79</w:t>
            </w:r>
          </w:p>
        </w:tc>
        <w:tc>
          <w:tcPr>
            <w:tcW w:w="994" w:type="dxa"/>
            <w:tcBorders>
              <w:top w:val="single" w:sz="4" w:space="0" w:color="auto"/>
              <w:left w:val="single" w:sz="4" w:space="0" w:color="auto"/>
              <w:bottom w:val="single" w:sz="4" w:space="0" w:color="auto"/>
              <w:right w:val="single" w:sz="4" w:space="0" w:color="auto"/>
            </w:tcBorders>
            <w:hideMark/>
          </w:tcPr>
          <w:p w14:paraId="69FC7D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924" w:type="dxa"/>
            <w:tcBorders>
              <w:top w:val="single" w:sz="4" w:space="0" w:color="auto"/>
              <w:left w:val="single" w:sz="4" w:space="0" w:color="auto"/>
              <w:bottom w:val="single" w:sz="4" w:space="0" w:color="auto"/>
              <w:right w:val="single" w:sz="4" w:space="0" w:color="auto"/>
            </w:tcBorders>
            <w:hideMark/>
          </w:tcPr>
          <w:p w14:paraId="166578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DCE6F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9A1B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28C4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8FE1A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75709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933" w:type="dxa"/>
            <w:tcBorders>
              <w:top w:val="single" w:sz="4" w:space="0" w:color="auto"/>
              <w:left w:val="single" w:sz="4" w:space="0" w:color="auto"/>
              <w:bottom w:val="single" w:sz="4" w:space="0" w:color="auto"/>
              <w:right w:val="single" w:sz="4" w:space="0" w:color="auto"/>
            </w:tcBorders>
          </w:tcPr>
          <w:p w14:paraId="1121F92B" w14:textId="77777777" w:rsidR="00B82F75" w:rsidRPr="00F52C10" w:rsidRDefault="00B82F75" w:rsidP="00E4628E">
            <w:pPr>
              <w:pStyle w:val="Tabletext0"/>
              <w:spacing w:before="34" w:after="34" w:line="276" w:lineRule="auto"/>
              <w:rPr>
                <w:sz w:val="18"/>
                <w:szCs w:val="18"/>
                <w:lang w:val="en-CA"/>
              </w:rPr>
            </w:pPr>
          </w:p>
        </w:tc>
      </w:tr>
      <w:tr w:rsidR="00B82F75" w:rsidRPr="00F52C10" w14:paraId="46F67E0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83E002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BGD00000</w:t>
            </w:r>
          </w:p>
        </w:tc>
        <w:tc>
          <w:tcPr>
            <w:tcW w:w="994" w:type="dxa"/>
            <w:tcBorders>
              <w:top w:val="single" w:sz="4" w:space="0" w:color="auto"/>
              <w:left w:val="single" w:sz="4" w:space="0" w:color="auto"/>
              <w:bottom w:val="single" w:sz="4" w:space="0" w:color="auto"/>
              <w:right w:val="single" w:sz="4" w:space="0" w:color="auto"/>
            </w:tcBorders>
            <w:hideMark/>
          </w:tcPr>
          <w:p w14:paraId="1D9945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133,00</w:t>
            </w:r>
          </w:p>
        </w:tc>
        <w:tc>
          <w:tcPr>
            <w:tcW w:w="994" w:type="dxa"/>
            <w:tcBorders>
              <w:top w:val="single" w:sz="4" w:space="0" w:color="auto"/>
              <w:left w:val="single" w:sz="4" w:space="0" w:color="auto"/>
              <w:bottom w:val="single" w:sz="4" w:space="0" w:color="auto"/>
              <w:right w:val="single" w:sz="4" w:space="0" w:color="auto"/>
            </w:tcBorders>
            <w:hideMark/>
          </w:tcPr>
          <w:p w14:paraId="1C050A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90,20</w:t>
            </w:r>
          </w:p>
        </w:tc>
        <w:tc>
          <w:tcPr>
            <w:tcW w:w="924" w:type="dxa"/>
            <w:tcBorders>
              <w:top w:val="single" w:sz="4" w:space="0" w:color="auto"/>
              <w:left w:val="single" w:sz="4" w:space="0" w:color="auto"/>
              <w:bottom w:val="single" w:sz="4" w:space="0" w:color="auto"/>
              <w:right w:val="single" w:sz="4" w:space="0" w:color="auto"/>
            </w:tcBorders>
            <w:hideMark/>
          </w:tcPr>
          <w:p w14:paraId="0862FF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8F034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21267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7240A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CC3BA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C764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−21,9</w:t>
            </w:r>
          </w:p>
        </w:tc>
        <w:tc>
          <w:tcPr>
            <w:tcW w:w="933" w:type="dxa"/>
            <w:tcBorders>
              <w:top w:val="single" w:sz="4" w:space="0" w:color="auto"/>
              <w:left w:val="single" w:sz="4" w:space="0" w:color="auto"/>
              <w:bottom w:val="single" w:sz="4" w:space="0" w:color="auto"/>
              <w:right w:val="single" w:sz="4" w:space="0" w:color="auto"/>
            </w:tcBorders>
          </w:tcPr>
          <w:p w14:paraId="1B632E5E" w14:textId="77777777" w:rsidR="00B82F75" w:rsidRPr="00F52C10" w:rsidRDefault="00B82F75" w:rsidP="00E4628E">
            <w:pPr>
              <w:pStyle w:val="Tabletext0"/>
              <w:spacing w:before="34" w:after="34" w:line="276" w:lineRule="auto"/>
              <w:rPr>
                <w:sz w:val="18"/>
                <w:szCs w:val="18"/>
                <w:lang w:val="en-CA"/>
              </w:rPr>
            </w:pPr>
          </w:p>
        </w:tc>
      </w:tr>
      <w:tr w:rsidR="00B82F75" w:rsidRPr="00F52C10" w14:paraId="4C137CB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94E918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BHR00000</w:t>
            </w:r>
          </w:p>
        </w:tc>
        <w:tc>
          <w:tcPr>
            <w:tcW w:w="994" w:type="dxa"/>
            <w:tcBorders>
              <w:top w:val="single" w:sz="4" w:space="0" w:color="auto"/>
              <w:left w:val="single" w:sz="4" w:space="0" w:color="auto"/>
              <w:bottom w:val="single" w:sz="4" w:space="0" w:color="auto"/>
              <w:right w:val="single" w:sz="4" w:space="0" w:color="auto"/>
            </w:tcBorders>
            <w:hideMark/>
          </w:tcPr>
          <w:p w14:paraId="563131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13,60</w:t>
            </w:r>
          </w:p>
        </w:tc>
        <w:tc>
          <w:tcPr>
            <w:tcW w:w="994" w:type="dxa"/>
            <w:tcBorders>
              <w:top w:val="single" w:sz="4" w:space="0" w:color="auto"/>
              <w:left w:val="single" w:sz="4" w:space="0" w:color="auto"/>
              <w:bottom w:val="single" w:sz="4" w:space="0" w:color="auto"/>
              <w:right w:val="single" w:sz="4" w:space="0" w:color="auto"/>
            </w:tcBorders>
            <w:hideMark/>
          </w:tcPr>
          <w:p w14:paraId="385025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50,60</w:t>
            </w:r>
          </w:p>
        </w:tc>
        <w:tc>
          <w:tcPr>
            <w:tcW w:w="924" w:type="dxa"/>
            <w:tcBorders>
              <w:top w:val="single" w:sz="4" w:space="0" w:color="auto"/>
              <w:left w:val="single" w:sz="4" w:space="0" w:color="auto"/>
              <w:bottom w:val="single" w:sz="4" w:space="0" w:color="auto"/>
              <w:right w:val="single" w:sz="4" w:space="0" w:color="auto"/>
            </w:tcBorders>
            <w:hideMark/>
          </w:tcPr>
          <w:p w14:paraId="75BA35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A61F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03BB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544B60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07983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66630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−32,2</w:t>
            </w:r>
          </w:p>
        </w:tc>
        <w:tc>
          <w:tcPr>
            <w:tcW w:w="933" w:type="dxa"/>
            <w:tcBorders>
              <w:top w:val="single" w:sz="4" w:space="0" w:color="auto"/>
              <w:left w:val="single" w:sz="4" w:space="0" w:color="auto"/>
              <w:bottom w:val="single" w:sz="4" w:space="0" w:color="auto"/>
              <w:right w:val="single" w:sz="4" w:space="0" w:color="auto"/>
            </w:tcBorders>
          </w:tcPr>
          <w:p w14:paraId="694D0DB3" w14:textId="77777777" w:rsidR="00B82F75" w:rsidRPr="00F52C10" w:rsidRDefault="00B82F75" w:rsidP="00E4628E">
            <w:pPr>
              <w:pStyle w:val="Tabletext0"/>
              <w:spacing w:before="34" w:after="34" w:line="276" w:lineRule="auto"/>
              <w:rPr>
                <w:sz w:val="18"/>
                <w:szCs w:val="18"/>
                <w:lang w:val="en-CA"/>
              </w:rPr>
            </w:pPr>
          </w:p>
        </w:tc>
      </w:tr>
      <w:tr w:rsidR="00B82F75" w:rsidRPr="00F52C10" w14:paraId="24D32813" w14:textId="77777777" w:rsidTr="004473CA">
        <w:trPr>
          <w:jc w:val="center"/>
        </w:trPr>
        <w:tc>
          <w:tcPr>
            <w:tcW w:w="1190" w:type="dxa"/>
            <w:tcBorders>
              <w:top w:val="single" w:sz="4" w:space="0" w:color="auto"/>
              <w:left w:val="single" w:sz="4" w:space="0" w:color="auto"/>
              <w:bottom w:val="single" w:sz="4" w:space="0" w:color="auto"/>
              <w:right w:val="single" w:sz="4" w:space="0" w:color="auto"/>
            </w:tcBorders>
            <w:vAlign w:val="bottom"/>
            <w:hideMark/>
          </w:tcPr>
          <w:p w14:paraId="22A47FE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BLR00000</w:t>
            </w:r>
          </w:p>
        </w:tc>
        <w:tc>
          <w:tcPr>
            <w:tcW w:w="994" w:type="dxa"/>
            <w:tcBorders>
              <w:top w:val="single" w:sz="4" w:space="0" w:color="auto"/>
              <w:left w:val="single" w:sz="4" w:space="0" w:color="auto"/>
              <w:bottom w:val="single" w:sz="4" w:space="0" w:color="auto"/>
              <w:right w:val="single" w:sz="4" w:space="0" w:color="auto"/>
            </w:tcBorders>
            <w:vAlign w:val="bottom"/>
            <w:hideMark/>
          </w:tcPr>
          <w:p w14:paraId="1BCA96D5"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64,40</w:t>
            </w:r>
          </w:p>
        </w:tc>
        <w:tc>
          <w:tcPr>
            <w:tcW w:w="994" w:type="dxa"/>
            <w:tcBorders>
              <w:top w:val="single" w:sz="4" w:space="0" w:color="auto"/>
              <w:left w:val="single" w:sz="4" w:space="0" w:color="auto"/>
              <w:bottom w:val="single" w:sz="4" w:space="0" w:color="auto"/>
              <w:right w:val="single" w:sz="4" w:space="0" w:color="auto"/>
            </w:tcBorders>
            <w:vAlign w:val="bottom"/>
            <w:hideMark/>
          </w:tcPr>
          <w:p w14:paraId="460936C8"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27,01</w:t>
            </w:r>
          </w:p>
        </w:tc>
        <w:tc>
          <w:tcPr>
            <w:tcW w:w="924" w:type="dxa"/>
            <w:tcBorders>
              <w:top w:val="single" w:sz="4" w:space="0" w:color="auto"/>
              <w:left w:val="single" w:sz="4" w:space="0" w:color="auto"/>
              <w:bottom w:val="single" w:sz="4" w:space="0" w:color="auto"/>
              <w:right w:val="single" w:sz="4" w:space="0" w:color="auto"/>
            </w:tcBorders>
            <w:vAlign w:val="bottom"/>
            <w:hideMark/>
          </w:tcPr>
          <w:p w14:paraId="6A87627B"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53,60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66DA01FE"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1,14</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548B4A09"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7EA41029"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25,74</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770CED60"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−3,0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45FB7F13"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−30,0</w:t>
            </w:r>
          </w:p>
        </w:tc>
        <w:tc>
          <w:tcPr>
            <w:tcW w:w="951" w:type="dxa"/>
            <w:gridSpan w:val="2"/>
            <w:tcBorders>
              <w:top w:val="single" w:sz="4" w:space="0" w:color="auto"/>
              <w:left w:val="single" w:sz="4" w:space="0" w:color="auto"/>
              <w:bottom w:val="single" w:sz="4" w:space="0" w:color="auto"/>
              <w:right w:val="single" w:sz="4" w:space="0" w:color="auto"/>
            </w:tcBorders>
            <w:vAlign w:val="bottom"/>
            <w:hideMark/>
          </w:tcPr>
          <w:p w14:paraId="5C46D7D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638959C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3B539F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BLZ00000</w:t>
            </w:r>
          </w:p>
        </w:tc>
        <w:tc>
          <w:tcPr>
            <w:tcW w:w="994" w:type="dxa"/>
            <w:tcBorders>
              <w:top w:val="single" w:sz="4" w:space="0" w:color="auto"/>
              <w:left w:val="single" w:sz="4" w:space="0" w:color="auto"/>
              <w:bottom w:val="single" w:sz="4" w:space="0" w:color="auto"/>
              <w:right w:val="single" w:sz="4" w:space="0" w:color="auto"/>
            </w:tcBorders>
            <w:hideMark/>
          </w:tcPr>
          <w:p w14:paraId="6A7E9D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−90,80</w:t>
            </w:r>
          </w:p>
        </w:tc>
        <w:tc>
          <w:tcPr>
            <w:tcW w:w="994" w:type="dxa"/>
            <w:tcBorders>
              <w:top w:val="single" w:sz="4" w:space="0" w:color="auto"/>
              <w:left w:val="single" w:sz="4" w:space="0" w:color="auto"/>
              <w:bottom w:val="single" w:sz="4" w:space="0" w:color="auto"/>
              <w:right w:val="single" w:sz="4" w:space="0" w:color="auto"/>
            </w:tcBorders>
            <w:hideMark/>
          </w:tcPr>
          <w:p w14:paraId="167FCF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−88,60</w:t>
            </w:r>
          </w:p>
        </w:tc>
        <w:tc>
          <w:tcPr>
            <w:tcW w:w="924" w:type="dxa"/>
            <w:tcBorders>
              <w:top w:val="single" w:sz="4" w:space="0" w:color="auto"/>
              <w:left w:val="single" w:sz="4" w:space="0" w:color="auto"/>
              <w:bottom w:val="single" w:sz="4" w:space="0" w:color="auto"/>
              <w:right w:val="single" w:sz="4" w:space="0" w:color="auto"/>
            </w:tcBorders>
            <w:hideMark/>
          </w:tcPr>
          <w:p w14:paraId="403AAF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6634C2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6C41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26A3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51DFC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7020B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−26,6</w:t>
            </w:r>
          </w:p>
        </w:tc>
        <w:tc>
          <w:tcPr>
            <w:tcW w:w="933" w:type="dxa"/>
            <w:tcBorders>
              <w:top w:val="single" w:sz="4" w:space="0" w:color="auto"/>
              <w:left w:val="single" w:sz="4" w:space="0" w:color="auto"/>
              <w:bottom w:val="single" w:sz="4" w:space="0" w:color="auto"/>
              <w:right w:val="single" w:sz="4" w:space="0" w:color="auto"/>
            </w:tcBorders>
          </w:tcPr>
          <w:p w14:paraId="2490D6B3" w14:textId="77777777" w:rsidR="00B82F75" w:rsidRPr="00F52C10" w:rsidRDefault="00B82F75" w:rsidP="00E4628E">
            <w:pPr>
              <w:pStyle w:val="Tabletext0"/>
              <w:spacing w:before="34" w:after="34" w:line="276" w:lineRule="auto"/>
              <w:rPr>
                <w:sz w:val="18"/>
                <w:szCs w:val="18"/>
                <w:lang w:val="en-CA"/>
              </w:rPr>
            </w:pPr>
          </w:p>
        </w:tc>
      </w:tr>
      <w:tr w:rsidR="00B82F75" w:rsidRPr="00F52C10" w14:paraId="123F4A7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74635C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BOL00000</w:t>
            </w:r>
          </w:p>
        </w:tc>
        <w:tc>
          <w:tcPr>
            <w:tcW w:w="994" w:type="dxa"/>
            <w:tcBorders>
              <w:top w:val="single" w:sz="4" w:space="0" w:color="auto"/>
              <w:left w:val="single" w:sz="4" w:space="0" w:color="auto"/>
              <w:bottom w:val="single" w:sz="4" w:space="0" w:color="auto"/>
              <w:right w:val="single" w:sz="4" w:space="0" w:color="auto"/>
            </w:tcBorders>
            <w:hideMark/>
          </w:tcPr>
          <w:p w14:paraId="4B8B0C1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−34,80</w:t>
            </w:r>
          </w:p>
        </w:tc>
        <w:tc>
          <w:tcPr>
            <w:tcW w:w="994" w:type="dxa"/>
            <w:tcBorders>
              <w:top w:val="single" w:sz="4" w:space="0" w:color="auto"/>
              <w:left w:val="single" w:sz="4" w:space="0" w:color="auto"/>
              <w:bottom w:val="single" w:sz="4" w:space="0" w:color="auto"/>
              <w:right w:val="single" w:sz="4" w:space="0" w:color="auto"/>
            </w:tcBorders>
            <w:hideMark/>
          </w:tcPr>
          <w:p w14:paraId="305C53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−64,40</w:t>
            </w:r>
          </w:p>
        </w:tc>
        <w:tc>
          <w:tcPr>
            <w:tcW w:w="924" w:type="dxa"/>
            <w:tcBorders>
              <w:top w:val="single" w:sz="4" w:space="0" w:color="auto"/>
              <w:left w:val="single" w:sz="4" w:space="0" w:color="auto"/>
              <w:bottom w:val="single" w:sz="4" w:space="0" w:color="auto"/>
              <w:right w:val="single" w:sz="4" w:space="0" w:color="auto"/>
            </w:tcBorders>
            <w:hideMark/>
          </w:tcPr>
          <w:p w14:paraId="61040F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3DF55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EDB4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F3A71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129,00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1680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39A0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−22,5</w:t>
            </w:r>
          </w:p>
        </w:tc>
        <w:tc>
          <w:tcPr>
            <w:tcW w:w="933" w:type="dxa"/>
            <w:tcBorders>
              <w:top w:val="single" w:sz="4" w:space="0" w:color="auto"/>
              <w:left w:val="single" w:sz="4" w:space="0" w:color="auto"/>
              <w:bottom w:val="single" w:sz="4" w:space="0" w:color="auto"/>
              <w:right w:val="single" w:sz="4" w:space="0" w:color="auto"/>
            </w:tcBorders>
          </w:tcPr>
          <w:p w14:paraId="5FD1E4B1" w14:textId="77777777" w:rsidR="00B82F75" w:rsidRPr="00F52C10" w:rsidRDefault="00B82F75" w:rsidP="00E4628E">
            <w:pPr>
              <w:pStyle w:val="Tabletext0"/>
              <w:spacing w:before="34" w:after="34" w:line="276" w:lineRule="auto"/>
              <w:rPr>
                <w:sz w:val="18"/>
                <w:szCs w:val="18"/>
                <w:lang w:val="en-CA"/>
              </w:rPr>
            </w:pPr>
          </w:p>
        </w:tc>
      </w:tr>
      <w:tr w:rsidR="00B82F75" w:rsidRPr="00F52C10" w14:paraId="132CF11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118B43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BOT00000</w:t>
            </w:r>
          </w:p>
        </w:tc>
        <w:tc>
          <w:tcPr>
            <w:tcW w:w="994" w:type="dxa"/>
            <w:tcBorders>
              <w:top w:val="single" w:sz="4" w:space="0" w:color="auto"/>
              <w:left w:val="single" w:sz="4" w:space="0" w:color="auto"/>
              <w:bottom w:val="single" w:sz="4" w:space="0" w:color="auto"/>
              <w:right w:val="single" w:sz="4" w:space="0" w:color="auto"/>
            </w:tcBorders>
            <w:hideMark/>
          </w:tcPr>
          <w:p w14:paraId="4BC654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21,20</w:t>
            </w:r>
          </w:p>
        </w:tc>
        <w:tc>
          <w:tcPr>
            <w:tcW w:w="994" w:type="dxa"/>
            <w:tcBorders>
              <w:top w:val="single" w:sz="4" w:space="0" w:color="auto"/>
              <w:left w:val="single" w:sz="4" w:space="0" w:color="auto"/>
              <w:bottom w:val="single" w:sz="4" w:space="0" w:color="auto"/>
              <w:right w:val="single" w:sz="4" w:space="0" w:color="auto"/>
            </w:tcBorders>
            <w:hideMark/>
          </w:tcPr>
          <w:p w14:paraId="12A6BCB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24,00</w:t>
            </w:r>
          </w:p>
        </w:tc>
        <w:tc>
          <w:tcPr>
            <w:tcW w:w="924" w:type="dxa"/>
            <w:tcBorders>
              <w:top w:val="single" w:sz="4" w:space="0" w:color="auto"/>
              <w:left w:val="single" w:sz="4" w:space="0" w:color="auto"/>
              <w:bottom w:val="single" w:sz="4" w:space="0" w:color="auto"/>
              <w:right w:val="single" w:sz="4" w:space="0" w:color="auto"/>
            </w:tcBorders>
            <w:hideMark/>
          </w:tcPr>
          <w:p w14:paraId="21A310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AB8C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380D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075DB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4706E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582F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933" w:type="dxa"/>
            <w:tcBorders>
              <w:top w:val="single" w:sz="4" w:space="0" w:color="auto"/>
              <w:left w:val="single" w:sz="4" w:space="0" w:color="auto"/>
              <w:bottom w:val="single" w:sz="4" w:space="0" w:color="auto"/>
              <w:right w:val="single" w:sz="4" w:space="0" w:color="auto"/>
            </w:tcBorders>
          </w:tcPr>
          <w:p w14:paraId="2A33756F" w14:textId="77777777" w:rsidR="00B82F75" w:rsidRPr="00F52C10" w:rsidRDefault="00B82F75" w:rsidP="00E4628E">
            <w:pPr>
              <w:pStyle w:val="Tabletext0"/>
              <w:spacing w:before="34" w:after="34" w:line="276" w:lineRule="auto"/>
              <w:rPr>
                <w:sz w:val="18"/>
                <w:szCs w:val="18"/>
                <w:lang w:val="en-CA"/>
              </w:rPr>
            </w:pPr>
          </w:p>
        </w:tc>
      </w:tr>
      <w:tr w:rsidR="00B82F75" w:rsidRPr="00F52C10" w14:paraId="61249B2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E2A3AC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BRB00000</w:t>
            </w:r>
          </w:p>
        </w:tc>
        <w:tc>
          <w:tcPr>
            <w:tcW w:w="994" w:type="dxa"/>
            <w:tcBorders>
              <w:top w:val="single" w:sz="4" w:space="0" w:color="auto"/>
              <w:left w:val="single" w:sz="4" w:space="0" w:color="auto"/>
              <w:bottom w:val="single" w:sz="4" w:space="0" w:color="auto"/>
              <w:right w:val="single" w:sz="4" w:space="0" w:color="auto"/>
            </w:tcBorders>
            <w:hideMark/>
          </w:tcPr>
          <w:p w14:paraId="751CBC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−29,60</w:t>
            </w:r>
          </w:p>
        </w:tc>
        <w:tc>
          <w:tcPr>
            <w:tcW w:w="994" w:type="dxa"/>
            <w:tcBorders>
              <w:top w:val="single" w:sz="4" w:space="0" w:color="auto"/>
              <w:left w:val="single" w:sz="4" w:space="0" w:color="auto"/>
              <w:bottom w:val="single" w:sz="4" w:space="0" w:color="auto"/>
              <w:right w:val="single" w:sz="4" w:space="0" w:color="auto"/>
            </w:tcBorders>
            <w:hideMark/>
          </w:tcPr>
          <w:p w14:paraId="6A768C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−59,60</w:t>
            </w:r>
          </w:p>
        </w:tc>
        <w:tc>
          <w:tcPr>
            <w:tcW w:w="924" w:type="dxa"/>
            <w:tcBorders>
              <w:top w:val="single" w:sz="4" w:space="0" w:color="auto"/>
              <w:left w:val="single" w:sz="4" w:space="0" w:color="auto"/>
              <w:bottom w:val="single" w:sz="4" w:space="0" w:color="auto"/>
              <w:right w:val="single" w:sz="4" w:space="0" w:color="auto"/>
            </w:tcBorders>
            <w:hideMark/>
          </w:tcPr>
          <w:p w14:paraId="610371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C2BF8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DF572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C3177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BFBD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6DF8C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−26,4</w:t>
            </w:r>
          </w:p>
        </w:tc>
        <w:tc>
          <w:tcPr>
            <w:tcW w:w="933" w:type="dxa"/>
            <w:tcBorders>
              <w:top w:val="single" w:sz="4" w:space="0" w:color="auto"/>
              <w:left w:val="single" w:sz="4" w:space="0" w:color="auto"/>
              <w:bottom w:val="single" w:sz="4" w:space="0" w:color="auto"/>
              <w:right w:val="single" w:sz="4" w:space="0" w:color="auto"/>
            </w:tcBorders>
          </w:tcPr>
          <w:p w14:paraId="1922A51A" w14:textId="77777777" w:rsidR="00B82F75" w:rsidRPr="00F52C10" w:rsidRDefault="00B82F75" w:rsidP="00E4628E">
            <w:pPr>
              <w:pStyle w:val="Tabletext0"/>
              <w:spacing w:before="34" w:after="34" w:line="276" w:lineRule="auto"/>
              <w:rPr>
                <w:sz w:val="18"/>
                <w:szCs w:val="18"/>
                <w:lang w:val="en-CA"/>
              </w:rPr>
            </w:pPr>
          </w:p>
        </w:tc>
      </w:tr>
      <w:tr w:rsidR="00B82F75" w:rsidRPr="00F52C10" w14:paraId="4F9DD59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46116A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BRM00000</w:t>
            </w:r>
          </w:p>
        </w:tc>
        <w:tc>
          <w:tcPr>
            <w:tcW w:w="994" w:type="dxa"/>
            <w:tcBorders>
              <w:top w:val="single" w:sz="4" w:space="0" w:color="auto"/>
              <w:left w:val="single" w:sz="4" w:space="0" w:color="auto"/>
              <w:bottom w:val="single" w:sz="4" w:space="0" w:color="auto"/>
              <w:right w:val="single" w:sz="4" w:space="0" w:color="auto"/>
            </w:tcBorders>
            <w:hideMark/>
          </w:tcPr>
          <w:p w14:paraId="2BAF36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111,50</w:t>
            </w:r>
          </w:p>
        </w:tc>
        <w:tc>
          <w:tcPr>
            <w:tcW w:w="994" w:type="dxa"/>
            <w:tcBorders>
              <w:top w:val="single" w:sz="4" w:space="0" w:color="auto"/>
              <w:left w:val="single" w:sz="4" w:space="0" w:color="auto"/>
              <w:bottom w:val="single" w:sz="4" w:space="0" w:color="auto"/>
              <w:right w:val="single" w:sz="4" w:space="0" w:color="auto"/>
            </w:tcBorders>
            <w:hideMark/>
          </w:tcPr>
          <w:p w14:paraId="7BB85B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97,00</w:t>
            </w:r>
          </w:p>
        </w:tc>
        <w:tc>
          <w:tcPr>
            <w:tcW w:w="924" w:type="dxa"/>
            <w:tcBorders>
              <w:top w:val="single" w:sz="4" w:space="0" w:color="auto"/>
              <w:left w:val="single" w:sz="4" w:space="0" w:color="auto"/>
              <w:bottom w:val="single" w:sz="4" w:space="0" w:color="auto"/>
              <w:right w:val="single" w:sz="4" w:space="0" w:color="auto"/>
            </w:tcBorders>
            <w:hideMark/>
          </w:tcPr>
          <w:p w14:paraId="6AA85B3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7C111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4B7C3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DB17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3367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71859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−22,6</w:t>
            </w:r>
          </w:p>
        </w:tc>
        <w:tc>
          <w:tcPr>
            <w:tcW w:w="933" w:type="dxa"/>
            <w:tcBorders>
              <w:top w:val="single" w:sz="4" w:space="0" w:color="auto"/>
              <w:left w:val="single" w:sz="4" w:space="0" w:color="auto"/>
              <w:bottom w:val="single" w:sz="4" w:space="0" w:color="auto"/>
              <w:right w:val="single" w:sz="4" w:space="0" w:color="auto"/>
            </w:tcBorders>
          </w:tcPr>
          <w:p w14:paraId="7C331AF3" w14:textId="77777777" w:rsidR="00B82F75" w:rsidRPr="00F52C10" w:rsidRDefault="00B82F75" w:rsidP="00E4628E">
            <w:pPr>
              <w:pStyle w:val="Tabletext0"/>
              <w:spacing w:before="34" w:after="34" w:line="276" w:lineRule="auto"/>
              <w:rPr>
                <w:sz w:val="18"/>
                <w:szCs w:val="18"/>
                <w:lang w:val="en-CA"/>
              </w:rPr>
            </w:pPr>
          </w:p>
        </w:tc>
      </w:tr>
      <w:tr w:rsidR="00B82F75" w:rsidRPr="00F52C10" w14:paraId="02AC106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517B85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BRU00000</w:t>
            </w:r>
          </w:p>
        </w:tc>
        <w:tc>
          <w:tcPr>
            <w:tcW w:w="994" w:type="dxa"/>
            <w:tcBorders>
              <w:top w:val="single" w:sz="4" w:space="0" w:color="auto"/>
              <w:left w:val="single" w:sz="4" w:space="0" w:color="auto"/>
              <w:bottom w:val="single" w:sz="4" w:space="0" w:color="auto"/>
              <w:right w:val="single" w:sz="4" w:space="0" w:color="auto"/>
            </w:tcBorders>
            <w:hideMark/>
          </w:tcPr>
          <w:p w14:paraId="2A074A6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157,30</w:t>
            </w:r>
          </w:p>
        </w:tc>
        <w:tc>
          <w:tcPr>
            <w:tcW w:w="994" w:type="dxa"/>
            <w:tcBorders>
              <w:top w:val="single" w:sz="4" w:space="0" w:color="auto"/>
              <w:left w:val="single" w:sz="4" w:space="0" w:color="auto"/>
              <w:bottom w:val="single" w:sz="4" w:space="0" w:color="auto"/>
              <w:right w:val="single" w:sz="4" w:space="0" w:color="auto"/>
            </w:tcBorders>
            <w:hideMark/>
          </w:tcPr>
          <w:p w14:paraId="74BD396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114,60</w:t>
            </w:r>
          </w:p>
        </w:tc>
        <w:tc>
          <w:tcPr>
            <w:tcW w:w="924" w:type="dxa"/>
            <w:tcBorders>
              <w:top w:val="single" w:sz="4" w:space="0" w:color="auto"/>
              <w:left w:val="single" w:sz="4" w:space="0" w:color="auto"/>
              <w:bottom w:val="single" w:sz="4" w:space="0" w:color="auto"/>
              <w:right w:val="single" w:sz="4" w:space="0" w:color="auto"/>
            </w:tcBorders>
            <w:hideMark/>
          </w:tcPr>
          <w:p w14:paraId="1A4F76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57306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8D815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4AE56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F3533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6FC71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−24,9</w:t>
            </w:r>
          </w:p>
        </w:tc>
        <w:tc>
          <w:tcPr>
            <w:tcW w:w="933" w:type="dxa"/>
            <w:tcBorders>
              <w:top w:val="single" w:sz="4" w:space="0" w:color="auto"/>
              <w:left w:val="single" w:sz="4" w:space="0" w:color="auto"/>
              <w:bottom w:val="single" w:sz="4" w:space="0" w:color="auto"/>
              <w:right w:val="single" w:sz="4" w:space="0" w:color="auto"/>
            </w:tcBorders>
          </w:tcPr>
          <w:p w14:paraId="6DA58A00" w14:textId="77777777" w:rsidR="00B82F75" w:rsidRPr="00F52C10" w:rsidRDefault="00B82F75" w:rsidP="00E4628E">
            <w:pPr>
              <w:pStyle w:val="Tabletext0"/>
              <w:spacing w:before="34" w:after="34" w:line="276" w:lineRule="auto"/>
              <w:rPr>
                <w:sz w:val="18"/>
                <w:szCs w:val="18"/>
                <w:lang w:val="en-CA"/>
              </w:rPr>
            </w:pPr>
          </w:p>
        </w:tc>
      </w:tr>
      <w:tr w:rsidR="00B82F75" w:rsidRPr="00F52C10" w14:paraId="6F883FC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DFCD56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BTN00000</w:t>
            </w:r>
          </w:p>
        </w:tc>
        <w:tc>
          <w:tcPr>
            <w:tcW w:w="994" w:type="dxa"/>
            <w:tcBorders>
              <w:top w:val="single" w:sz="4" w:space="0" w:color="auto"/>
              <w:left w:val="single" w:sz="4" w:space="0" w:color="auto"/>
              <w:bottom w:val="single" w:sz="4" w:space="0" w:color="auto"/>
              <w:right w:val="single" w:sz="4" w:space="0" w:color="auto"/>
            </w:tcBorders>
            <w:hideMark/>
          </w:tcPr>
          <w:p w14:paraId="0794399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59,10</w:t>
            </w:r>
          </w:p>
        </w:tc>
        <w:tc>
          <w:tcPr>
            <w:tcW w:w="994" w:type="dxa"/>
            <w:tcBorders>
              <w:top w:val="single" w:sz="4" w:space="0" w:color="auto"/>
              <w:left w:val="single" w:sz="4" w:space="0" w:color="auto"/>
              <w:bottom w:val="single" w:sz="4" w:space="0" w:color="auto"/>
              <w:right w:val="single" w:sz="4" w:space="0" w:color="auto"/>
            </w:tcBorders>
            <w:hideMark/>
          </w:tcPr>
          <w:p w14:paraId="5C7277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90,40</w:t>
            </w:r>
          </w:p>
        </w:tc>
        <w:tc>
          <w:tcPr>
            <w:tcW w:w="924" w:type="dxa"/>
            <w:tcBorders>
              <w:top w:val="single" w:sz="4" w:space="0" w:color="auto"/>
              <w:left w:val="single" w:sz="4" w:space="0" w:color="auto"/>
              <w:bottom w:val="single" w:sz="4" w:space="0" w:color="auto"/>
              <w:right w:val="single" w:sz="4" w:space="0" w:color="auto"/>
            </w:tcBorders>
            <w:hideMark/>
          </w:tcPr>
          <w:p w14:paraId="2E55B5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92D6F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F106B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4014A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0906C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F9D24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−29,3</w:t>
            </w:r>
          </w:p>
        </w:tc>
        <w:tc>
          <w:tcPr>
            <w:tcW w:w="933" w:type="dxa"/>
            <w:tcBorders>
              <w:top w:val="single" w:sz="4" w:space="0" w:color="auto"/>
              <w:left w:val="single" w:sz="4" w:space="0" w:color="auto"/>
              <w:bottom w:val="single" w:sz="4" w:space="0" w:color="auto"/>
              <w:right w:val="single" w:sz="4" w:space="0" w:color="auto"/>
            </w:tcBorders>
          </w:tcPr>
          <w:p w14:paraId="0A801A93" w14:textId="77777777" w:rsidR="00B82F75" w:rsidRPr="00F52C10" w:rsidRDefault="00B82F75" w:rsidP="00E4628E">
            <w:pPr>
              <w:pStyle w:val="Tabletext0"/>
              <w:spacing w:before="34" w:after="34" w:line="276" w:lineRule="auto"/>
              <w:rPr>
                <w:sz w:val="18"/>
                <w:szCs w:val="18"/>
                <w:lang w:val="en-CA"/>
              </w:rPr>
            </w:pPr>
          </w:p>
        </w:tc>
      </w:tr>
      <w:tr w:rsidR="00B82F75" w:rsidRPr="00F52C10" w14:paraId="0DAABA3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902E4D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BUL00000</w:t>
            </w:r>
          </w:p>
        </w:tc>
        <w:tc>
          <w:tcPr>
            <w:tcW w:w="994" w:type="dxa"/>
            <w:tcBorders>
              <w:top w:val="single" w:sz="4" w:space="0" w:color="auto"/>
              <w:left w:val="single" w:sz="4" w:space="0" w:color="auto"/>
              <w:bottom w:val="single" w:sz="4" w:space="0" w:color="auto"/>
              <w:right w:val="single" w:sz="4" w:space="0" w:color="auto"/>
            </w:tcBorders>
            <w:hideMark/>
          </w:tcPr>
          <w:p w14:paraId="5F11232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56,02</w:t>
            </w:r>
          </w:p>
        </w:tc>
        <w:tc>
          <w:tcPr>
            <w:tcW w:w="994" w:type="dxa"/>
            <w:tcBorders>
              <w:top w:val="single" w:sz="4" w:space="0" w:color="auto"/>
              <w:left w:val="single" w:sz="4" w:space="0" w:color="auto"/>
              <w:bottom w:val="single" w:sz="4" w:space="0" w:color="auto"/>
              <w:right w:val="single" w:sz="4" w:space="0" w:color="auto"/>
            </w:tcBorders>
            <w:hideMark/>
          </w:tcPr>
          <w:p w14:paraId="2F7D96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25,60</w:t>
            </w:r>
          </w:p>
        </w:tc>
        <w:tc>
          <w:tcPr>
            <w:tcW w:w="924" w:type="dxa"/>
            <w:tcBorders>
              <w:top w:val="single" w:sz="4" w:space="0" w:color="auto"/>
              <w:left w:val="single" w:sz="4" w:space="0" w:color="auto"/>
              <w:bottom w:val="single" w:sz="4" w:space="0" w:color="auto"/>
              <w:right w:val="single" w:sz="4" w:space="0" w:color="auto"/>
            </w:tcBorders>
            <w:hideMark/>
          </w:tcPr>
          <w:p w14:paraId="00104E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933A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2A0F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3B016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56D6B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1CA5A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933" w:type="dxa"/>
            <w:tcBorders>
              <w:top w:val="single" w:sz="4" w:space="0" w:color="auto"/>
              <w:left w:val="single" w:sz="4" w:space="0" w:color="auto"/>
              <w:bottom w:val="single" w:sz="4" w:space="0" w:color="auto"/>
              <w:right w:val="single" w:sz="4" w:space="0" w:color="auto"/>
            </w:tcBorders>
          </w:tcPr>
          <w:p w14:paraId="1B0AF020" w14:textId="77777777" w:rsidR="00B82F75" w:rsidRPr="00F52C10" w:rsidRDefault="00B82F75" w:rsidP="00E4628E">
            <w:pPr>
              <w:pStyle w:val="Tabletext0"/>
              <w:spacing w:before="34" w:after="34" w:line="276" w:lineRule="auto"/>
              <w:rPr>
                <w:sz w:val="18"/>
                <w:szCs w:val="18"/>
                <w:lang w:val="en-CA"/>
              </w:rPr>
            </w:pPr>
          </w:p>
        </w:tc>
      </w:tr>
      <w:tr w:rsidR="00B82F75" w:rsidRPr="00F52C10" w14:paraId="455F731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9B5B6F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CAF00000</w:t>
            </w:r>
          </w:p>
        </w:tc>
        <w:tc>
          <w:tcPr>
            <w:tcW w:w="994" w:type="dxa"/>
            <w:tcBorders>
              <w:top w:val="single" w:sz="4" w:space="0" w:color="auto"/>
              <w:left w:val="single" w:sz="4" w:space="0" w:color="auto"/>
              <w:bottom w:val="single" w:sz="4" w:space="0" w:color="auto"/>
              <w:right w:val="single" w:sz="4" w:space="0" w:color="auto"/>
            </w:tcBorders>
            <w:hideMark/>
          </w:tcPr>
          <w:p w14:paraId="7B3972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14,40</w:t>
            </w:r>
          </w:p>
        </w:tc>
        <w:tc>
          <w:tcPr>
            <w:tcW w:w="994" w:type="dxa"/>
            <w:tcBorders>
              <w:top w:val="single" w:sz="4" w:space="0" w:color="auto"/>
              <w:left w:val="single" w:sz="4" w:space="0" w:color="auto"/>
              <w:bottom w:val="single" w:sz="4" w:space="0" w:color="auto"/>
              <w:right w:val="single" w:sz="4" w:space="0" w:color="auto"/>
            </w:tcBorders>
            <w:hideMark/>
          </w:tcPr>
          <w:p w14:paraId="65DB55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21,50</w:t>
            </w:r>
          </w:p>
        </w:tc>
        <w:tc>
          <w:tcPr>
            <w:tcW w:w="924" w:type="dxa"/>
            <w:tcBorders>
              <w:top w:val="single" w:sz="4" w:space="0" w:color="auto"/>
              <w:left w:val="single" w:sz="4" w:space="0" w:color="auto"/>
              <w:bottom w:val="single" w:sz="4" w:space="0" w:color="auto"/>
              <w:right w:val="single" w:sz="4" w:space="0" w:color="auto"/>
            </w:tcBorders>
            <w:hideMark/>
          </w:tcPr>
          <w:p w14:paraId="2A5D3B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C1D6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84458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10989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5DFAD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11D7A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−22,8</w:t>
            </w:r>
          </w:p>
        </w:tc>
        <w:tc>
          <w:tcPr>
            <w:tcW w:w="933" w:type="dxa"/>
            <w:tcBorders>
              <w:top w:val="single" w:sz="4" w:space="0" w:color="auto"/>
              <w:left w:val="single" w:sz="4" w:space="0" w:color="auto"/>
              <w:bottom w:val="single" w:sz="4" w:space="0" w:color="auto"/>
              <w:right w:val="single" w:sz="4" w:space="0" w:color="auto"/>
            </w:tcBorders>
          </w:tcPr>
          <w:p w14:paraId="32FA3F69" w14:textId="77777777" w:rsidR="00B82F75" w:rsidRPr="00F52C10" w:rsidRDefault="00B82F75" w:rsidP="00E4628E">
            <w:pPr>
              <w:pStyle w:val="Tabletext0"/>
              <w:spacing w:before="34" w:after="34" w:line="276" w:lineRule="auto"/>
              <w:rPr>
                <w:sz w:val="18"/>
                <w:szCs w:val="18"/>
                <w:lang w:val="en-CA"/>
              </w:rPr>
            </w:pPr>
          </w:p>
        </w:tc>
      </w:tr>
      <w:tr w:rsidR="00B82F75" w:rsidRPr="00F52C10" w14:paraId="05F4BB9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9CE176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CAN0CENT</w:t>
            </w:r>
          </w:p>
        </w:tc>
        <w:tc>
          <w:tcPr>
            <w:tcW w:w="994" w:type="dxa"/>
            <w:tcBorders>
              <w:top w:val="single" w:sz="4" w:space="0" w:color="auto"/>
              <w:left w:val="single" w:sz="4" w:space="0" w:color="auto"/>
              <w:bottom w:val="single" w:sz="4" w:space="0" w:color="auto"/>
              <w:right w:val="single" w:sz="4" w:space="0" w:color="auto"/>
            </w:tcBorders>
            <w:hideMark/>
          </w:tcPr>
          <w:p w14:paraId="7265E9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−111,10</w:t>
            </w:r>
          </w:p>
        </w:tc>
        <w:tc>
          <w:tcPr>
            <w:tcW w:w="994" w:type="dxa"/>
            <w:tcBorders>
              <w:top w:val="single" w:sz="4" w:space="0" w:color="auto"/>
              <w:left w:val="single" w:sz="4" w:space="0" w:color="auto"/>
              <w:bottom w:val="single" w:sz="4" w:space="0" w:color="auto"/>
              <w:right w:val="single" w:sz="4" w:space="0" w:color="auto"/>
            </w:tcBorders>
            <w:hideMark/>
          </w:tcPr>
          <w:p w14:paraId="4AB6B8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−96,10</w:t>
            </w:r>
          </w:p>
        </w:tc>
        <w:tc>
          <w:tcPr>
            <w:tcW w:w="924" w:type="dxa"/>
            <w:tcBorders>
              <w:top w:val="single" w:sz="4" w:space="0" w:color="auto"/>
              <w:left w:val="single" w:sz="4" w:space="0" w:color="auto"/>
              <w:bottom w:val="single" w:sz="4" w:space="0" w:color="auto"/>
              <w:right w:val="single" w:sz="4" w:space="0" w:color="auto"/>
            </w:tcBorders>
            <w:hideMark/>
          </w:tcPr>
          <w:p w14:paraId="5ED6C2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FE114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D656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1D280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38BCD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5681B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−26,7</w:t>
            </w:r>
          </w:p>
        </w:tc>
        <w:tc>
          <w:tcPr>
            <w:tcW w:w="933" w:type="dxa"/>
            <w:tcBorders>
              <w:top w:val="single" w:sz="4" w:space="0" w:color="auto"/>
              <w:left w:val="single" w:sz="4" w:space="0" w:color="auto"/>
              <w:bottom w:val="single" w:sz="4" w:space="0" w:color="auto"/>
              <w:right w:val="single" w:sz="4" w:space="0" w:color="auto"/>
            </w:tcBorders>
          </w:tcPr>
          <w:p w14:paraId="65EB10EA" w14:textId="77777777" w:rsidR="00B82F75" w:rsidRPr="00F52C10" w:rsidRDefault="00B82F75" w:rsidP="00E4628E">
            <w:pPr>
              <w:pStyle w:val="Tabletext0"/>
              <w:spacing w:before="34" w:after="34" w:line="276" w:lineRule="auto"/>
              <w:rPr>
                <w:sz w:val="18"/>
                <w:szCs w:val="18"/>
                <w:lang w:val="en-CA"/>
              </w:rPr>
            </w:pPr>
          </w:p>
        </w:tc>
      </w:tr>
      <w:tr w:rsidR="00B82F75" w:rsidRPr="00F52C10" w14:paraId="36A8CD0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8CDA73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CAN0EAST</w:t>
            </w:r>
          </w:p>
        </w:tc>
        <w:tc>
          <w:tcPr>
            <w:tcW w:w="994" w:type="dxa"/>
            <w:tcBorders>
              <w:top w:val="single" w:sz="4" w:space="0" w:color="auto"/>
              <w:left w:val="single" w:sz="4" w:space="0" w:color="auto"/>
              <w:bottom w:val="single" w:sz="4" w:space="0" w:color="auto"/>
              <w:right w:val="single" w:sz="4" w:space="0" w:color="auto"/>
            </w:tcBorders>
            <w:hideMark/>
          </w:tcPr>
          <w:p w14:paraId="249499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−107,30</w:t>
            </w:r>
          </w:p>
        </w:tc>
        <w:tc>
          <w:tcPr>
            <w:tcW w:w="994" w:type="dxa"/>
            <w:tcBorders>
              <w:top w:val="single" w:sz="4" w:space="0" w:color="auto"/>
              <w:left w:val="single" w:sz="4" w:space="0" w:color="auto"/>
              <w:bottom w:val="single" w:sz="4" w:space="0" w:color="auto"/>
              <w:right w:val="single" w:sz="4" w:space="0" w:color="auto"/>
            </w:tcBorders>
            <w:hideMark/>
          </w:tcPr>
          <w:p w14:paraId="73C48B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−76,60</w:t>
            </w:r>
          </w:p>
        </w:tc>
        <w:tc>
          <w:tcPr>
            <w:tcW w:w="924" w:type="dxa"/>
            <w:tcBorders>
              <w:top w:val="single" w:sz="4" w:space="0" w:color="auto"/>
              <w:left w:val="single" w:sz="4" w:space="0" w:color="auto"/>
              <w:bottom w:val="single" w:sz="4" w:space="0" w:color="auto"/>
              <w:right w:val="single" w:sz="4" w:space="0" w:color="auto"/>
            </w:tcBorders>
            <w:hideMark/>
          </w:tcPr>
          <w:p w14:paraId="563692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6A0E9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618F8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70FA3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F9A91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DD83C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933" w:type="dxa"/>
            <w:tcBorders>
              <w:top w:val="single" w:sz="4" w:space="0" w:color="auto"/>
              <w:left w:val="single" w:sz="4" w:space="0" w:color="auto"/>
              <w:bottom w:val="single" w:sz="4" w:space="0" w:color="auto"/>
              <w:right w:val="single" w:sz="4" w:space="0" w:color="auto"/>
            </w:tcBorders>
          </w:tcPr>
          <w:p w14:paraId="7B9FA5CE" w14:textId="77777777" w:rsidR="00B82F75" w:rsidRPr="00F52C10" w:rsidRDefault="00B82F75" w:rsidP="00E4628E">
            <w:pPr>
              <w:pStyle w:val="Tabletext0"/>
              <w:spacing w:before="34" w:after="34" w:line="276" w:lineRule="auto"/>
              <w:rPr>
                <w:sz w:val="18"/>
                <w:szCs w:val="18"/>
                <w:lang w:val="en-CA"/>
              </w:rPr>
            </w:pPr>
          </w:p>
        </w:tc>
      </w:tr>
      <w:tr w:rsidR="00B82F75" w:rsidRPr="00F52C10" w14:paraId="27D9A71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4CEE68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CAN0WEST</w:t>
            </w:r>
          </w:p>
        </w:tc>
        <w:tc>
          <w:tcPr>
            <w:tcW w:w="994" w:type="dxa"/>
            <w:tcBorders>
              <w:top w:val="single" w:sz="4" w:space="0" w:color="auto"/>
              <w:left w:val="single" w:sz="4" w:space="0" w:color="auto"/>
              <w:bottom w:val="single" w:sz="4" w:space="0" w:color="auto"/>
              <w:right w:val="single" w:sz="4" w:space="0" w:color="auto"/>
            </w:tcBorders>
            <w:hideMark/>
          </w:tcPr>
          <w:p w14:paraId="106F9AF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−114,90</w:t>
            </w:r>
          </w:p>
        </w:tc>
        <w:tc>
          <w:tcPr>
            <w:tcW w:w="994" w:type="dxa"/>
            <w:tcBorders>
              <w:top w:val="single" w:sz="4" w:space="0" w:color="auto"/>
              <w:left w:val="single" w:sz="4" w:space="0" w:color="auto"/>
              <w:bottom w:val="single" w:sz="4" w:space="0" w:color="auto"/>
              <w:right w:val="single" w:sz="4" w:space="0" w:color="auto"/>
            </w:tcBorders>
            <w:hideMark/>
          </w:tcPr>
          <w:p w14:paraId="2498FD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−120,10</w:t>
            </w:r>
          </w:p>
        </w:tc>
        <w:tc>
          <w:tcPr>
            <w:tcW w:w="924" w:type="dxa"/>
            <w:tcBorders>
              <w:top w:val="single" w:sz="4" w:space="0" w:color="auto"/>
              <w:left w:val="single" w:sz="4" w:space="0" w:color="auto"/>
              <w:bottom w:val="single" w:sz="4" w:space="0" w:color="auto"/>
              <w:right w:val="single" w:sz="4" w:space="0" w:color="auto"/>
            </w:tcBorders>
            <w:hideMark/>
          </w:tcPr>
          <w:p w14:paraId="1C44D6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DE49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5B1B5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D9E0F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3C3CF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04CC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−28,7</w:t>
            </w:r>
          </w:p>
        </w:tc>
        <w:tc>
          <w:tcPr>
            <w:tcW w:w="933" w:type="dxa"/>
            <w:tcBorders>
              <w:top w:val="single" w:sz="4" w:space="0" w:color="auto"/>
              <w:left w:val="single" w:sz="4" w:space="0" w:color="auto"/>
              <w:bottom w:val="single" w:sz="4" w:space="0" w:color="auto"/>
              <w:right w:val="single" w:sz="4" w:space="0" w:color="auto"/>
            </w:tcBorders>
          </w:tcPr>
          <w:p w14:paraId="3520012B" w14:textId="77777777" w:rsidR="00B82F75" w:rsidRPr="00F52C10" w:rsidRDefault="00B82F75" w:rsidP="00E4628E">
            <w:pPr>
              <w:pStyle w:val="Tabletext0"/>
              <w:spacing w:before="34" w:after="34" w:line="276" w:lineRule="auto"/>
              <w:rPr>
                <w:sz w:val="18"/>
                <w:szCs w:val="18"/>
                <w:lang w:val="en-CA"/>
              </w:rPr>
            </w:pPr>
          </w:p>
        </w:tc>
      </w:tr>
      <w:tr w:rsidR="00B82F75" w:rsidRPr="00F52C10" w14:paraId="74022E1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3ECCAD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CBG00000</w:t>
            </w:r>
          </w:p>
        </w:tc>
        <w:tc>
          <w:tcPr>
            <w:tcW w:w="994" w:type="dxa"/>
            <w:tcBorders>
              <w:top w:val="single" w:sz="4" w:space="0" w:color="auto"/>
              <w:left w:val="single" w:sz="4" w:space="0" w:color="auto"/>
              <w:bottom w:val="single" w:sz="4" w:space="0" w:color="auto"/>
              <w:right w:val="single" w:sz="4" w:space="0" w:color="auto"/>
            </w:tcBorders>
            <w:hideMark/>
          </w:tcPr>
          <w:p w14:paraId="0E2F7D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96,10</w:t>
            </w:r>
          </w:p>
        </w:tc>
        <w:tc>
          <w:tcPr>
            <w:tcW w:w="994" w:type="dxa"/>
            <w:tcBorders>
              <w:top w:val="single" w:sz="4" w:space="0" w:color="auto"/>
              <w:left w:val="single" w:sz="4" w:space="0" w:color="auto"/>
              <w:bottom w:val="single" w:sz="4" w:space="0" w:color="auto"/>
              <w:right w:val="single" w:sz="4" w:space="0" w:color="auto"/>
            </w:tcBorders>
            <w:hideMark/>
          </w:tcPr>
          <w:p w14:paraId="4EEE12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105,10</w:t>
            </w:r>
          </w:p>
        </w:tc>
        <w:tc>
          <w:tcPr>
            <w:tcW w:w="924" w:type="dxa"/>
            <w:tcBorders>
              <w:top w:val="single" w:sz="4" w:space="0" w:color="auto"/>
              <w:left w:val="single" w:sz="4" w:space="0" w:color="auto"/>
              <w:bottom w:val="single" w:sz="4" w:space="0" w:color="auto"/>
              <w:right w:val="single" w:sz="4" w:space="0" w:color="auto"/>
            </w:tcBorders>
            <w:hideMark/>
          </w:tcPr>
          <w:p w14:paraId="1E3F2C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96DD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CCD8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AD40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91FE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CFAF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−23,2</w:t>
            </w:r>
          </w:p>
        </w:tc>
        <w:tc>
          <w:tcPr>
            <w:tcW w:w="933" w:type="dxa"/>
            <w:tcBorders>
              <w:top w:val="single" w:sz="4" w:space="0" w:color="auto"/>
              <w:left w:val="single" w:sz="4" w:space="0" w:color="auto"/>
              <w:bottom w:val="single" w:sz="4" w:space="0" w:color="auto"/>
              <w:right w:val="single" w:sz="4" w:space="0" w:color="auto"/>
            </w:tcBorders>
          </w:tcPr>
          <w:p w14:paraId="71917353" w14:textId="77777777" w:rsidR="00B82F75" w:rsidRPr="00F52C10" w:rsidRDefault="00B82F75" w:rsidP="00E4628E">
            <w:pPr>
              <w:pStyle w:val="Tabletext0"/>
              <w:spacing w:before="34" w:after="34" w:line="276" w:lineRule="auto"/>
              <w:rPr>
                <w:sz w:val="18"/>
                <w:szCs w:val="18"/>
                <w:lang w:val="en-CA"/>
              </w:rPr>
            </w:pPr>
          </w:p>
        </w:tc>
      </w:tr>
      <w:tr w:rsidR="00B82F75" w:rsidRPr="00F52C10" w14:paraId="5975A6A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2ADFFD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lastRenderedPageBreak/>
              <w:t>CHL00000</w:t>
            </w:r>
          </w:p>
        </w:tc>
        <w:tc>
          <w:tcPr>
            <w:tcW w:w="994" w:type="dxa"/>
            <w:tcBorders>
              <w:top w:val="single" w:sz="4" w:space="0" w:color="auto"/>
              <w:left w:val="single" w:sz="4" w:space="0" w:color="auto"/>
              <w:bottom w:val="single" w:sz="4" w:space="0" w:color="auto"/>
              <w:right w:val="single" w:sz="4" w:space="0" w:color="auto"/>
            </w:tcBorders>
            <w:hideMark/>
          </w:tcPr>
          <w:p w14:paraId="383CC7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−74,90</w:t>
            </w:r>
          </w:p>
        </w:tc>
        <w:tc>
          <w:tcPr>
            <w:tcW w:w="994" w:type="dxa"/>
            <w:tcBorders>
              <w:top w:val="single" w:sz="4" w:space="0" w:color="auto"/>
              <w:left w:val="single" w:sz="4" w:space="0" w:color="auto"/>
              <w:bottom w:val="single" w:sz="4" w:space="0" w:color="auto"/>
              <w:right w:val="single" w:sz="4" w:space="0" w:color="auto"/>
            </w:tcBorders>
            <w:hideMark/>
          </w:tcPr>
          <w:p w14:paraId="0ECAD9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−82,60</w:t>
            </w:r>
          </w:p>
        </w:tc>
        <w:tc>
          <w:tcPr>
            <w:tcW w:w="924" w:type="dxa"/>
            <w:tcBorders>
              <w:top w:val="single" w:sz="4" w:space="0" w:color="auto"/>
              <w:left w:val="single" w:sz="4" w:space="0" w:color="auto"/>
              <w:bottom w:val="single" w:sz="4" w:space="0" w:color="auto"/>
              <w:right w:val="single" w:sz="4" w:space="0" w:color="auto"/>
            </w:tcBorders>
            <w:hideMark/>
          </w:tcPr>
          <w:p w14:paraId="16F385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4EC7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44567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5970D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EEC7A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2FEB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−28,4</w:t>
            </w:r>
          </w:p>
        </w:tc>
        <w:tc>
          <w:tcPr>
            <w:tcW w:w="933" w:type="dxa"/>
            <w:tcBorders>
              <w:top w:val="single" w:sz="4" w:space="0" w:color="auto"/>
              <w:left w:val="single" w:sz="4" w:space="0" w:color="auto"/>
              <w:bottom w:val="single" w:sz="4" w:space="0" w:color="auto"/>
              <w:right w:val="single" w:sz="4" w:space="0" w:color="auto"/>
            </w:tcBorders>
          </w:tcPr>
          <w:p w14:paraId="3678F5AC" w14:textId="77777777" w:rsidR="00B82F75" w:rsidRPr="00F52C10" w:rsidRDefault="00B82F75" w:rsidP="00E4628E">
            <w:pPr>
              <w:pStyle w:val="Tabletext0"/>
              <w:spacing w:before="34" w:after="34" w:line="276" w:lineRule="auto"/>
              <w:rPr>
                <w:sz w:val="18"/>
                <w:szCs w:val="18"/>
                <w:lang w:val="en-CA"/>
              </w:rPr>
            </w:pPr>
          </w:p>
        </w:tc>
      </w:tr>
      <w:tr w:rsidR="00B82F75" w:rsidRPr="00F52C10" w14:paraId="1179E6E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186D5A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CHN00001</w:t>
            </w:r>
          </w:p>
        </w:tc>
        <w:tc>
          <w:tcPr>
            <w:tcW w:w="994" w:type="dxa"/>
            <w:tcBorders>
              <w:top w:val="single" w:sz="4" w:space="0" w:color="auto"/>
              <w:left w:val="single" w:sz="4" w:space="0" w:color="auto"/>
              <w:bottom w:val="single" w:sz="4" w:space="0" w:color="auto"/>
              <w:right w:val="single" w:sz="4" w:space="0" w:color="auto"/>
            </w:tcBorders>
            <w:hideMark/>
          </w:tcPr>
          <w:p w14:paraId="7CBEDC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101,40</w:t>
            </w:r>
          </w:p>
        </w:tc>
        <w:tc>
          <w:tcPr>
            <w:tcW w:w="994" w:type="dxa"/>
            <w:tcBorders>
              <w:top w:val="single" w:sz="4" w:space="0" w:color="auto"/>
              <w:left w:val="single" w:sz="4" w:space="0" w:color="auto"/>
              <w:bottom w:val="single" w:sz="4" w:space="0" w:color="auto"/>
              <w:right w:val="single" w:sz="4" w:space="0" w:color="auto"/>
            </w:tcBorders>
            <w:hideMark/>
          </w:tcPr>
          <w:p w14:paraId="411578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103,70</w:t>
            </w:r>
          </w:p>
        </w:tc>
        <w:tc>
          <w:tcPr>
            <w:tcW w:w="924" w:type="dxa"/>
            <w:tcBorders>
              <w:top w:val="single" w:sz="4" w:space="0" w:color="auto"/>
              <w:left w:val="single" w:sz="4" w:space="0" w:color="auto"/>
              <w:bottom w:val="single" w:sz="4" w:space="0" w:color="auto"/>
              <w:right w:val="single" w:sz="4" w:space="0" w:color="auto"/>
            </w:tcBorders>
            <w:hideMark/>
          </w:tcPr>
          <w:p w14:paraId="6FC123B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F84B1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089EE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68A0B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EFA8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1D06B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−23,2</w:t>
            </w:r>
          </w:p>
        </w:tc>
        <w:tc>
          <w:tcPr>
            <w:tcW w:w="933" w:type="dxa"/>
            <w:tcBorders>
              <w:top w:val="single" w:sz="4" w:space="0" w:color="auto"/>
              <w:left w:val="single" w:sz="4" w:space="0" w:color="auto"/>
              <w:bottom w:val="single" w:sz="4" w:space="0" w:color="auto"/>
              <w:right w:val="single" w:sz="4" w:space="0" w:color="auto"/>
            </w:tcBorders>
          </w:tcPr>
          <w:p w14:paraId="3D98296C" w14:textId="77777777" w:rsidR="00B82F75" w:rsidRPr="00F52C10" w:rsidRDefault="00B82F75" w:rsidP="00E4628E">
            <w:pPr>
              <w:pStyle w:val="Tabletext0"/>
              <w:spacing w:before="34" w:after="34" w:line="276" w:lineRule="auto"/>
              <w:rPr>
                <w:sz w:val="18"/>
                <w:szCs w:val="18"/>
                <w:lang w:val="en-CA"/>
              </w:rPr>
            </w:pPr>
          </w:p>
        </w:tc>
      </w:tr>
      <w:tr w:rsidR="00B82F75" w:rsidRPr="00F52C10" w14:paraId="3C03F6A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C9B2CF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CHN00002</w:t>
            </w:r>
          </w:p>
        </w:tc>
        <w:tc>
          <w:tcPr>
            <w:tcW w:w="994" w:type="dxa"/>
            <w:tcBorders>
              <w:top w:val="single" w:sz="4" w:space="0" w:color="auto"/>
              <w:left w:val="single" w:sz="4" w:space="0" w:color="auto"/>
              <w:bottom w:val="single" w:sz="4" w:space="0" w:color="auto"/>
              <w:right w:val="single" w:sz="4" w:space="0" w:color="auto"/>
            </w:tcBorders>
            <w:hideMark/>
          </w:tcPr>
          <w:p w14:paraId="3819CB4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135,50</w:t>
            </w:r>
          </w:p>
        </w:tc>
        <w:tc>
          <w:tcPr>
            <w:tcW w:w="994" w:type="dxa"/>
            <w:tcBorders>
              <w:top w:val="single" w:sz="4" w:space="0" w:color="auto"/>
              <w:left w:val="single" w:sz="4" w:space="0" w:color="auto"/>
              <w:bottom w:val="single" w:sz="4" w:space="0" w:color="auto"/>
              <w:right w:val="single" w:sz="4" w:space="0" w:color="auto"/>
            </w:tcBorders>
            <w:hideMark/>
          </w:tcPr>
          <w:p w14:paraId="5098A6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114,80</w:t>
            </w:r>
          </w:p>
        </w:tc>
        <w:tc>
          <w:tcPr>
            <w:tcW w:w="924" w:type="dxa"/>
            <w:tcBorders>
              <w:top w:val="single" w:sz="4" w:space="0" w:color="auto"/>
              <w:left w:val="single" w:sz="4" w:space="0" w:color="auto"/>
              <w:bottom w:val="single" w:sz="4" w:space="0" w:color="auto"/>
              <w:right w:val="single" w:sz="4" w:space="0" w:color="auto"/>
            </w:tcBorders>
            <w:hideMark/>
          </w:tcPr>
          <w:p w14:paraId="0B388D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3A439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41A9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807B9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B5E59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A72E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−22,5</w:t>
            </w:r>
          </w:p>
        </w:tc>
        <w:tc>
          <w:tcPr>
            <w:tcW w:w="933" w:type="dxa"/>
            <w:tcBorders>
              <w:top w:val="single" w:sz="4" w:space="0" w:color="auto"/>
              <w:left w:val="single" w:sz="4" w:space="0" w:color="auto"/>
              <w:bottom w:val="single" w:sz="4" w:space="0" w:color="auto"/>
              <w:right w:val="single" w:sz="4" w:space="0" w:color="auto"/>
            </w:tcBorders>
          </w:tcPr>
          <w:p w14:paraId="01A8990B" w14:textId="77777777" w:rsidR="00B82F75" w:rsidRPr="00F52C10" w:rsidRDefault="00B82F75" w:rsidP="00E4628E">
            <w:pPr>
              <w:pStyle w:val="Tabletext0"/>
              <w:spacing w:before="34" w:after="34" w:line="276" w:lineRule="auto"/>
              <w:rPr>
                <w:sz w:val="18"/>
                <w:szCs w:val="18"/>
                <w:lang w:val="en-CA"/>
              </w:rPr>
            </w:pPr>
          </w:p>
        </w:tc>
      </w:tr>
      <w:tr w:rsidR="00B82F75" w:rsidRPr="00F52C10" w14:paraId="5257003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F19BB8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CLM00000</w:t>
            </w:r>
          </w:p>
        </w:tc>
        <w:tc>
          <w:tcPr>
            <w:tcW w:w="994" w:type="dxa"/>
            <w:tcBorders>
              <w:top w:val="single" w:sz="4" w:space="0" w:color="auto"/>
              <w:left w:val="single" w:sz="4" w:space="0" w:color="auto"/>
              <w:bottom w:val="single" w:sz="4" w:space="0" w:color="auto"/>
              <w:right w:val="single" w:sz="4" w:space="0" w:color="auto"/>
            </w:tcBorders>
            <w:hideMark/>
          </w:tcPr>
          <w:p w14:paraId="193C40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−70,90</w:t>
            </w:r>
          </w:p>
        </w:tc>
        <w:tc>
          <w:tcPr>
            <w:tcW w:w="994" w:type="dxa"/>
            <w:tcBorders>
              <w:top w:val="single" w:sz="4" w:space="0" w:color="auto"/>
              <w:left w:val="single" w:sz="4" w:space="0" w:color="auto"/>
              <w:bottom w:val="single" w:sz="4" w:space="0" w:color="auto"/>
              <w:right w:val="single" w:sz="4" w:space="0" w:color="auto"/>
            </w:tcBorders>
            <w:hideMark/>
          </w:tcPr>
          <w:p w14:paraId="37805E5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−74,00</w:t>
            </w:r>
          </w:p>
        </w:tc>
        <w:tc>
          <w:tcPr>
            <w:tcW w:w="924" w:type="dxa"/>
            <w:tcBorders>
              <w:top w:val="single" w:sz="4" w:space="0" w:color="auto"/>
              <w:left w:val="single" w:sz="4" w:space="0" w:color="auto"/>
              <w:bottom w:val="single" w:sz="4" w:space="0" w:color="auto"/>
              <w:right w:val="single" w:sz="4" w:space="0" w:color="auto"/>
            </w:tcBorders>
            <w:hideMark/>
          </w:tcPr>
          <w:p w14:paraId="52B08A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CB6C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C177A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C5890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425C9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A0A6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−22,6</w:t>
            </w:r>
          </w:p>
        </w:tc>
        <w:tc>
          <w:tcPr>
            <w:tcW w:w="933" w:type="dxa"/>
            <w:tcBorders>
              <w:top w:val="single" w:sz="4" w:space="0" w:color="auto"/>
              <w:left w:val="single" w:sz="4" w:space="0" w:color="auto"/>
              <w:bottom w:val="single" w:sz="4" w:space="0" w:color="auto"/>
              <w:right w:val="single" w:sz="4" w:space="0" w:color="auto"/>
            </w:tcBorders>
          </w:tcPr>
          <w:p w14:paraId="462D4904" w14:textId="77777777" w:rsidR="00B82F75" w:rsidRPr="00F52C10" w:rsidRDefault="00B82F75" w:rsidP="00E4628E">
            <w:pPr>
              <w:pStyle w:val="Tabletext0"/>
              <w:spacing w:before="34" w:after="34" w:line="276" w:lineRule="auto"/>
              <w:rPr>
                <w:sz w:val="18"/>
                <w:szCs w:val="18"/>
                <w:lang w:val="en-CA"/>
              </w:rPr>
            </w:pPr>
          </w:p>
        </w:tc>
      </w:tr>
      <w:tr w:rsidR="00B82F75" w:rsidRPr="00F52C10" w14:paraId="7360291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EB0D93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CLN00000</w:t>
            </w:r>
          </w:p>
        </w:tc>
        <w:tc>
          <w:tcPr>
            <w:tcW w:w="994" w:type="dxa"/>
            <w:tcBorders>
              <w:top w:val="single" w:sz="4" w:space="0" w:color="auto"/>
              <w:left w:val="single" w:sz="4" w:space="0" w:color="auto"/>
              <w:bottom w:val="single" w:sz="4" w:space="0" w:color="auto"/>
              <w:right w:val="single" w:sz="4" w:space="0" w:color="auto"/>
            </w:tcBorders>
            <w:hideMark/>
          </w:tcPr>
          <w:p w14:paraId="1189B7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121,50</w:t>
            </w:r>
          </w:p>
        </w:tc>
        <w:tc>
          <w:tcPr>
            <w:tcW w:w="994" w:type="dxa"/>
            <w:tcBorders>
              <w:top w:val="single" w:sz="4" w:space="0" w:color="auto"/>
              <w:left w:val="single" w:sz="4" w:space="0" w:color="auto"/>
              <w:bottom w:val="single" w:sz="4" w:space="0" w:color="auto"/>
              <w:right w:val="single" w:sz="4" w:space="0" w:color="auto"/>
            </w:tcBorders>
            <w:hideMark/>
          </w:tcPr>
          <w:p w14:paraId="6B44E2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80,10</w:t>
            </w:r>
          </w:p>
        </w:tc>
        <w:tc>
          <w:tcPr>
            <w:tcW w:w="924" w:type="dxa"/>
            <w:tcBorders>
              <w:top w:val="single" w:sz="4" w:space="0" w:color="auto"/>
              <w:left w:val="single" w:sz="4" w:space="0" w:color="auto"/>
              <w:bottom w:val="single" w:sz="4" w:space="0" w:color="auto"/>
              <w:right w:val="single" w:sz="4" w:space="0" w:color="auto"/>
            </w:tcBorders>
            <w:hideMark/>
          </w:tcPr>
          <w:p w14:paraId="4CB73D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CCF04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CEED7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1DCF5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4C53D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DD432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−24,8</w:t>
            </w:r>
          </w:p>
        </w:tc>
        <w:tc>
          <w:tcPr>
            <w:tcW w:w="933" w:type="dxa"/>
            <w:tcBorders>
              <w:top w:val="single" w:sz="4" w:space="0" w:color="auto"/>
              <w:left w:val="single" w:sz="4" w:space="0" w:color="auto"/>
              <w:bottom w:val="single" w:sz="4" w:space="0" w:color="auto"/>
              <w:right w:val="single" w:sz="4" w:space="0" w:color="auto"/>
            </w:tcBorders>
          </w:tcPr>
          <w:p w14:paraId="50A55FFC" w14:textId="77777777" w:rsidR="00B82F75" w:rsidRPr="00F52C10" w:rsidRDefault="00B82F75" w:rsidP="00E4628E">
            <w:pPr>
              <w:pStyle w:val="Tabletext0"/>
              <w:spacing w:before="34" w:after="34" w:line="276" w:lineRule="auto"/>
              <w:rPr>
                <w:sz w:val="18"/>
                <w:szCs w:val="18"/>
                <w:lang w:val="en-CA"/>
              </w:rPr>
            </w:pPr>
          </w:p>
        </w:tc>
      </w:tr>
      <w:tr w:rsidR="00B82F75" w:rsidRPr="00F52C10" w14:paraId="35D3764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B14B8A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CME00000</w:t>
            </w:r>
          </w:p>
        </w:tc>
        <w:tc>
          <w:tcPr>
            <w:tcW w:w="994" w:type="dxa"/>
            <w:tcBorders>
              <w:top w:val="single" w:sz="4" w:space="0" w:color="auto"/>
              <w:left w:val="single" w:sz="4" w:space="0" w:color="auto"/>
              <w:bottom w:val="single" w:sz="4" w:space="0" w:color="auto"/>
              <w:right w:val="single" w:sz="4" w:space="0" w:color="auto"/>
            </w:tcBorders>
            <w:hideMark/>
          </w:tcPr>
          <w:p w14:paraId="74FC0D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7,98</w:t>
            </w:r>
          </w:p>
        </w:tc>
        <w:tc>
          <w:tcPr>
            <w:tcW w:w="994" w:type="dxa"/>
            <w:tcBorders>
              <w:top w:val="single" w:sz="4" w:space="0" w:color="auto"/>
              <w:left w:val="single" w:sz="4" w:space="0" w:color="auto"/>
              <w:bottom w:val="single" w:sz="4" w:space="0" w:color="auto"/>
              <w:right w:val="single" w:sz="4" w:space="0" w:color="auto"/>
            </w:tcBorders>
            <w:hideMark/>
          </w:tcPr>
          <w:p w14:paraId="048E4C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12,90</w:t>
            </w:r>
          </w:p>
        </w:tc>
        <w:tc>
          <w:tcPr>
            <w:tcW w:w="924" w:type="dxa"/>
            <w:tcBorders>
              <w:top w:val="single" w:sz="4" w:space="0" w:color="auto"/>
              <w:left w:val="single" w:sz="4" w:space="0" w:color="auto"/>
              <w:bottom w:val="single" w:sz="4" w:space="0" w:color="auto"/>
              <w:right w:val="single" w:sz="4" w:space="0" w:color="auto"/>
            </w:tcBorders>
            <w:hideMark/>
          </w:tcPr>
          <w:p w14:paraId="6224FF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6155F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12B365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1D0E3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5C0FA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74E73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−22,7</w:t>
            </w:r>
          </w:p>
        </w:tc>
        <w:tc>
          <w:tcPr>
            <w:tcW w:w="933" w:type="dxa"/>
            <w:tcBorders>
              <w:top w:val="single" w:sz="4" w:space="0" w:color="auto"/>
              <w:left w:val="single" w:sz="4" w:space="0" w:color="auto"/>
              <w:bottom w:val="single" w:sz="4" w:space="0" w:color="auto"/>
              <w:right w:val="single" w:sz="4" w:space="0" w:color="auto"/>
            </w:tcBorders>
          </w:tcPr>
          <w:p w14:paraId="57BE2D0F" w14:textId="77777777" w:rsidR="00B82F75" w:rsidRPr="00F52C10" w:rsidRDefault="00B82F75" w:rsidP="00E4628E">
            <w:pPr>
              <w:pStyle w:val="Tabletext0"/>
              <w:spacing w:before="34" w:after="34" w:line="276" w:lineRule="auto"/>
              <w:rPr>
                <w:sz w:val="18"/>
                <w:szCs w:val="18"/>
                <w:lang w:val="en-CA"/>
              </w:rPr>
            </w:pPr>
          </w:p>
        </w:tc>
      </w:tr>
      <w:tr w:rsidR="00B82F75" w:rsidRPr="00F52C10" w14:paraId="7BF8DA7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C6CABB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CNR00000</w:t>
            </w:r>
          </w:p>
        </w:tc>
        <w:tc>
          <w:tcPr>
            <w:tcW w:w="994" w:type="dxa"/>
            <w:tcBorders>
              <w:top w:val="single" w:sz="4" w:space="0" w:color="auto"/>
              <w:left w:val="single" w:sz="4" w:space="0" w:color="auto"/>
              <w:bottom w:val="single" w:sz="4" w:space="0" w:color="auto"/>
              <w:right w:val="single" w:sz="4" w:space="0" w:color="auto"/>
            </w:tcBorders>
            <w:hideMark/>
          </w:tcPr>
          <w:p w14:paraId="4003D72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−30,00</w:t>
            </w:r>
          </w:p>
        </w:tc>
        <w:tc>
          <w:tcPr>
            <w:tcW w:w="994" w:type="dxa"/>
            <w:tcBorders>
              <w:top w:val="single" w:sz="4" w:space="0" w:color="auto"/>
              <w:left w:val="single" w:sz="4" w:space="0" w:color="auto"/>
              <w:bottom w:val="single" w:sz="4" w:space="0" w:color="auto"/>
              <w:right w:val="single" w:sz="4" w:space="0" w:color="auto"/>
            </w:tcBorders>
          </w:tcPr>
          <w:p w14:paraId="6E62E1CA"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627CF9AB"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82F58D"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E1319A9"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DCC308E"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6F67FD"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5F53BC9"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0C0376F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0AD9F5C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4E2128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COD00000</w:t>
            </w:r>
          </w:p>
        </w:tc>
        <w:tc>
          <w:tcPr>
            <w:tcW w:w="994" w:type="dxa"/>
            <w:tcBorders>
              <w:top w:val="single" w:sz="4" w:space="0" w:color="auto"/>
              <w:left w:val="single" w:sz="4" w:space="0" w:color="auto"/>
              <w:bottom w:val="single" w:sz="4" w:space="0" w:color="auto"/>
              <w:right w:val="single" w:sz="4" w:space="0" w:color="auto"/>
            </w:tcBorders>
            <w:hideMark/>
          </w:tcPr>
          <w:p w14:paraId="3FED6B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50,95</w:t>
            </w:r>
          </w:p>
        </w:tc>
        <w:tc>
          <w:tcPr>
            <w:tcW w:w="994" w:type="dxa"/>
            <w:tcBorders>
              <w:top w:val="single" w:sz="4" w:space="0" w:color="auto"/>
              <w:left w:val="single" w:sz="4" w:space="0" w:color="auto"/>
              <w:bottom w:val="single" w:sz="4" w:space="0" w:color="auto"/>
              <w:right w:val="single" w:sz="4" w:space="0" w:color="auto"/>
            </w:tcBorders>
            <w:hideMark/>
          </w:tcPr>
          <w:p w14:paraId="12526DB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24,40</w:t>
            </w:r>
          </w:p>
        </w:tc>
        <w:tc>
          <w:tcPr>
            <w:tcW w:w="924" w:type="dxa"/>
            <w:tcBorders>
              <w:top w:val="single" w:sz="4" w:space="0" w:color="auto"/>
              <w:left w:val="single" w:sz="4" w:space="0" w:color="auto"/>
              <w:bottom w:val="single" w:sz="4" w:space="0" w:color="auto"/>
              <w:right w:val="single" w:sz="4" w:space="0" w:color="auto"/>
            </w:tcBorders>
            <w:hideMark/>
          </w:tcPr>
          <w:p w14:paraId="7F47E0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82DC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43E04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D004B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6AC3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D2A0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−24,4</w:t>
            </w:r>
          </w:p>
        </w:tc>
        <w:tc>
          <w:tcPr>
            <w:tcW w:w="933" w:type="dxa"/>
            <w:tcBorders>
              <w:top w:val="single" w:sz="4" w:space="0" w:color="auto"/>
              <w:left w:val="single" w:sz="4" w:space="0" w:color="auto"/>
              <w:bottom w:val="single" w:sz="4" w:space="0" w:color="auto"/>
              <w:right w:val="single" w:sz="4" w:space="0" w:color="auto"/>
            </w:tcBorders>
          </w:tcPr>
          <w:p w14:paraId="0459FA0A" w14:textId="77777777" w:rsidR="00B82F75" w:rsidRPr="00F52C10" w:rsidRDefault="00B82F75" w:rsidP="00E4628E">
            <w:pPr>
              <w:pStyle w:val="Tabletext0"/>
              <w:spacing w:before="34" w:after="34" w:line="276" w:lineRule="auto"/>
              <w:rPr>
                <w:sz w:val="18"/>
                <w:szCs w:val="18"/>
                <w:lang w:val="en-CA"/>
              </w:rPr>
            </w:pPr>
          </w:p>
        </w:tc>
      </w:tr>
      <w:tr w:rsidR="00B82F75" w:rsidRPr="00F52C10" w14:paraId="53A45A4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6B58F5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COG00000</w:t>
            </w:r>
          </w:p>
        </w:tc>
        <w:tc>
          <w:tcPr>
            <w:tcW w:w="994" w:type="dxa"/>
            <w:tcBorders>
              <w:top w:val="single" w:sz="4" w:space="0" w:color="auto"/>
              <w:left w:val="single" w:sz="4" w:space="0" w:color="auto"/>
              <w:bottom w:val="single" w:sz="4" w:space="0" w:color="auto"/>
              <w:right w:val="single" w:sz="4" w:space="0" w:color="auto"/>
            </w:tcBorders>
            <w:hideMark/>
          </w:tcPr>
          <w:p w14:paraId="5E4970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−16,35</w:t>
            </w:r>
          </w:p>
        </w:tc>
        <w:tc>
          <w:tcPr>
            <w:tcW w:w="994" w:type="dxa"/>
            <w:tcBorders>
              <w:top w:val="single" w:sz="4" w:space="0" w:color="auto"/>
              <w:left w:val="single" w:sz="4" w:space="0" w:color="auto"/>
              <w:bottom w:val="single" w:sz="4" w:space="0" w:color="auto"/>
              <w:right w:val="single" w:sz="4" w:space="0" w:color="auto"/>
            </w:tcBorders>
            <w:hideMark/>
          </w:tcPr>
          <w:p w14:paraId="4264FB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14,80</w:t>
            </w:r>
          </w:p>
        </w:tc>
        <w:tc>
          <w:tcPr>
            <w:tcW w:w="924" w:type="dxa"/>
            <w:tcBorders>
              <w:top w:val="single" w:sz="4" w:space="0" w:color="auto"/>
              <w:left w:val="single" w:sz="4" w:space="0" w:color="auto"/>
              <w:bottom w:val="single" w:sz="4" w:space="0" w:color="auto"/>
              <w:right w:val="single" w:sz="4" w:space="0" w:color="auto"/>
            </w:tcBorders>
            <w:hideMark/>
          </w:tcPr>
          <w:p w14:paraId="371447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017AC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73268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3D8C3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CF96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FCCB6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−22,7</w:t>
            </w:r>
          </w:p>
        </w:tc>
        <w:tc>
          <w:tcPr>
            <w:tcW w:w="933" w:type="dxa"/>
            <w:tcBorders>
              <w:top w:val="single" w:sz="4" w:space="0" w:color="auto"/>
              <w:left w:val="single" w:sz="4" w:space="0" w:color="auto"/>
              <w:bottom w:val="single" w:sz="4" w:space="0" w:color="auto"/>
              <w:right w:val="single" w:sz="4" w:space="0" w:color="auto"/>
            </w:tcBorders>
          </w:tcPr>
          <w:p w14:paraId="6B7070CD" w14:textId="77777777" w:rsidR="00B82F75" w:rsidRPr="00F52C10" w:rsidRDefault="00B82F75" w:rsidP="00E4628E">
            <w:pPr>
              <w:pStyle w:val="Tabletext0"/>
              <w:spacing w:before="34" w:after="34" w:line="276" w:lineRule="auto"/>
              <w:rPr>
                <w:sz w:val="18"/>
                <w:szCs w:val="18"/>
                <w:lang w:val="en-CA"/>
              </w:rPr>
            </w:pPr>
          </w:p>
        </w:tc>
      </w:tr>
      <w:tr w:rsidR="00B82F75" w:rsidRPr="00F52C10" w14:paraId="3AC8577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3289F6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COM00000</w:t>
            </w:r>
          </w:p>
        </w:tc>
        <w:tc>
          <w:tcPr>
            <w:tcW w:w="994" w:type="dxa"/>
            <w:tcBorders>
              <w:top w:val="single" w:sz="4" w:space="0" w:color="auto"/>
              <w:left w:val="single" w:sz="4" w:space="0" w:color="auto"/>
              <w:bottom w:val="single" w:sz="4" w:space="0" w:color="auto"/>
              <w:right w:val="single" w:sz="4" w:space="0" w:color="auto"/>
            </w:tcBorders>
            <w:hideMark/>
          </w:tcPr>
          <w:p w14:paraId="2878EA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94,50</w:t>
            </w:r>
          </w:p>
        </w:tc>
        <w:tc>
          <w:tcPr>
            <w:tcW w:w="994" w:type="dxa"/>
            <w:tcBorders>
              <w:top w:val="single" w:sz="4" w:space="0" w:color="auto"/>
              <w:left w:val="single" w:sz="4" w:space="0" w:color="auto"/>
              <w:bottom w:val="single" w:sz="4" w:space="0" w:color="auto"/>
              <w:right w:val="single" w:sz="4" w:space="0" w:color="auto"/>
            </w:tcBorders>
            <w:hideMark/>
          </w:tcPr>
          <w:p w14:paraId="41CBB1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44,10</w:t>
            </w:r>
          </w:p>
        </w:tc>
        <w:tc>
          <w:tcPr>
            <w:tcW w:w="924" w:type="dxa"/>
            <w:tcBorders>
              <w:top w:val="single" w:sz="4" w:space="0" w:color="auto"/>
              <w:left w:val="single" w:sz="4" w:space="0" w:color="auto"/>
              <w:bottom w:val="single" w:sz="4" w:space="0" w:color="auto"/>
              <w:right w:val="single" w:sz="4" w:space="0" w:color="auto"/>
            </w:tcBorders>
            <w:hideMark/>
          </w:tcPr>
          <w:p w14:paraId="3E7628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F4927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A4F6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8D35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D4AE4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3EB3A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−24,7</w:t>
            </w:r>
          </w:p>
        </w:tc>
        <w:tc>
          <w:tcPr>
            <w:tcW w:w="933" w:type="dxa"/>
            <w:tcBorders>
              <w:top w:val="single" w:sz="4" w:space="0" w:color="auto"/>
              <w:left w:val="single" w:sz="4" w:space="0" w:color="auto"/>
              <w:bottom w:val="single" w:sz="4" w:space="0" w:color="auto"/>
              <w:right w:val="single" w:sz="4" w:space="0" w:color="auto"/>
            </w:tcBorders>
          </w:tcPr>
          <w:p w14:paraId="497F7C17" w14:textId="77777777" w:rsidR="00B82F75" w:rsidRPr="00F52C10" w:rsidRDefault="00B82F75" w:rsidP="00E4628E">
            <w:pPr>
              <w:pStyle w:val="Tabletext0"/>
              <w:spacing w:before="34" w:after="34" w:line="276" w:lineRule="auto"/>
              <w:rPr>
                <w:sz w:val="18"/>
                <w:szCs w:val="18"/>
                <w:lang w:val="en-CA"/>
              </w:rPr>
            </w:pPr>
          </w:p>
        </w:tc>
      </w:tr>
      <w:tr w:rsidR="00B82F75" w:rsidRPr="00F52C10" w14:paraId="75947B6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2CF892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CPV00000</w:t>
            </w:r>
          </w:p>
        </w:tc>
        <w:tc>
          <w:tcPr>
            <w:tcW w:w="994" w:type="dxa"/>
            <w:tcBorders>
              <w:top w:val="single" w:sz="4" w:space="0" w:color="auto"/>
              <w:left w:val="single" w:sz="4" w:space="0" w:color="auto"/>
              <w:bottom w:val="single" w:sz="4" w:space="0" w:color="auto"/>
              <w:right w:val="single" w:sz="4" w:space="0" w:color="auto"/>
            </w:tcBorders>
            <w:hideMark/>
          </w:tcPr>
          <w:p w14:paraId="5ECC93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−85,70</w:t>
            </w:r>
          </w:p>
        </w:tc>
        <w:tc>
          <w:tcPr>
            <w:tcW w:w="994" w:type="dxa"/>
            <w:tcBorders>
              <w:top w:val="single" w:sz="4" w:space="0" w:color="auto"/>
              <w:left w:val="single" w:sz="4" w:space="0" w:color="auto"/>
              <w:bottom w:val="single" w:sz="4" w:space="0" w:color="auto"/>
              <w:right w:val="single" w:sz="4" w:space="0" w:color="auto"/>
            </w:tcBorders>
            <w:hideMark/>
          </w:tcPr>
          <w:p w14:paraId="6938E2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−24,10</w:t>
            </w:r>
          </w:p>
        </w:tc>
        <w:tc>
          <w:tcPr>
            <w:tcW w:w="924" w:type="dxa"/>
            <w:tcBorders>
              <w:top w:val="single" w:sz="4" w:space="0" w:color="auto"/>
              <w:left w:val="single" w:sz="4" w:space="0" w:color="auto"/>
              <w:bottom w:val="single" w:sz="4" w:space="0" w:color="auto"/>
              <w:right w:val="single" w:sz="4" w:space="0" w:color="auto"/>
            </w:tcBorders>
            <w:hideMark/>
          </w:tcPr>
          <w:p w14:paraId="465803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97B63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36C3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FA16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43571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15F18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−30,4</w:t>
            </w:r>
          </w:p>
        </w:tc>
        <w:tc>
          <w:tcPr>
            <w:tcW w:w="933" w:type="dxa"/>
            <w:tcBorders>
              <w:top w:val="single" w:sz="4" w:space="0" w:color="auto"/>
              <w:left w:val="single" w:sz="4" w:space="0" w:color="auto"/>
              <w:bottom w:val="single" w:sz="4" w:space="0" w:color="auto"/>
              <w:right w:val="single" w:sz="4" w:space="0" w:color="auto"/>
            </w:tcBorders>
          </w:tcPr>
          <w:p w14:paraId="38357349" w14:textId="77777777" w:rsidR="00B82F75" w:rsidRPr="00F52C10" w:rsidRDefault="00B82F75" w:rsidP="00E4628E">
            <w:pPr>
              <w:pStyle w:val="Tabletext0"/>
              <w:spacing w:before="34" w:after="34" w:line="276" w:lineRule="auto"/>
              <w:rPr>
                <w:sz w:val="18"/>
                <w:szCs w:val="18"/>
                <w:lang w:val="en-CA"/>
              </w:rPr>
            </w:pPr>
          </w:p>
        </w:tc>
      </w:tr>
      <w:tr w:rsidR="00B82F75" w:rsidRPr="00F52C10" w14:paraId="5C8522B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C4F197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CTI00000</w:t>
            </w:r>
          </w:p>
        </w:tc>
        <w:tc>
          <w:tcPr>
            <w:tcW w:w="994" w:type="dxa"/>
            <w:tcBorders>
              <w:top w:val="single" w:sz="4" w:space="0" w:color="auto"/>
              <w:left w:val="single" w:sz="4" w:space="0" w:color="auto"/>
              <w:bottom w:val="single" w:sz="4" w:space="0" w:color="auto"/>
              <w:right w:val="single" w:sz="4" w:space="0" w:color="auto"/>
            </w:tcBorders>
            <w:hideMark/>
          </w:tcPr>
          <w:p w14:paraId="619034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−15,76</w:t>
            </w:r>
          </w:p>
        </w:tc>
        <w:tc>
          <w:tcPr>
            <w:tcW w:w="994" w:type="dxa"/>
            <w:tcBorders>
              <w:top w:val="single" w:sz="4" w:space="0" w:color="auto"/>
              <w:left w:val="single" w:sz="4" w:space="0" w:color="auto"/>
              <w:bottom w:val="single" w:sz="4" w:space="0" w:color="auto"/>
              <w:right w:val="single" w:sz="4" w:space="0" w:color="auto"/>
            </w:tcBorders>
            <w:hideMark/>
          </w:tcPr>
          <w:p w14:paraId="743B2FF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−5,90</w:t>
            </w:r>
          </w:p>
        </w:tc>
        <w:tc>
          <w:tcPr>
            <w:tcW w:w="924" w:type="dxa"/>
            <w:tcBorders>
              <w:top w:val="single" w:sz="4" w:space="0" w:color="auto"/>
              <w:left w:val="single" w:sz="4" w:space="0" w:color="auto"/>
              <w:bottom w:val="single" w:sz="4" w:space="0" w:color="auto"/>
              <w:right w:val="single" w:sz="4" w:space="0" w:color="auto"/>
            </w:tcBorders>
            <w:hideMark/>
          </w:tcPr>
          <w:p w14:paraId="1DAD42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ADCDB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5DE98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7845A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9CF6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A06F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w:t>
            </w:r>
          </w:p>
        </w:tc>
        <w:tc>
          <w:tcPr>
            <w:tcW w:w="933" w:type="dxa"/>
            <w:tcBorders>
              <w:top w:val="single" w:sz="4" w:space="0" w:color="auto"/>
              <w:left w:val="single" w:sz="4" w:space="0" w:color="auto"/>
              <w:bottom w:val="single" w:sz="4" w:space="0" w:color="auto"/>
              <w:right w:val="single" w:sz="4" w:space="0" w:color="auto"/>
            </w:tcBorders>
          </w:tcPr>
          <w:p w14:paraId="38E5A203" w14:textId="77777777" w:rsidR="00B82F75" w:rsidRPr="00F52C10" w:rsidRDefault="00B82F75" w:rsidP="00E4628E">
            <w:pPr>
              <w:pStyle w:val="Tabletext0"/>
              <w:spacing w:before="34" w:after="34" w:line="276" w:lineRule="auto"/>
              <w:rPr>
                <w:sz w:val="18"/>
                <w:szCs w:val="18"/>
                <w:lang w:val="en-CA"/>
              </w:rPr>
            </w:pPr>
          </w:p>
        </w:tc>
      </w:tr>
      <w:tr w:rsidR="00B82F75" w:rsidRPr="00F52C10" w14:paraId="63F59CC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A92515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CTR00000</w:t>
            </w:r>
          </w:p>
        </w:tc>
        <w:tc>
          <w:tcPr>
            <w:tcW w:w="994" w:type="dxa"/>
            <w:tcBorders>
              <w:top w:val="single" w:sz="4" w:space="0" w:color="auto"/>
              <w:left w:val="single" w:sz="4" w:space="0" w:color="auto"/>
              <w:bottom w:val="single" w:sz="4" w:space="0" w:color="auto"/>
              <w:right w:val="single" w:sz="4" w:space="0" w:color="auto"/>
            </w:tcBorders>
            <w:hideMark/>
          </w:tcPr>
          <w:p w14:paraId="5A48A9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−96,00</w:t>
            </w:r>
          </w:p>
        </w:tc>
        <w:tc>
          <w:tcPr>
            <w:tcW w:w="994" w:type="dxa"/>
            <w:tcBorders>
              <w:top w:val="single" w:sz="4" w:space="0" w:color="auto"/>
              <w:left w:val="single" w:sz="4" w:space="0" w:color="auto"/>
              <w:bottom w:val="single" w:sz="4" w:space="0" w:color="auto"/>
              <w:right w:val="single" w:sz="4" w:space="0" w:color="auto"/>
            </w:tcBorders>
            <w:hideMark/>
          </w:tcPr>
          <w:p w14:paraId="30A962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−85,30</w:t>
            </w:r>
          </w:p>
        </w:tc>
        <w:tc>
          <w:tcPr>
            <w:tcW w:w="924" w:type="dxa"/>
            <w:tcBorders>
              <w:top w:val="single" w:sz="4" w:space="0" w:color="auto"/>
              <w:left w:val="single" w:sz="4" w:space="0" w:color="auto"/>
              <w:bottom w:val="single" w:sz="4" w:space="0" w:color="auto"/>
              <w:right w:val="single" w:sz="4" w:space="0" w:color="auto"/>
            </w:tcBorders>
            <w:hideMark/>
          </w:tcPr>
          <w:p w14:paraId="6D469C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E38E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CDD7D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15B4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3B978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D45FC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−23,2</w:t>
            </w:r>
          </w:p>
        </w:tc>
        <w:tc>
          <w:tcPr>
            <w:tcW w:w="933" w:type="dxa"/>
            <w:tcBorders>
              <w:top w:val="single" w:sz="4" w:space="0" w:color="auto"/>
              <w:left w:val="single" w:sz="4" w:space="0" w:color="auto"/>
              <w:bottom w:val="single" w:sz="4" w:space="0" w:color="auto"/>
              <w:right w:val="single" w:sz="4" w:space="0" w:color="auto"/>
            </w:tcBorders>
          </w:tcPr>
          <w:p w14:paraId="30F93867" w14:textId="77777777" w:rsidR="00B82F75" w:rsidRPr="00F52C10" w:rsidRDefault="00B82F75" w:rsidP="00E4628E">
            <w:pPr>
              <w:pStyle w:val="Tabletext0"/>
              <w:spacing w:before="34" w:after="34" w:line="276" w:lineRule="auto"/>
              <w:rPr>
                <w:sz w:val="18"/>
                <w:szCs w:val="18"/>
                <w:lang w:val="en-CA"/>
              </w:rPr>
            </w:pPr>
          </w:p>
        </w:tc>
      </w:tr>
      <w:tr w:rsidR="00B82F75" w:rsidRPr="00F52C10" w14:paraId="3E4FDBE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08BBA6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CUB00000</w:t>
            </w:r>
          </w:p>
        </w:tc>
        <w:tc>
          <w:tcPr>
            <w:tcW w:w="994" w:type="dxa"/>
            <w:tcBorders>
              <w:top w:val="single" w:sz="4" w:space="0" w:color="auto"/>
              <w:left w:val="single" w:sz="4" w:space="0" w:color="auto"/>
              <w:bottom w:val="single" w:sz="4" w:space="0" w:color="auto"/>
              <w:right w:val="single" w:sz="4" w:space="0" w:color="auto"/>
            </w:tcBorders>
            <w:hideMark/>
          </w:tcPr>
          <w:p w14:paraId="6B7B12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−80,60</w:t>
            </w:r>
          </w:p>
        </w:tc>
        <w:tc>
          <w:tcPr>
            <w:tcW w:w="994" w:type="dxa"/>
            <w:tcBorders>
              <w:top w:val="single" w:sz="4" w:space="0" w:color="auto"/>
              <w:left w:val="single" w:sz="4" w:space="0" w:color="auto"/>
              <w:bottom w:val="single" w:sz="4" w:space="0" w:color="auto"/>
              <w:right w:val="single" w:sz="4" w:space="0" w:color="auto"/>
            </w:tcBorders>
            <w:hideMark/>
          </w:tcPr>
          <w:p w14:paraId="6B7825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−79,50</w:t>
            </w:r>
          </w:p>
        </w:tc>
        <w:tc>
          <w:tcPr>
            <w:tcW w:w="924" w:type="dxa"/>
            <w:tcBorders>
              <w:top w:val="single" w:sz="4" w:space="0" w:color="auto"/>
              <w:left w:val="single" w:sz="4" w:space="0" w:color="auto"/>
              <w:bottom w:val="single" w:sz="4" w:space="0" w:color="auto"/>
              <w:right w:val="single" w:sz="4" w:space="0" w:color="auto"/>
            </w:tcBorders>
            <w:hideMark/>
          </w:tcPr>
          <w:p w14:paraId="7B4C097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1308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8453E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37688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53BD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88C7CF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−24,6</w:t>
            </w:r>
          </w:p>
        </w:tc>
        <w:tc>
          <w:tcPr>
            <w:tcW w:w="933" w:type="dxa"/>
            <w:tcBorders>
              <w:top w:val="single" w:sz="4" w:space="0" w:color="auto"/>
              <w:left w:val="single" w:sz="4" w:space="0" w:color="auto"/>
              <w:bottom w:val="single" w:sz="4" w:space="0" w:color="auto"/>
              <w:right w:val="single" w:sz="4" w:space="0" w:color="auto"/>
            </w:tcBorders>
          </w:tcPr>
          <w:p w14:paraId="10A252D1" w14:textId="77777777" w:rsidR="00B82F75" w:rsidRPr="00F52C10" w:rsidRDefault="00B82F75" w:rsidP="00E4628E">
            <w:pPr>
              <w:pStyle w:val="Tabletext0"/>
              <w:spacing w:before="34" w:after="34" w:line="276" w:lineRule="auto"/>
              <w:rPr>
                <w:sz w:val="18"/>
                <w:szCs w:val="18"/>
                <w:lang w:val="en-CA"/>
              </w:rPr>
            </w:pPr>
          </w:p>
        </w:tc>
      </w:tr>
      <w:tr w:rsidR="00B82F75" w:rsidRPr="00F52C10" w14:paraId="391DFC7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8B47E7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CVA00000</w:t>
            </w:r>
          </w:p>
        </w:tc>
        <w:tc>
          <w:tcPr>
            <w:tcW w:w="994" w:type="dxa"/>
            <w:tcBorders>
              <w:top w:val="single" w:sz="4" w:space="0" w:color="auto"/>
              <w:left w:val="single" w:sz="4" w:space="0" w:color="auto"/>
              <w:bottom w:val="single" w:sz="4" w:space="0" w:color="auto"/>
              <w:right w:val="single" w:sz="4" w:space="0" w:color="auto"/>
            </w:tcBorders>
            <w:hideMark/>
          </w:tcPr>
          <w:p w14:paraId="5F6583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59,00</w:t>
            </w:r>
          </w:p>
        </w:tc>
        <w:tc>
          <w:tcPr>
            <w:tcW w:w="994" w:type="dxa"/>
            <w:tcBorders>
              <w:top w:val="single" w:sz="4" w:space="0" w:color="auto"/>
              <w:left w:val="single" w:sz="4" w:space="0" w:color="auto"/>
              <w:bottom w:val="single" w:sz="4" w:space="0" w:color="auto"/>
              <w:right w:val="single" w:sz="4" w:space="0" w:color="auto"/>
            </w:tcBorders>
            <w:hideMark/>
          </w:tcPr>
          <w:p w14:paraId="547212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12,50</w:t>
            </w:r>
          </w:p>
        </w:tc>
        <w:tc>
          <w:tcPr>
            <w:tcW w:w="924" w:type="dxa"/>
            <w:tcBorders>
              <w:top w:val="single" w:sz="4" w:space="0" w:color="auto"/>
              <w:left w:val="single" w:sz="4" w:space="0" w:color="auto"/>
              <w:bottom w:val="single" w:sz="4" w:space="0" w:color="auto"/>
              <w:right w:val="single" w:sz="4" w:space="0" w:color="auto"/>
            </w:tcBorders>
            <w:hideMark/>
          </w:tcPr>
          <w:p w14:paraId="373B91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4640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2E53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136C80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DA41B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BD9D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−28,8</w:t>
            </w:r>
          </w:p>
        </w:tc>
        <w:tc>
          <w:tcPr>
            <w:tcW w:w="933" w:type="dxa"/>
            <w:tcBorders>
              <w:top w:val="single" w:sz="4" w:space="0" w:color="auto"/>
              <w:left w:val="single" w:sz="4" w:space="0" w:color="auto"/>
              <w:bottom w:val="single" w:sz="4" w:space="0" w:color="auto"/>
              <w:right w:val="single" w:sz="4" w:space="0" w:color="auto"/>
            </w:tcBorders>
          </w:tcPr>
          <w:p w14:paraId="44562D8B" w14:textId="77777777" w:rsidR="00B82F75" w:rsidRPr="00F52C10" w:rsidRDefault="00B82F75" w:rsidP="00E4628E">
            <w:pPr>
              <w:pStyle w:val="Tabletext0"/>
              <w:spacing w:before="34" w:after="34" w:line="276" w:lineRule="auto"/>
              <w:rPr>
                <w:sz w:val="18"/>
                <w:szCs w:val="18"/>
                <w:lang w:val="en-CA"/>
              </w:rPr>
            </w:pPr>
          </w:p>
        </w:tc>
      </w:tr>
      <w:tr w:rsidR="00B82F75" w:rsidRPr="00F52C10" w14:paraId="5F3495C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E6B72A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CYP00000</w:t>
            </w:r>
          </w:p>
        </w:tc>
        <w:tc>
          <w:tcPr>
            <w:tcW w:w="994" w:type="dxa"/>
            <w:tcBorders>
              <w:top w:val="single" w:sz="4" w:space="0" w:color="auto"/>
              <w:left w:val="single" w:sz="4" w:space="0" w:color="auto"/>
              <w:bottom w:val="single" w:sz="4" w:space="0" w:color="auto"/>
              <w:right w:val="single" w:sz="4" w:space="0" w:color="auto"/>
            </w:tcBorders>
            <w:hideMark/>
          </w:tcPr>
          <w:p w14:paraId="0B1AD3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0,50</w:t>
            </w:r>
          </w:p>
        </w:tc>
        <w:tc>
          <w:tcPr>
            <w:tcW w:w="994" w:type="dxa"/>
            <w:tcBorders>
              <w:top w:val="single" w:sz="4" w:space="0" w:color="auto"/>
              <w:left w:val="single" w:sz="4" w:space="0" w:color="auto"/>
              <w:bottom w:val="single" w:sz="4" w:space="0" w:color="auto"/>
              <w:right w:val="single" w:sz="4" w:space="0" w:color="auto"/>
            </w:tcBorders>
            <w:hideMark/>
          </w:tcPr>
          <w:p w14:paraId="1F2722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33,20</w:t>
            </w:r>
          </w:p>
        </w:tc>
        <w:tc>
          <w:tcPr>
            <w:tcW w:w="924" w:type="dxa"/>
            <w:tcBorders>
              <w:top w:val="single" w:sz="4" w:space="0" w:color="auto"/>
              <w:left w:val="single" w:sz="4" w:space="0" w:color="auto"/>
              <w:bottom w:val="single" w:sz="4" w:space="0" w:color="auto"/>
              <w:right w:val="single" w:sz="4" w:space="0" w:color="auto"/>
            </w:tcBorders>
            <w:hideMark/>
          </w:tcPr>
          <w:p w14:paraId="3B71E9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C1402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6A4C9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AC95F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65C8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DD628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−29,8</w:t>
            </w:r>
          </w:p>
        </w:tc>
        <w:tc>
          <w:tcPr>
            <w:tcW w:w="933" w:type="dxa"/>
            <w:tcBorders>
              <w:top w:val="single" w:sz="4" w:space="0" w:color="auto"/>
              <w:left w:val="single" w:sz="4" w:space="0" w:color="auto"/>
              <w:bottom w:val="single" w:sz="4" w:space="0" w:color="auto"/>
              <w:right w:val="single" w:sz="4" w:space="0" w:color="auto"/>
            </w:tcBorders>
          </w:tcPr>
          <w:p w14:paraId="6BE58538" w14:textId="77777777" w:rsidR="00B82F75" w:rsidRPr="00F52C10" w:rsidRDefault="00B82F75" w:rsidP="00E4628E">
            <w:pPr>
              <w:pStyle w:val="Tabletext0"/>
              <w:spacing w:before="34" w:after="34" w:line="276" w:lineRule="auto"/>
              <w:rPr>
                <w:sz w:val="18"/>
                <w:szCs w:val="18"/>
                <w:lang w:val="en-CA"/>
              </w:rPr>
            </w:pPr>
          </w:p>
        </w:tc>
      </w:tr>
      <w:tr w:rsidR="00B82F75" w:rsidRPr="00F52C10" w14:paraId="6C862AA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F62C47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CYPSBA00</w:t>
            </w:r>
          </w:p>
        </w:tc>
        <w:tc>
          <w:tcPr>
            <w:tcW w:w="994" w:type="dxa"/>
            <w:tcBorders>
              <w:top w:val="single" w:sz="4" w:space="0" w:color="auto"/>
              <w:left w:val="single" w:sz="4" w:space="0" w:color="auto"/>
              <w:bottom w:val="single" w:sz="4" w:space="0" w:color="auto"/>
              <w:right w:val="single" w:sz="4" w:space="0" w:color="auto"/>
            </w:tcBorders>
            <w:hideMark/>
          </w:tcPr>
          <w:p w14:paraId="0B16F2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994" w:type="dxa"/>
            <w:tcBorders>
              <w:top w:val="single" w:sz="4" w:space="0" w:color="auto"/>
              <w:left w:val="single" w:sz="4" w:space="0" w:color="auto"/>
              <w:bottom w:val="single" w:sz="4" w:space="0" w:color="auto"/>
              <w:right w:val="single" w:sz="4" w:space="0" w:color="auto"/>
            </w:tcBorders>
            <w:hideMark/>
          </w:tcPr>
          <w:p w14:paraId="0A4FBB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32,90</w:t>
            </w:r>
          </w:p>
        </w:tc>
        <w:tc>
          <w:tcPr>
            <w:tcW w:w="924" w:type="dxa"/>
            <w:tcBorders>
              <w:top w:val="single" w:sz="4" w:space="0" w:color="auto"/>
              <w:left w:val="single" w:sz="4" w:space="0" w:color="auto"/>
              <w:bottom w:val="single" w:sz="4" w:space="0" w:color="auto"/>
              <w:right w:val="single" w:sz="4" w:space="0" w:color="auto"/>
            </w:tcBorders>
            <w:hideMark/>
          </w:tcPr>
          <w:p w14:paraId="2FD535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171B27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1D724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A94D6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0AA9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325D6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−30,2</w:t>
            </w:r>
          </w:p>
        </w:tc>
        <w:tc>
          <w:tcPr>
            <w:tcW w:w="933" w:type="dxa"/>
            <w:tcBorders>
              <w:top w:val="single" w:sz="4" w:space="0" w:color="auto"/>
              <w:left w:val="single" w:sz="4" w:space="0" w:color="auto"/>
              <w:bottom w:val="single" w:sz="4" w:space="0" w:color="auto"/>
              <w:right w:val="single" w:sz="4" w:space="0" w:color="auto"/>
            </w:tcBorders>
            <w:hideMark/>
          </w:tcPr>
          <w:p w14:paraId="1DA560F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*/MB9</w:t>
            </w:r>
          </w:p>
        </w:tc>
      </w:tr>
      <w:tr w:rsidR="00B82F75" w:rsidRPr="00F52C10" w14:paraId="47CDCC17" w14:textId="77777777" w:rsidTr="004473CA">
        <w:trPr>
          <w:jc w:val="center"/>
        </w:trPr>
        <w:tc>
          <w:tcPr>
            <w:tcW w:w="1190" w:type="dxa"/>
            <w:tcBorders>
              <w:top w:val="single" w:sz="4" w:space="0" w:color="auto"/>
              <w:left w:val="single" w:sz="4" w:space="0" w:color="auto"/>
              <w:bottom w:val="single" w:sz="4" w:space="0" w:color="auto"/>
              <w:right w:val="single" w:sz="4" w:space="0" w:color="auto"/>
            </w:tcBorders>
            <w:vAlign w:val="bottom"/>
            <w:hideMark/>
          </w:tcPr>
          <w:p w14:paraId="721F9F6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CZE00000</w:t>
            </w:r>
          </w:p>
        </w:tc>
        <w:tc>
          <w:tcPr>
            <w:tcW w:w="994" w:type="dxa"/>
            <w:tcBorders>
              <w:top w:val="single" w:sz="4" w:space="0" w:color="auto"/>
              <w:left w:val="single" w:sz="4" w:space="0" w:color="auto"/>
              <w:bottom w:val="single" w:sz="4" w:space="0" w:color="auto"/>
              <w:right w:val="single" w:sz="4" w:space="0" w:color="auto"/>
            </w:tcBorders>
            <w:vAlign w:val="bottom"/>
            <w:hideMark/>
          </w:tcPr>
          <w:p w14:paraId="42336F76"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−31,90</w:t>
            </w:r>
          </w:p>
        </w:tc>
        <w:tc>
          <w:tcPr>
            <w:tcW w:w="994" w:type="dxa"/>
            <w:tcBorders>
              <w:top w:val="single" w:sz="4" w:space="0" w:color="auto"/>
              <w:left w:val="single" w:sz="4" w:space="0" w:color="auto"/>
              <w:bottom w:val="single" w:sz="4" w:space="0" w:color="auto"/>
              <w:right w:val="single" w:sz="4" w:space="0" w:color="auto"/>
            </w:tcBorders>
            <w:vAlign w:val="bottom"/>
            <w:hideMark/>
          </w:tcPr>
          <w:p w14:paraId="4A47E67F"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15,68</w:t>
            </w:r>
          </w:p>
        </w:tc>
        <w:tc>
          <w:tcPr>
            <w:tcW w:w="924" w:type="dxa"/>
            <w:tcBorders>
              <w:top w:val="single" w:sz="4" w:space="0" w:color="auto"/>
              <w:left w:val="single" w:sz="4" w:space="0" w:color="auto"/>
              <w:bottom w:val="single" w:sz="4" w:space="0" w:color="auto"/>
              <w:right w:val="single" w:sz="4" w:space="0" w:color="auto"/>
            </w:tcBorders>
            <w:vAlign w:val="bottom"/>
            <w:hideMark/>
          </w:tcPr>
          <w:p w14:paraId="43626DCE"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49,81</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321B3F3E"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5A560B55"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31FDA59B"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6AC6EA19"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−8,4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6C0FA329"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−30,5</w:t>
            </w:r>
          </w:p>
        </w:tc>
        <w:tc>
          <w:tcPr>
            <w:tcW w:w="951" w:type="dxa"/>
            <w:gridSpan w:val="2"/>
            <w:tcBorders>
              <w:top w:val="single" w:sz="4" w:space="0" w:color="auto"/>
              <w:left w:val="single" w:sz="4" w:space="0" w:color="auto"/>
              <w:bottom w:val="single" w:sz="4" w:space="0" w:color="auto"/>
              <w:right w:val="single" w:sz="4" w:space="0" w:color="auto"/>
            </w:tcBorders>
            <w:vAlign w:val="bottom"/>
            <w:hideMark/>
          </w:tcPr>
          <w:p w14:paraId="2EF3534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73A005D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D1B624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D  00001</w:t>
            </w:r>
          </w:p>
        </w:tc>
        <w:tc>
          <w:tcPr>
            <w:tcW w:w="994" w:type="dxa"/>
            <w:tcBorders>
              <w:top w:val="single" w:sz="4" w:space="0" w:color="auto"/>
              <w:left w:val="single" w:sz="4" w:space="0" w:color="auto"/>
              <w:bottom w:val="single" w:sz="4" w:space="0" w:color="auto"/>
              <w:right w:val="single" w:sz="4" w:space="0" w:color="auto"/>
            </w:tcBorders>
            <w:hideMark/>
          </w:tcPr>
          <w:p w14:paraId="5E9602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26,40</w:t>
            </w:r>
          </w:p>
        </w:tc>
        <w:tc>
          <w:tcPr>
            <w:tcW w:w="994" w:type="dxa"/>
            <w:tcBorders>
              <w:top w:val="single" w:sz="4" w:space="0" w:color="auto"/>
              <w:left w:val="single" w:sz="4" w:space="0" w:color="auto"/>
              <w:bottom w:val="single" w:sz="4" w:space="0" w:color="auto"/>
              <w:right w:val="single" w:sz="4" w:space="0" w:color="auto"/>
            </w:tcBorders>
            <w:hideMark/>
          </w:tcPr>
          <w:p w14:paraId="3BD998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9,70</w:t>
            </w:r>
          </w:p>
        </w:tc>
        <w:tc>
          <w:tcPr>
            <w:tcW w:w="924" w:type="dxa"/>
            <w:tcBorders>
              <w:top w:val="single" w:sz="4" w:space="0" w:color="auto"/>
              <w:left w:val="single" w:sz="4" w:space="0" w:color="auto"/>
              <w:bottom w:val="single" w:sz="4" w:space="0" w:color="auto"/>
              <w:right w:val="single" w:sz="4" w:space="0" w:color="auto"/>
            </w:tcBorders>
            <w:hideMark/>
          </w:tcPr>
          <w:p w14:paraId="25C694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3E07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CAD7D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6BB88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380CA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EE891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−28,7</w:t>
            </w:r>
          </w:p>
        </w:tc>
        <w:tc>
          <w:tcPr>
            <w:tcW w:w="933" w:type="dxa"/>
            <w:tcBorders>
              <w:top w:val="single" w:sz="4" w:space="0" w:color="auto"/>
              <w:left w:val="single" w:sz="4" w:space="0" w:color="auto"/>
              <w:bottom w:val="single" w:sz="4" w:space="0" w:color="auto"/>
              <w:right w:val="single" w:sz="4" w:space="0" w:color="auto"/>
            </w:tcBorders>
          </w:tcPr>
          <w:p w14:paraId="7B2FCB87" w14:textId="77777777" w:rsidR="00B82F75" w:rsidRPr="00F52C10" w:rsidRDefault="00B82F75" w:rsidP="00E4628E">
            <w:pPr>
              <w:pStyle w:val="Tabletext0"/>
              <w:spacing w:before="34" w:after="34" w:line="276" w:lineRule="auto"/>
              <w:rPr>
                <w:sz w:val="18"/>
                <w:szCs w:val="18"/>
                <w:lang w:val="en-CA"/>
              </w:rPr>
            </w:pPr>
          </w:p>
        </w:tc>
      </w:tr>
      <w:tr w:rsidR="00B82F75" w:rsidRPr="00F52C10" w14:paraId="71DF8FF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D0DA0A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D  00002</w:t>
            </w:r>
          </w:p>
        </w:tc>
        <w:tc>
          <w:tcPr>
            <w:tcW w:w="994" w:type="dxa"/>
            <w:tcBorders>
              <w:top w:val="single" w:sz="4" w:space="0" w:color="auto"/>
              <w:left w:val="single" w:sz="4" w:space="0" w:color="auto"/>
              <w:bottom w:val="single" w:sz="4" w:space="0" w:color="auto"/>
              <w:right w:val="single" w:sz="4" w:space="0" w:color="auto"/>
            </w:tcBorders>
            <w:hideMark/>
          </w:tcPr>
          <w:p w14:paraId="6ED968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37,20</w:t>
            </w:r>
          </w:p>
        </w:tc>
        <w:tc>
          <w:tcPr>
            <w:tcW w:w="994" w:type="dxa"/>
            <w:tcBorders>
              <w:top w:val="single" w:sz="4" w:space="0" w:color="auto"/>
              <w:left w:val="single" w:sz="4" w:space="0" w:color="auto"/>
              <w:bottom w:val="single" w:sz="4" w:space="0" w:color="auto"/>
              <w:right w:val="single" w:sz="4" w:space="0" w:color="auto"/>
            </w:tcBorders>
            <w:hideMark/>
          </w:tcPr>
          <w:p w14:paraId="257F99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12,60</w:t>
            </w:r>
          </w:p>
        </w:tc>
        <w:tc>
          <w:tcPr>
            <w:tcW w:w="924" w:type="dxa"/>
            <w:tcBorders>
              <w:top w:val="single" w:sz="4" w:space="0" w:color="auto"/>
              <w:left w:val="single" w:sz="4" w:space="0" w:color="auto"/>
              <w:bottom w:val="single" w:sz="4" w:space="0" w:color="auto"/>
              <w:right w:val="single" w:sz="4" w:space="0" w:color="auto"/>
            </w:tcBorders>
            <w:hideMark/>
          </w:tcPr>
          <w:p w14:paraId="2B4065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08D26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0B314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6F3C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06839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70B9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−28,2</w:t>
            </w:r>
          </w:p>
        </w:tc>
        <w:tc>
          <w:tcPr>
            <w:tcW w:w="933" w:type="dxa"/>
            <w:tcBorders>
              <w:top w:val="single" w:sz="4" w:space="0" w:color="auto"/>
              <w:left w:val="single" w:sz="4" w:space="0" w:color="auto"/>
              <w:bottom w:val="single" w:sz="4" w:space="0" w:color="auto"/>
              <w:right w:val="single" w:sz="4" w:space="0" w:color="auto"/>
            </w:tcBorders>
          </w:tcPr>
          <w:p w14:paraId="54879EAF" w14:textId="77777777" w:rsidR="00B82F75" w:rsidRPr="00F52C10" w:rsidRDefault="00B82F75" w:rsidP="00E4628E">
            <w:pPr>
              <w:pStyle w:val="Tabletext0"/>
              <w:spacing w:before="34" w:after="34" w:line="276" w:lineRule="auto"/>
              <w:rPr>
                <w:sz w:val="18"/>
                <w:szCs w:val="18"/>
                <w:lang w:val="en-CA"/>
              </w:rPr>
            </w:pPr>
          </w:p>
        </w:tc>
      </w:tr>
      <w:tr w:rsidR="00B82F75" w:rsidRPr="00F52C10" w14:paraId="15E81E0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8A2E24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DJI00000</w:t>
            </w:r>
          </w:p>
        </w:tc>
        <w:tc>
          <w:tcPr>
            <w:tcW w:w="994" w:type="dxa"/>
            <w:tcBorders>
              <w:top w:val="single" w:sz="4" w:space="0" w:color="auto"/>
              <w:left w:val="single" w:sz="4" w:space="0" w:color="auto"/>
              <w:bottom w:val="single" w:sz="4" w:space="0" w:color="auto"/>
              <w:right w:val="single" w:sz="4" w:space="0" w:color="auto"/>
            </w:tcBorders>
            <w:hideMark/>
          </w:tcPr>
          <w:p w14:paraId="0BCEA4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−17,46</w:t>
            </w:r>
          </w:p>
        </w:tc>
        <w:tc>
          <w:tcPr>
            <w:tcW w:w="994" w:type="dxa"/>
            <w:tcBorders>
              <w:top w:val="single" w:sz="4" w:space="0" w:color="auto"/>
              <w:left w:val="single" w:sz="4" w:space="0" w:color="auto"/>
              <w:bottom w:val="single" w:sz="4" w:space="0" w:color="auto"/>
              <w:right w:val="single" w:sz="4" w:space="0" w:color="auto"/>
            </w:tcBorders>
            <w:hideMark/>
          </w:tcPr>
          <w:p w14:paraId="118097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42,60</w:t>
            </w:r>
          </w:p>
        </w:tc>
        <w:tc>
          <w:tcPr>
            <w:tcW w:w="924" w:type="dxa"/>
            <w:tcBorders>
              <w:top w:val="single" w:sz="4" w:space="0" w:color="auto"/>
              <w:left w:val="single" w:sz="4" w:space="0" w:color="auto"/>
              <w:bottom w:val="single" w:sz="4" w:space="0" w:color="auto"/>
              <w:right w:val="single" w:sz="4" w:space="0" w:color="auto"/>
            </w:tcBorders>
            <w:hideMark/>
          </w:tcPr>
          <w:p w14:paraId="0D43B8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9FE2F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764C9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0916D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63361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C270F5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−30,1</w:t>
            </w:r>
          </w:p>
        </w:tc>
        <w:tc>
          <w:tcPr>
            <w:tcW w:w="933" w:type="dxa"/>
            <w:tcBorders>
              <w:top w:val="single" w:sz="4" w:space="0" w:color="auto"/>
              <w:left w:val="single" w:sz="4" w:space="0" w:color="auto"/>
              <w:bottom w:val="single" w:sz="4" w:space="0" w:color="auto"/>
              <w:right w:val="single" w:sz="4" w:space="0" w:color="auto"/>
            </w:tcBorders>
          </w:tcPr>
          <w:p w14:paraId="4184922A" w14:textId="77777777" w:rsidR="00B82F75" w:rsidRPr="00F52C10" w:rsidRDefault="00B82F75" w:rsidP="00E4628E">
            <w:pPr>
              <w:pStyle w:val="Tabletext0"/>
              <w:spacing w:before="34" w:after="34" w:line="276" w:lineRule="auto"/>
              <w:rPr>
                <w:sz w:val="18"/>
                <w:szCs w:val="18"/>
                <w:lang w:val="en-CA"/>
              </w:rPr>
            </w:pPr>
          </w:p>
        </w:tc>
      </w:tr>
      <w:tr w:rsidR="00B82F75" w:rsidRPr="00F52C10" w14:paraId="64AEA91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4D4413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DMA00000</w:t>
            </w:r>
          </w:p>
        </w:tc>
        <w:tc>
          <w:tcPr>
            <w:tcW w:w="994" w:type="dxa"/>
            <w:tcBorders>
              <w:top w:val="single" w:sz="4" w:space="0" w:color="auto"/>
              <w:left w:val="single" w:sz="4" w:space="0" w:color="auto"/>
              <w:bottom w:val="single" w:sz="4" w:space="0" w:color="auto"/>
              <w:right w:val="single" w:sz="4" w:space="0" w:color="auto"/>
            </w:tcBorders>
            <w:hideMark/>
          </w:tcPr>
          <w:p w14:paraId="5DD7AD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−70,00</w:t>
            </w:r>
          </w:p>
        </w:tc>
        <w:tc>
          <w:tcPr>
            <w:tcW w:w="994" w:type="dxa"/>
            <w:tcBorders>
              <w:top w:val="single" w:sz="4" w:space="0" w:color="auto"/>
              <w:left w:val="single" w:sz="4" w:space="0" w:color="auto"/>
              <w:bottom w:val="single" w:sz="4" w:space="0" w:color="auto"/>
              <w:right w:val="single" w:sz="4" w:space="0" w:color="auto"/>
            </w:tcBorders>
            <w:hideMark/>
          </w:tcPr>
          <w:p w14:paraId="362540D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−61,30</w:t>
            </w:r>
          </w:p>
        </w:tc>
        <w:tc>
          <w:tcPr>
            <w:tcW w:w="924" w:type="dxa"/>
            <w:tcBorders>
              <w:top w:val="single" w:sz="4" w:space="0" w:color="auto"/>
              <w:left w:val="single" w:sz="4" w:space="0" w:color="auto"/>
              <w:bottom w:val="single" w:sz="4" w:space="0" w:color="auto"/>
              <w:right w:val="single" w:sz="4" w:space="0" w:color="auto"/>
            </w:tcBorders>
            <w:hideMark/>
          </w:tcPr>
          <w:p w14:paraId="4E3600F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8D054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B45CE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00EBE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C1D13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850F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−27,3</w:t>
            </w:r>
          </w:p>
        </w:tc>
        <w:tc>
          <w:tcPr>
            <w:tcW w:w="933" w:type="dxa"/>
            <w:tcBorders>
              <w:top w:val="single" w:sz="4" w:space="0" w:color="auto"/>
              <w:left w:val="single" w:sz="4" w:space="0" w:color="auto"/>
              <w:bottom w:val="single" w:sz="4" w:space="0" w:color="auto"/>
              <w:right w:val="single" w:sz="4" w:space="0" w:color="auto"/>
            </w:tcBorders>
          </w:tcPr>
          <w:p w14:paraId="29B01F54" w14:textId="77777777" w:rsidR="00B82F75" w:rsidRPr="00F52C10" w:rsidRDefault="00B82F75" w:rsidP="00E4628E">
            <w:pPr>
              <w:pStyle w:val="Tabletext0"/>
              <w:spacing w:before="34" w:after="34" w:line="276" w:lineRule="auto"/>
              <w:rPr>
                <w:sz w:val="18"/>
                <w:szCs w:val="18"/>
                <w:lang w:val="en-CA"/>
              </w:rPr>
            </w:pPr>
          </w:p>
        </w:tc>
      </w:tr>
      <w:tr w:rsidR="00B82F75" w:rsidRPr="00F52C10" w14:paraId="2897B8F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B99AD7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DNK00001</w:t>
            </w:r>
          </w:p>
        </w:tc>
        <w:tc>
          <w:tcPr>
            <w:tcW w:w="994" w:type="dxa"/>
            <w:tcBorders>
              <w:top w:val="single" w:sz="4" w:space="0" w:color="auto"/>
              <w:left w:val="single" w:sz="4" w:space="0" w:color="auto"/>
              <w:bottom w:val="single" w:sz="4" w:space="0" w:color="auto"/>
              <w:right w:val="single" w:sz="4" w:space="0" w:color="auto"/>
            </w:tcBorders>
            <w:hideMark/>
          </w:tcPr>
          <w:p w14:paraId="719FE3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32,28</w:t>
            </w:r>
          </w:p>
        </w:tc>
        <w:tc>
          <w:tcPr>
            <w:tcW w:w="994" w:type="dxa"/>
            <w:tcBorders>
              <w:top w:val="single" w:sz="4" w:space="0" w:color="auto"/>
              <w:left w:val="single" w:sz="4" w:space="0" w:color="auto"/>
              <w:bottom w:val="single" w:sz="4" w:space="0" w:color="auto"/>
              <w:right w:val="single" w:sz="4" w:space="0" w:color="auto"/>
            </w:tcBorders>
            <w:hideMark/>
          </w:tcPr>
          <w:p w14:paraId="1DDFE89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11,60</w:t>
            </w:r>
          </w:p>
        </w:tc>
        <w:tc>
          <w:tcPr>
            <w:tcW w:w="924" w:type="dxa"/>
            <w:tcBorders>
              <w:top w:val="single" w:sz="4" w:space="0" w:color="auto"/>
              <w:left w:val="single" w:sz="4" w:space="0" w:color="auto"/>
              <w:bottom w:val="single" w:sz="4" w:space="0" w:color="auto"/>
              <w:right w:val="single" w:sz="4" w:space="0" w:color="auto"/>
            </w:tcBorders>
            <w:hideMark/>
          </w:tcPr>
          <w:p w14:paraId="31EB17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F1E5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50F10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06BE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CB35B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5D8C5E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−29,0</w:t>
            </w:r>
          </w:p>
        </w:tc>
        <w:tc>
          <w:tcPr>
            <w:tcW w:w="933" w:type="dxa"/>
            <w:tcBorders>
              <w:top w:val="single" w:sz="4" w:space="0" w:color="auto"/>
              <w:left w:val="single" w:sz="4" w:space="0" w:color="auto"/>
              <w:bottom w:val="single" w:sz="4" w:space="0" w:color="auto"/>
              <w:right w:val="single" w:sz="4" w:space="0" w:color="auto"/>
            </w:tcBorders>
          </w:tcPr>
          <w:p w14:paraId="082C5A7A" w14:textId="77777777" w:rsidR="00B82F75" w:rsidRPr="00F52C10" w:rsidRDefault="00B82F75" w:rsidP="00E4628E">
            <w:pPr>
              <w:pStyle w:val="Tabletext0"/>
              <w:spacing w:before="34" w:after="34" w:line="276" w:lineRule="auto"/>
              <w:rPr>
                <w:sz w:val="18"/>
                <w:szCs w:val="18"/>
                <w:lang w:val="en-CA"/>
              </w:rPr>
            </w:pPr>
          </w:p>
        </w:tc>
      </w:tr>
      <w:tr w:rsidR="00B82F75" w:rsidRPr="00F52C10" w14:paraId="513DEA1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F9F898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DNK00002</w:t>
            </w:r>
          </w:p>
        </w:tc>
        <w:tc>
          <w:tcPr>
            <w:tcW w:w="994" w:type="dxa"/>
            <w:tcBorders>
              <w:top w:val="single" w:sz="4" w:space="0" w:color="auto"/>
              <w:left w:val="single" w:sz="4" w:space="0" w:color="auto"/>
              <w:bottom w:val="single" w:sz="4" w:space="0" w:color="auto"/>
              <w:right w:val="single" w:sz="4" w:space="0" w:color="auto"/>
            </w:tcBorders>
            <w:hideMark/>
          </w:tcPr>
          <w:p w14:paraId="066B3F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−49,00</w:t>
            </w:r>
          </w:p>
        </w:tc>
        <w:tc>
          <w:tcPr>
            <w:tcW w:w="994" w:type="dxa"/>
            <w:tcBorders>
              <w:top w:val="single" w:sz="4" w:space="0" w:color="auto"/>
              <w:left w:val="single" w:sz="4" w:space="0" w:color="auto"/>
              <w:bottom w:val="single" w:sz="4" w:space="0" w:color="auto"/>
              <w:right w:val="single" w:sz="4" w:space="0" w:color="auto"/>
            </w:tcBorders>
            <w:hideMark/>
          </w:tcPr>
          <w:p w14:paraId="5B79AE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12,50</w:t>
            </w:r>
          </w:p>
        </w:tc>
        <w:tc>
          <w:tcPr>
            <w:tcW w:w="924" w:type="dxa"/>
            <w:tcBorders>
              <w:top w:val="single" w:sz="4" w:space="0" w:color="auto"/>
              <w:left w:val="single" w:sz="4" w:space="0" w:color="auto"/>
              <w:bottom w:val="single" w:sz="4" w:space="0" w:color="auto"/>
              <w:right w:val="single" w:sz="4" w:space="0" w:color="auto"/>
            </w:tcBorders>
            <w:hideMark/>
          </w:tcPr>
          <w:p w14:paraId="6633A0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5969B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E8982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F2308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E10F1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1154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−27,7</w:t>
            </w:r>
          </w:p>
        </w:tc>
        <w:tc>
          <w:tcPr>
            <w:tcW w:w="933" w:type="dxa"/>
            <w:tcBorders>
              <w:top w:val="single" w:sz="4" w:space="0" w:color="auto"/>
              <w:left w:val="single" w:sz="4" w:space="0" w:color="auto"/>
              <w:bottom w:val="single" w:sz="4" w:space="0" w:color="auto"/>
              <w:right w:val="single" w:sz="4" w:space="0" w:color="auto"/>
            </w:tcBorders>
            <w:hideMark/>
          </w:tcPr>
          <w:p w14:paraId="52D5056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*/MB10</w:t>
            </w:r>
          </w:p>
        </w:tc>
      </w:tr>
      <w:tr w:rsidR="00B82F75" w:rsidRPr="00F52C10" w14:paraId="39AD74E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F4B00E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DNK00FAR</w:t>
            </w:r>
          </w:p>
        </w:tc>
        <w:tc>
          <w:tcPr>
            <w:tcW w:w="994" w:type="dxa"/>
            <w:tcBorders>
              <w:top w:val="single" w:sz="4" w:space="0" w:color="auto"/>
              <w:left w:val="single" w:sz="4" w:space="0" w:color="auto"/>
              <w:bottom w:val="single" w:sz="4" w:space="0" w:color="auto"/>
              <w:right w:val="single" w:sz="4" w:space="0" w:color="auto"/>
            </w:tcBorders>
            <w:hideMark/>
          </w:tcPr>
          <w:p w14:paraId="0B6E516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−49,00</w:t>
            </w:r>
          </w:p>
        </w:tc>
        <w:tc>
          <w:tcPr>
            <w:tcW w:w="994" w:type="dxa"/>
            <w:tcBorders>
              <w:top w:val="single" w:sz="4" w:space="0" w:color="auto"/>
              <w:left w:val="single" w:sz="4" w:space="0" w:color="auto"/>
              <w:bottom w:val="single" w:sz="4" w:space="0" w:color="auto"/>
              <w:right w:val="single" w:sz="4" w:space="0" w:color="auto"/>
            </w:tcBorders>
            <w:hideMark/>
          </w:tcPr>
          <w:p w14:paraId="223561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−7,20</w:t>
            </w:r>
          </w:p>
        </w:tc>
        <w:tc>
          <w:tcPr>
            <w:tcW w:w="924" w:type="dxa"/>
            <w:tcBorders>
              <w:top w:val="single" w:sz="4" w:space="0" w:color="auto"/>
              <w:left w:val="single" w:sz="4" w:space="0" w:color="auto"/>
              <w:bottom w:val="single" w:sz="4" w:space="0" w:color="auto"/>
              <w:right w:val="single" w:sz="4" w:space="0" w:color="auto"/>
            </w:tcBorders>
            <w:hideMark/>
          </w:tcPr>
          <w:p w14:paraId="74E506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12ABA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4465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DE97B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1340B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49B05C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−29,5</w:t>
            </w:r>
          </w:p>
        </w:tc>
        <w:tc>
          <w:tcPr>
            <w:tcW w:w="933" w:type="dxa"/>
            <w:tcBorders>
              <w:top w:val="single" w:sz="4" w:space="0" w:color="auto"/>
              <w:left w:val="single" w:sz="4" w:space="0" w:color="auto"/>
              <w:bottom w:val="single" w:sz="4" w:space="0" w:color="auto"/>
              <w:right w:val="single" w:sz="4" w:space="0" w:color="auto"/>
            </w:tcBorders>
            <w:hideMark/>
          </w:tcPr>
          <w:p w14:paraId="3A390CD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*/MB10</w:t>
            </w:r>
          </w:p>
        </w:tc>
      </w:tr>
      <w:tr w:rsidR="00B82F75" w:rsidRPr="00F52C10" w14:paraId="78F48A1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E69DC7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DOM00000</w:t>
            </w:r>
          </w:p>
        </w:tc>
        <w:tc>
          <w:tcPr>
            <w:tcW w:w="994" w:type="dxa"/>
            <w:tcBorders>
              <w:top w:val="single" w:sz="4" w:space="0" w:color="auto"/>
              <w:left w:val="single" w:sz="4" w:space="0" w:color="auto"/>
              <w:bottom w:val="single" w:sz="4" w:space="0" w:color="auto"/>
              <w:right w:val="single" w:sz="4" w:space="0" w:color="auto"/>
            </w:tcBorders>
            <w:hideMark/>
          </w:tcPr>
          <w:p w14:paraId="4E3B9D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−85,40</w:t>
            </w:r>
          </w:p>
        </w:tc>
        <w:tc>
          <w:tcPr>
            <w:tcW w:w="994" w:type="dxa"/>
            <w:tcBorders>
              <w:top w:val="single" w:sz="4" w:space="0" w:color="auto"/>
              <w:left w:val="single" w:sz="4" w:space="0" w:color="auto"/>
              <w:bottom w:val="single" w:sz="4" w:space="0" w:color="auto"/>
              <w:right w:val="single" w:sz="4" w:space="0" w:color="auto"/>
            </w:tcBorders>
            <w:hideMark/>
          </w:tcPr>
          <w:p w14:paraId="600F0F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−70,40</w:t>
            </w:r>
          </w:p>
        </w:tc>
        <w:tc>
          <w:tcPr>
            <w:tcW w:w="924" w:type="dxa"/>
            <w:tcBorders>
              <w:top w:val="single" w:sz="4" w:space="0" w:color="auto"/>
              <w:left w:val="single" w:sz="4" w:space="0" w:color="auto"/>
              <w:bottom w:val="single" w:sz="4" w:space="0" w:color="auto"/>
              <w:right w:val="single" w:sz="4" w:space="0" w:color="auto"/>
            </w:tcBorders>
            <w:hideMark/>
          </w:tcPr>
          <w:p w14:paraId="3CCC00B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944B9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C7B63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4A393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26F31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CB21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−27,1</w:t>
            </w:r>
          </w:p>
        </w:tc>
        <w:tc>
          <w:tcPr>
            <w:tcW w:w="933" w:type="dxa"/>
            <w:tcBorders>
              <w:top w:val="single" w:sz="4" w:space="0" w:color="auto"/>
              <w:left w:val="single" w:sz="4" w:space="0" w:color="auto"/>
              <w:bottom w:val="single" w:sz="4" w:space="0" w:color="auto"/>
              <w:right w:val="single" w:sz="4" w:space="0" w:color="auto"/>
            </w:tcBorders>
          </w:tcPr>
          <w:p w14:paraId="61CFB8E1" w14:textId="77777777" w:rsidR="00B82F75" w:rsidRPr="00F52C10" w:rsidRDefault="00B82F75" w:rsidP="00E4628E">
            <w:pPr>
              <w:pStyle w:val="Tabletext0"/>
              <w:spacing w:before="34" w:after="34" w:line="276" w:lineRule="auto"/>
              <w:rPr>
                <w:sz w:val="18"/>
                <w:szCs w:val="18"/>
                <w:lang w:val="en-CA"/>
              </w:rPr>
            </w:pPr>
          </w:p>
        </w:tc>
      </w:tr>
      <w:tr w:rsidR="00B82F75" w:rsidRPr="00F52C10" w14:paraId="16D9975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862AC4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lastRenderedPageBreak/>
              <w:t>E  00002</w:t>
            </w:r>
          </w:p>
        </w:tc>
        <w:tc>
          <w:tcPr>
            <w:tcW w:w="994" w:type="dxa"/>
            <w:tcBorders>
              <w:top w:val="single" w:sz="4" w:space="0" w:color="auto"/>
              <w:left w:val="single" w:sz="4" w:space="0" w:color="auto"/>
              <w:bottom w:val="single" w:sz="4" w:space="0" w:color="auto"/>
              <w:right w:val="single" w:sz="4" w:space="0" w:color="auto"/>
            </w:tcBorders>
            <w:hideMark/>
          </w:tcPr>
          <w:p w14:paraId="5C793A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−30,00</w:t>
            </w:r>
          </w:p>
        </w:tc>
        <w:tc>
          <w:tcPr>
            <w:tcW w:w="994" w:type="dxa"/>
            <w:tcBorders>
              <w:top w:val="single" w:sz="4" w:space="0" w:color="auto"/>
              <w:left w:val="single" w:sz="4" w:space="0" w:color="auto"/>
              <w:bottom w:val="single" w:sz="4" w:space="0" w:color="auto"/>
              <w:right w:val="single" w:sz="4" w:space="0" w:color="auto"/>
            </w:tcBorders>
          </w:tcPr>
          <w:p w14:paraId="31CAE37E"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4F862AAB"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1FD06A"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48B5ABD"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24AB2C"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6C79EC3"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3226858"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6A09D91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63A4BDC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48F3AC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EGY00000</w:t>
            </w:r>
          </w:p>
        </w:tc>
        <w:tc>
          <w:tcPr>
            <w:tcW w:w="994" w:type="dxa"/>
            <w:tcBorders>
              <w:top w:val="single" w:sz="4" w:space="0" w:color="auto"/>
              <w:left w:val="single" w:sz="4" w:space="0" w:color="auto"/>
              <w:bottom w:val="single" w:sz="4" w:space="0" w:color="auto"/>
              <w:right w:val="single" w:sz="4" w:space="0" w:color="auto"/>
            </w:tcBorders>
            <w:hideMark/>
          </w:tcPr>
          <w:p w14:paraId="75CF70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67,11</w:t>
            </w:r>
          </w:p>
        </w:tc>
        <w:tc>
          <w:tcPr>
            <w:tcW w:w="994" w:type="dxa"/>
            <w:tcBorders>
              <w:top w:val="single" w:sz="4" w:space="0" w:color="auto"/>
              <w:left w:val="single" w:sz="4" w:space="0" w:color="auto"/>
              <w:bottom w:val="single" w:sz="4" w:space="0" w:color="auto"/>
              <w:right w:val="single" w:sz="4" w:space="0" w:color="auto"/>
            </w:tcBorders>
            <w:hideMark/>
          </w:tcPr>
          <w:p w14:paraId="32147C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30,30</w:t>
            </w:r>
          </w:p>
        </w:tc>
        <w:tc>
          <w:tcPr>
            <w:tcW w:w="924" w:type="dxa"/>
            <w:tcBorders>
              <w:top w:val="single" w:sz="4" w:space="0" w:color="auto"/>
              <w:left w:val="single" w:sz="4" w:space="0" w:color="auto"/>
              <w:bottom w:val="single" w:sz="4" w:space="0" w:color="auto"/>
              <w:right w:val="single" w:sz="4" w:space="0" w:color="auto"/>
            </w:tcBorders>
            <w:hideMark/>
          </w:tcPr>
          <w:p w14:paraId="56F88F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8A884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3EDC9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46872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EA28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32E8F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−28,8</w:t>
            </w:r>
          </w:p>
        </w:tc>
        <w:tc>
          <w:tcPr>
            <w:tcW w:w="933" w:type="dxa"/>
            <w:tcBorders>
              <w:top w:val="single" w:sz="4" w:space="0" w:color="auto"/>
              <w:left w:val="single" w:sz="4" w:space="0" w:color="auto"/>
              <w:bottom w:val="single" w:sz="4" w:space="0" w:color="auto"/>
              <w:right w:val="single" w:sz="4" w:space="0" w:color="auto"/>
            </w:tcBorders>
          </w:tcPr>
          <w:p w14:paraId="7C3DA30A" w14:textId="77777777" w:rsidR="00B82F75" w:rsidRPr="00F52C10" w:rsidRDefault="00B82F75" w:rsidP="00E4628E">
            <w:pPr>
              <w:pStyle w:val="Tabletext0"/>
              <w:spacing w:before="34" w:after="34" w:line="276" w:lineRule="auto"/>
              <w:rPr>
                <w:sz w:val="18"/>
                <w:szCs w:val="18"/>
                <w:lang w:val="en-CA"/>
              </w:rPr>
            </w:pPr>
          </w:p>
        </w:tc>
      </w:tr>
      <w:tr w:rsidR="00B82F75" w:rsidRPr="00F52C10" w14:paraId="480AF74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212556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EQA00000</w:t>
            </w:r>
          </w:p>
        </w:tc>
        <w:tc>
          <w:tcPr>
            <w:tcW w:w="994" w:type="dxa"/>
            <w:tcBorders>
              <w:top w:val="single" w:sz="4" w:space="0" w:color="auto"/>
              <w:left w:val="single" w:sz="4" w:space="0" w:color="auto"/>
              <w:bottom w:val="single" w:sz="4" w:space="0" w:color="auto"/>
              <w:right w:val="single" w:sz="4" w:space="0" w:color="auto"/>
            </w:tcBorders>
            <w:hideMark/>
          </w:tcPr>
          <w:p w14:paraId="546290B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−104,00</w:t>
            </w:r>
          </w:p>
        </w:tc>
        <w:tc>
          <w:tcPr>
            <w:tcW w:w="994" w:type="dxa"/>
            <w:tcBorders>
              <w:top w:val="single" w:sz="4" w:space="0" w:color="auto"/>
              <w:left w:val="single" w:sz="4" w:space="0" w:color="auto"/>
              <w:bottom w:val="single" w:sz="4" w:space="0" w:color="auto"/>
              <w:right w:val="single" w:sz="4" w:space="0" w:color="auto"/>
            </w:tcBorders>
            <w:hideMark/>
          </w:tcPr>
          <w:p w14:paraId="645720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−83,10</w:t>
            </w:r>
          </w:p>
        </w:tc>
        <w:tc>
          <w:tcPr>
            <w:tcW w:w="924" w:type="dxa"/>
            <w:tcBorders>
              <w:top w:val="single" w:sz="4" w:space="0" w:color="auto"/>
              <w:left w:val="single" w:sz="4" w:space="0" w:color="auto"/>
              <w:bottom w:val="single" w:sz="4" w:space="0" w:color="auto"/>
              <w:right w:val="single" w:sz="4" w:space="0" w:color="auto"/>
            </w:tcBorders>
            <w:hideMark/>
          </w:tcPr>
          <w:p w14:paraId="7D8BEA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BB8AF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72E91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93E8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5516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C3B8D5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−22,7</w:t>
            </w:r>
          </w:p>
        </w:tc>
        <w:tc>
          <w:tcPr>
            <w:tcW w:w="933" w:type="dxa"/>
            <w:tcBorders>
              <w:top w:val="single" w:sz="4" w:space="0" w:color="auto"/>
              <w:left w:val="single" w:sz="4" w:space="0" w:color="auto"/>
              <w:bottom w:val="single" w:sz="4" w:space="0" w:color="auto"/>
              <w:right w:val="single" w:sz="4" w:space="0" w:color="auto"/>
            </w:tcBorders>
          </w:tcPr>
          <w:p w14:paraId="53AA51A5" w14:textId="77777777" w:rsidR="00B82F75" w:rsidRPr="00F52C10" w:rsidRDefault="00B82F75" w:rsidP="00E4628E">
            <w:pPr>
              <w:pStyle w:val="Tabletext0"/>
              <w:spacing w:before="34" w:after="34" w:line="276" w:lineRule="auto"/>
              <w:rPr>
                <w:sz w:val="18"/>
                <w:szCs w:val="18"/>
                <w:lang w:val="en-CA"/>
              </w:rPr>
            </w:pPr>
          </w:p>
        </w:tc>
      </w:tr>
      <w:tr w:rsidR="00B82F75" w:rsidRPr="00F52C10" w14:paraId="333C10D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7BCBAC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ETH00000</w:t>
            </w:r>
          </w:p>
        </w:tc>
        <w:tc>
          <w:tcPr>
            <w:tcW w:w="994" w:type="dxa"/>
            <w:tcBorders>
              <w:top w:val="single" w:sz="4" w:space="0" w:color="auto"/>
              <w:left w:val="single" w:sz="4" w:space="0" w:color="auto"/>
              <w:bottom w:val="single" w:sz="4" w:space="0" w:color="auto"/>
              <w:right w:val="single" w:sz="4" w:space="0" w:color="auto"/>
            </w:tcBorders>
            <w:hideMark/>
          </w:tcPr>
          <w:p w14:paraId="4E5549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58,30</w:t>
            </w:r>
          </w:p>
        </w:tc>
        <w:tc>
          <w:tcPr>
            <w:tcW w:w="994" w:type="dxa"/>
            <w:tcBorders>
              <w:top w:val="single" w:sz="4" w:space="0" w:color="auto"/>
              <w:left w:val="single" w:sz="4" w:space="0" w:color="auto"/>
              <w:bottom w:val="single" w:sz="4" w:space="0" w:color="auto"/>
              <w:right w:val="single" w:sz="4" w:space="0" w:color="auto"/>
            </w:tcBorders>
            <w:hideMark/>
          </w:tcPr>
          <w:p w14:paraId="38FCB5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40,60</w:t>
            </w:r>
          </w:p>
        </w:tc>
        <w:tc>
          <w:tcPr>
            <w:tcW w:w="924" w:type="dxa"/>
            <w:tcBorders>
              <w:top w:val="single" w:sz="4" w:space="0" w:color="auto"/>
              <w:left w:val="single" w:sz="4" w:space="0" w:color="auto"/>
              <w:bottom w:val="single" w:sz="4" w:space="0" w:color="auto"/>
              <w:right w:val="single" w:sz="4" w:space="0" w:color="auto"/>
            </w:tcBorders>
            <w:hideMark/>
          </w:tcPr>
          <w:p w14:paraId="51D592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9535D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E2548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74E2C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D1101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8205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−28,6</w:t>
            </w:r>
          </w:p>
        </w:tc>
        <w:tc>
          <w:tcPr>
            <w:tcW w:w="933" w:type="dxa"/>
            <w:tcBorders>
              <w:top w:val="single" w:sz="4" w:space="0" w:color="auto"/>
              <w:left w:val="single" w:sz="4" w:space="0" w:color="auto"/>
              <w:bottom w:val="single" w:sz="4" w:space="0" w:color="auto"/>
              <w:right w:val="single" w:sz="4" w:space="0" w:color="auto"/>
            </w:tcBorders>
          </w:tcPr>
          <w:p w14:paraId="572B4D29" w14:textId="77777777" w:rsidR="00B82F75" w:rsidRPr="00F52C10" w:rsidRDefault="00B82F75" w:rsidP="00E4628E">
            <w:pPr>
              <w:pStyle w:val="Tabletext0"/>
              <w:spacing w:before="34" w:after="34" w:line="276" w:lineRule="auto"/>
              <w:rPr>
                <w:sz w:val="18"/>
                <w:szCs w:val="18"/>
                <w:lang w:val="en-CA"/>
              </w:rPr>
            </w:pPr>
          </w:p>
        </w:tc>
      </w:tr>
      <w:tr w:rsidR="00B82F75" w:rsidRPr="00F52C10" w14:paraId="0ED9BB3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25EADA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F  00000</w:t>
            </w:r>
          </w:p>
        </w:tc>
        <w:tc>
          <w:tcPr>
            <w:tcW w:w="994" w:type="dxa"/>
            <w:tcBorders>
              <w:top w:val="single" w:sz="4" w:space="0" w:color="auto"/>
              <w:left w:val="single" w:sz="4" w:space="0" w:color="auto"/>
              <w:bottom w:val="single" w:sz="4" w:space="0" w:color="auto"/>
              <w:right w:val="single" w:sz="4" w:space="0" w:color="auto"/>
            </w:tcBorders>
            <w:hideMark/>
          </w:tcPr>
          <w:p w14:paraId="25386C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94" w:type="dxa"/>
            <w:tcBorders>
              <w:top w:val="single" w:sz="4" w:space="0" w:color="auto"/>
              <w:left w:val="single" w:sz="4" w:space="0" w:color="auto"/>
              <w:bottom w:val="single" w:sz="4" w:space="0" w:color="auto"/>
              <w:right w:val="single" w:sz="4" w:space="0" w:color="auto"/>
            </w:tcBorders>
          </w:tcPr>
          <w:p w14:paraId="00B4E634"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36F007CC"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167EBB6"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ACA78CF"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4899948"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DCA3133"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0CE6DC3"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0A558B9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468C33C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1F0D0C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FIN00000</w:t>
            </w:r>
          </w:p>
        </w:tc>
        <w:tc>
          <w:tcPr>
            <w:tcW w:w="994" w:type="dxa"/>
            <w:tcBorders>
              <w:top w:val="single" w:sz="4" w:space="0" w:color="auto"/>
              <w:left w:val="single" w:sz="4" w:space="0" w:color="auto"/>
              <w:bottom w:val="single" w:sz="4" w:space="0" w:color="auto"/>
              <w:right w:val="single" w:sz="4" w:space="0" w:color="auto"/>
            </w:tcBorders>
            <w:hideMark/>
          </w:tcPr>
          <w:p w14:paraId="1E86AB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46,80</w:t>
            </w:r>
          </w:p>
        </w:tc>
        <w:tc>
          <w:tcPr>
            <w:tcW w:w="994" w:type="dxa"/>
            <w:tcBorders>
              <w:top w:val="single" w:sz="4" w:space="0" w:color="auto"/>
              <w:left w:val="single" w:sz="4" w:space="0" w:color="auto"/>
              <w:bottom w:val="single" w:sz="4" w:space="0" w:color="auto"/>
              <w:right w:val="single" w:sz="4" w:space="0" w:color="auto"/>
            </w:tcBorders>
            <w:hideMark/>
          </w:tcPr>
          <w:p w14:paraId="2F68E60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23,80</w:t>
            </w:r>
          </w:p>
        </w:tc>
        <w:tc>
          <w:tcPr>
            <w:tcW w:w="924" w:type="dxa"/>
            <w:tcBorders>
              <w:top w:val="single" w:sz="4" w:space="0" w:color="auto"/>
              <w:left w:val="single" w:sz="4" w:space="0" w:color="auto"/>
              <w:bottom w:val="single" w:sz="4" w:space="0" w:color="auto"/>
              <w:right w:val="single" w:sz="4" w:space="0" w:color="auto"/>
            </w:tcBorders>
            <w:hideMark/>
          </w:tcPr>
          <w:p w14:paraId="664C78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B0D8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167CF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69527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15AB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15D85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−28,6</w:t>
            </w:r>
          </w:p>
        </w:tc>
        <w:tc>
          <w:tcPr>
            <w:tcW w:w="933" w:type="dxa"/>
            <w:tcBorders>
              <w:top w:val="single" w:sz="4" w:space="0" w:color="auto"/>
              <w:left w:val="single" w:sz="4" w:space="0" w:color="auto"/>
              <w:bottom w:val="single" w:sz="4" w:space="0" w:color="auto"/>
              <w:right w:val="single" w:sz="4" w:space="0" w:color="auto"/>
            </w:tcBorders>
          </w:tcPr>
          <w:p w14:paraId="4BE90C5D" w14:textId="77777777" w:rsidR="00B82F75" w:rsidRPr="00F52C10" w:rsidRDefault="00B82F75" w:rsidP="00E4628E">
            <w:pPr>
              <w:pStyle w:val="Tabletext0"/>
              <w:spacing w:before="34" w:after="34" w:line="276" w:lineRule="auto"/>
              <w:rPr>
                <w:sz w:val="18"/>
                <w:szCs w:val="18"/>
                <w:lang w:val="en-CA"/>
              </w:rPr>
            </w:pPr>
          </w:p>
        </w:tc>
      </w:tr>
      <w:tr w:rsidR="00B82F75" w:rsidRPr="00F52C10" w14:paraId="539197AF"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BAA146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FJI00000</w:t>
            </w:r>
          </w:p>
        </w:tc>
        <w:tc>
          <w:tcPr>
            <w:tcW w:w="994" w:type="dxa"/>
            <w:tcBorders>
              <w:top w:val="single" w:sz="4" w:space="0" w:color="auto"/>
              <w:left w:val="single" w:sz="4" w:space="0" w:color="auto"/>
              <w:bottom w:val="single" w:sz="4" w:space="0" w:color="auto"/>
              <w:right w:val="single" w:sz="4" w:space="0" w:color="auto"/>
            </w:tcBorders>
            <w:hideMark/>
          </w:tcPr>
          <w:p w14:paraId="16DCBF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148,80</w:t>
            </w:r>
          </w:p>
        </w:tc>
        <w:tc>
          <w:tcPr>
            <w:tcW w:w="994" w:type="dxa"/>
            <w:tcBorders>
              <w:top w:val="single" w:sz="4" w:space="0" w:color="auto"/>
              <w:left w:val="single" w:sz="4" w:space="0" w:color="auto"/>
              <w:bottom w:val="single" w:sz="4" w:space="0" w:color="auto"/>
              <w:right w:val="single" w:sz="4" w:space="0" w:color="auto"/>
            </w:tcBorders>
            <w:hideMark/>
          </w:tcPr>
          <w:p w14:paraId="2DBCD10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178,50</w:t>
            </w:r>
          </w:p>
        </w:tc>
        <w:tc>
          <w:tcPr>
            <w:tcW w:w="924" w:type="dxa"/>
            <w:tcBorders>
              <w:top w:val="single" w:sz="4" w:space="0" w:color="auto"/>
              <w:left w:val="single" w:sz="4" w:space="0" w:color="auto"/>
              <w:bottom w:val="single" w:sz="4" w:space="0" w:color="auto"/>
              <w:right w:val="single" w:sz="4" w:space="0" w:color="auto"/>
            </w:tcBorders>
            <w:hideMark/>
          </w:tcPr>
          <w:p w14:paraId="3FAAD3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7822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6C910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A8C17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B6CCC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7F310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−26,2</w:t>
            </w:r>
          </w:p>
        </w:tc>
        <w:tc>
          <w:tcPr>
            <w:tcW w:w="933" w:type="dxa"/>
            <w:tcBorders>
              <w:top w:val="single" w:sz="4" w:space="0" w:color="auto"/>
              <w:left w:val="single" w:sz="4" w:space="0" w:color="auto"/>
              <w:bottom w:val="single" w:sz="4" w:space="0" w:color="auto"/>
              <w:right w:val="single" w:sz="4" w:space="0" w:color="auto"/>
            </w:tcBorders>
          </w:tcPr>
          <w:p w14:paraId="72C390A9" w14:textId="77777777" w:rsidR="00B82F75" w:rsidRPr="00F52C10" w:rsidRDefault="00B82F75" w:rsidP="00E4628E">
            <w:pPr>
              <w:pStyle w:val="Tabletext0"/>
              <w:spacing w:before="34" w:after="34" w:line="276" w:lineRule="auto"/>
              <w:rPr>
                <w:sz w:val="18"/>
                <w:szCs w:val="18"/>
                <w:lang w:val="en-CA"/>
              </w:rPr>
            </w:pPr>
          </w:p>
        </w:tc>
      </w:tr>
      <w:tr w:rsidR="00B82F75" w:rsidRPr="00F52C10" w14:paraId="199D450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374EAD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FLKSTGGL</w:t>
            </w:r>
          </w:p>
        </w:tc>
        <w:tc>
          <w:tcPr>
            <w:tcW w:w="994" w:type="dxa"/>
            <w:tcBorders>
              <w:top w:val="single" w:sz="4" w:space="0" w:color="auto"/>
              <w:left w:val="single" w:sz="4" w:space="0" w:color="auto"/>
              <w:bottom w:val="single" w:sz="4" w:space="0" w:color="auto"/>
              <w:right w:val="single" w:sz="4" w:space="0" w:color="auto"/>
            </w:tcBorders>
            <w:hideMark/>
          </w:tcPr>
          <w:p w14:paraId="076130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−37,10</w:t>
            </w:r>
          </w:p>
        </w:tc>
        <w:tc>
          <w:tcPr>
            <w:tcW w:w="994" w:type="dxa"/>
            <w:tcBorders>
              <w:top w:val="single" w:sz="4" w:space="0" w:color="auto"/>
              <w:left w:val="single" w:sz="4" w:space="0" w:color="auto"/>
              <w:bottom w:val="single" w:sz="4" w:space="0" w:color="auto"/>
              <w:right w:val="single" w:sz="4" w:space="0" w:color="auto"/>
            </w:tcBorders>
            <w:hideMark/>
          </w:tcPr>
          <w:p w14:paraId="368A255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−46,80</w:t>
            </w:r>
          </w:p>
        </w:tc>
        <w:tc>
          <w:tcPr>
            <w:tcW w:w="924" w:type="dxa"/>
            <w:tcBorders>
              <w:top w:val="single" w:sz="4" w:space="0" w:color="auto"/>
              <w:left w:val="single" w:sz="4" w:space="0" w:color="auto"/>
              <w:bottom w:val="single" w:sz="4" w:space="0" w:color="auto"/>
              <w:right w:val="single" w:sz="4" w:space="0" w:color="auto"/>
            </w:tcBorders>
            <w:hideMark/>
          </w:tcPr>
          <w:p w14:paraId="6CC7A9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CF37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91F9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2549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2706FB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E795E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−28,7</w:t>
            </w:r>
          </w:p>
        </w:tc>
        <w:tc>
          <w:tcPr>
            <w:tcW w:w="933" w:type="dxa"/>
            <w:tcBorders>
              <w:top w:val="single" w:sz="4" w:space="0" w:color="auto"/>
              <w:left w:val="single" w:sz="4" w:space="0" w:color="auto"/>
              <w:bottom w:val="single" w:sz="4" w:space="0" w:color="auto"/>
              <w:right w:val="single" w:sz="4" w:space="0" w:color="auto"/>
            </w:tcBorders>
            <w:hideMark/>
          </w:tcPr>
          <w:p w14:paraId="113E2EF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*/MB4</w:t>
            </w:r>
          </w:p>
        </w:tc>
      </w:tr>
      <w:tr w:rsidR="00B82F75" w:rsidRPr="00F52C10" w14:paraId="51E0CC7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16CE77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  00000</w:t>
            </w:r>
          </w:p>
        </w:tc>
        <w:tc>
          <w:tcPr>
            <w:tcW w:w="994" w:type="dxa"/>
            <w:tcBorders>
              <w:top w:val="single" w:sz="4" w:space="0" w:color="auto"/>
              <w:left w:val="single" w:sz="4" w:space="0" w:color="auto"/>
              <w:bottom w:val="single" w:sz="4" w:space="0" w:color="auto"/>
              <w:right w:val="single" w:sz="4" w:space="0" w:color="auto"/>
            </w:tcBorders>
            <w:hideMark/>
          </w:tcPr>
          <w:p w14:paraId="09F8B19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−37,10</w:t>
            </w:r>
          </w:p>
        </w:tc>
        <w:tc>
          <w:tcPr>
            <w:tcW w:w="994" w:type="dxa"/>
            <w:tcBorders>
              <w:top w:val="single" w:sz="4" w:space="0" w:color="auto"/>
              <w:left w:val="single" w:sz="4" w:space="0" w:color="auto"/>
              <w:bottom w:val="single" w:sz="4" w:space="0" w:color="auto"/>
              <w:right w:val="single" w:sz="4" w:space="0" w:color="auto"/>
            </w:tcBorders>
            <w:hideMark/>
          </w:tcPr>
          <w:p w14:paraId="24C20D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w:t>
            </w:r>
          </w:p>
        </w:tc>
        <w:tc>
          <w:tcPr>
            <w:tcW w:w="924" w:type="dxa"/>
            <w:tcBorders>
              <w:top w:val="single" w:sz="4" w:space="0" w:color="auto"/>
              <w:left w:val="single" w:sz="4" w:space="0" w:color="auto"/>
              <w:bottom w:val="single" w:sz="4" w:space="0" w:color="auto"/>
              <w:right w:val="single" w:sz="4" w:space="0" w:color="auto"/>
            </w:tcBorders>
            <w:hideMark/>
          </w:tcPr>
          <w:p w14:paraId="4390B0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0D6AD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6CF7F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151E0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D1664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F1A78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−27,8</w:t>
            </w:r>
          </w:p>
        </w:tc>
        <w:tc>
          <w:tcPr>
            <w:tcW w:w="933" w:type="dxa"/>
            <w:tcBorders>
              <w:top w:val="single" w:sz="4" w:space="0" w:color="auto"/>
              <w:left w:val="single" w:sz="4" w:space="0" w:color="auto"/>
              <w:bottom w:val="single" w:sz="4" w:space="0" w:color="auto"/>
              <w:right w:val="single" w:sz="4" w:space="0" w:color="auto"/>
            </w:tcBorders>
            <w:hideMark/>
          </w:tcPr>
          <w:p w14:paraId="1596B66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*/MB4</w:t>
            </w:r>
          </w:p>
        </w:tc>
      </w:tr>
      <w:tr w:rsidR="00B82F75" w:rsidRPr="00F52C10" w14:paraId="725483C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81191E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GAB00000</w:t>
            </w:r>
          </w:p>
        </w:tc>
        <w:tc>
          <w:tcPr>
            <w:tcW w:w="994" w:type="dxa"/>
            <w:tcBorders>
              <w:top w:val="single" w:sz="4" w:space="0" w:color="auto"/>
              <w:left w:val="single" w:sz="4" w:space="0" w:color="auto"/>
              <w:bottom w:val="single" w:sz="4" w:space="0" w:color="auto"/>
              <w:right w:val="single" w:sz="4" w:space="0" w:color="auto"/>
            </w:tcBorders>
            <w:hideMark/>
          </w:tcPr>
          <w:p w14:paraId="15182B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39,00</w:t>
            </w:r>
          </w:p>
        </w:tc>
        <w:tc>
          <w:tcPr>
            <w:tcW w:w="994" w:type="dxa"/>
            <w:tcBorders>
              <w:top w:val="single" w:sz="4" w:space="0" w:color="auto"/>
              <w:left w:val="single" w:sz="4" w:space="0" w:color="auto"/>
              <w:bottom w:val="single" w:sz="4" w:space="0" w:color="auto"/>
              <w:right w:val="single" w:sz="4" w:space="0" w:color="auto"/>
            </w:tcBorders>
            <w:hideMark/>
          </w:tcPr>
          <w:p w14:paraId="5B5C11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11,70</w:t>
            </w:r>
          </w:p>
        </w:tc>
        <w:tc>
          <w:tcPr>
            <w:tcW w:w="924" w:type="dxa"/>
            <w:tcBorders>
              <w:top w:val="single" w:sz="4" w:space="0" w:color="auto"/>
              <w:left w:val="single" w:sz="4" w:space="0" w:color="auto"/>
              <w:bottom w:val="single" w:sz="4" w:space="0" w:color="auto"/>
              <w:right w:val="single" w:sz="4" w:space="0" w:color="auto"/>
            </w:tcBorders>
            <w:hideMark/>
          </w:tcPr>
          <w:p w14:paraId="7624BD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A771B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66ECE7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F276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7C767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7DCC0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33" w:type="dxa"/>
            <w:tcBorders>
              <w:top w:val="single" w:sz="4" w:space="0" w:color="auto"/>
              <w:left w:val="single" w:sz="4" w:space="0" w:color="auto"/>
              <w:bottom w:val="single" w:sz="4" w:space="0" w:color="auto"/>
              <w:right w:val="single" w:sz="4" w:space="0" w:color="auto"/>
            </w:tcBorders>
          </w:tcPr>
          <w:p w14:paraId="5AC929C6" w14:textId="77777777" w:rsidR="00B82F75" w:rsidRPr="00F52C10" w:rsidRDefault="00B82F75" w:rsidP="00E4628E">
            <w:pPr>
              <w:pStyle w:val="Tabletext0"/>
              <w:spacing w:before="34" w:after="34" w:line="276" w:lineRule="auto"/>
              <w:rPr>
                <w:sz w:val="18"/>
                <w:szCs w:val="18"/>
                <w:lang w:val="en-CA"/>
              </w:rPr>
            </w:pPr>
          </w:p>
        </w:tc>
      </w:tr>
      <w:tr w:rsidR="00B82F75" w:rsidRPr="00F52C10" w14:paraId="6D94C94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F50EE0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GDL00000</w:t>
            </w:r>
          </w:p>
        </w:tc>
        <w:tc>
          <w:tcPr>
            <w:tcW w:w="994" w:type="dxa"/>
            <w:tcBorders>
              <w:top w:val="single" w:sz="4" w:space="0" w:color="auto"/>
              <w:left w:val="single" w:sz="4" w:space="0" w:color="auto"/>
              <w:bottom w:val="single" w:sz="4" w:space="0" w:color="auto"/>
              <w:right w:val="single" w:sz="4" w:space="0" w:color="auto"/>
            </w:tcBorders>
            <w:hideMark/>
          </w:tcPr>
          <w:p w14:paraId="4EC8FA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94" w:type="dxa"/>
            <w:tcBorders>
              <w:top w:val="single" w:sz="4" w:space="0" w:color="auto"/>
              <w:left w:val="single" w:sz="4" w:space="0" w:color="auto"/>
              <w:bottom w:val="single" w:sz="4" w:space="0" w:color="auto"/>
              <w:right w:val="single" w:sz="4" w:space="0" w:color="auto"/>
            </w:tcBorders>
          </w:tcPr>
          <w:p w14:paraId="0F2CDD2D"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472DB9C6"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3CC423"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63D3912"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C356E2"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1E8F2F1"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0BCF565"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1C1F087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6E7FF73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FFA488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GDL00002</w:t>
            </w:r>
          </w:p>
        </w:tc>
        <w:tc>
          <w:tcPr>
            <w:tcW w:w="994" w:type="dxa"/>
            <w:tcBorders>
              <w:top w:val="single" w:sz="4" w:space="0" w:color="auto"/>
              <w:left w:val="single" w:sz="4" w:space="0" w:color="auto"/>
              <w:bottom w:val="single" w:sz="4" w:space="0" w:color="auto"/>
              <w:right w:val="single" w:sz="4" w:space="0" w:color="auto"/>
            </w:tcBorders>
            <w:hideMark/>
          </w:tcPr>
          <w:p w14:paraId="3FBE96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−115,90</w:t>
            </w:r>
          </w:p>
        </w:tc>
        <w:tc>
          <w:tcPr>
            <w:tcW w:w="994" w:type="dxa"/>
            <w:tcBorders>
              <w:top w:val="single" w:sz="4" w:space="0" w:color="auto"/>
              <w:left w:val="single" w:sz="4" w:space="0" w:color="auto"/>
              <w:bottom w:val="single" w:sz="4" w:space="0" w:color="auto"/>
              <w:right w:val="single" w:sz="4" w:space="0" w:color="auto"/>
            </w:tcBorders>
            <w:hideMark/>
          </w:tcPr>
          <w:p w14:paraId="0DAA26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−61,80</w:t>
            </w:r>
          </w:p>
        </w:tc>
        <w:tc>
          <w:tcPr>
            <w:tcW w:w="924" w:type="dxa"/>
            <w:tcBorders>
              <w:top w:val="single" w:sz="4" w:space="0" w:color="auto"/>
              <w:left w:val="single" w:sz="4" w:space="0" w:color="auto"/>
              <w:bottom w:val="single" w:sz="4" w:space="0" w:color="auto"/>
              <w:right w:val="single" w:sz="4" w:space="0" w:color="auto"/>
            </w:tcBorders>
            <w:hideMark/>
          </w:tcPr>
          <w:p w14:paraId="53A26B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9028D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209A0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66689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6BEA6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FAAF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−22,7</w:t>
            </w:r>
          </w:p>
        </w:tc>
        <w:tc>
          <w:tcPr>
            <w:tcW w:w="933" w:type="dxa"/>
            <w:tcBorders>
              <w:top w:val="single" w:sz="4" w:space="0" w:color="auto"/>
              <w:left w:val="single" w:sz="4" w:space="0" w:color="auto"/>
              <w:bottom w:val="single" w:sz="4" w:space="0" w:color="auto"/>
              <w:right w:val="single" w:sz="4" w:space="0" w:color="auto"/>
            </w:tcBorders>
            <w:hideMark/>
          </w:tcPr>
          <w:p w14:paraId="4E1DF65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*/MB13</w:t>
            </w:r>
          </w:p>
        </w:tc>
      </w:tr>
      <w:tr w:rsidR="00B82F75" w:rsidRPr="00F52C10" w14:paraId="2257FB7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E3AE44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GHA00000</w:t>
            </w:r>
          </w:p>
        </w:tc>
        <w:tc>
          <w:tcPr>
            <w:tcW w:w="994" w:type="dxa"/>
            <w:tcBorders>
              <w:top w:val="single" w:sz="4" w:space="0" w:color="auto"/>
              <w:left w:val="single" w:sz="4" w:space="0" w:color="auto"/>
              <w:bottom w:val="single" w:sz="4" w:space="0" w:color="auto"/>
              <w:right w:val="single" w:sz="4" w:space="0" w:color="auto"/>
            </w:tcBorders>
            <w:hideMark/>
          </w:tcPr>
          <w:p w14:paraId="74532F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w:t>
            </w:r>
          </w:p>
        </w:tc>
        <w:tc>
          <w:tcPr>
            <w:tcW w:w="994" w:type="dxa"/>
            <w:tcBorders>
              <w:top w:val="single" w:sz="4" w:space="0" w:color="auto"/>
              <w:left w:val="single" w:sz="4" w:space="0" w:color="auto"/>
              <w:bottom w:val="single" w:sz="4" w:space="0" w:color="auto"/>
              <w:right w:val="single" w:sz="4" w:space="0" w:color="auto"/>
            </w:tcBorders>
            <w:hideMark/>
          </w:tcPr>
          <w:p w14:paraId="365DF9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924" w:type="dxa"/>
            <w:tcBorders>
              <w:top w:val="single" w:sz="4" w:space="0" w:color="auto"/>
              <w:left w:val="single" w:sz="4" w:space="0" w:color="auto"/>
              <w:bottom w:val="single" w:sz="4" w:space="0" w:color="auto"/>
              <w:right w:val="single" w:sz="4" w:space="0" w:color="auto"/>
            </w:tcBorders>
            <w:hideMark/>
          </w:tcPr>
          <w:p w14:paraId="4E434E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1953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199DE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F8364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B46FA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CFFA0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33" w:type="dxa"/>
            <w:tcBorders>
              <w:top w:val="single" w:sz="4" w:space="0" w:color="auto"/>
              <w:left w:val="single" w:sz="4" w:space="0" w:color="auto"/>
              <w:bottom w:val="single" w:sz="4" w:space="0" w:color="auto"/>
              <w:right w:val="single" w:sz="4" w:space="0" w:color="auto"/>
            </w:tcBorders>
          </w:tcPr>
          <w:p w14:paraId="15CE31C4" w14:textId="77777777" w:rsidR="00B82F75" w:rsidRPr="00F52C10" w:rsidRDefault="00B82F75" w:rsidP="00E4628E">
            <w:pPr>
              <w:pStyle w:val="Tabletext0"/>
              <w:spacing w:before="34" w:after="34" w:line="276" w:lineRule="auto"/>
              <w:rPr>
                <w:sz w:val="18"/>
                <w:szCs w:val="18"/>
                <w:lang w:val="en-CA"/>
              </w:rPr>
            </w:pPr>
          </w:p>
        </w:tc>
      </w:tr>
      <w:tr w:rsidR="00B82F75" w:rsidRPr="00F52C10" w14:paraId="640C4A8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45757E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GIB00000</w:t>
            </w:r>
          </w:p>
        </w:tc>
        <w:tc>
          <w:tcPr>
            <w:tcW w:w="994" w:type="dxa"/>
            <w:tcBorders>
              <w:top w:val="single" w:sz="4" w:space="0" w:color="auto"/>
              <w:left w:val="single" w:sz="4" w:space="0" w:color="auto"/>
              <w:bottom w:val="single" w:sz="4" w:space="0" w:color="auto"/>
              <w:right w:val="single" w:sz="4" w:space="0" w:color="auto"/>
            </w:tcBorders>
            <w:hideMark/>
          </w:tcPr>
          <w:p w14:paraId="45D417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994" w:type="dxa"/>
            <w:tcBorders>
              <w:top w:val="single" w:sz="4" w:space="0" w:color="auto"/>
              <w:left w:val="single" w:sz="4" w:space="0" w:color="auto"/>
              <w:bottom w:val="single" w:sz="4" w:space="0" w:color="auto"/>
              <w:right w:val="single" w:sz="4" w:space="0" w:color="auto"/>
            </w:tcBorders>
            <w:hideMark/>
          </w:tcPr>
          <w:p w14:paraId="74A6C5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−5,40</w:t>
            </w:r>
          </w:p>
        </w:tc>
        <w:tc>
          <w:tcPr>
            <w:tcW w:w="924" w:type="dxa"/>
            <w:tcBorders>
              <w:top w:val="single" w:sz="4" w:space="0" w:color="auto"/>
              <w:left w:val="single" w:sz="4" w:space="0" w:color="auto"/>
              <w:bottom w:val="single" w:sz="4" w:space="0" w:color="auto"/>
              <w:right w:val="single" w:sz="4" w:space="0" w:color="auto"/>
            </w:tcBorders>
            <w:hideMark/>
          </w:tcPr>
          <w:p w14:paraId="3CE90B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370C7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A379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70A6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6C0E8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19ADF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933" w:type="dxa"/>
            <w:tcBorders>
              <w:top w:val="single" w:sz="4" w:space="0" w:color="auto"/>
              <w:left w:val="single" w:sz="4" w:space="0" w:color="auto"/>
              <w:bottom w:val="single" w:sz="4" w:space="0" w:color="auto"/>
              <w:right w:val="single" w:sz="4" w:space="0" w:color="auto"/>
            </w:tcBorders>
            <w:hideMark/>
          </w:tcPr>
          <w:p w14:paraId="6D86B64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*/MB9</w:t>
            </w:r>
          </w:p>
        </w:tc>
      </w:tr>
      <w:tr w:rsidR="00B82F75" w:rsidRPr="00F52C10" w14:paraId="2DE5734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69379C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GMB00000</w:t>
            </w:r>
          </w:p>
        </w:tc>
        <w:tc>
          <w:tcPr>
            <w:tcW w:w="994" w:type="dxa"/>
            <w:tcBorders>
              <w:top w:val="single" w:sz="4" w:space="0" w:color="auto"/>
              <w:left w:val="single" w:sz="4" w:space="0" w:color="auto"/>
              <w:bottom w:val="single" w:sz="4" w:space="0" w:color="auto"/>
              <w:right w:val="single" w:sz="4" w:space="0" w:color="auto"/>
            </w:tcBorders>
            <w:hideMark/>
          </w:tcPr>
          <w:p w14:paraId="22B2A5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−34,00</w:t>
            </w:r>
          </w:p>
        </w:tc>
        <w:tc>
          <w:tcPr>
            <w:tcW w:w="994" w:type="dxa"/>
            <w:tcBorders>
              <w:top w:val="single" w:sz="4" w:space="0" w:color="auto"/>
              <w:left w:val="single" w:sz="4" w:space="0" w:color="auto"/>
              <w:bottom w:val="single" w:sz="4" w:space="0" w:color="auto"/>
              <w:right w:val="single" w:sz="4" w:space="0" w:color="auto"/>
            </w:tcBorders>
            <w:hideMark/>
          </w:tcPr>
          <w:p w14:paraId="3A8D78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−16,40</w:t>
            </w:r>
          </w:p>
        </w:tc>
        <w:tc>
          <w:tcPr>
            <w:tcW w:w="924" w:type="dxa"/>
            <w:tcBorders>
              <w:top w:val="single" w:sz="4" w:space="0" w:color="auto"/>
              <w:left w:val="single" w:sz="4" w:space="0" w:color="auto"/>
              <w:bottom w:val="single" w:sz="4" w:space="0" w:color="auto"/>
              <w:right w:val="single" w:sz="4" w:space="0" w:color="auto"/>
            </w:tcBorders>
            <w:hideMark/>
          </w:tcPr>
          <w:p w14:paraId="60646B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78D8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2906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AEA42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011E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DF6A62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−31,0</w:t>
            </w:r>
          </w:p>
        </w:tc>
        <w:tc>
          <w:tcPr>
            <w:tcW w:w="933" w:type="dxa"/>
            <w:tcBorders>
              <w:top w:val="single" w:sz="4" w:space="0" w:color="auto"/>
              <w:left w:val="single" w:sz="4" w:space="0" w:color="auto"/>
              <w:bottom w:val="single" w:sz="4" w:space="0" w:color="auto"/>
              <w:right w:val="single" w:sz="4" w:space="0" w:color="auto"/>
            </w:tcBorders>
          </w:tcPr>
          <w:p w14:paraId="2A522F18" w14:textId="77777777" w:rsidR="00B82F75" w:rsidRPr="00F52C10" w:rsidRDefault="00B82F75" w:rsidP="00E4628E">
            <w:pPr>
              <w:pStyle w:val="Tabletext0"/>
              <w:spacing w:before="34" w:after="34" w:line="276" w:lineRule="auto"/>
              <w:rPr>
                <w:sz w:val="18"/>
                <w:szCs w:val="18"/>
                <w:lang w:val="en-CA"/>
              </w:rPr>
            </w:pPr>
          </w:p>
        </w:tc>
      </w:tr>
      <w:tr w:rsidR="00B82F75" w:rsidRPr="00F52C10" w14:paraId="29DC92A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684302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GNB00000</w:t>
            </w:r>
          </w:p>
        </w:tc>
        <w:tc>
          <w:tcPr>
            <w:tcW w:w="994" w:type="dxa"/>
            <w:tcBorders>
              <w:top w:val="single" w:sz="4" w:space="0" w:color="auto"/>
              <w:left w:val="single" w:sz="4" w:space="0" w:color="auto"/>
              <w:bottom w:val="single" w:sz="4" w:space="0" w:color="auto"/>
              <w:right w:val="single" w:sz="4" w:space="0" w:color="auto"/>
            </w:tcBorders>
            <w:hideMark/>
          </w:tcPr>
          <w:p w14:paraId="28390F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40,00</w:t>
            </w:r>
          </w:p>
        </w:tc>
        <w:tc>
          <w:tcPr>
            <w:tcW w:w="994" w:type="dxa"/>
            <w:tcBorders>
              <w:top w:val="single" w:sz="4" w:space="0" w:color="auto"/>
              <w:left w:val="single" w:sz="4" w:space="0" w:color="auto"/>
              <w:bottom w:val="single" w:sz="4" w:space="0" w:color="auto"/>
              <w:right w:val="single" w:sz="4" w:space="0" w:color="auto"/>
            </w:tcBorders>
            <w:hideMark/>
          </w:tcPr>
          <w:p w14:paraId="30211D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−15,40</w:t>
            </w:r>
          </w:p>
        </w:tc>
        <w:tc>
          <w:tcPr>
            <w:tcW w:w="924" w:type="dxa"/>
            <w:tcBorders>
              <w:top w:val="single" w:sz="4" w:space="0" w:color="auto"/>
              <w:left w:val="single" w:sz="4" w:space="0" w:color="auto"/>
              <w:bottom w:val="single" w:sz="4" w:space="0" w:color="auto"/>
              <w:right w:val="single" w:sz="4" w:space="0" w:color="auto"/>
            </w:tcBorders>
            <w:hideMark/>
          </w:tcPr>
          <w:p w14:paraId="01859B6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DA7D9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451D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58A7D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CFDF0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505AC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−28,8</w:t>
            </w:r>
          </w:p>
        </w:tc>
        <w:tc>
          <w:tcPr>
            <w:tcW w:w="933" w:type="dxa"/>
            <w:tcBorders>
              <w:top w:val="single" w:sz="4" w:space="0" w:color="auto"/>
              <w:left w:val="single" w:sz="4" w:space="0" w:color="auto"/>
              <w:bottom w:val="single" w:sz="4" w:space="0" w:color="auto"/>
              <w:right w:val="single" w:sz="4" w:space="0" w:color="auto"/>
            </w:tcBorders>
          </w:tcPr>
          <w:p w14:paraId="35B9897F" w14:textId="77777777" w:rsidR="00B82F75" w:rsidRPr="00F52C10" w:rsidRDefault="00B82F75" w:rsidP="00E4628E">
            <w:pPr>
              <w:pStyle w:val="Tabletext0"/>
              <w:spacing w:before="34" w:after="34" w:line="276" w:lineRule="auto"/>
              <w:rPr>
                <w:sz w:val="18"/>
                <w:szCs w:val="18"/>
                <w:lang w:val="en-CA"/>
              </w:rPr>
            </w:pPr>
          </w:p>
        </w:tc>
      </w:tr>
      <w:tr w:rsidR="00B82F75" w:rsidRPr="00F52C10" w14:paraId="736C70E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DF3998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GNE00000</w:t>
            </w:r>
          </w:p>
        </w:tc>
        <w:tc>
          <w:tcPr>
            <w:tcW w:w="994" w:type="dxa"/>
            <w:tcBorders>
              <w:top w:val="single" w:sz="4" w:space="0" w:color="auto"/>
              <w:left w:val="single" w:sz="4" w:space="0" w:color="auto"/>
              <w:bottom w:val="single" w:sz="4" w:space="0" w:color="auto"/>
              <w:right w:val="single" w:sz="4" w:space="0" w:color="auto"/>
            </w:tcBorders>
            <w:hideMark/>
          </w:tcPr>
          <w:p w14:paraId="555620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−32,30</w:t>
            </w:r>
          </w:p>
        </w:tc>
        <w:tc>
          <w:tcPr>
            <w:tcW w:w="994" w:type="dxa"/>
            <w:tcBorders>
              <w:top w:val="single" w:sz="4" w:space="0" w:color="auto"/>
              <w:left w:val="single" w:sz="4" w:space="0" w:color="auto"/>
              <w:bottom w:val="single" w:sz="4" w:space="0" w:color="auto"/>
              <w:right w:val="single" w:sz="4" w:space="0" w:color="auto"/>
            </w:tcBorders>
            <w:hideMark/>
          </w:tcPr>
          <w:p w14:paraId="6434E7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10,50</w:t>
            </w:r>
          </w:p>
        </w:tc>
        <w:tc>
          <w:tcPr>
            <w:tcW w:w="924" w:type="dxa"/>
            <w:tcBorders>
              <w:top w:val="single" w:sz="4" w:space="0" w:color="auto"/>
              <w:left w:val="single" w:sz="4" w:space="0" w:color="auto"/>
              <w:bottom w:val="single" w:sz="4" w:space="0" w:color="auto"/>
              <w:right w:val="single" w:sz="4" w:space="0" w:color="auto"/>
            </w:tcBorders>
            <w:hideMark/>
          </w:tcPr>
          <w:p w14:paraId="5CA339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CED4E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F50C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1F8F7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74B34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B1DAB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−24,9</w:t>
            </w:r>
          </w:p>
        </w:tc>
        <w:tc>
          <w:tcPr>
            <w:tcW w:w="933" w:type="dxa"/>
            <w:tcBorders>
              <w:top w:val="single" w:sz="4" w:space="0" w:color="auto"/>
              <w:left w:val="single" w:sz="4" w:space="0" w:color="auto"/>
              <w:bottom w:val="single" w:sz="4" w:space="0" w:color="auto"/>
              <w:right w:val="single" w:sz="4" w:space="0" w:color="auto"/>
            </w:tcBorders>
          </w:tcPr>
          <w:p w14:paraId="5C563CEE" w14:textId="77777777" w:rsidR="00B82F75" w:rsidRPr="00F52C10" w:rsidRDefault="00B82F75" w:rsidP="00E4628E">
            <w:pPr>
              <w:pStyle w:val="Tabletext0"/>
              <w:spacing w:before="34" w:after="34" w:line="276" w:lineRule="auto"/>
              <w:rPr>
                <w:sz w:val="18"/>
                <w:szCs w:val="18"/>
                <w:lang w:val="en-CA"/>
              </w:rPr>
            </w:pPr>
          </w:p>
        </w:tc>
      </w:tr>
      <w:tr w:rsidR="00B82F75" w:rsidRPr="00F52C10" w14:paraId="6D97E65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233D36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GRC00000</w:t>
            </w:r>
          </w:p>
        </w:tc>
        <w:tc>
          <w:tcPr>
            <w:tcW w:w="994" w:type="dxa"/>
            <w:tcBorders>
              <w:top w:val="single" w:sz="4" w:space="0" w:color="auto"/>
              <w:left w:val="single" w:sz="4" w:space="0" w:color="auto"/>
              <w:bottom w:val="single" w:sz="4" w:space="0" w:color="auto"/>
              <w:right w:val="single" w:sz="4" w:space="0" w:color="auto"/>
            </w:tcBorders>
            <w:hideMark/>
          </w:tcPr>
          <w:p w14:paraId="394160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22,05</w:t>
            </w:r>
          </w:p>
        </w:tc>
        <w:tc>
          <w:tcPr>
            <w:tcW w:w="994" w:type="dxa"/>
            <w:tcBorders>
              <w:top w:val="single" w:sz="4" w:space="0" w:color="auto"/>
              <w:left w:val="single" w:sz="4" w:space="0" w:color="auto"/>
              <w:bottom w:val="single" w:sz="4" w:space="0" w:color="auto"/>
              <w:right w:val="single" w:sz="4" w:space="0" w:color="auto"/>
            </w:tcBorders>
            <w:hideMark/>
          </w:tcPr>
          <w:p w14:paraId="1C2D1D2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24,70</w:t>
            </w:r>
          </w:p>
        </w:tc>
        <w:tc>
          <w:tcPr>
            <w:tcW w:w="924" w:type="dxa"/>
            <w:tcBorders>
              <w:top w:val="single" w:sz="4" w:space="0" w:color="auto"/>
              <w:left w:val="single" w:sz="4" w:space="0" w:color="auto"/>
              <w:bottom w:val="single" w:sz="4" w:space="0" w:color="auto"/>
              <w:right w:val="single" w:sz="4" w:space="0" w:color="auto"/>
            </w:tcBorders>
            <w:hideMark/>
          </w:tcPr>
          <w:p w14:paraId="09C537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E00D8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189CA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E239F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A156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390CB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−26,6</w:t>
            </w:r>
          </w:p>
        </w:tc>
        <w:tc>
          <w:tcPr>
            <w:tcW w:w="933" w:type="dxa"/>
            <w:tcBorders>
              <w:top w:val="single" w:sz="4" w:space="0" w:color="auto"/>
              <w:left w:val="single" w:sz="4" w:space="0" w:color="auto"/>
              <w:bottom w:val="single" w:sz="4" w:space="0" w:color="auto"/>
              <w:right w:val="single" w:sz="4" w:space="0" w:color="auto"/>
            </w:tcBorders>
          </w:tcPr>
          <w:p w14:paraId="74EAC516" w14:textId="77777777" w:rsidR="00B82F75" w:rsidRPr="00F52C10" w:rsidRDefault="00B82F75" w:rsidP="00E4628E">
            <w:pPr>
              <w:pStyle w:val="Tabletext0"/>
              <w:spacing w:before="34" w:after="34" w:line="276" w:lineRule="auto"/>
              <w:rPr>
                <w:sz w:val="18"/>
                <w:szCs w:val="18"/>
                <w:lang w:val="en-CA"/>
              </w:rPr>
            </w:pPr>
          </w:p>
        </w:tc>
      </w:tr>
      <w:tr w:rsidR="00B82F75" w:rsidRPr="00F52C10" w14:paraId="63E1F6D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76C4921" w14:textId="77777777" w:rsidR="00B82F75" w:rsidRPr="00F52C10" w:rsidRDefault="00B82F75" w:rsidP="00E4628E">
            <w:pPr>
              <w:pStyle w:val="Tabletext0"/>
              <w:keepNext/>
              <w:spacing w:before="34" w:after="34" w:line="276" w:lineRule="auto"/>
              <w:rPr>
                <w:sz w:val="18"/>
                <w:szCs w:val="18"/>
                <w:lang w:val="en-US"/>
              </w:rPr>
            </w:pPr>
            <w:r w:rsidRPr="00F52C10">
              <w:rPr>
                <w:sz w:val="18"/>
                <w:szCs w:val="18"/>
                <w:lang w:val="en-US"/>
              </w:rPr>
              <w:t>GRD00000</w:t>
            </w:r>
          </w:p>
        </w:tc>
        <w:tc>
          <w:tcPr>
            <w:tcW w:w="994" w:type="dxa"/>
            <w:tcBorders>
              <w:top w:val="single" w:sz="4" w:space="0" w:color="auto"/>
              <w:left w:val="single" w:sz="4" w:space="0" w:color="auto"/>
              <w:bottom w:val="single" w:sz="4" w:space="0" w:color="auto"/>
              <w:right w:val="single" w:sz="4" w:space="0" w:color="auto"/>
            </w:tcBorders>
            <w:hideMark/>
          </w:tcPr>
          <w:p w14:paraId="103E79BE" w14:textId="77777777" w:rsidR="00B82F75" w:rsidRPr="00F52C10" w:rsidRDefault="00B82F75" w:rsidP="00E4628E">
            <w:pPr>
              <w:pStyle w:val="Tabletext0"/>
              <w:keepNext/>
              <w:spacing w:before="34" w:after="34" w:line="276" w:lineRule="auto"/>
              <w:jc w:val="right"/>
              <w:rPr>
                <w:sz w:val="18"/>
                <w:szCs w:val="18"/>
                <w:lang w:val="en-CA"/>
              </w:rPr>
            </w:pPr>
            <w:r w:rsidRPr="00F52C10">
              <w:rPr>
                <w:sz w:val="18"/>
                <w:szCs w:val="18"/>
                <w:lang w:val="en-CA"/>
              </w:rPr>
              <w:t>−32,80</w:t>
            </w:r>
          </w:p>
        </w:tc>
        <w:tc>
          <w:tcPr>
            <w:tcW w:w="994" w:type="dxa"/>
            <w:tcBorders>
              <w:top w:val="single" w:sz="4" w:space="0" w:color="auto"/>
              <w:left w:val="single" w:sz="4" w:space="0" w:color="auto"/>
              <w:bottom w:val="single" w:sz="4" w:space="0" w:color="auto"/>
              <w:right w:val="single" w:sz="4" w:space="0" w:color="auto"/>
            </w:tcBorders>
            <w:hideMark/>
          </w:tcPr>
          <w:p w14:paraId="47D12026" w14:textId="77777777" w:rsidR="00B82F75" w:rsidRPr="00F52C10" w:rsidRDefault="00B82F75" w:rsidP="00E4628E">
            <w:pPr>
              <w:pStyle w:val="Tabletext0"/>
              <w:keepNext/>
              <w:spacing w:before="34" w:after="34" w:line="276" w:lineRule="auto"/>
              <w:jc w:val="right"/>
              <w:rPr>
                <w:sz w:val="18"/>
                <w:szCs w:val="18"/>
                <w:lang w:val="en-CA"/>
              </w:rPr>
            </w:pPr>
            <w:r w:rsidRPr="00F52C10">
              <w:rPr>
                <w:sz w:val="18"/>
                <w:szCs w:val="18"/>
                <w:lang w:val="en-CA"/>
              </w:rPr>
              <w:t>−61,60</w:t>
            </w:r>
          </w:p>
        </w:tc>
        <w:tc>
          <w:tcPr>
            <w:tcW w:w="924" w:type="dxa"/>
            <w:tcBorders>
              <w:top w:val="single" w:sz="4" w:space="0" w:color="auto"/>
              <w:left w:val="single" w:sz="4" w:space="0" w:color="auto"/>
              <w:bottom w:val="single" w:sz="4" w:space="0" w:color="auto"/>
              <w:right w:val="single" w:sz="4" w:space="0" w:color="auto"/>
            </w:tcBorders>
            <w:hideMark/>
          </w:tcPr>
          <w:p w14:paraId="3CCB3F80" w14:textId="77777777" w:rsidR="00B82F75" w:rsidRPr="00F52C10" w:rsidRDefault="00B82F75" w:rsidP="00E4628E">
            <w:pPr>
              <w:pStyle w:val="Tabletext0"/>
              <w:keepNext/>
              <w:spacing w:before="34" w:after="34" w:line="276" w:lineRule="auto"/>
              <w:jc w:val="right"/>
              <w:rPr>
                <w:sz w:val="18"/>
                <w:szCs w:val="18"/>
                <w:lang w:val="en-CA"/>
              </w:rPr>
            </w:pPr>
            <w:r w:rsidRPr="00F52C10">
              <w:rPr>
                <w:sz w:val="18"/>
                <w:szCs w:val="18"/>
                <w:lang w:val="en-CA"/>
              </w:rPr>
              <w:t>12,00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C4FE857" w14:textId="77777777" w:rsidR="00B82F75" w:rsidRPr="00F52C10" w:rsidRDefault="00B82F75" w:rsidP="00E4628E">
            <w:pPr>
              <w:pStyle w:val="Tabletext0"/>
              <w:keepNext/>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0913F74" w14:textId="77777777" w:rsidR="00B82F75" w:rsidRPr="00F52C10" w:rsidRDefault="00B82F75" w:rsidP="00E4628E">
            <w:pPr>
              <w:pStyle w:val="Tabletext0"/>
              <w:keepNext/>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F3C038E" w14:textId="77777777" w:rsidR="00B82F75" w:rsidRPr="00F52C10" w:rsidRDefault="00B82F75" w:rsidP="00E4628E">
            <w:pPr>
              <w:pStyle w:val="Tabletext0"/>
              <w:keepNext/>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C614431" w14:textId="77777777" w:rsidR="00B82F75" w:rsidRPr="00F52C10" w:rsidRDefault="00B82F75" w:rsidP="00E4628E">
            <w:pPr>
              <w:pStyle w:val="Tabletext0"/>
              <w:keepNext/>
              <w:spacing w:before="34" w:after="34" w:line="276" w:lineRule="auto"/>
              <w:jc w:val="right"/>
              <w:rPr>
                <w:sz w:val="18"/>
                <w:szCs w:val="18"/>
                <w:lang w:val="en-CA"/>
              </w:rPr>
            </w:pPr>
            <w:r w:rsidRPr="00F52C10">
              <w:rPr>
                <w:sz w:val="18"/>
                <w:szCs w:val="18"/>
                <w:lang w:val="en-CA"/>
              </w:rPr>
              <w:t>−7,1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81D66E" w14:textId="77777777" w:rsidR="00B82F75" w:rsidRPr="00F52C10" w:rsidRDefault="00B82F75" w:rsidP="00E4628E">
            <w:pPr>
              <w:pStyle w:val="Tabletext0"/>
              <w:keepNext/>
              <w:spacing w:before="34" w:after="34" w:line="276" w:lineRule="auto"/>
              <w:jc w:val="right"/>
              <w:rPr>
                <w:sz w:val="18"/>
                <w:szCs w:val="18"/>
                <w:lang w:val="en-CA"/>
              </w:rPr>
            </w:pPr>
            <w:r w:rsidRPr="00F52C10">
              <w:rPr>
                <w:sz w:val="18"/>
                <w:szCs w:val="18"/>
                <w:lang w:val="en-CA"/>
              </w:rPr>
              <w:t>−26,5</w:t>
            </w:r>
          </w:p>
        </w:tc>
        <w:tc>
          <w:tcPr>
            <w:tcW w:w="933" w:type="dxa"/>
            <w:tcBorders>
              <w:top w:val="single" w:sz="4" w:space="0" w:color="auto"/>
              <w:left w:val="single" w:sz="4" w:space="0" w:color="auto"/>
              <w:bottom w:val="single" w:sz="4" w:space="0" w:color="auto"/>
              <w:right w:val="single" w:sz="4" w:space="0" w:color="auto"/>
            </w:tcBorders>
          </w:tcPr>
          <w:p w14:paraId="420C1081" w14:textId="77777777" w:rsidR="00B82F75" w:rsidRPr="00F52C10" w:rsidRDefault="00B82F75" w:rsidP="00E4628E">
            <w:pPr>
              <w:pStyle w:val="Tabletext0"/>
              <w:keepNext/>
              <w:spacing w:before="34" w:after="34" w:line="276" w:lineRule="auto"/>
              <w:rPr>
                <w:sz w:val="18"/>
                <w:szCs w:val="18"/>
                <w:lang w:val="en-CA"/>
              </w:rPr>
            </w:pPr>
          </w:p>
        </w:tc>
      </w:tr>
      <w:tr w:rsidR="00B82F75" w:rsidRPr="00F52C10" w14:paraId="31E52F2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EC73EA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GRL00000</w:t>
            </w:r>
          </w:p>
        </w:tc>
        <w:tc>
          <w:tcPr>
            <w:tcW w:w="994" w:type="dxa"/>
            <w:tcBorders>
              <w:top w:val="single" w:sz="4" w:space="0" w:color="auto"/>
              <w:left w:val="single" w:sz="4" w:space="0" w:color="auto"/>
              <w:bottom w:val="single" w:sz="4" w:space="0" w:color="auto"/>
              <w:right w:val="single" w:sz="4" w:space="0" w:color="auto"/>
            </w:tcBorders>
            <w:hideMark/>
          </w:tcPr>
          <w:p w14:paraId="6CBAFD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−49,00</w:t>
            </w:r>
          </w:p>
        </w:tc>
        <w:tc>
          <w:tcPr>
            <w:tcW w:w="994" w:type="dxa"/>
            <w:tcBorders>
              <w:top w:val="single" w:sz="4" w:space="0" w:color="auto"/>
              <w:left w:val="single" w:sz="4" w:space="0" w:color="auto"/>
              <w:bottom w:val="single" w:sz="4" w:space="0" w:color="auto"/>
              <w:right w:val="single" w:sz="4" w:space="0" w:color="auto"/>
            </w:tcBorders>
            <w:hideMark/>
          </w:tcPr>
          <w:p w14:paraId="5CA2EF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−42,90</w:t>
            </w:r>
          </w:p>
        </w:tc>
        <w:tc>
          <w:tcPr>
            <w:tcW w:w="924" w:type="dxa"/>
            <w:tcBorders>
              <w:top w:val="single" w:sz="4" w:space="0" w:color="auto"/>
              <w:left w:val="single" w:sz="4" w:space="0" w:color="auto"/>
              <w:bottom w:val="single" w:sz="4" w:space="0" w:color="auto"/>
              <w:right w:val="single" w:sz="4" w:space="0" w:color="auto"/>
            </w:tcBorders>
            <w:hideMark/>
          </w:tcPr>
          <w:p w14:paraId="71D755F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68,60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D0A60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1EC1A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0F7C1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BE1D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78D01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−27,8</w:t>
            </w:r>
          </w:p>
        </w:tc>
        <w:tc>
          <w:tcPr>
            <w:tcW w:w="933" w:type="dxa"/>
            <w:tcBorders>
              <w:top w:val="single" w:sz="4" w:space="0" w:color="auto"/>
              <w:left w:val="single" w:sz="4" w:space="0" w:color="auto"/>
              <w:bottom w:val="single" w:sz="4" w:space="0" w:color="auto"/>
              <w:right w:val="single" w:sz="4" w:space="0" w:color="auto"/>
            </w:tcBorders>
            <w:hideMark/>
          </w:tcPr>
          <w:p w14:paraId="378CDC1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*/MB10</w:t>
            </w:r>
          </w:p>
        </w:tc>
      </w:tr>
      <w:tr w:rsidR="00B82F75" w:rsidRPr="00F52C10" w14:paraId="05927E5F"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04EFD9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GTM00000</w:t>
            </w:r>
          </w:p>
        </w:tc>
        <w:tc>
          <w:tcPr>
            <w:tcW w:w="994" w:type="dxa"/>
            <w:tcBorders>
              <w:top w:val="single" w:sz="4" w:space="0" w:color="auto"/>
              <w:left w:val="single" w:sz="4" w:space="0" w:color="auto"/>
              <w:bottom w:val="single" w:sz="4" w:space="0" w:color="auto"/>
              <w:right w:val="single" w:sz="4" w:space="0" w:color="auto"/>
            </w:tcBorders>
            <w:hideMark/>
          </w:tcPr>
          <w:p w14:paraId="3162ED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−135,70</w:t>
            </w:r>
          </w:p>
        </w:tc>
        <w:tc>
          <w:tcPr>
            <w:tcW w:w="994" w:type="dxa"/>
            <w:tcBorders>
              <w:top w:val="single" w:sz="4" w:space="0" w:color="auto"/>
              <w:left w:val="single" w:sz="4" w:space="0" w:color="auto"/>
              <w:bottom w:val="single" w:sz="4" w:space="0" w:color="auto"/>
              <w:right w:val="single" w:sz="4" w:space="0" w:color="auto"/>
            </w:tcBorders>
            <w:hideMark/>
          </w:tcPr>
          <w:p w14:paraId="3B4800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−90,50</w:t>
            </w:r>
          </w:p>
        </w:tc>
        <w:tc>
          <w:tcPr>
            <w:tcW w:w="924" w:type="dxa"/>
            <w:tcBorders>
              <w:top w:val="single" w:sz="4" w:space="0" w:color="auto"/>
              <w:left w:val="single" w:sz="4" w:space="0" w:color="auto"/>
              <w:bottom w:val="single" w:sz="4" w:space="0" w:color="auto"/>
              <w:right w:val="single" w:sz="4" w:space="0" w:color="auto"/>
            </w:tcBorders>
            <w:hideMark/>
          </w:tcPr>
          <w:p w14:paraId="54572DB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821E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E922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3D29A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16CF1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B7A140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−22,2</w:t>
            </w:r>
          </w:p>
        </w:tc>
        <w:tc>
          <w:tcPr>
            <w:tcW w:w="933" w:type="dxa"/>
            <w:tcBorders>
              <w:top w:val="single" w:sz="4" w:space="0" w:color="auto"/>
              <w:left w:val="single" w:sz="4" w:space="0" w:color="auto"/>
              <w:bottom w:val="single" w:sz="4" w:space="0" w:color="auto"/>
              <w:right w:val="single" w:sz="4" w:space="0" w:color="auto"/>
            </w:tcBorders>
          </w:tcPr>
          <w:p w14:paraId="455FC196" w14:textId="77777777" w:rsidR="00B82F75" w:rsidRPr="00F52C10" w:rsidRDefault="00B82F75" w:rsidP="00E4628E">
            <w:pPr>
              <w:pStyle w:val="Tabletext0"/>
              <w:spacing w:before="34" w:after="34" w:line="276" w:lineRule="auto"/>
              <w:rPr>
                <w:sz w:val="18"/>
                <w:szCs w:val="18"/>
                <w:lang w:val="en-CA"/>
              </w:rPr>
            </w:pPr>
          </w:p>
        </w:tc>
      </w:tr>
      <w:tr w:rsidR="00B82F75" w:rsidRPr="00F52C10" w14:paraId="5FE012D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006C50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GUF00000</w:t>
            </w:r>
          </w:p>
        </w:tc>
        <w:tc>
          <w:tcPr>
            <w:tcW w:w="994" w:type="dxa"/>
            <w:tcBorders>
              <w:top w:val="single" w:sz="4" w:space="0" w:color="auto"/>
              <w:left w:val="single" w:sz="4" w:space="0" w:color="auto"/>
              <w:bottom w:val="single" w:sz="4" w:space="0" w:color="auto"/>
              <w:right w:val="single" w:sz="4" w:space="0" w:color="auto"/>
            </w:tcBorders>
            <w:hideMark/>
          </w:tcPr>
          <w:p w14:paraId="7EC242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94" w:type="dxa"/>
            <w:tcBorders>
              <w:top w:val="single" w:sz="4" w:space="0" w:color="auto"/>
              <w:left w:val="single" w:sz="4" w:space="0" w:color="auto"/>
              <w:bottom w:val="single" w:sz="4" w:space="0" w:color="auto"/>
              <w:right w:val="single" w:sz="4" w:space="0" w:color="auto"/>
            </w:tcBorders>
          </w:tcPr>
          <w:p w14:paraId="7D815D8A"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66EE6A72"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376863B"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5087813"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F3474C"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002F2A5"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C237B16"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1835B7F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1092588E"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23FA93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GUF00002</w:t>
            </w:r>
          </w:p>
        </w:tc>
        <w:tc>
          <w:tcPr>
            <w:tcW w:w="994" w:type="dxa"/>
            <w:tcBorders>
              <w:top w:val="single" w:sz="4" w:space="0" w:color="auto"/>
              <w:left w:val="single" w:sz="4" w:space="0" w:color="auto"/>
              <w:bottom w:val="single" w:sz="4" w:space="0" w:color="auto"/>
              <w:right w:val="single" w:sz="4" w:space="0" w:color="auto"/>
            </w:tcBorders>
            <w:hideMark/>
          </w:tcPr>
          <w:p w14:paraId="4F4B2D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−115,90</w:t>
            </w:r>
          </w:p>
        </w:tc>
        <w:tc>
          <w:tcPr>
            <w:tcW w:w="994" w:type="dxa"/>
            <w:tcBorders>
              <w:top w:val="single" w:sz="4" w:space="0" w:color="auto"/>
              <w:left w:val="single" w:sz="4" w:space="0" w:color="auto"/>
              <w:bottom w:val="single" w:sz="4" w:space="0" w:color="auto"/>
              <w:right w:val="single" w:sz="4" w:space="0" w:color="auto"/>
            </w:tcBorders>
            <w:hideMark/>
          </w:tcPr>
          <w:p w14:paraId="1224DE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−53,30</w:t>
            </w:r>
          </w:p>
        </w:tc>
        <w:tc>
          <w:tcPr>
            <w:tcW w:w="924" w:type="dxa"/>
            <w:tcBorders>
              <w:top w:val="single" w:sz="4" w:space="0" w:color="auto"/>
              <w:left w:val="single" w:sz="4" w:space="0" w:color="auto"/>
              <w:bottom w:val="single" w:sz="4" w:space="0" w:color="auto"/>
              <w:right w:val="single" w:sz="4" w:space="0" w:color="auto"/>
            </w:tcBorders>
            <w:hideMark/>
          </w:tcPr>
          <w:p w14:paraId="2B79CB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A75E5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F54E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D0BE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B2115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F4353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−23,4</w:t>
            </w:r>
          </w:p>
        </w:tc>
        <w:tc>
          <w:tcPr>
            <w:tcW w:w="933" w:type="dxa"/>
            <w:tcBorders>
              <w:top w:val="single" w:sz="4" w:space="0" w:color="auto"/>
              <w:left w:val="single" w:sz="4" w:space="0" w:color="auto"/>
              <w:bottom w:val="single" w:sz="4" w:space="0" w:color="auto"/>
              <w:right w:val="single" w:sz="4" w:space="0" w:color="auto"/>
            </w:tcBorders>
            <w:hideMark/>
          </w:tcPr>
          <w:p w14:paraId="54EFDA3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*/MB13</w:t>
            </w:r>
          </w:p>
        </w:tc>
      </w:tr>
      <w:tr w:rsidR="00B82F75" w:rsidRPr="00F52C10" w14:paraId="0A455B8E"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95BEF6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GUI00000</w:t>
            </w:r>
          </w:p>
        </w:tc>
        <w:tc>
          <w:tcPr>
            <w:tcW w:w="994" w:type="dxa"/>
            <w:tcBorders>
              <w:top w:val="single" w:sz="4" w:space="0" w:color="auto"/>
              <w:left w:val="single" w:sz="4" w:space="0" w:color="auto"/>
              <w:bottom w:val="single" w:sz="4" w:space="0" w:color="auto"/>
              <w:right w:val="single" w:sz="4" w:space="0" w:color="auto"/>
            </w:tcBorders>
            <w:hideMark/>
          </w:tcPr>
          <w:p w14:paraId="36FBA4D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27,50</w:t>
            </w:r>
          </w:p>
        </w:tc>
        <w:tc>
          <w:tcPr>
            <w:tcW w:w="994" w:type="dxa"/>
            <w:tcBorders>
              <w:top w:val="single" w:sz="4" w:space="0" w:color="auto"/>
              <w:left w:val="single" w:sz="4" w:space="0" w:color="auto"/>
              <w:bottom w:val="single" w:sz="4" w:space="0" w:color="auto"/>
              <w:right w:val="single" w:sz="4" w:space="0" w:color="auto"/>
            </w:tcBorders>
            <w:hideMark/>
          </w:tcPr>
          <w:p w14:paraId="6EEEEF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−10,90</w:t>
            </w:r>
          </w:p>
        </w:tc>
        <w:tc>
          <w:tcPr>
            <w:tcW w:w="924" w:type="dxa"/>
            <w:tcBorders>
              <w:top w:val="single" w:sz="4" w:space="0" w:color="auto"/>
              <w:left w:val="single" w:sz="4" w:space="0" w:color="auto"/>
              <w:bottom w:val="single" w:sz="4" w:space="0" w:color="auto"/>
              <w:right w:val="single" w:sz="4" w:space="0" w:color="auto"/>
            </w:tcBorders>
            <w:hideMark/>
          </w:tcPr>
          <w:p w14:paraId="5F7220F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67F5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4BCC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1E867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C944B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5CFC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−22,9</w:t>
            </w:r>
          </w:p>
        </w:tc>
        <w:tc>
          <w:tcPr>
            <w:tcW w:w="933" w:type="dxa"/>
            <w:tcBorders>
              <w:top w:val="single" w:sz="4" w:space="0" w:color="auto"/>
              <w:left w:val="single" w:sz="4" w:space="0" w:color="auto"/>
              <w:bottom w:val="single" w:sz="4" w:space="0" w:color="auto"/>
              <w:right w:val="single" w:sz="4" w:space="0" w:color="auto"/>
            </w:tcBorders>
          </w:tcPr>
          <w:p w14:paraId="2159BA1B" w14:textId="77777777" w:rsidR="00B82F75" w:rsidRPr="00F52C10" w:rsidRDefault="00B82F75" w:rsidP="00E4628E">
            <w:pPr>
              <w:pStyle w:val="Tabletext0"/>
              <w:spacing w:before="34" w:after="34" w:line="276" w:lineRule="auto"/>
              <w:rPr>
                <w:sz w:val="18"/>
                <w:szCs w:val="18"/>
                <w:lang w:val="en-CA"/>
              </w:rPr>
            </w:pPr>
          </w:p>
        </w:tc>
      </w:tr>
      <w:tr w:rsidR="00B82F75" w:rsidRPr="00F52C10" w14:paraId="18C8495F"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1D5FD7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GUMMRA0</w:t>
            </w:r>
          </w:p>
        </w:tc>
        <w:tc>
          <w:tcPr>
            <w:tcW w:w="994" w:type="dxa"/>
            <w:tcBorders>
              <w:top w:val="single" w:sz="4" w:space="0" w:color="auto"/>
              <w:left w:val="single" w:sz="4" w:space="0" w:color="auto"/>
              <w:bottom w:val="single" w:sz="4" w:space="0" w:color="auto"/>
              <w:right w:val="single" w:sz="4" w:space="0" w:color="auto"/>
            </w:tcBorders>
            <w:hideMark/>
          </w:tcPr>
          <w:p w14:paraId="2969EF3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600AC5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145,40</w:t>
            </w:r>
          </w:p>
        </w:tc>
        <w:tc>
          <w:tcPr>
            <w:tcW w:w="924" w:type="dxa"/>
            <w:tcBorders>
              <w:top w:val="single" w:sz="4" w:space="0" w:color="auto"/>
              <w:left w:val="single" w:sz="4" w:space="0" w:color="auto"/>
              <w:bottom w:val="single" w:sz="4" w:space="0" w:color="auto"/>
              <w:right w:val="single" w:sz="4" w:space="0" w:color="auto"/>
            </w:tcBorders>
            <w:hideMark/>
          </w:tcPr>
          <w:p w14:paraId="18534B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919F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3AB1D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698E9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5075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BDCA7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−22,2</w:t>
            </w:r>
          </w:p>
        </w:tc>
        <w:tc>
          <w:tcPr>
            <w:tcW w:w="933" w:type="dxa"/>
            <w:tcBorders>
              <w:top w:val="single" w:sz="4" w:space="0" w:color="auto"/>
              <w:left w:val="single" w:sz="4" w:space="0" w:color="auto"/>
              <w:bottom w:val="single" w:sz="4" w:space="0" w:color="auto"/>
              <w:right w:val="single" w:sz="4" w:space="0" w:color="auto"/>
            </w:tcBorders>
            <w:hideMark/>
          </w:tcPr>
          <w:p w14:paraId="4C0C8E9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38F2FBE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6B392A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GUY00000</w:t>
            </w:r>
          </w:p>
        </w:tc>
        <w:tc>
          <w:tcPr>
            <w:tcW w:w="994" w:type="dxa"/>
            <w:tcBorders>
              <w:top w:val="single" w:sz="4" w:space="0" w:color="auto"/>
              <w:left w:val="single" w:sz="4" w:space="0" w:color="auto"/>
              <w:bottom w:val="single" w:sz="4" w:space="0" w:color="auto"/>
              <w:right w:val="single" w:sz="4" w:space="0" w:color="auto"/>
            </w:tcBorders>
            <w:hideMark/>
          </w:tcPr>
          <w:p w14:paraId="420E2C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−23,80</w:t>
            </w:r>
          </w:p>
        </w:tc>
        <w:tc>
          <w:tcPr>
            <w:tcW w:w="994" w:type="dxa"/>
            <w:tcBorders>
              <w:top w:val="single" w:sz="4" w:space="0" w:color="auto"/>
              <w:left w:val="single" w:sz="4" w:space="0" w:color="auto"/>
              <w:bottom w:val="single" w:sz="4" w:space="0" w:color="auto"/>
              <w:right w:val="single" w:sz="4" w:space="0" w:color="auto"/>
            </w:tcBorders>
            <w:hideMark/>
          </w:tcPr>
          <w:p w14:paraId="34C8FD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−59,20</w:t>
            </w:r>
          </w:p>
        </w:tc>
        <w:tc>
          <w:tcPr>
            <w:tcW w:w="924" w:type="dxa"/>
            <w:tcBorders>
              <w:top w:val="single" w:sz="4" w:space="0" w:color="auto"/>
              <w:left w:val="single" w:sz="4" w:space="0" w:color="auto"/>
              <w:bottom w:val="single" w:sz="4" w:space="0" w:color="auto"/>
              <w:right w:val="single" w:sz="4" w:space="0" w:color="auto"/>
            </w:tcBorders>
            <w:hideMark/>
          </w:tcPr>
          <w:p w14:paraId="1DA73C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3D5C2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A8E8E2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F142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78256B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E4547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−22,8</w:t>
            </w:r>
          </w:p>
        </w:tc>
        <w:tc>
          <w:tcPr>
            <w:tcW w:w="933" w:type="dxa"/>
            <w:tcBorders>
              <w:top w:val="single" w:sz="4" w:space="0" w:color="auto"/>
              <w:left w:val="single" w:sz="4" w:space="0" w:color="auto"/>
              <w:bottom w:val="single" w:sz="4" w:space="0" w:color="auto"/>
              <w:right w:val="single" w:sz="4" w:space="0" w:color="auto"/>
            </w:tcBorders>
          </w:tcPr>
          <w:p w14:paraId="22D3F88D" w14:textId="77777777" w:rsidR="00B82F75" w:rsidRPr="00F52C10" w:rsidRDefault="00B82F75" w:rsidP="00E4628E">
            <w:pPr>
              <w:pStyle w:val="Tabletext0"/>
              <w:spacing w:before="34" w:after="34" w:line="276" w:lineRule="auto"/>
              <w:rPr>
                <w:sz w:val="18"/>
                <w:szCs w:val="18"/>
                <w:lang w:val="en-CA"/>
              </w:rPr>
            </w:pPr>
          </w:p>
        </w:tc>
      </w:tr>
      <w:tr w:rsidR="00B82F75" w:rsidRPr="00F52C10" w14:paraId="68950AA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CB6E67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lastRenderedPageBreak/>
              <w:t>HKG00000</w:t>
            </w:r>
          </w:p>
        </w:tc>
        <w:tc>
          <w:tcPr>
            <w:tcW w:w="994" w:type="dxa"/>
            <w:tcBorders>
              <w:top w:val="single" w:sz="4" w:space="0" w:color="auto"/>
              <w:left w:val="single" w:sz="4" w:space="0" w:color="auto"/>
              <w:bottom w:val="single" w:sz="4" w:space="0" w:color="auto"/>
              <w:right w:val="single" w:sz="4" w:space="0" w:color="auto"/>
            </w:tcBorders>
            <w:hideMark/>
          </w:tcPr>
          <w:p w14:paraId="6FB384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994" w:type="dxa"/>
            <w:tcBorders>
              <w:top w:val="single" w:sz="4" w:space="0" w:color="auto"/>
              <w:left w:val="single" w:sz="4" w:space="0" w:color="auto"/>
              <w:bottom w:val="single" w:sz="4" w:space="0" w:color="auto"/>
              <w:right w:val="single" w:sz="4" w:space="0" w:color="auto"/>
            </w:tcBorders>
            <w:hideMark/>
          </w:tcPr>
          <w:p w14:paraId="54E44C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114,50</w:t>
            </w:r>
          </w:p>
        </w:tc>
        <w:tc>
          <w:tcPr>
            <w:tcW w:w="924" w:type="dxa"/>
            <w:tcBorders>
              <w:top w:val="single" w:sz="4" w:space="0" w:color="auto"/>
              <w:left w:val="single" w:sz="4" w:space="0" w:color="auto"/>
              <w:bottom w:val="single" w:sz="4" w:space="0" w:color="auto"/>
              <w:right w:val="single" w:sz="4" w:space="0" w:color="auto"/>
            </w:tcBorders>
            <w:hideMark/>
          </w:tcPr>
          <w:p w14:paraId="554E59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D878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975EF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2344B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60EB9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DE897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−24,5</w:t>
            </w:r>
          </w:p>
        </w:tc>
        <w:tc>
          <w:tcPr>
            <w:tcW w:w="933" w:type="dxa"/>
            <w:tcBorders>
              <w:top w:val="single" w:sz="4" w:space="0" w:color="auto"/>
              <w:left w:val="single" w:sz="4" w:space="0" w:color="auto"/>
              <w:bottom w:val="single" w:sz="4" w:space="0" w:color="auto"/>
              <w:right w:val="single" w:sz="4" w:space="0" w:color="auto"/>
            </w:tcBorders>
          </w:tcPr>
          <w:p w14:paraId="5F089DA7" w14:textId="77777777" w:rsidR="00B82F75" w:rsidRPr="00F52C10" w:rsidRDefault="00B82F75" w:rsidP="00E4628E">
            <w:pPr>
              <w:pStyle w:val="Tabletext0"/>
              <w:spacing w:before="34" w:after="34" w:line="276" w:lineRule="auto"/>
              <w:rPr>
                <w:sz w:val="18"/>
                <w:szCs w:val="18"/>
                <w:lang w:val="en-CA"/>
              </w:rPr>
            </w:pPr>
          </w:p>
        </w:tc>
      </w:tr>
      <w:tr w:rsidR="00B82F75" w:rsidRPr="00F52C10" w14:paraId="0C6F6C5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8C578B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HND00000</w:t>
            </w:r>
          </w:p>
        </w:tc>
        <w:tc>
          <w:tcPr>
            <w:tcW w:w="994" w:type="dxa"/>
            <w:tcBorders>
              <w:top w:val="single" w:sz="4" w:space="0" w:color="auto"/>
              <w:left w:val="single" w:sz="4" w:space="0" w:color="auto"/>
              <w:bottom w:val="single" w:sz="4" w:space="0" w:color="auto"/>
              <w:right w:val="single" w:sz="4" w:space="0" w:color="auto"/>
            </w:tcBorders>
            <w:hideMark/>
          </w:tcPr>
          <w:p w14:paraId="0AB5B1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−76,20</w:t>
            </w:r>
          </w:p>
        </w:tc>
        <w:tc>
          <w:tcPr>
            <w:tcW w:w="994" w:type="dxa"/>
            <w:tcBorders>
              <w:top w:val="single" w:sz="4" w:space="0" w:color="auto"/>
              <w:left w:val="single" w:sz="4" w:space="0" w:color="auto"/>
              <w:bottom w:val="single" w:sz="4" w:space="0" w:color="auto"/>
              <w:right w:val="single" w:sz="4" w:space="0" w:color="auto"/>
            </w:tcBorders>
            <w:hideMark/>
          </w:tcPr>
          <w:p w14:paraId="776BD4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−86,10</w:t>
            </w:r>
          </w:p>
        </w:tc>
        <w:tc>
          <w:tcPr>
            <w:tcW w:w="924" w:type="dxa"/>
            <w:tcBorders>
              <w:top w:val="single" w:sz="4" w:space="0" w:color="auto"/>
              <w:left w:val="single" w:sz="4" w:space="0" w:color="auto"/>
              <w:bottom w:val="single" w:sz="4" w:space="0" w:color="auto"/>
              <w:right w:val="single" w:sz="4" w:space="0" w:color="auto"/>
            </w:tcBorders>
            <w:hideMark/>
          </w:tcPr>
          <w:p w14:paraId="7ECE18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39F1F1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781A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C904C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6E0CB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FBBA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w:t>
            </w:r>
          </w:p>
        </w:tc>
        <w:tc>
          <w:tcPr>
            <w:tcW w:w="933" w:type="dxa"/>
            <w:tcBorders>
              <w:top w:val="single" w:sz="4" w:space="0" w:color="auto"/>
              <w:left w:val="single" w:sz="4" w:space="0" w:color="auto"/>
              <w:bottom w:val="single" w:sz="4" w:space="0" w:color="auto"/>
              <w:right w:val="single" w:sz="4" w:space="0" w:color="auto"/>
            </w:tcBorders>
          </w:tcPr>
          <w:p w14:paraId="2C3F1E05" w14:textId="77777777" w:rsidR="00B82F75" w:rsidRPr="00F52C10" w:rsidRDefault="00B82F75" w:rsidP="00E4628E">
            <w:pPr>
              <w:pStyle w:val="Tabletext0"/>
              <w:spacing w:before="34" w:after="34" w:line="276" w:lineRule="auto"/>
              <w:rPr>
                <w:sz w:val="18"/>
                <w:szCs w:val="18"/>
                <w:lang w:val="en-CA"/>
              </w:rPr>
            </w:pPr>
          </w:p>
        </w:tc>
      </w:tr>
      <w:tr w:rsidR="00B82F75" w:rsidRPr="00F52C10" w14:paraId="791B8DA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99B831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HNG00000</w:t>
            </w:r>
          </w:p>
        </w:tc>
        <w:tc>
          <w:tcPr>
            <w:tcW w:w="994" w:type="dxa"/>
            <w:tcBorders>
              <w:top w:val="single" w:sz="4" w:space="0" w:color="auto"/>
              <w:left w:val="single" w:sz="4" w:space="0" w:color="auto"/>
              <w:bottom w:val="single" w:sz="4" w:space="0" w:color="auto"/>
              <w:right w:val="single" w:sz="4" w:space="0" w:color="auto"/>
            </w:tcBorders>
            <w:hideMark/>
          </w:tcPr>
          <w:p w14:paraId="4E0017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−7,50</w:t>
            </w:r>
          </w:p>
        </w:tc>
        <w:tc>
          <w:tcPr>
            <w:tcW w:w="994" w:type="dxa"/>
            <w:tcBorders>
              <w:top w:val="single" w:sz="4" w:space="0" w:color="auto"/>
              <w:left w:val="single" w:sz="4" w:space="0" w:color="auto"/>
              <w:bottom w:val="single" w:sz="4" w:space="0" w:color="auto"/>
              <w:right w:val="single" w:sz="4" w:space="0" w:color="auto"/>
            </w:tcBorders>
            <w:hideMark/>
          </w:tcPr>
          <w:p w14:paraId="74A525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19,40</w:t>
            </w:r>
          </w:p>
        </w:tc>
        <w:tc>
          <w:tcPr>
            <w:tcW w:w="924" w:type="dxa"/>
            <w:tcBorders>
              <w:top w:val="single" w:sz="4" w:space="0" w:color="auto"/>
              <w:left w:val="single" w:sz="4" w:space="0" w:color="auto"/>
              <w:bottom w:val="single" w:sz="4" w:space="0" w:color="auto"/>
              <w:right w:val="single" w:sz="4" w:space="0" w:color="auto"/>
            </w:tcBorders>
            <w:hideMark/>
          </w:tcPr>
          <w:p w14:paraId="7E9F11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77515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1D037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F781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13AEF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CFC7E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−28,1</w:t>
            </w:r>
          </w:p>
        </w:tc>
        <w:tc>
          <w:tcPr>
            <w:tcW w:w="933" w:type="dxa"/>
            <w:tcBorders>
              <w:top w:val="single" w:sz="4" w:space="0" w:color="auto"/>
              <w:left w:val="single" w:sz="4" w:space="0" w:color="auto"/>
              <w:bottom w:val="single" w:sz="4" w:space="0" w:color="auto"/>
              <w:right w:val="single" w:sz="4" w:space="0" w:color="auto"/>
            </w:tcBorders>
          </w:tcPr>
          <w:p w14:paraId="7D928595" w14:textId="77777777" w:rsidR="00B82F75" w:rsidRPr="00F52C10" w:rsidRDefault="00B82F75" w:rsidP="00E4628E">
            <w:pPr>
              <w:pStyle w:val="Tabletext0"/>
              <w:spacing w:before="34" w:after="34" w:line="276" w:lineRule="auto"/>
              <w:rPr>
                <w:sz w:val="18"/>
                <w:szCs w:val="18"/>
                <w:lang w:val="en-CA"/>
              </w:rPr>
            </w:pPr>
          </w:p>
        </w:tc>
      </w:tr>
      <w:tr w:rsidR="00B82F75" w:rsidRPr="00F52C10" w14:paraId="56AC1D4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116287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HOL00000</w:t>
            </w:r>
          </w:p>
        </w:tc>
        <w:tc>
          <w:tcPr>
            <w:tcW w:w="994" w:type="dxa"/>
            <w:tcBorders>
              <w:top w:val="single" w:sz="4" w:space="0" w:color="auto"/>
              <w:left w:val="single" w:sz="4" w:space="0" w:color="auto"/>
              <w:bottom w:val="single" w:sz="4" w:space="0" w:color="auto"/>
              <w:right w:val="single" w:sz="4" w:space="0" w:color="auto"/>
            </w:tcBorders>
            <w:hideMark/>
          </w:tcPr>
          <w:p w14:paraId="3A1C48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w:t>
            </w:r>
          </w:p>
        </w:tc>
        <w:tc>
          <w:tcPr>
            <w:tcW w:w="994" w:type="dxa"/>
            <w:tcBorders>
              <w:top w:val="single" w:sz="4" w:space="0" w:color="auto"/>
              <w:left w:val="single" w:sz="4" w:space="0" w:color="auto"/>
              <w:bottom w:val="single" w:sz="4" w:space="0" w:color="auto"/>
              <w:right w:val="single" w:sz="4" w:space="0" w:color="auto"/>
            </w:tcBorders>
            <w:hideMark/>
          </w:tcPr>
          <w:p w14:paraId="6A0727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5,40</w:t>
            </w:r>
          </w:p>
        </w:tc>
        <w:tc>
          <w:tcPr>
            <w:tcW w:w="924" w:type="dxa"/>
            <w:tcBorders>
              <w:top w:val="single" w:sz="4" w:space="0" w:color="auto"/>
              <w:left w:val="single" w:sz="4" w:space="0" w:color="auto"/>
              <w:bottom w:val="single" w:sz="4" w:space="0" w:color="auto"/>
              <w:right w:val="single" w:sz="4" w:space="0" w:color="auto"/>
            </w:tcBorders>
            <w:hideMark/>
          </w:tcPr>
          <w:p w14:paraId="2F945D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52,40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9D701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6E270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4DB87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4F33B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5173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−30,8</w:t>
            </w:r>
          </w:p>
        </w:tc>
        <w:tc>
          <w:tcPr>
            <w:tcW w:w="933" w:type="dxa"/>
            <w:tcBorders>
              <w:top w:val="single" w:sz="4" w:space="0" w:color="auto"/>
              <w:left w:val="single" w:sz="4" w:space="0" w:color="auto"/>
              <w:bottom w:val="single" w:sz="4" w:space="0" w:color="auto"/>
              <w:right w:val="single" w:sz="4" w:space="0" w:color="auto"/>
            </w:tcBorders>
            <w:hideMark/>
          </w:tcPr>
          <w:p w14:paraId="69C571D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*/MB5</w:t>
            </w:r>
          </w:p>
        </w:tc>
      </w:tr>
      <w:tr w:rsidR="00B82F75" w:rsidRPr="00F52C10" w14:paraId="79AE003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3EB985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HTI00000</w:t>
            </w:r>
          </w:p>
        </w:tc>
        <w:tc>
          <w:tcPr>
            <w:tcW w:w="994" w:type="dxa"/>
            <w:tcBorders>
              <w:top w:val="single" w:sz="4" w:space="0" w:color="auto"/>
              <w:left w:val="single" w:sz="4" w:space="0" w:color="auto"/>
              <w:bottom w:val="single" w:sz="4" w:space="0" w:color="auto"/>
              <w:right w:val="single" w:sz="4" w:space="0" w:color="auto"/>
            </w:tcBorders>
            <w:hideMark/>
          </w:tcPr>
          <w:p w14:paraId="204004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−92,00</w:t>
            </w:r>
          </w:p>
        </w:tc>
        <w:tc>
          <w:tcPr>
            <w:tcW w:w="994" w:type="dxa"/>
            <w:tcBorders>
              <w:top w:val="single" w:sz="4" w:space="0" w:color="auto"/>
              <w:left w:val="single" w:sz="4" w:space="0" w:color="auto"/>
              <w:bottom w:val="single" w:sz="4" w:space="0" w:color="auto"/>
              <w:right w:val="single" w:sz="4" w:space="0" w:color="auto"/>
            </w:tcBorders>
            <w:hideMark/>
          </w:tcPr>
          <w:p w14:paraId="53087D0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−73,00</w:t>
            </w:r>
          </w:p>
        </w:tc>
        <w:tc>
          <w:tcPr>
            <w:tcW w:w="924" w:type="dxa"/>
            <w:tcBorders>
              <w:top w:val="single" w:sz="4" w:space="0" w:color="auto"/>
              <w:left w:val="single" w:sz="4" w:space="0" w:color="auto"/>
              <w:bottom w:val="single" w:sz="4" w:space="0" w:color="auto"/>
              <w:right w:val="single" w:sz="4" w:space="0" w:color="auto"/>
            </w:tcBorders>
            <w:hideMark/>
          </w:tcPr>
          <w:p w14:paraId="07B0C24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1A87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D85A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61C6AB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3667E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13C49E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−26,9</w:t>
            </w:r>
          </w:p>
        </w:tc>
        <w:tc>
          <w:tcPr>
            <w:tcW w:w="933" w:type="dxa"/>
            <w:tcBorders>
              <w:top w:val="single" w:sz="4" w:space="0" w:color="auto"/>
              <w:left w:val="single" w:sz="4" w:space="0" w:color="auto"/>
              <w:bottom w:val="single" w:sz="4" w:space="0" w:color="auto"/>
              <w:right w:val="single" w:sz="4" w:space="0" w:color="auto"/>
            </w:tcBorders>
          </w:tcPr>
          <w:p w14:paraId="00EC05FA" w14:textId="77777777" w:rsidR="00B82F75" w:rsidRPr="00F52C10" w:rsidRDefault="00B82F75" w:rsidP="00E4628E">
            <w:pPr>
              <w:pStyle w:val="Tabletext0"/>
              <w:spacing w:before="34" w:after="34" w:line="276" w:lineRule="auto"/>
              <w:rPr>
                <w:sz w:val="18"/>
                <w:szCs w:val="18"/>
                <w:lang w:val="en-CA"/>
              </w:rPr>
            </w:pPr>
          </w:p>
        </w:tc>
      </w:tr>
      <w:tr w:rsidR="00B82F75" w:rsidRPr="00F52C10" w14:paraId="1AD3614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34C273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HWA00000</w:t>
            </w:r>
          </w:p>
        </w:tc>
        <w:tc>
          <w:tcPr>
            <w:tcW w:w="994" w:type="dxa"/>
            <w:tcBorders>
              <w:top w:val="single" w:sz="4" w:space="0" w:color="auto"/>
              <w:left w:val="single" w:sz="4" w:space="0" w:color="auto"/>
              <w:bottom w:val="single" w:sz="4" w:space="0" w:color="auto"/>
              <w:right w:val="single" w:sz="4" w:space="0" w:color="auto"/>
            </w:tcBorders>
            <w:hideMark/>
          </w:tcPr>
          <w:p w14:paraId="3B8A69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480187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−157,60</w:t>
            </w:r>
          </w:p>
        </w:tc>
        <w:tc>
          <w:tcPr>
            <w:tcW w:w="924" w:type="dxa"/>
            <w:tcBorders>
              <w:top w:val="single" w:sz="4" w:space="0" w:color="auto"/>
              <w:left w:val="single" w:sz="4" w:space="0" w:color="auto"/>
              <w:bottom w:val="single" w:sz="4" w:space="0" w:color="auto"/>
              <w:right w:val="single" w:sz="4" w:space="0" w:color="auto"/>
            </w:tcBorders>
            <w:hideMark/>
          </w:tcPr>
          <w:p w14:paraId="7DAC4B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DE176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433F7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8BAF3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157,00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70CE2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44D6E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w:t>
            </w:r>
          </w:p>
        </w:tc>
        <w:tc>
          <w:tcPr>
            <w:tcW w:w="933" w:type="dxa"/>
            <w:tcBorders>
              <w:top w:val="single" w:sz="4" w:space="0" w:color="auto"/>
              <w:left w:val="single" w:sz="4" w:space="0" w:color="auto"/>
              <w:bottom w:val="single" w:sz="4" w:space="0" w:color="auto"/>
              <w:right w:val="single" w:sz="4" w:space="0" w:color="auto"/>
            </w:tcBorders>
            <w:hideMark/>
          </w:tcPr>
          <w:p w14:paraId="499601E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29B64B0E"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A484F7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HWL00000</w:t>
            </w:r>
          </w:p>
        </w:tc>
        <w:tc>
          <w:tcPr>
            <w:tcW w:w="994" w:type="dxa"/>
            <w:tcBorders>
              <w:top w:val="single" w:sz="4" w:space="0" w:color="auto"/>
              <w:left w:val="single" w:sz="4" w:space="0" w:color="auto"/>
              <w:bottom w:val="single" w:sz="4" w:space="0" w:color="auto"/>
              <w:right w:val="single" w:sz="4" w:space="0" w:color="auto"/>
            </w:tcBorders>
            <w:hideMark/>
          </w:tcPr>
          <w:p w14:paraId="031C69B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740F2A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−176,60</w:t>
            </w:r>
          </w:p>
        </w:tc>
        <w:tc>
          <w:tcPr>
            <w:tcW w:w="924" w:type="dxa"/>
            <w:tcBorders>
              <w:top w:val="single" w:sz="4" w:space="0" w:color="auto"/>
              <w:left w:val="single" w:sz="4" w:space="0" w:color="auto"/>
              <w:bottom w:val="single" w:sz="4" w:space="0" w:color="auto"/>
              <w:right w:val="single" w:sz="4" w:space="0" w:color="auto"/>
            </w:tcBorders>
            <w:hideMark/>
          </w:tcPr>
          <w:p w14:paraId="04EEA3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201BCD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7B719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53FB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D67A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523AC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−27,4</w:t>
            </w:r>
          </w:p>
        </w:tc>
        <w:tc>
          <w:tcPr>
            <w:tcW w:w="933" w:type="dxa"/>
            <w:tcBorders>
              <w:top w:val="single" w:sz="4" w:space="0" w:color="auto"/>
              <w:left w:val="single" w:sz="4" w:space="0" w:color="auto"/>
              <w:bottom w:val="single" w:sz="4" w:space="0" w:color="auto"/>
              <w:right w:val="single" w:sz="4" w:space="0" w:color="auto"/>
            </w:tcBorders>
            <w:hideMark/>
          </w:tcPr>
          <w:p w14:paraId="149B6D2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7A53743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16A172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I  00000</w:t>
            </w:r>
          </w:p>
        </w:tc>
        <w:tc>
          <w:tcPr>
            <w:tcW w:w="994" w:type="dxa"/>
            <w:tcBorders>
              <w:top w:val="single" w:sz="4" w:space="0" w:color="auto"/>
              <w:left w:val="single" w:sz="4" w:space="0" w:color="auto"/>
              <w:bottom w:val="single" w:sz="4" w:space="0" w:color="auto"/>
              <w:right w:val="single" w:sz="4" w:space="0" w:color="auto"/>
            </w:tcBorders>
            <w:hideMark/>
          </w:tcPr>
          <w:p w14:paraId="6E07F0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−23,40</w:t>
            </w:r>
          </w:p>
        </w:tc>
        <w:tc>
          <w:tcPr>
            <w:tcW w:w="994" w:type="dxa"/>
            <w:tcBorders>
              <w:top w:val="single" w:sz="4" w:space="0" w:color="auto"/>
              <w:left w:val="single" w:sz="4" w:space="0" w:color="auto"/>
              <w:bottom w:val="single" w:sz="4" w:space="0" w:color="auto"/>
              <w:right w:val="single" w:sz="4" w:space="0" w:color="auto"/>
            </w:tcBorders>
            <w:hideMark/>
          </w:tcPr>
          <w:p w14:paraId="41B30D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w:t>
            </w:r>
          </w:p>
        </w:tc>
        <w:tc>
          <w:tcPr>
            <w:tcW w:w="924" w:type="dxa"/>
            <w:tcBorders>
              <w:top w:val="single" w:sz="4" w:space="0" w:color="auto"/>
              <w:left w:val="single" w:sz="4" w:space="0" w:color="auto"/>
              <w:bottom w:val="single" w:sz="4" w:space="0" w:color="auto"/>
              <w:right w:val="single" w:sz="4" w:space="0" w:color="auto"/>
            </w:tcBorders>
            <w:hideMark/>
          </w:tcPr>
          <w:p w14:paraId="0D2C84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FF115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ED0EB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FF381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BB523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F1316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−26,4</w:t>
            </w:r>
          </w:p>
        </w:tc>
        <w:tc>
          <w:tcPr>
            <w:tcW w:w="933" w:type="dxa"/>
            <w:tcBorders>
              <w:top w:val="single" w:sz="4" w:space="0" w:color="auto"/>
              <w:left w:val="single" w:sz="4" w:space="0" w:color="auto"/>
              <w:bottom w:val="single" w:sz="4" w:space="0" w:color="auto"/>
              <w:right w:val="single" w:sz="4" w:space="0" w:color="auto"/>
            </w:tcBorders>
          </w:tcPr>
          <w:p w14:paraId="5A5497E1" w14:textId="77777777" w:rsidR="00B82F75" w:rsidRPr="00F52C10" w:rsidRDefault="00B82F75" w:rsidP="00E4628E">
            <w:pPr>
              <w:pStyle w:val="Tabletext0"/>
              <w:spacing w:before="34" w:after="34" w:line="276" w:lineRule="auto"/>
              <w:rPr>
                <w:sz w:val="18"/>
                <w:szCs w:val="18"/>
                <w:lang w:val="en-CA"/>
              </w:rPr>
            </w:pPr>
          </w:p>
        </w:tc>
      </w:tr>
      <w:tr w:rsidR="00B82F75" w:rsidRPr="00F52C10" w14:paraId="7FC24FCE"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E9E6E3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IND00000</w:t>
            </w:r>
          </w:p>
        </w:tc>
        <w:tc>
          <w:tcPr>
            <w:tcW w:w="994" w:type="dxa"/>
            <w:tcBorders>
              <w:top w:val="single" w:sz="4" w:space="0" w:color="auto"/>
              <w:left w:val="single" w:sz="4" w:space="0" w:color="auto"/>
              <w:bottom w:val="single" w:sz="4" w:space="0" w:color="auto"/>
              <w:right w:val="single" w:sz="4" w:space="0" w:color="auto"/>
            </w:tcBorders>
            <w:hideMark/>
          </w:tcPr>
          <w:p w14:paraId="4EF841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74,00</w:t>
            </w:r>
          </w:p>
        </w:tc>
        <w:tc>
          <w:tcPr>
            <w:tcW w:w="994" w:type="dxa"/>
            <w:tcBorders>
              <w:top w:val="single" w:sz="4" w:space="0" w:color="auto"/>
              <w:left w:val="single" w:sz="4" w:space="0" w:color="auto"/>
              <w:bottom w:val="single" w:sz="4" w:space="0" w:color="auto"/>
              <w:right w:val="single" w:sz="4" w:space="0" w:color="auto"/>
            </w:tcBorders>
            <w:hideMark/>
          </w:tcPr>
          <w:p w14:paraId="2505EF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82,70</w:t>
            </w:r>
          </w:p>
        </w:tc>
        <w:tc>
          <w:tcPr>
            <w:tcW w:w="924" w:type="dxa"/>
            <w:tcBorders>
              <w:top w:val="single" w:sz="4" w:space="0" w:color="auto"/>
              <w:left w:val="single" w:sz="4" w:space="0" w:color="auto"/>
              <w:bottom w:val="single" w:sz="4" w:space="0" w:color="auto"/>
              <w:right w:val="single" w:sz="4" w:space="0" w:color="auto"/>
            </w:tcBorders>
            <w:hideMark/>
          </w:tcPr>
          <w:p w14:paraId="6FB82F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F13C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CA5C2B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E2C5E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74329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6A2C1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−22,2</w:t>
            </w:r>
          </w:p>
        </w:tc>
        <w:tc>
          <w:tcPr>
            <w:tcW w:w="933" w:type="dxa"/>
            <w:tcBorders>
              <w:top w:val="single" w:sz="4" w:space="0" w:color="auto"/>
              <w:left w:val="single" w:sz="4" w:space="0" w:color="auto"/>
              <w:bottom w:val="single" w:sz="4" w:space="0" w:color="auto"/>
              <w:right w:val="single" w:sz="4" w:space="0" w:color="auto"/>
            </w:tcBorders>
          </w:tcPr>
          <w:p w14:paraId="6CF14A75" w14:textId="77777777" w:rsidR="00B82F75" w:rsidRPr="00F52C10" w:rsidRDefault="00B82F75" w:rsidP="00E4628E">
            <w:pPr>
              <w:pStyle w:val="Tabletext0"/>
              <w:spacing w:before="34" w:after="34" w:line="276" w:lineRule="auto"/>
              <w:rPr>
                <w:sz w:val="18"/>
                <w:szCs w:val="18"/>
                <w:lang w:val="en-CA"/>
              </w:rPr>
            </w:pPr>
          </w:p>
        </w:tc>
      </w:tr>
      <w:tr w:rsidR="00B82F75" w:rsidRPr="00F52C10" w14:paraId="76D3622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C7C81D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INS00000</w:t>
            </w:r>
          </w:p>
        </w:tc>
        <w:tc>
          <w:tcPr>
            <w:tcW w:w="994" w:type="dxa"/>
            <w:tcBorders>
              <w:top w:val="single" w:sz="4" w:space="0" w:color="auto"/>
              <w:left w:val="single" w:sz="4" w:space="0" w:color="auto"/>
              <w:bottom w:val="single" w:sz="4" w:space="0" w:color="auto"/>
              <w:right w:val="single" w:sz="4" w:space="0" w:color="auto"/>
            </w:tcBorders>
            <w:hideMark/>
          </w:tcPr>
          <w:p w14:paraId="2F8E77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115,40</w:t>
            </w:r>
          </w:p>
        </w:tc>
        <w:tc>
          <w:tcPr>
            <w:tcW w:w="994" w:type="dxa"/>
            <w:tcBorders>
              <w:top w:val="single" w:sz="4" w:space="0" w:color="auto"/>
              <w:left w:val="single" w:sz="4" w:space="0" w:color="auto"/>
              <w:bottom w:val="single" w:sz="4" w:space="0" w:color="auto"/>
              <w:right w:val="single" w:sz="4" w:space="0" w:color="auto"/>
            </w:tcBorders>
            <w:hideMark/>
          </w:tcPr>
          <w:p w14:paraId="078420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117,60</w:t>
            </w:r>
          </w:p>
        </w:tc>
        <w:tc>
          <w:tcPr>
            <w:tcW w:w="924" w:type="dxa"/>
            <w:tcBorders>
              <w:top w:val="single" w:sz="4" w:space="0" w:color="auto"/>
              <w:left w:val="single" w:sz="4" w:space="0" w:color="auto"/>
              <w:bottom w:val="single" w:sz="4" w:space="0" w:color="auto"/>
              <w:right w:val="single" w:sz="4" w:space="0" w:color="auto"/>
            </w:tcBorders>
            <w:hideMark/>
          </w:tcPr>
          <w:p w14:paraId="72D4A3E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A027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512E3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0BB8CC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61416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BC2D54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−22,4</w:t>
            </w:r>
          </w:p>
        </w:tc>
        <w:tc>
          <w:tcPr>
            <w:tcW w:w="933" w:type="dxa"/>
            <w:tcBorders>
              <w:top w:val="single" w:sz="4" w:space="0" w:color="auto"/>
              <w:left w:val="single" w:sz="4" w:space="0" w:color="auto"/>
              <w:bottom w:val="single" w:sz="4" w:space="0" w:color="auto"/>
              <w:right w:val="single" w:sz="4" w:space="0" w:color="auto"/>
            </w:tcBorders>
          </w:tcPr>
          <w:p w14:paraId="2C7DF2AB" w14:textId="77777777" w:rsidR="00B82F75" w:rsidRPr="00F52C10" w:rsidRDefault="00B82F75" w:rsidP="00E4628E">
            <w:pPr>
              <w:pStyle w:val="Tabletext0"/>
              <w:spacing w:before="34" w:after="34" w:line="276" w:lineRule="auto"/>
              <w:rPr>
                <w:sz w:val="18"/>
                <w:szCs w:val="18"/>
                <w:lang w:val="en-CA"/>
              </w:rPr>
            </w:pPr>
          </w:p>
        </w:tc>
      </w:tr>
      <w:tr w:rsidR="00B82F75" w:rsidRPr="00F52C10" w14:paraId="401E20B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669A92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IRL00000</w:t>
            </w:r>
          </w:p>
        </w:tc>
        <w:tc>
          <w:tcPr>
            <w:tcW w:w="994" w:type="dxa"/>
            <w:tcBorders>
              <w:top w:val="single" w:sz="4" w:space="0" w:color="auto"/>
              <w:left w:val="single" w:sz="4" w:space="0" w:color="auto"/>
              <w:bottom w:val="single" w:sz="4" w:space="0" w:color="auto"/>
              <w:right w:val="single" w:sz="4" w:space="0" w:color="auto"/>
            </w:tcBorders>
            <w:hideMark/>
          </w:tcPr>
          <w:p w14:paraId="3E8AB9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−21,80</w:t>
            </w:r>
          </w:p>
        </w:tc>
        <w:tc>
          <w:tcPr>
            <w:tcW w:w="994" w:type="dxa"/>
            <w:tcBorders>
              <w:top w:val="single" w:sz="4" w:space="0" w:color="auto"/>
              <w:left w:val="single" w:sz="4" w:space="0" w:color="auto"/>
              <w:bottom w:val="single" w:sz="4" w:space="0" w:color="auto"/>
              <w:right w:val="single" w:sz="4" w:space="0" w:color="auto"/>
            </w:tcBorders>
            <w:hideMark/>
          </w:tcPr>
          <w:p w14:paraId="6B069A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−8,20</w:t>
            </w:r>
          </w:p>
        </w:tc>
        <w:tc>
          <w:tcPr>
            <w:tcW w:w="924" w:type="dxa"/>
            <w:tcBorders>
              <w:top w:val="single" w:sz="4" w:space="0" w:color="auto"/>
              <w:left w:val="single" w:sz="4" w:space="0" w:color="auto"/>
              <w:bottom w:val="single" w:sz="4" w:space="0" w:color="auto"/>
              <w:right w:val="single" w:sz="4" w:space="0" w:color="auto"/>
            </w:tcBorders>
            <w:hideMark/>
          </w:tcPr>
          <w:p w14:paraId="775987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AE82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1D036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BDE4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EE0E1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433A0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−29,3</w:t>
            </w:r>
          </w:p>
        </w:tc>
        <w:tc>
          <w:tcPr>
            <w:tcW w:w="933" w:type="dxa"/>
            <w:tcBorders>
              <w:top w:val="single" w:sz="4" w:space="0" w:color="auto"/>
              <w:left w:val="single" w:sz="4" w:space="0" w:color="auto"/>
              <w:bottom w:val="single" w:sz="4" w:space="0" w:color="auto"/>
              <w:right w:val="single" w:sz="4" w:space="0" w:color="auto"/>
            </w:tcBorders>
          </w:tcPr>
          <w:p w14:paraId="4BACD2C1" w14:textId="77777777" w:rsidR="00B82F75" w:rsidRPr="00F52C10" w:rsidRDefault="00B82F75" w:rsidP="00E4628E">
            <w:pPr>
              <w:pStyle w:val="Tabletext0"/>
              <w:spacing w:before="34" w:after="34" w:line="276" w:lineRule="auto"/>
              <w:rPr>
                <w:sz w:val="18"/>
                <w:szCs w:val="18"/>
                <w:lang w:val="en-CA"/>
              </w:rPr>
            </w:pPr>
          </w:p>
        </w:tc>
      </w:tr>
      <w:tr w:rsidR="00B82F75" w:rsidRPr="00F52C10" w14:paraId="362AFC0E"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EDAB85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IRN00000</w:t>
            </w:r>
          </w:p>
        </w:tc>
        <w:tc>
          <w:tcPr>
            <w:tcW w:w="994" w:type="dxa"/>
            <w:tcBorders>
              <w:top w:val="single" w:sz="4" w:space="0" w:color="auto"/>
              <w:left w:val="single" w:sz="4" w:space="0" w:color="auto"/>
              <w:bottom w:val="single" w:sz="4" w:space="0" w:color="auto"/>
              <w:right w:val="single" w:sz="4" w:space="0" w:color="auto"/>
            </w:tcBorders>
            <w:hideMark/>
          </w:tcPr>
          <w:p w14:paraId="07DEDE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24,19</w:t>
            </w:r>
          </w:p>
        </w:tc>
        <w:tc>
          <w:tcPr>
            <w:tcW w:w="994" w:type="dxa"/>
            <w:tcBorders>
              <w:top w:val="single" w:sz="4" w:space="0" w:color="auto"/>
              <w:left w:val="single" w:sz="4" w:space="0" w:color="auto"/>
              <w:bottom w:val="single" w:sz="4" w:space="0" w:color="auto"/>
              <w:right w:val="single" w:sz="4" w:space="0" w:color="auto"/>
            </w:tcBorders>
            <w:hideMark/>
          </w:tcPr>
          <w:p w14:paraId="0C1C58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54,30</w:t>
            </w:r>
          </w:p>
        </w:tc>
        <w:tc>
          <w:tcPr>
            <w:tcW w:w="924" w:type="dxa"/>
            <w:tcBorders>
              <w:top w:val="single" w:sz="4" w:space="0" w:color="auto"/>
              <w:left w:val="single" w:sz="4" w:space="0" w:color="auto"/>
              <w:bottom w:val="single" w:sz="4" w:space="0" w:color="auto"/>
              <w:right w:val="single" w:sz="4" w:space="0" w:color="auto"/>
            </w:tcBorders>
            <w:hideMark/>
          </w:tcPr>
          <w:p w14:paraId="3686F3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23A74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7A4F9A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F0B174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889F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F5A53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−27,5</w:t>
            </w:r>
          </w:p>
        </w:tc>
        <w:tc>
          <w:tcPr>
            <w:tcW w:w="933" w:type="dxa"/>
            <w:tcBorders>
              <w:top w:val="single" w:sz="4" w:space="0" w:color="auto"/>
              <w:left w:val="single" w:sz="4" w:space="0" w:color="auto"/>
              <w:bottom w:val="single" w:sz="4" w:space="0" w:color="auto"/>
              <w:right w:val="single" w:sz="4" w:space="0" w:color="auto"/>
            </w:tcBorders>
            <w:hideMark/>
          </w:tcPr>
          <w:p w14:paraId="6736A37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2</w:t>
            </w:r>
          </w:p>
        </w:tc>
      </w:tr>
      <w:tr w:rsidR="00B82F75" w:rsidRPr="00F52C10" w14:paraId="57122C5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A14726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IRQ00000</w:t>
            </w:r>
          </w:p>
        </w:tc>
        <w:tc>
          <w:tcPr>
            <w:tcW w:w="994" w:type="dxa"/>
            <w:tcBorders>
              <w:top w:val="single" w:sz="4" w:space="0" w:color="auto"/>
              <w:left w:val="single" w:sz="4" w:space="0" w:color="auto"/>
              <w:bottom w:val="single" w:sz="4" w:space="0" w:color="auto"/>
              <w:right w:val="single" w:sz="4" w:space="0" w:color="auto"/>
            </w:tcBorders>
            <w:hideMark/>
          </w:tcPr>
          <w:p w14:paraId="6D7611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65,45</w:t>
            </w:r>
          </w:p>
        </w:tc>
        <w:tc>
          <w:tcPr>
            <w:tcW w:w="994" w:type="dxa"/>
            <w:tcBorders>
              <w:top w:val="single" w:sz="4" w:space="0" w:color="auto"/>
              <w:left w:val="single" w:sz="4" w:space="0" w:color="auto"/>
              <w:bottom w:val="single" w:sz="4" w:space="0" w:color="auto"/>
              <w:right w:val="single" w:sz="4" w:space="0" w:color="auto"/>
            </w:tcBorders>
            <w:hideMark/>
          </w:tcPr>
          <w:p w14:paraId="65851A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44,30</w:t>
            </w:r>
          </w:p>
        </w:tc>
        <w:tc>
          <w:tcPr>
            <w:tcW w:w="924" w:type="dxa"/>
            <w:tcBorders>
              <w:top w:val="single" w:sz="4" w:space="0" w:color="auto"/>
              <w:left w:val="single" w:sz="4" w:space="0" w:color="auto"/>
              <w:bottom w:val="single" w:sz="4" w:space="0" w:color="auto"/>
              <w:right w:val="single" w:sz="4" w:space="0" w:color="auto"/>
            </w:tcBorders>
            <w:hideMark/>
          </w:tcPr>
          <w:p w14:paraId="3E4B8C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35A8A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378B0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2444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178,00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547A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DE776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933" w:type="dxa"/>
            <w:tcBorders>
              <w:top w:val="single" w:sz="4" w:space="0" w:color="auto"/>
              <w:left w:val="single" w:sz="4" w:space="0" w:color="auto"/>
              <w:bottom w:val="single" w:sz="4" w:space="0" w:color="auto"/>
              <w:right w:val="single" w:sz="4" w:space="0" w:color="auto"/>
            </w:tcBorders>
          </w:tcPr>
          <w:p w14:paraId="53C8BD47" w14:textId="77777777" w:rsidR="00B82F75" w:rsidRPr="00F52C10" w:rsidRDefault="00B82F75" w:rsidP="00E4628E">
            <w:pPr>
              <w:pStyle w:val="Tabletext0"/>
              <w:spacing w:before="34" w:after="34" w:line="276" w:lineRule="auto"/>
              <w:rPr>
                <w:sz w:val="18"/>
                <w:szCs w:val="18"/>
                <w:lang w:val="en-CA"/>
              </w:rPr>
            </w:pPr>
          </w:p>
        </w:tc>
      </w:tr>
      <w:tr w:rsidR="00B82F75" w:rsidRPr="00F52C10" w14:paraId="5E5658A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F3B5CB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ISL00000</w:t>
            </w:r>
          </w:p>
        </w:tc>
        <w:tc>
          <w:tcPr>
            <w:tcW w:w="994" w:type="dxa"/>
            <w:tcBorders>
              <w:top w:val="single" w:sz="4" w:space="0" w:color="auto"/>
              <w:left w:val="single" w:sz="4" w:space="0" w:color="auto"/>
              <w:bottom w:val="single" w:sz="4" w:space="0" w:color="auto"/>
              <w:right w:val="single" w:sz="4" w:space="0" w:color="auto"/>
            </w:tcBorders>
            <w:hideMark/>
          </w:tcPr>
          <w:p w14:paraId="535FEBC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−35,20</w:t>
            </w:r>
          </w:p>
        </w:tc>
        <w:tc>
          <w:tcPr>
            <w:tcW w:w="994" w:type="dxa"/>
            <w:tcBorders>
              <w:top w:val="single" w:sz="4" w:space="0" w:color="auto"/>
              <w:left w:val="single" w:sz="4" w:space="0" w:color="auto"/>
              <w:bottom w:val="single" w:sz="4" w:space="0" w:color="auto"/>
              <w:right w:val="single" w:sz="4" w:space="0" w:color="auto"/>
            </w:tcBorders>
            <w:hideMark/>
          </w:tcPr>
          <w:p w14:paraId="21E45C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−18,20</w:t>
            </w:r>
          </w:p>
        </w:tc>
        <w:tc>
          <w:tcPr>
            <w:tcW w:w="924" w:type="dxa"/>
            <w:tcBorders>
              <w:top w:val="single" w:sz="4" w:space="0" w:color="auto"/>
              <w:left w:val="single" w:sz="4" w:space="0" w:color="auto"/>
              <w:bottom w:val="single" w:sz="4" w:space="0" w:color="auto"/>
              <w:right w:val="single" w:sz="4" w:space="0" w:color="auto"/>
            </w:tcBorders>
            <w:hideMark/>
          </w:tcPr>
          <w:p w14:paraId="50B3D6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46F7C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9BCA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AA184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15A3B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DB6D61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−27,4</w:t>
            </w:r>
          </w:p>
        </w:tc>
        <w:tc>
          <w:tcPr>
            <w:tcW w:w="933" w:type="dxa"/>
            <w:tcBorders>
              <w:top w:val="single" w:sz="4" w:space="0" w:color="auto"/>
              <w:left w:val="single" w:sz="4" w:space="0" w:color="auto"/>
              <w:bottom w:val="single" w:sz="4" w:space="0" w:color="auto"/>
              <w:right w:val="single" w:sz="4" w:space="0" w:color="auto"/>
            </w:tcBorders>
          </w:tcPr>
          <w:p w14:paraId="7A3F02AB" w14:textId="77777777" w:rsidR="00B82F75" w:rsidRPr="00F52C10" w:rsidRDefault="00B82F75" w:rsidP="00E4628E">
            <w:pPr>
              <w:pStyle w:val="Tabletext0"/>
              <w:spacing w:before="34" w:after="34" w:line="276" w:lineRule="auto"/>
              <w:rPr>
                <w:sz w:val="18"/>
                <w:szCs w:val="18"/>
                <w:lang w:val="en-CA"/>
              </w:rPr>
            </w:pPr>
          </w:p>
        </w:tc>
      </w:tr>
      <w:tr w:rsidR="00B82F75" w:rsidRPr="00F52C10" w14:paraId="30E3B66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194B6B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ISR00000</w:t>
            </w:r>
          </w:p>
        </w:tc>
        <w:tc>
          <w:tcPr>
            <w:tcW w:w="994" w:type="dxa"/>
            <w:tcBorders>
              <w:top w:val="single" w:sz="4" w:space="0" w:color="auto"/>
              <w:left w:val="single" w:sz="4" w:space="0" w:color="auto"/>
              <w:bottom w:val="single" w:sz="4" w:space="0" w:color="auto"/>
              <w:right w:val="single" w:sz="4" w:space="0" w:color="auto"/>
            </w:tcBorders>
            <w:hideMark/>
          </w:tcPr>
          <w:p w14:paraId="313385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94" w:type="dxa"/>
            <w:tcBorders>
              <w:top w:val="single" w:sz="4" w:space="0" w:color="auto"/>
              <w:left w:val="single" w:sz="4" w:space="0" w:color="auto"/>
              <w:bottom w:val="single" w:sz="4" w:space="0" w:color="auto"/>
              <w:right w:val="single" w:sz="4" w:space="0" w:color="auto"/>
            </w:tcBorders>
          </w:tcPr>
          <w:p w14:paraId="208E5CA7"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10853F8C"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E39F45"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16209DC"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9211710"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57E87FF"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2340A8B"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4185463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03CA764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AD8472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J  00000</w:t>
            </w:r>
          </w:p>
        </w:tc>
        <w:tc>
          <w:tcPr>
            <w:tcW w:w="994" w:type="dxa"/>
            <w:tcBorders>
              <w:top w:val="single" w:sz="4" w:space="0" w:color="auto"/>
              <w:left w:val="single" w:sz="4" w:space="0" w:color="auto"/>
              <w:bottom w:val="single" w:sz="4" w:space="0" w:color="auto"/>
              <w:right w:val="single" w:sz="4" w:space="0" w:color="auto"/>
            </w:tcBorders>
            <w:hideMark/>
          </w:tcPr>
          <w:p w14:paraId="462EB1E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152,50</w:t>
            </w:r>
          </w:p>
        </w:tc>
        <w:tc>
          <w:tcPr>
            <w:tcW w:w="994" w:type="dxa"/>
            <w:tcBorders>
              <w:top w:val="single" w:sz="4" w:space="0" w:color="auto"/>
              <w:left w:val="single" w:sz="4" w:space="0" w:color="auto"/>
              <w:bottom w:val="single" w:sz="4" w:space="0" w:color="auto"/>
              <w:right w:val="single" w:sz="4" w:space="0" w:color="auto"/>
            </w:tcBorders>
            <w:hideMark/>
          </w:tcPr>
          <w:p w14:paraId="086BEC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140,40</w:t>
            </w:r>
          </w:p>
        </w:tc>
        <w:tc>
          <w:tcPr>
            <w:tcW w:w="924" w:type="dxa"/>
            <w:tcBorders>
              <w:top w:val="single" w:sz="4" w:space="0" w:color="auto"/>
              <w:left w:val="single" w:sz="4" w:space="0" w:color="auto"/>
              <w:bottom w:val="single" w:sz="4" w:space="0" w:color="auto"/>
              <w:right w:val="single" w:sz="4" w:space="0" w:color="auto"/>
            </w:tcBorders>
            <w:hideMark/>
          </w:tcPr>
          <w:p w14:paraId="2F4D34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FDA6B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661D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D93AB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532CA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8EF0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−22,8</w:t>
            </w:r>
          </w:p>
        </w:tc>
        <w:tc>
          <w:tcPr>
            <w:tcW w:w="933" w:type="dxa"/>
            <w:tcBorders>
              <w:top w:val="single" w:sz="4" w:space="0" w:color="auto"/>
              <w:left w:val="single" w:sz="4" w:space="0" w:color="auto"/>
              <w:bottom w:val="single" w:sz="4" w:space="0" w:color="auto"/>
              <w:right w:val="single" w:sz="4" w:space="0" w:color="auto"/>
            </w:tcBorders>
          </w:tcPr>
          <w:p w14:paraId="2EA4CFF3" w14:textId="77777777" w:rsidR="00B82F75" w:rsidRPr="00F52C10" w:rsidRDefault="00B82F75" w:rsidP="00E4628E">
            <w:pPr>
              <w:pStyle w:val="Tabletext0"/>
              <w:spacing w:before="34" w:after="34" w:line="276" w:lineRule="auto"/>
              <w:rPr>
                <w:sz w:val="18"/>
                <w:szCs w:val="18"/>
                <w:lang w:val="en-CA"/>
              </w:rPr>
            </w:pPr>
          </w:p>
        </w:tc>
      </w:tr>
      <w:tr w:rsidR="00B82F75" w:rsidRPr="00F52C10" w14:paraId="5F29FAE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928ECF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JAR00000</w:t>
            </w:r>
          </w:p>
        </w:tc>
        <w:tc>
          <w:tcPr>
            <w:tcW w:w="994" w:type="dxa"/>
            <w:tcBorders>
              <w:top w:val="single" w:sz="4" w:space="0" w:color="auto"/>
              <w:left w:val="single" w:sz="4" w:space="0" w:color="auto"/>
              <w:bottom w:val="single" w:sz="4" w:space="0" w:color="auto"/>
              <w:right w:val="single" w:sz="4" w:space="0" w:color="auto"/>
            </w:tcBorders>
            <w:hideMark/>
          </w:tcPr>
          <w:p w14:paraId="0218AC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07A38C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−160,00</w:t>
            </w:r>
          </w:p>
        </w:tc>
        <w:tc>
          <w:tcPr>
            <w:tcW w:w="924" w:type="dxa"/>
            <w:tcBorders>
              <w:top w:val="single" w:sz="4" w:space="0" w:color="auto"/>
              <w:left w:val="single" w:sz="4" w:space="0" w:color="auto"/>
              <w:bottom w:val="single" w:sz="4" w:space="0" w:color="auto"/>
              <w:right w:val="single" w:sz="4" w:space="0" w:color="auto"/>
            </w:tcBorders>
            <w:hideMark/>
          </w:tcPr>
          <w:p w14:paraId="28635F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457A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F84E4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4A51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6348FF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843A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−27,5</w:t>
            </w:r>
          </w:p>
        </w:tc>
        <w:tc>
          <w:tcPr>
            <w:tcW w:w="933" w:type="dxa"/>
            <w:tcBorders>
              <w:top w:val="single" w:sz="4" w:space="0" w:color="auto"/>
              <w:left w:val="single" w:sz="4" w:space="0" w:color="auto"/>
              <w:bottom w:val="single" w:sz="4" w:space="0" w:color="auto"/>
              <w:right w:val="single" w:sz="4" w:space="0" w:color="auto"/>
            </w:tcBorders>
            <w:hideMark/>
          </w:tcPr>
          <w:p w14:paraId="20C5CBD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1C3B721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88B5D2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JMC00000</w:t>
            </w:r>
          </w:p>
        </w:tc>
        <w:tc>
          <w:tcPr>
            <w:tcW w:w="994" w:type="dxa"/>
            <w:tcBorders>
              <w:top w:val="single" w:sz="4" w:space="0" w:color="auto"/>
              <w:left w:val="single" w:sz="4" w:space="0" w:color="auto"/>
              <w:bottom w:val="single" w:sz="4" w:space="0" w:color="auto"/>
              <w:right w:val="single" w:sz="4" w:space="0" w:color="auto"/>
            </w:tcBorders>
            <w:hideMark/>
          </w:tcPr>
          <w:p w14:paraId="4581E7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−108,60</w:t>
            </w:r>
          </w:p>
        </w:tc>
        <w:tc>
          <w:tcPr>
            <w:tcW w:w="994" w:type="dxa"/>
            <w:tcBorders>
              <w:top w:val="single" w:sz="4" w:space="0" w:color="auto"/>
              <w:left w:val="single" w:sz="4" w:space="0" w:color="auto"/>
              <w:bottom w:val="single" w:sz="4" w:space="0" w:color="auto"/>
              <w:right w:val="single" w:sz="4" w:space="0" w:color="auto"/>
            </w:tcBorders>
            <w:hideMark/>
          </w:tcPr>
          <w:p w14:paraId="23A0D1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−77,60</w:t>
            </w:r>
          </w:p>
        </w:tc>
        <w:tc>
          <w:tcPr>
            <w:tcW w:w="924" w:type="dxa"/>
            <w:tcBorders>
              <w:top w:val="single" w:sz="4" w:space="0" w:color="auto"/>
              <w:left w:val="single" w:sz="4" w:space="0" w:color="auto"/>
              <w:bottom w:val="single" w:sz="4" w:space="0" w:color="auto"/>
              <w:right w:val="single" w:sz="4" w:space="0" w:color="auto"/>
            </w:tcBorders>
            <w:hideMark/>
          </w:tcPr>
          <w:p w14:paraId="6BA060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B278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3CB66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D2903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988F6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6596D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−25,9</w:t>
            </w:r>
          </w:p>
        </w:tc>
        <w:tc>
          <w:tcPr>
            <w:tcW w:w="933" w:type="dxa"/>
            <w:tcBorders>
              <w:top w:val="single" w:sz="4" w:space="0" w:color="auto"/>
              <w:left w:val="single" w:sz="4" w:space="0" w:color="auto"/>
              <w:bottom w:val="single" w:sz="4" w:space="0" w:color="auto"/>
              <w:right w:val="single" w:sz="4" w:space="0" w:color="auto"/>
            </w:tcBorders>
          </w:tcPr>
          <w:p w14:paraId="2FD512B5" w14:textId="77777777" w:rsidR="00B82F75" w:rsidRPr="00F52C10" w:rsidRDefault="00B82F75" w:rsidP="00E4628E">
            <w:pPr>
              <w:pStyle w:val="Tabletext0"/>
              <w:spacing w:before="34" w:after="34" w:line="276" w:lineRule="auto"/>
              <w:rPr>
                <w:sz w:val="18"/>
                <w:szCs w:val="18"/>
                <w:lang w:val="en-CA"/>
              </w:rPr>
            </w:pPr>
          </w:p>
        </w:tc>
      </w:tr>
      <w:tr w:rsidR="00B82F75" w:rsidRPr="00F52C10" w14:paraId="4B6A600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F938E2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JON00000</w:t>
            </w:r>
          </w:p>
        </w:tc>
        <w:tc>
          <w:tcPr>
            <w:tcW w:w="994" w:type="dxa"/>
            <w:tcBorders>
              <w:top w:val="single" w:sz="4" w:space="0" w:color="auto"/>
              <w:left w:val="single" w:sz="4" w:space="0" w:color="auto"/>
              <w:bottom w:val="single" w:sz="4" w:space="0" w:color="auto"/>
              <w:right w:val="single" w:sz="4" w:space="0" w:color="auto"/>
            </w:tcBorders>
            <w:hideMark/>
          </w:tcPr>
          <w:p w14:paraId="4AC14C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74AC3E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−168,50</w:t>
            </w:r>
          </w:p>
        </w:tc>
        <w:tc>
          <w:tcPr>
            <w:tcW w:w="924" w:type="dxa"/>
            <w:tcBorders>
              <w:top w:val="single" w:sz="4" w:space="0" w:color="auto"/>
              <w:left w:val="single" w:sz="4" w:space="0" w:color="auto"/>
              <w:bottom w:val="single" w:sz="4" w:space="0" w:color="auto"/>
              <w:right w:val="single" w:sz="4" w:space="0" w:color="auto"/>
            </w:tcBorders>
            <w:hideMark/>
          </w:tcPr>
          <w:p w14:paraId="0ED8097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0EF40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5919D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E603A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CBB0A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E8FC6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−32,5</w:t>
            </w:r>
          </w:p>
        </w:tc>
        <w:tc>
          <w:tcPr>
            <w:tcW w:w="933" w:type="dxa"/>
            <w:tcBorders>
              <w:top w:val="single" w:sz="4" w:space="0" w:color="auto"/>
              <w:left w:val="single" w:sz="4" w:space="0" w:color="auto"/>
              <w:bottom w:val="single" w:sz="4" w:space="0" w:color="auto"/>
              <w:right w:val="single" w:sz="4" w:space="0" w:color="auto"/>
            </w:tcBorders>
            <w:hideMark/>
          </w:tcPr>
          <w:p w14:paraId="2CB2336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4601C78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AF2476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JOR00000</w:t>
            </w:r>
          </w:p>
        </w:tc>
        <w:tc>
          <w:tcPr>
            <w:tcW w:w="994" w:type="dxa"/>
            <w:tcBorders>
              <w:top w:val="single" w:sz="4" w:space="0" w:color="auto"/>
              <w:left w:val="single" w:sz="4" w:space="0" w:color="auto"/>
              <w:bottom w:val="single" w:sz="4" w:space="0" w:color="auto"/>
              <w:right w:val="single" w:sz="4" w:space="0" w:color="auto"/>
            </w:tcBorders>
            <w:hideMark/>
          </w:tcPr>
          <w:p w14:paraId="4BA92A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81,76</w:t>
            </w:r>
          </w:p>
        </w:tc>
        <w:tc>
          <w:tcPr>
            <w:tcW w:w="994" w:type="dxa"/>
            <w:tcBorders>
              <w:top w:val="single" w:sz="4" w:space="0" w:color="auto"/>
              <w:left w:val="single" w:sz="4" w:space="0" w:color="auto"/>
              <w:bottom w:val="single" w:sz="4" w:space="0" w:color="auto"/>
              <w:right w:val="single" w:sz="4" w:space="0" w:color="auto"/>
            </w:tcBorders>
            <w:hideMark/>
          </w:tcPr>
          <w:p w14:paraId="33CF8D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36,70</w:t>
            </w:r>
          </w:p>
        </w:tc>
        <w:tc>
          <w:tcPr>
            <w:tcW w:w="924" w:type="dxa"/>
            <w:tcBorders>
              <w:top w:val="single" w:sz="4" w:space="0" w:color="auto"/>
              <w:left w:val="single" w:sz="4" w:space="0" w:color="auto"/>
              <w:bottom w:val="single" w:sz="4" w:space="0" w:color="auto"/>
              <w:right w:val="single" w:sz="4" w:space="0" w:color="auto"/>
            </w:tcBorders>
            <w:hideMark/>
          </w:tcPr>
          <w:p w14:paraId="3C66A3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A7B84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55497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93DC20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48C0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F18B4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−28,5</w:t>
            </w:r>
          </w:p>
        </w:tc>
        <w:tc>
          <w:tcPr>
            <w:tcW w:w="933" w:type="dxa"/>
            <w:tcBorders>
              <w:top w:val="single" w:sz="4" w:space="0" w:color="auto"/>
              <w:left w:val="single" w:sz="4" w:space="0" w:color="auto"/>
              <w:bottom w:val="single" w:sz="4" w:space="0" w:color="auto"/>
              <w:right w:val="single" w:sz="4" w:space="0" w:color="auto"/>
            </w:tcBorders>
          </w:tcPr>
          <w:p w14:paraId="21DD6894" w14:textId="77777777" w:rsidR="00B82F75" w:rsidRPr="00F52C10" w:rsidRDefault="00B82F75" w:rsidP="00E4628E">
            <w:pPr>
              <w:pStyle w:val="Tabletext0"/>
              <w:spacing w:before="34" w:after="34" w:line="276" w:lineRule="auto"/>
              <w:rPr>
                <w:sz w:val="18"/>
                <w:szCs w:val="18"/>
                <w:lang w:val="en-CA"/>
              </w:rPr>
            </w:pPr>
          </w:p>
        </w:tc>
      </w:tr>
      <w:tr w:rsidR="00B82F75" w:rsidRPr="00F52C10" w14:paraId="2C3304E0" w14:textId="77777777" w:rsidTr="004473CA">
        <w:trPr>
          <w:jc w:val="center"/>
        </w:trPr>
        <w:tc>
          <w:tcPr>
            <w:tcW w:w="1190" w:type="dxa"/>
            <w:tcBorders>
              <w:top w:val="single" w:sz="4" w:space="0" w:color="auto"/>
              <w:left w:val="single" w:sz="4" w:space="0" w:color="auto"/>
              <w:bottom w:val="single" w:sz="4" w:space="0" w:color="auto"/>
              <w:right w:val="single" w:sz="4" w:space="0" w:color="auto"/>
            </w:tcBorders>
            <w:vAlign w:val="bottom"/>
            <w:hideMark/>
          </w:tcPr>
          <w:p w14:paraId="4D4FCCF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KAZ00000</w:t>
            </w:r>
          </w:p>
        </w:tc>
        <w:tc>
          <w:tcPr>
            <w:tcW w:w="994" w:type="dxa"/>
            <w:tcBorders>
              <w:top w:val="single" w:sz="4" w:space="0" w:color="auto"/>
              <w:left w:val="single" w:sz="4" w:space="0" w:color="auto"/>
              <w:bottom w:val="single" w:sz="4" w:space="0" w:color="auto"/>
              <w:right w:val="single" w:sz="4" w:space="0" w:color="auto"/>
            </w:tcBorders>
            <w:vAlign w:val="bottom"/>
            <w:hideMark/>
          </w:tcPr>
          <w:p w14:paraId="09765063"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58,50</w:t>
            </w:r>
          </w:p>
        </w:tc>
        <w:tc>
          <w:tcPr>
            <w:tcW w:w="994" w:type="dxa"/>
            <w:tcBorders>
              <w:top w:val="single" w:sz="4" w:space="0" w:color="auto"/>
              <w:left w:val="single" w:sz="4" w:space="0" w:color="auto"/>
              <w:bottom w:val="single" w:sz="4" w:space="0" w:color="auto"/>
              <w:right w:val="single" w:sz="4" w:space="0" w:color="auto"/>
            </w:tcBorders>
            <w:vAlign w:val="bottom"/>
            <w:hideMark/>
          </w:tcPr>
          <w:p w14:paraId="1AF68BBB"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66,36</w:t>
            </w:r>
          </w:p>
        </w:tc>
        <w:tc>
          <w:tcPr>
            <w:tcW w:w="924" w:type="dxa"/>
            <w:tcBorders>
              <w:top w:val="single" w:sz="4" w:space="0" w:color="auto"/>
              <w:left w:val="single" w:sz="4" w:space="0" w:color="auto"/>
              <w:bottom w:val="single" w:sz="4" w:space="0" w:color="auto"/>
              <w:right w:val="single" w:sz="4" w:space="0" w:color="auto"/>
            </w:tcBorders>
            <w:vAlign w:val="bottom"/>
            <w:hideMark/>
          </w:tcPr>
          <w:p w14:paraId="7F5B4D63"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46,72</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6CB4C19A"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4,60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6D742DD9"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1,69</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1D0FD63F"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176,88</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039ADE78"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6755622E"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−28,0</w:t>
            </w:r>
          </w:p>
        </w:tc>
        <w:tc>
          <w:tcPr>
            <w:tcW w:w="951" w:type="dxa"/>
            <w:gridSpan w:val="2"/>
            <w:tcBorders>
              <w:top w:val="single" w:sz="4" w:space="0" w:color="auto"/>
              <w:left w:val="single" w:sz="4" w:space="0" w:color="auto"/>
              <w:bottom w:val="single" w:sz="4" w:space="0" w:color="auto"/>
              <w:right w:val="single" w:sz="4" w:space="0" w:color="auto"/>
            </w:tcBorders>
            <w:vAlign w:val="bottom"/>
            <w:hideMark/>
          </w:tcPr>
          <w:p w14:paraId="51A46E9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438F3B6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C4EC87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KEN00000</w:t>
            </w:r>
          </w:p>
        </w:tc>
        <w:tc>
          <w:tcPr>
            <w:tcW w:w="994" w:type="dxa"/>
            <w:tcBorders>
              <w:top w:val="single" w:sz="4" w:space="0" w:color="auto"/>
              <w:left w:val="single" w:sz="4" w:space="0" w:color="auto"/>
              <w:bottom w:val="single" w:sz="4" w:space="0" w:color="auto"/>
              <w:right w:val="single" w:sz="4" w:space="0" w:color="auto"/>
            </w:tcBorders>
            <w:hideMark/>
          </w:tcPr>
          <w:p w14:paraId="356C39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78,20</w:t>
            </w:r>
          </w:p>
        </w:tc>
        <w:tc>
          <w:tcPr>
            <w:tcW w:w="994" w:type="dxa"/>
            <w:tcBorders>
              <w:top w:val="single" w:sz="4" w:space="0" w:color="auto"/>
              <w:left w:val="single" w:sz="4" w:space="0" w:color="auto"/>
              <w:bottom w:val="single" w:sz="4" w:space="0" w:color="auto"/>
              <w:right w:val="single" w:sz="4" w:space="0" w:color="auto"/>
            </w:tcBorders>
            <w:hideMark/>
          </w:tcPr>
          <w:p w14:paraId="13F8AB4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38,40</w:t>
            </w:r>
          </w:p>
        </w:tc>
        <w:tc>
          <w:tcPr>
            <w:tcW w:w="924" w:type="dxa"/>
            <w:tcBorders>
              <w:top w:val="single" w:sz="4" w:space="0" w:color="auto"/>
              <w:left w:val="single" w:sz="4" w:space="0" w:color="auto"/>
              <w:bottom w:val="single" w:sz="4" w:space="0" w:color="auto"/>
              <w:right w:val="single" w:sz="4" w:space="0" w:color="auto"/>
            </w:tcBorders>
            <w:hideMark/>
          </w:tcPr>
          <w:p w14:paraId="45D052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3E7EB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33F8B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7D255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B2D1D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CC9AB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−27,6</w:t>
            </w:r>
          </w:p>
        </w:tc>
        <w:tc>
          <w:tcPr>
            <w:tcW w:w="933" w:type="dxa"/>
            <w:tcBorders>
              <w:top w:val="single" w:sz="4" w:space="0" w:color="auto"/>
              <w:left w:val="single" w:sz="4" w:space="0" w:color="auto"/>
              <w:bottom w:val="single" w:sz="4" w:space="0" w:color="auto"/>
              <w:right w:val="single" w:sz="4" w:space="0" w:color="auto"/>
            </w:tcBorders>
          </w:tcPr>
          <w:p w14:paraId="1FC42A15" w14:textId="77777777" w:rsidR="00B82F75" w:rsidRPr="00F52C10" w:rsidRDefault="00B82F75" w:rsidP="00E4628E">
            <w:pPr>
              <w:pStyle w:val="Tabletext0"/>
              <w:spacing w:before="34" w:after="34" w:line="276" w:lineRule="auto"/>
              <w:rPr>
                <w:sz w:val="18"/>
                <w:szCs w:val="18"/>
                <w:lang w:val="en-CA"/>
              </w:rPr>
            </w:pPr>
          </w:p>
        </w:tc>
      </w:tr>
      <w:tr w:rsidR="00B82F75" w:rsidRPr="00F52C10" w14:paraId="4024E9B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8E694B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KER00000</w:t>
            </w:r>
          </w:p>
        </w:tc>
        <w:tc>
          <w:tcPr>
            <w:tcW w:w="994" w:type="dxa"/>
            <w:tcBorders>
              <w:top w:val="single" w:sz="4" w:space="0" w:color="auto"/>
              <w:left w:val="single" w:sz="4" w:space="0" w:color="auto"/>
              <w:bottom w:val="single" w:sz="4" w:space="0" w:color="auto"/>
              <w:right w:val="single" w:sz="4" w:space="0" w:color="auto"/>
            </w:tcBorders>
            <w:hideMark/>
          </w:tcPr>
          <w:p w14:paraId="70E50A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94" w:type="dxa"/>
            <w:tcBorders>
              <w:top w:val="single" w:sz="4" w:space="0" w:color="auto"/>
              <w:left w:val="single" w:sz="4" w:space="0" w:color="auto"/>
              <w:bottom w:val="single" w:sz="4" w:space="0" w:color="auto"/>
              <w:right w:val="single" w:sz="4" w:space="0" w:color="auto"/>
            </w:tcBorders>
            <w:hideMark/>
          </w:tcPr>
          <w:p w14:paraId="1DE1E2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69,30</w:t>
            </w:r>
          </w:p>
        </w:tc>
        <w:tc>
          <w:tcPr>
            <w:tcW w:w="924" w:type="dxa"/>
            <w:tcBorders>
              <w:top w:val="single" w:sz="4" w:space="0" w:color="auto"/>
              <w:left w:val="single" w:sz="4" w:space="0" w:color="auto"/>
              <w:bottom w:val="single" w:sz="4" w:space="0" w:color="auto"/>
              <w:right w:val="single" w:sz="4" w:space="0" w:color="auto"/>
            </w:tcBorders>
            <w:hideMark/>
          </w:tcPr>
          <w:p w14:paraId="7DBBE4D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C47658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0F8A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40ED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169,00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E126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28BBD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−27,8</w:t>
            </w:r>
          </w:p>
        </w:tc>
        <w:tc>
          <w:tcPr>
            <w:tcW w:w="933" w:type="dxa"/>
            <w:tcBorders>
              <w:top w:val="single" w:sz="4" w:space="0" w:color="auto"/>
              <w:left w:val="single" w:sz="4" w:space="0" w:color="auto"/>
              <w:bottom w:val="single" w:sz="4" w:space="0" w:color="auto"/>
              <w:right w:val="single" w:sz="4" w:space="0" w:color="auto"/>
            </w:tcBorders>
            <w:hideMark/>
          </w:tcPr>
          <w:p w14:paraId="55E1527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w:t>
            </w:r>
          </w:p>
        </w:tc>
      </w:tr>
      <w:tr w:rsidR="00B82F75" w:rsidRPr="00F52C10" w14:paraId="67314DF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327909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KGZ00000</w:t>
            </w:r>
          </w:p>
        </w:tc>
        <w:tc>
          <w:tcPr>
            <w:tcW w:w="994" w:type="dxa"/>
            <w:tcBorders>
              <w:top w:val="single" w:sz="4" w:space="0" w:color="auto"/>
              <w:left w:val="single" w:sz="4" w:space="0" w:color="auto"/>
              <w:bottom w:val="single" w:sz="4" w:space="0" w:color="auto"/>
              <w:right w:val="single" w:sz="4" w:space="0" w:color="auto"/>
            </w:tcBorders>
            <w:hideMark/>
          </w:tcPr>
          <w:p w14:paraId="7FE39D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64,60</w:t>
            </w:r>
          </w:p>
        </w:tc>
        <w:tc>
          <w:tcPr>
            <w:tcW w:w="994" w:type="dxa"/>
            <w:tcBorders>
              <w:top w:val="single" w:sz="4" w:space="0" w:color="auto"/>
              <w:left w:val="single" w:sz="4" w:space="0" w:color="auto"/>
              <w:bottom w:val="single" w:sz="4" w:space="0" w:color="auto"/>
              <w:right w:val="single" w:sz="4" w:space="0" w:color="auto"/>
            </w:tcBorders>
            <w:hideMark/>
          </w:tcPr>
          <w:p w14:paraId="5A1155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74,54</w:t>
            </w:r>
          </w:p>
        </w:tc>
        <w:tc>
          <w:tcPr>
            <w:tcW w:w="924" w:type="dxa"/>
            <w:tcBorders>
              <w:top w:val="single" w:sz="4" w:space="0" w:color="auto"/>
              <w:left w:val="single" w:sz="4" w:space="0" w:color="auto"/>
              <w:bottom w:val="single" w:sz="4" w:space="0" w:color="auto"/>
              <w:right w:val="single" w:sz="4" w:space="0" w:color="auto"/>
            </w:tcBorders>
            <w:hideMark/>
          </w:tcPr>
          <w:p w14:paraId="65F903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41,15</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D0B2A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1,56</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6AFD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388C8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10,12</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174BC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67E6B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−29,7</w:t>
            </w:r>
          </w:p>
        </w:tc>
        <w:tc>
          <w:tcPr>
            <w:tcW w:w="933" w:type="dxa"/>
            <w:tcBorders>
              <w:top w:val="single" w:sz="4" w:space="0" w:color="auto"/>
              <w:left w:val="single" w:sz="4" w:space="0" w:color="auto"/>
              <w:bottom w:val="single" w:sz="4" w:space="0" w:color="auto"/>
              <w:right w:val="single" w:sz="4" w:space="0" w:color="auto"/>
            </w:tcBorders>
          </w:tcPr>
          <w:p w14:paraId="0AFEACA1" w14:textId="77777777" w:rsidR="00B82F75" w:rsidRPr="00F52C10" w:rsidRDefault="00B82F75" w:rsidP="00E4628E">
            <w:pPr>
              <w:pStyle w:val="Tabletext0"/>
              <w:spacing w:before="34" w:after="34" w:line="276" w:lineRule="auto"/>
              <w:rPr>
                <w:sz w:val="18"/>
                <w:szCs w:val="18"/>
                <w:lang w:val="en-CA"/>
              </w:rPr>
            </w:pPr>
          </w:p>
        </w:tc>
      </w:tr>
      <w:tr w:rsidR="00B82F75" w:rsidRPr="00F52C10" w14:paraId="35EAF3A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987EBE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KIR00000</w:t>
            </w:r>
          </w:p>
        </w:tc>
        <w:tc>
          <w:tcPr>
            <w:tcW w:w="994" w:type="dxa"/>
            <w:tcBorders>
              <w:top w:val="single" w:sz="4" w:space="0" w:color="auto"/>
              <w:left w:val="single" w:sz="4" w:space="0" w:color="auto"/>
              <w:bottom w:val="single" w:sz="4" w:space="0" w:color="auto"/>
              <w:right w:val="single" w:sz="4" w:space="0" w:color="auto"/>
            </w:tcBorders>
            <w:hideMark/>
          </w:tcPr>
          <w:p w14:paraId="1E7185C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150,00</w:t>
            </w:r>
          </w:p>
        </w:tc>
        <w:tc>
          <w:tcPr>
            <w:tcW w:w="994" w:type="dxa"/>
            <w:tcBorders>
              <w:top w:val="single" w:sz="4" w:space="0" w:color="auto"/>
              <w:left w:val="single" w:sz="4" w:space="0" w:color="auto"/>
              <w:bottom w:val="single" w:sz="4" w:space="0" w:color="auto"/>
              <w:right w:val="single" w:sz="4" w:space="0" w:color="auto"/>
            </w:tcBorders>
            <w:hideMark/>
          </w:tcPr>
          <w:p w14:paraId="04254DF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173,00</w:t>
            </w:r>
          </w:p>
        </w:tc>
        <w:tc>
          <w:tcPr>
            <w:tcW w:w="924" w:type="dxa"/>
            <w:tcBorders>
              <w:top w:val="single" w:sz="4" w:space="0" w:color="auto"/>
              <w:left w:val="single" w:sz="4" w:space="0" w:color="auto"/>
              <w:bottom w:val="single" w:sz="4" w:space="0" w:color="auto"/>
              <w:right w:val="single" w:sz="4" w:space="0" w:color="auto"/>
            </w:tcBorders>
            <w:hideMark/>
          </w:tcPr>
          <w:p w14:paraId="262C41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D552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4BF43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81B8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3993A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5B77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−27,1</w:t>
            </w:r>
          </w:p>
        </w:tc>
        <w:tc>
          <w:tcPr>
            <w:tcW w:w="933" w:type="dxa"/>
            <w:tcBorders>
              <w:top w:val="single" w:sz="4" w:space="0" w:color="auto"/>
              <w:left w:val="single" w:sz="4" w:space="0" w:color="auto"/>
              <w:bottom w:val="single" w:sz="4" w:space="0" w:color="auto"/>
              <w:right w:val="single" w:sz="4" w:space="0" w:color="auto"/>
            </w:tcBorders>
          </w:tcPr>
          <w:p w14:paraId="680228FA" w14:textId="77777777" w:rsidR="00B82F75" w:rsidRPr="00F52C10" w:rsidRDefault="00B82F75" w:rsidP="00E4628E">
            <w:pPr>
              <w:pStyle w:val="Tabletext0"/>
              <w:spacing w:before="34" w:after="34" w:line="276" w:lineRule="auto"/>
              <w:rPr>
                <w:sz w:val="18"/>
                <w:szCs w:val="18"/>
                <w:lang w:val="en-CA"/>
              </w:rPr>
            </w:pPr>
          </w:p>
        </w:tc>
      </w:tr>
      <w:tr w:rsidR="00B82F75" w:rsidRPr="00F52C10" w14:paraId="1921392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1916E8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KNA00000</w:t>
            </w:r>
          </w:p>
        </w:tc>
        <w:tc>
          <w:tcPr>
            <w:tcW w:w="994" w:type="dxa"/>
            <w:tcBorders>
              <w:top w:val="single" w:sz="4" w:space="0" w:color="auto"/>
              <w:left w:val="single" w:sz="4" w:space="0" w:color="auto"/>
              <w:bottom w:val="single" w:sz="4" w:space="0" w:color="auto"/>
              <w:right w:val="single" w:sz="4" w:space="0" w:color="auto"/>
            </w:tcBorders>
            <w:hideMark/>
          </w:tcPr>
          <w:p w14:paraId="134957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−88,80</w:t>
            </w:r>
          </w:p>
        </w:tc>
        <w:tc>
          <w:tcPr>
            <w:tcW w:w="994" w:type="dxa"/>
            <w:tcBorders>
              <w:top w:val="single" w:sz="4" w:space="0" w:color="auto"/>
              <w:left w:val="single" w:sz="4" w:space="0" w:color="auto"/>
              <w:bottom w:val="single" w:sz="4" w:space="0" w:color="auto"/>
              <w:right w:val="single" w:sz="4" w:space="0" w:color="auto"/>
            </w:tcBorders>
            <w:hideMark/>
          </w:tcPr>
          <w:p w14:paraId="7FA347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−62,90</w:t>
            </w:r>
          </w:p>
        </w:tc>
        <w:tc>
          <w:tcPr>
            <w:tcW w:w="924" w:type="dxa"/>
            <w:tcBorders>
              <w:top w:val="single" w:sz="4" w:space="0" w:color="auto"/>
              <w:left w:val="single" w:sz="4" w:space="0" w:color="auto"/>
              <w:bottom w:val="single" w:sz="4" w:space="0" w:color="auto"/>
              <w:right w:val="single" w:sz="4" w:space="0" w:color="auto"/>
            </w:tcBorders>
            <w:hideMark/>
          </w:tcPr>
          <w:p w14:paraId="360A0C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A8EBB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0C998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0E1B0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D3C16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29D9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−26,5</w:t>
            </w:r>
          </w:p>
        </w:tc>
        <w:tc>
          <w:tcPr>
            <w:tcW w:w="933" w:type="dxa"/>
            <w:tcBorders>
              <w:top w:val="single" w:sz="4" w:space="0" w:color="auto"/>
              <w:left w:val="single" w:sz="4" w:space="0" w:color="auto"/>
              <w:bottom w:val="single" w:sz="4" w:space="0" w:color="auto"/>
              <w:right w:val="single" w:sz="4" w:space="0" w:color="auto"/>
            </w:tcBorders>
          </w:tcPr>
          <w:p w14:paraId="41920045" w14:textId="77777777" w:rsidR="00B82F75" w:rsidRPr="00F52C10" w:rsidRDefault="00B82F75" w:rsidP="00E4628E">
            <w:pPr>
              <w:pStyle w:val="Tabletext0"/>
              <w:spacing w:before="34" w:after="34" w:line="276" w:lineRule="auto"/>
              <w:rPr>
                <w:sz w:val="18"/>
                <w:szCs w:val="18"/>
                <w:lang w:val="en-CA"/>
              </w:rPr>
            </w:pPr>
          </w:p>
        </w:tc>
      </w:tr>
      <w:tr w:rsidR="00B82F75" w:rsidRPr="00F52C10" w14:paraId="737D67A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A9A37B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lastRenderedPageBreak/>
              <w:t>KOR00000</w:t>
            </w:r>
          </w:p>
        </w:tc>
        <w:tc>
          <w:tcPr>
            <w:tcW w:w="994" w:type="dxa"/>
            <w:tcBorders>
              <w:top w:val="single" w:sz="4" w:space="0" w:color="auto"/>
              <w:left w:val="single" w:sz="4" w:space="0" w:color="auto"/>
              <w:bottom w:val="single" w:sz="4" w:space="0" w:color="auto"/>
              <w:right w:val="single" w:sz="4" w:space="0" w:color="auto"/>
            </w:tcBorders>
            <w:hideMark/>
          </w:tcPr>
          <w:p w14:paraId="7958BB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116,20</w:t>
            </w:r>
          </w:p>
        </w:tc>
        <w:tc>
          <w:tcPr>
            <w:tcW w:w="994" w:type="dxa"/>
            <w:tcBorders>
              <w:top w:val="single" w:sz="4" w:space="0" w:color="auto"/>
              <w:left w:val="single" w:sz="4" w:space="0" w:color="auto"/>
              <w:bottom w:val="single" w:sz="4" w:space="0" w:color="auto"/>
              <w:right w:val="single" w:sz="4" w:space="0" w:color="auto"/>
            </w:tcBorders>
            <w:hideMark/>
          </w:tcPr>
          <w:p w14:paraId="5C0AE6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127,70</w:t>
            </w:r>
          </w:p>
        </w:tc>
        <w:tc>
          <w:tcPr>
            <w:tcW w:w="924" w:type="dxa"/>
            <w:tcBorders>
              <w:top w:val="single" w:sz="4" w:space="0" w:color="auto"/>
              <w:left w:val="single" w:sz="4" w:space="0" w:color="auto"/>
              <w:bottom w:val="single" w:sz="4" w:space="0" w:color="auto"/>
              <w:right w:val="single" w:sz="4" w:space="0" w:color="auto"/>
            </w:tcBorders>
            <w:hideMark/>
          </w:tcPr>
          <w:p w14:paraId="29371E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A71B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FCCB3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B15B66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02B2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19358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−26,7</w:t>
            </w:r>
          </w:p>
        </w:tc>
        <w:tc>
          <w:tcPr>
            <w:tcW w:w="933" w:type="dxa"/>
            <w:tcBorders>
              <w:top w:val="single" w:sz="4" w:space="0" w:color="auto"/>
              <w:left w:val="single" w:sz="4" w:space="0" w:color="auto"/>
              <w:bottom w:val="single" w:sz="4" w:space="0" w:color="auto"/>
              <w:right w:val="single" w:sz="4" w:space="0" w:color="auto"/>
            </w:tcBorders>
          </w:tcPr>
          <w:p w14:paraId="5CA650FA" w14:textId="77777777" w:rsidR="00B82F75" w:rsidRPr="00F52C10" w:rsidRDefault="00B82F75" w:rsidP="00E4628E">
            <w:pPr>
              <w:pStyle w:val="Tabletext0"/>
              <w:spacing w:before="34" w:after="34" w:line="276" w:lineRule="auto"/>
              <w:rPr>
                <w:sz w:val="18"/>
                <w:szCs w:val="18"/>
                <w:lang w:val="en-CA"/>
              </w:rPr>
            </w:pPr>
          </w:p>
        </w:tc>
      </w:tr>
      <w:tr w:rsidR="00B82F75" w:rsidRPr="00F52C10" w14:paraId="0976680F"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CFD590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KRE00000</w:t>
            </w:r>
          </w:p>
        </w:tc>
        <w:tc>
          <w:tcPr>
            <w:tcW w:w="994" w:type="dxa"/>
            <w:tcBorders>
              <w:top w:val="single" w:sz="4" w:space="0" w:color="auto"/>
              <w:left w:val="single" w:sz="4" w:space="0" w:color="auto"/>
              <w:bottom w:val="single" w:sz="4" w:space="0" w:color="auto"/>
              <w:right w:val="single" w:sz="4" w:space="0" w:color="auto"/>
            </w:tcBorders>
            <w:hideMark/>
          </w:tcPr>
          <w:p w14:paraId="0E4DAE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145,00</w:t>
            </w:r>
          </w:p>
        </w:tc>
        <w:tc>
          <w:tcPr>
            <w:tcW w:w="994" w:type="dxa"/>
            <w:tcBorders>
              <w:top w:val="single" w:sz="4" w:space="0" w:color="auto"/>
              <w:left w:val="single" w:sz="4" w:space="0" w:color="auto"/>
              <w:bottom w:val="single" w:sz="4" w:space="0" w:color="auto"/>
              <w:right w:val="single" w:sz="4" w:space="0" w:color="auto"/>
            </w:tcBorders>
            <w:hideMark/>
          </w:tcPr>
          <w:p w14:paraId="552B29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127,80</w:t>
            </w:r>
          </w:p>
        </w:tc>
        <w:tc>
          <w:tcPr>
            <w:tcW w:w="924" w:type="dxa"/>
            <w:tcBorders>
              <w:top w:val="single" w:sz="4" w:space="0" w:color="auto"/>
              <w:left w:val="single" w:sz="4" w:space="0" w:color="auto"/>
              <w:bottom w:val="single" w:sz="4" w:space="0" w:color="auto"/>
              <w:right w:val="single" w:sz="4" w:space="0" w:color="auto"/>
            </w:tcBorders>
            <w:hideMark/>
          </w:tcPr>
          <w:p w14:paraId="73E8DEE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7BB2B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2926E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6A5570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08623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CAC94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−23,3</w:t>
            </w:r>
          </w:p>
        </w:tc>
        <w:tc>
          <w:tcPr>
            <w:tcW w:w="933" w:type="dxa"/>
            <w:tcBorders>
              <w:top w:val="single" w:sz="4" w:space="0" w:color="auto"/>
              <w:left w:val="single" w:sz="4" w:space="0" w:color="auto"/>
              <w:bottom w:val="single" w:sz="4" w:space="0" w:color="auto"/>
              <w:right w:val="single" w:sz="4" w:space="0" w:color="auto"/>
            </w:tcBorders>
          </w:tcPr>
          <w:p w14:paraId="23BC4A2D" w14:textId="77777777" w:rsidR="00B82F75" w:rsidRPr="00F52C10" w:rsidRDefault="00B82F75" w:rsidP="00E4628E">
            <w:pPr>
              <w:pStyle w:val="Tabletext0"/>
              <w:spacing w:before="34" w:after="34" w:line="276" w:lineRule="auto"/>
              <w:rPr>
                <w:sz w:val="18"/>
                <w:szCs w:val="18"/>
                <w:lang w:val="en-CA"/>
              </w:rPr>
            </w:pPr>
          </w:p>
        </w:tc>
      </w:tr>
      <w:tr w:rsidR="00B82F75" w:rsidRPr="00F52C10" w14:paraId="6497417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E82B46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KWT00000</w:t>
            </w:r>
          </w:p>
        </w:tc>
        <w:tc>
          <w:tcPr>
            <w:tcW w:w="994" w:type="dxa"/>
            <w:tcBorders>
              <w:top w:val="single" w:sz="4" w:space="0" w:color="auto"/>
              <w:left w:val="single" w:sz="4" w:space="0" w:color="auto"/>
              <w:bottom w:val="single" w:sz="4" w:space="0" w:color="auto"/>
              <w:right w:val="single" w:sz="4" w:space="0" w:color="auto"/>
            </w:tcBorders>
            <w:hideMark/>
          </w:tcPr>
          <w:p w14:paraId="174FD3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30,90</w:t>
            </w:r>
          </w:p>
        </w:tc>
        <w:tc>
          <w:tcPr>
            <w:tcW w:w="994" w:type="dxa"/>
            <w:tcBorders>
              <w:top w:val="single" w:sz="4" w:space="0" w:color="auto"/>
              <w:left w:val="single" w:sz="4" w:space="0" w:color="auto"/>
              <w:bottom w:val="single" w:sz="4" w:space="0" w:color="auto"/>
              <w:right w:val="single" w:sz="4" w:space="0" w:color="auto"/>
            </w:tcBorders>
            <w:hideMark/>
          </w:tcPr>
          <w:p w14:paraId="6C5F4D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47,70</w:t>
            </w:r>
          </w:p>
        </w:tc>
        <w:tc>
          <w:tcPr>
            <w:tcW w:w="924" w:type="dxa"/>
            <w:tcBorders>
              <w:top w:val="single" w:sz="4" w:space="0" w:color="auto"/>
              <w:left w:val="single" w:sz="4" w:space="0" w:color="auto"/>
              <w:bottom w:val="single" w:sz="4" w:space="0" w:color="auto"/>
              <w:right w:val="single" w:sz="4" w:space="0" w:color="auto"/>
            </w:tcBorders>
            <w:hideMark/>
          </w:tcPr>
          <w:p w14:paraId="1F2BC8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DBB14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D0131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1D1F5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D131B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6E0A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−31,6</w:t>
            </w:r>
          </w:p>
        </w:tc>
        <w:tc>
          <w:tcPr>
            <w:tcW w:w="933" w:type="dxa"/>
            <w:tcBorders>
              <w:top w:val="single" w:sz="4" w:space="0" w:color="auto"/>
              <w:left w:val="single" w:sz="4" w:space="0" w:color="auto"/>
              <w:bottom w:val="single" w:sz="4" w:space="0" w:color="auto"/>
              <w:right w:val="single" w:sz="4" w:space="0" w:color="auto"/>
            </w:tcBorders>
          </w:tcPr>
          <w:p w14:paraId="4A98D7AF" w14:textId="77777777" w:rsidR="00B82F75" w:rsidRPr="00F52C10" w:rsidRDefault="00B82F75" w:rsidP="00E4628E">
            <w:pPr>
              <w:pStyle w:val="Tabletext0"/>
              <w:spacing w:before="34" w:after="34" w:line="276" w:lineRule="auto"/>
              <w:rPr>
                <w:sz w:val="18"/>
                <w:szCs w:val="18"/>
                <w:lang w:val="en-CA"/>
              </w:rPr>
            </w:pPr>
          </w:p>
        </w:tc>
      </w:tr>
      <w:tr w:rsidR="00B82F75" w:rsidRPr="00F52C10" w14:paraId="7469F54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9B6895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LAO00000</w:t>
            </w:r>
          </w:p>
        </w:tc>
        <w:tc>
          <w:tcPr>
            <w:tcW w:w="994" w:type="dxa"/>
            <w:tcBorders>
              <w:top w:val="single" w:sz="4" w:space="0" w:color="auto"/>
              <w:left w:val="single" w:sz="4" w:space="0" w:color="auto"/>
              <w:bottom w:val="single" w:sz="4" w:space="0" w:color="auto"/>
              <w:right w:val="single" w:sz="4" w:space="0" w:color="auto"/>
            </w:tcBorders>
            <w:hideMark/>
          </w:tcPr>
          <w:p w14:paraId="0ABF50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142,00</w:t>
            </w:r>
          </w:p>
        </w:tc>
        <w:tc>
          <w:tcPr>
            <w:tcW w:w="994" w:type="dxa"/>
            <w:tcBorders>
              <w:top w:val="single" w:sz="4" w:space="0" w:color="auto"/>
              <w:left w:val="single" w:sz="4" w:space="0" w:color="auto"/>
              <w:bottom w:val="single" w:sz="4" w:space="0" w:color="auto"/>
              <w:right w:val="single" w:sz="4" w:space="0" w:color="auto"/>
            </w:tcBorders>
            <w:hideMark/>
          </w:tcPr>
          <w:p w14:paraId="687987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104,10</w:t>
            </w:r>
          </w:p>
        </w:tc>
        <w:tc>
          <w:tcPr>
            <w:tcW w:w="924" w:type="dxa"/>
            <w:tcBorders>
              <w:top w:val="single" w:sz="4" w:space="0" w:color="auto"/>
              <w:left w:val="single" w:sz="4" w:space="0" w:color="auto"/>
              <w:bottom w:val="single" w:sz="4" w:space="0" w:color="auto"/>
              <w:right w:val="single" w:sz="4" w:space="0" w:color="auto"/>
            </w:tcBorders>
            <w:hideMark/>
          </w:tcPr>
          <w:p w14:paraId="194388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EA27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F557D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A3744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54E65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BA1CF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−22,6</w:t>
            </w:r>
          </w:p>
        </w:tc>
        <w:tc>
          <w:tcPr>
            <w:tcW w:w="933" w:type="dxa"/>
            <w:tcBorders>
              <w:top w:val="single" w:sz="4" w:space="0" w:color="auto"/>
              <w:left w:val="single" w:sz="4" w:space="0" w:color="auto"/>
              <w:bottom w:val="single" w:sz="4" w:space="0" w:color="auto"/>
              <w:right w:val="single" w:sz="4" w:space="0" w:color="auto"/>
            </w:tcBorders>
          </w:tcPr>
          <w:p w14:paraId="599641DF" w14:textId="77777777" w:rsidR="00B82F75" w:rsidRPr="00F52C10" w:rsidRDefault="00B82F75" w:rsidP="00E4628E">
            <w:pPr>
              <w:pStyle w:val="Tabletext0"/>
              <w:spacing w:before="34" w:after="34" w:line="276" w:lineRule="auto"/>
              <w:rPr>
                <w:sz w:val="18"/>
                <w:szCs w:val="18"/>
                <w:lang w:val="en-CA"/>
              </w:rPr>
            </w:pPr>
          </w:p>
        </w:tc>
      </w:tr>
      <w:tr w:rsidR="00B82F75" w:rsidRPr="00F52C10" w14:paraId="1ED45D5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FF2B86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LBN00000</w:t>
            </w:r>
          </w:p>
        </w:tc>
        <w:tc>
          <w:tcPr>
            <w:tcW w:w="994" w:type="dxa"/>
            <w:tcBorders>
              <w:top w:val="single" w:sz="4" w:space="0" w:color="auto"/>
              <w:left w:val="single" w:sz="4" w:space="0" w:color="auto"/>
              <w:bottom w:val="single" w:sz="4" w:space="0" w:color="auto"/>
              <w:right w:val="single" w:sz="4" w:space="0" w:color="auto"/>
            </w:tcBorders>
            <w:hideMark/>
          </w:tcPr>
          <w:p w14:paraId="3D97F4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97,50</w:t>
            </w:r>
          </w:p>
        </w:tc>
        <w:tc>
          <w:tcPr>
            <w:tcW w:w="994" w:type="dxa"/>
            <w:tcBorders>
              <w:top w:val="single" w:sz="4" w:space="0" w:color="auto"/>
              <w:left w:val="single" w:sz="4" w:space="0" w:color="auto"/>
              <w:bottom w:val="single" w:sz="4" w:space="0" w:color="auto"/>
              <w:right w:val="single" w:sz="4" w:space="0" w:color="auto"/>
            </w:tcBorders>
            <w:hideMark/>
          </w:tcPr>
          <w:p w14:paraId="0996F9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35,80</w:t>
            </w:r>
          </w:p>
        </w:tc>
        <w:tc>
          <w:tcPr>
            <w:tcW w:w="924" w:type="dxa"/>
            <w:tcBorders>
              <w:top w:val="single" w:sz="4" w:space="0" w:color="auto"/>
              <w:left w:val="single" w:sz="4" w:space="0" w:color="auto"/>
              <w:bottom w:val="single" w:sz="4" w:space="0" w:color="auto"/>
              <w:right w:val="single" w:sz="4" w:space="0" w:color="auto"/>
            </w:tcBorders>
            <w:hideMark/>
          </w:tcPr>
          <w:p w14:paraId="7FE4B6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42C24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C8C76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99F0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399D0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D138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−30,5</w:t>
            </w:r>
          </w:p>
        </w:tc>
        <w:tc>
          <w:tcPr>
            <w:tcW w:w="933" w:type="dxa"/>
            <w:tcBorders>
              <w:top w:val="single" w:sz="4" w:space="0" w:color="auto"/>
              <w:left w:val="single" w:sz="4" w:space="0" w:color="auto"/>
              <w:bottom w:val="single" w:sz="4" w:space="0" w:color="auto"/>
              <w:right w:val="single" w:sz="4" w:space="0" w:color="auto"/>
            </w:tcBorders>
          </w:tcPr>
          <w:p w14:paraId="5B747C60" w14:textId="77777777" w:rsidR="00B82F75" w:rsidRPr="00F52C10" w:rsidRDefault="00B82F75" w:rsidP="00E4628E">
            <w:pPr>
              <w:pStyle w:val="Tabletext0"/>
              <w:spacing w:before="34" w:after="34" w:line="276" w:lineRule="auto"/>
              <w:rPr>
                <w:sz w:val="18"/>
                <w:szCs w:val="18"/>
                <w:lang w:val="en-CA"/>
              </w:rPr>
            </w:pPr>
          </w:p>
        </w:tc>
      </w:tr>
      <w:tr w:rsidR="00B82F75" w:rsidRPr="00F52C10" w14:paraId="7E97FF8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40CE29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LBR00000</w:t>
            </w:r>
          </w:p>
        </w:tc>
        <w:tc>
          <w:tcPr>
            <w:tcW w:w="994" w:type="dxa"/>
            <w:tcBorders>
              <w:top w:val="single" w:sz="4" w:space="0" w:color="auto"/>
              <w:left w:val="single" w:sz="4" w:space="0" w:color="auto"/>
              <w:bottom w:val="single" w:sz="4" w:space="0" w:color="auto"/>
              <w:right w:val="single" w:sz="4" w:space="0" w:color="auto"/>
            </w:tcBorders>
            <w:hideMark/>
          </w:tcPr>
          <w:p w14:paraId="0D5D7F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−41,80</w:t>
            </w:r>
          </w:p>
        </w:tc>
        <w:tc>
          <w:tcPr>
            <w:tcW w:w="994" w:type="dxa"/>
            <w:tcBorders>
              <w:top w:val="single" w:sz="4" w:space="0" w:color="auto"/>
              <w:left w:val="single" w:sz="4" w:space="0" w:color="auto"/>
              <w:bottom w:val="single" w:sz="4" w:space="0" w:color="auto"/>
              <w:right w:val="single" w:sz="4" w:space="0" w:color="auto"/>
            </w:tcBorders>
            <w:hideMark/>
          </w:tcPr>
          <w:p w14:paraId="56F0C6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−8,90</w:t>
            </w:r>
          </w:p>
        </w:tc>
        <w:tc>
          <w:tcPr>
            <w:tcW w:w="924" w:type="dxa"/>
            <w:tcBorders>
              <w:top w:val="single" w:sz="4" w:space="0" w:color="auto"/>
              <w:left w:val="single" w:sz="4" w:space="0" w:color="auto"/>
              <w:bottom w:val="single" w:sz="4" w:space="0" w:color="auto"/>
              <w:right w:val="single" w:sz="4" w:space="0" w:color="auto"/>
            </w:tcBorders>
            <w:hideMark/>
          </w:tcPr>
          <w:p w14:paraId="6E0CA7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68589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C003C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0243F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99A0B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5C1BE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−22,1</w:t>
            </w:r>
          </w:p>
        </w:tc>
        <w:tc>
          <w:tcPr>
            <w:tcW w:w="933" w:type="dxa"/>
            <w:tcBorders>
              <w:top w:val="single" w:sz="4" w:space="0" w:color="auto"/>
              <w:left w:val="single" w:sz="4" w:space="0" w:color="auto"/>
              <w:bottom w:val="single" w:sz="4" w:space="0" w:color="auto"/>
              <w:right w:val="single" w:sz="4" w:space="0" w:color="auto"/>
            </w:tcBorders>
          </w:tcPr>
          <w:p w14:paraId="14BF010D" w14:textId="77777777" w:rsidR="00B82F75" w:rsidRPr="00F52C10" w:rsidRDefault="00B82F75" w:rsidP="00E4628E">
            <w:pPr>
              <w:pStyle w:val="Tabletext0"/>
              <w:spacing w:before="34" w:after="34" w:line="276" w:lineRule="auto"/>
              <w:rPr>
                <w:sz w:val="18"/>
                <w:szCs w:val="18"/>
                <w:lang w:val="en-CA"/>
              </w:rPr>
            </w:pPr>
          </w:p>
        </w:tc>
      </w:tr>
      <w:tr w:rsidR="00B82F75" w:rsidRPr="00F52C10" w14:paraId="04BF2D7E"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832B38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LBY00000</w:t>
            </w:r>
          </w:p>
        </w:tc>
        <w:tc>
          <w:tcPr>
            <w:tcW w:w="994" w:type="dxa"/>
            <w:tcBorders>
              <w:top w:val="single" w:sz="4" w:space="0" w:color="auto"/>
              <w:left w:val="single" w:sz="4" w:space="0" w:color="auto"/>
              <w:bottom w:val="single" w:sz="4" w:space="0" w:color="auto"/>
              <w:right w:val="single" w:sz="4" w:space="0" w:color="auto"/>
            </w:tcBorders>
            <w:hideMark/>
          </w:tcPr>
          <w:p w14:paraId="3C1E72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28,90</w:t>
            </w:r>
          </w:p>
        </w:tc>
        <w:tc>
          <w:tcPr>
            <w:tcW w:w="994" w:type="dxa"/>
            <w:tcBorders>
              <w:top w:val="single" w:sz="4" w:space="0" w:color="auto"/>
              <w:left w:val="single" w:sz="4" w:space="0" w:color="auto"/>
              <w:bottom w:val="single" w:sz="4" w:space="0" w:color="auto"/>
              <w:right w:val="single" w:sz="4" w:space="0" w:color="auto"/>
            </w:tcBorders>
            <w:vAlign w:val="bottom"/>
            <w:hideMark/>
          </w:tcPr>
          <w:p w14:paraId="7715A9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19,00</w:t>
            </w:r>
          </w:p>
        </w:tc>
        <w:tc>
          <w:tcPr>
            <w:tcW w:w="924" w:type="dxa"/>
            <w:tcBorders>
              <w:top w:val="single" w:sz="4" w:space="0" w:color="auto"/>
              <w:left w:val="single" w:sz="4" w:space="0" w:color="auto"/>
              <w:bottom w:val="single" w:sz="4" w:space="0" w:color="auto"/>
              <w:right w:val="single" w:sz="4" w:space="0" w:color="auto"/>
            </w:tcBorders>
            <w:vAlign w:val="bottom"/>
            <w:hideMark/>
          </w:tcPr>
          <w:p w14:paraId="1515A1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25,90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79D3E11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3,00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506EB7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2,70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4291C14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165,00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6CB1A3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75DA61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−27,8</w:t>
            </w:r>
          </w:p>
        </w:tc>
        <w:tc>
          <w:tcPr>
            <w:tcW w:w="933" w:type="dxa"/>
            <w:tcBorders>
              <w:top w:val="single" w:sz="4" w:space="0" w:color="auto"/>
              <w:left w:val="single" w:sz="4" w:space="0" w:color="auto"/>
              <w:bottom w:val="single" w:sz="4" w:space="0" w:color="auto"/>
              <w:right w:val="single" w:sz="4" w:space="0" w:color="auto"/>
            </w:tcBorders>
          </w:tcPr>
          <w:p w14:paraId="55D5C3A3" w14:textId="77777777" w:rsidR="00B82F75" w:rsidRPr="00F52C10" w:rsidRDefault="00B82F75" w:rsidP="00E4628E">
            <w:pPr>
              <w:pStyle w:val="Tabletext0"/>
              <w:spacing w:before="34" w:after="34" w:line="276" w:lineRule="auto"/>
              <w:rPr>
                <w:sz w:val="18"/>
                <w:szCs w:val="18"/>
                <w:lang w:val="en-US"/>
              </w:rPr>
            </w:pPr>
          </w:p>
        </w:tc>
      </w:tr>
      <w:tr w:rsidR="00B82F75" w:rsidRPr="00F52C10" w14:paraId="207B44B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540F61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LIE00000</w:t>
            </w:r>
          </w:p>
        </w:tc>
        <w:tc>
          <w:tcPr>
            <w:tcW w:w="994" w:type="dxa"/>
            <w:tcBorders>
              <w:top w:val="single" w:sz="4" w:space="0" w:color="auto"/>
              <w:left w:val="single" w:sz="4" w:space="0" w:color="auto"/>
              <w:bottom w:val="single" w:sz="4" w:space="0" w:color="auto"/>
              <w:right w:val="single" w:sz="4" w:space="0" w:color="auto"/>
            </w:tcBorders>
            <w:hideMark/>
          </w:tcPr>
          <w:p w14:paraId="182EB1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−17,10</w:t>
            </w:r>
          </w:p>
        </w:tc>
        <w:tc>
          <w:tcPr>
            <w:tcW w:w="994" w:type="dxa"/>
            <w:tcBorders>
              <w:top w:val="single" w:sz="4" w:space="0" w:color="auto"/>
              <w:left w:val="single" w:sz="4" w:space="0" w:color="auto"/>
              <w:bottom w:val="single" w:sz="4" w:space="0" w:color="auto"/>
              <w:right w:val="single" w:sz="4" w:space="0" w:color="auto"/>
            </w:tcBorders>
            <w:hideMark/>
          </w:tcPr>
          <w:p w14:paraId="52564BA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9,50</w:t>
            </w:r>
          </w:p>
        </w:tc>
        <w:tc>
          <w:tcPr>
            <w:tcW w:w="924" w:type="dxa"/>
            <w:tcBorders>
              <w:top w:val="single" w:sz="4" w:space="0" w:color="auto"/>
              <w:left w:val="single" w:sz="4" w:space="0" w:color="auto"/>
              <w:bottom w:val="single" w:sz="4" w:space="0" w:color="auto"/>
              <w:right w:val="single" w:sz="4" w:space="0" w:color="auto"/>
            </w:tcBorders>
            <w:hideMark/>
          </w:tcPr>
          <w:p w14:paraId="53A0C82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2AE6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AE0F7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3811C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B3765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740DB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−31,2</w:t>
            </w:r>
          </w:p>
        </w:tc>
        <w:tc>
          <w:tcPr>
            <w:tcW w:w="933" w:type="dxa"/>
            <w:tcBorders>
              <w:top w:val="single" w:sz="4" w:space="0" w:color="auto"/>
              <w:left w:val="single" w:sz="4" w:space="0" w:color="auto"/>
              <w:bottom w:val="single" w:sz="4" w:space="0" w:color="auto"/>
              <w:right w:val="single" w:sz="4" w:space="0" w:color="auto"/>
            </w:tcBorders>
          </w:tcPr>
          <w:p w14:paraId="1E2F87D9" w14:textId="77777777" w:rsidR="00B82F75" w:rsidRPr="00F52C10" w:rsidRDefault="00B82F75" w:rsidP="00E4628E">
            <w:pPr>
              <w:pStyle w:val="Tabletext0"/>
              <w:spacing w:before="34" w:after="34" w:line="276" w:lineRule="auto"/>
              <w:rPr>
                <w:sz w:val="18"/>
                <w:szCs w:val="18"/>
                <w:lang w:val="en-CA"/>
              </w:rPr>
            </w:pPr>
          </w:p>
        </w:tc>
      </w:tr>
      <w:tr w:rsidR="00B82F75" w:rsidRPr="00F52C10" w14:paraId="2B02179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4089CE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LSO00000</w:t>
            </w:r>
          </w:p>
        </w:tc>
        <w:tc>
          <w:tcPr>
            <w:tcW w:w="994" w:type="dxa"/>
            <w:tcBorders>
              <w:top w:val="single" w:sz="4" w:space="0" w:color="auto"/>
              <w:left w:val="single" w:sz="4" w:space="0" w:color="auto"/>
              <w:bottom w:val="single" w:sz="4" w:space="0" w:color="auto"/>
              <w:right w:val="single" w:sz="4" w:space="0" w:color="auto"/>
            </w:tcBorders>
            <w:hideMark/>
          </w:tcPr>
          <w:p w14:paraId="497894D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−19,30</w:t>
            </w:r>
          </w:p>
        </w:tc>
        <w:tc>
          <w:tcPr>
            <w:tcW w:w="994" w:type="dxa"/>
            <w:tcBorders>
              <w:top w:val="single" w:sz="4" w:space="0" w:color="auto"/>
              <w:left w:val="single" w:sz="4" w:space="0" w:color="auto"/>
              <w:bottom w:val="single" w:sz="4" w:space="0" w:color="auto"/>
              <w:right w:val="single" w:sz="4" w:space="0" w:color="auto"/>
            </w:tcBorders>
            <w:hideMark/>
          </w:tcPr>
          <w:p w14:paraId="31F237F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28,40</w:t>
            </w:r>
          </w:p>
        </w:tc>
        <w:tc>
          <w:tcPr>
            <w:tcW w:w="924" w:type="dxa"/>
            <w:tcBorders>
              <w:top w:val="single" w:sz="4" w:space="0" w:color="auto"/>
              <w:left w:val="single" w:sz="4" w:space="0" w:color="auto"/>
              <w:bottom w:val="single" w:sz="4" w:space="0" w:color="auto"/>
              <w:right w:val="single" w:sz="4" w:space="0" w:color="auto"/>
            </w:tcBorders>
            <w:hideMark/>
          </w:tcPr>
          <w:p w14:paraId="345B07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3040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D220D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E7BE9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B6CF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3A47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−31,1</w:t>
            </w:r>
          </w:p>
        </w:tc>
        <w:tc>
          <w:tcPr>
            <w:tcW w:w="933" w:type="dxa"/>
            <w:tcBorders>
              <w:top w:val="single" w:sz="4" w:space="0" w:color="auto"/>
              <w:left w:val="single" w:sz="4" w:space="0" w:color="auto"/>
              <w:bottom w:val="single" w:sz="4" w:space="0" w:color="auto"/>
              <w:right w:val="single" w:sz="4" w:space="0" w:color="auto"/>
            </w:tcBorders>
          </w:tcPr>
          <w:p w14:paraId="08D33E1A" w14:textId="77777777" w:rsidR="00B82F75" w:rsidRPr="00F52C10" w:rsidRDefault="00B82F75" w:rsidP="00E4628E">
            <w:pPr>
              <w:pStyle w:val="Tabletext0"/>
              <w:spacing w:before="34" w:after="34" w:line="276" w:lineRule="auto"/>
              <w:rPr>
                <w:sz w:val="18"/>
                <w:szCs w:val="18"/>
                <w:lang w:val="en-CA"/>
              </w:rPr>
            </w:pPr>
          </w:p>
        </w:tc>
      </w:tr>
      <w:tr w:rsidR="00B82F75" w:rsidRPr="00F52C10" w14:paraId="3BCED49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vAlign w:val="bottom"/>
            <w:hideMark/>
          </w:tcPr>
          <w:p w14:paraId="0A4F621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LTU00000</w:t>
            </w:r>
          </w:p>
        </w:tc>
        <w:tc>
          <w:tcPr>
            <w:tcW w:w="994" w:type="dxa"/>
            <w:tcBorders>
              <w:top w:val="single" w:sz="4" w:space="0" w:color="auto"/>
              <w:left w:val="single" w:sz="4" w:space="0" w:color="auto"/>
              <w:bottom w:val="single" w:sz="4" w:space="0" w:color="auto"/>
              <w:right w:val="single" w:sz="4" w:space="0" w:color="auto"/>
            </w:tcBorders>
            <w:vAlign w:val="bottom"/>
            <w:hideMark/>
          </w:tcPr>
          <w:p w14:paraId="227286E3"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−9,30</w:t>
            </w:r>
          </w:p>
        </w:tc>
        <w:tc>
          <w:tcPr>
            <w:tcW w:w="994" w:type="dxa"/>
            <w:tcBorders>
              <w:top w:val="single" w:sz="4" w:space="0" w:color="auto"/>
              <w:left w:val="single" w:sz="4" w:space="0" w:color="auto"/>
              <w:bottom w:val="single" w:sz="4" w:space="0" w:color="auto"/>
              <w:right w:val="single" w:sz="4" w:space="0" w:color="auto"/>
            </w:tcBorders>
            <w:vAlign w:val="bottom"/>
            <w:hideMark/>
          </w:tcPr>
          <w:p w14:paraId="1EAD8257"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23,67</w:t>
            </w:r>
          </w:p>
        </w:tc>
        <w:tc>
          <w:tcPr>
            <w:tcW w:w="924" w:type="dxa"/>
            <w:tcBorders>
              <w:top w:val="single" w:sz="4" w:space="0" w:color="auto"/>
              <w:left w:val="single" w:sz="4" w:space="0" w:color="auto"/>
              <w:bottom w:val="single" w:sz="4" w:space="0" w:color="auto"/>
              <w:right w:val="single" w:sz="4" w:space="0" w:color="auto"/>
            </w:tcBorders>
            <w:vAlign w:val="bottom"/>
            <w:hideMark/>
          </w:tcPr>
          <w:p w14:paraId="016E0F36"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55,23</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764A48A8"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1AD23E29"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0EA763EB"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46B0EA9D"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0C256460" w14:textId="77777777" w:rsidR="00B82F75" w:rsidRPr="00F52C10" w:rsidRDefault="00B82F75" w:rsidP="00E4628E">
            <w:pPr>
              <w:pStyle w:val="Tabletext0"/>
              <w:spacing w:before="34" w:after="34" w:line="276" w:lineRule="auto"/>
              <w:jc w:val="right"/>
              <w:rPr>
                <w:sz w:val="18"/>
                <w:szCs w:val="18"/>
                <w:lang w:val="en-US"/>
              </w:rPr>
            </w:pPr>
            <w:r w:rsidRPr="00F52C10">
              <w:rPr>
                <w:sz w:val="18"/>
                <w:szCs w:val="18"/>
                <w:lang w:val="en-US"/>
              </w:rPr>
              <w:t>−32,5</w:t>
            </w:r>
          </w:p>
        </w:tc>
        <w:tc>
          <w:tcPr>
            <w:tcW w:w="933" w:type="dxa"/>
            <w:tcBorders>
              <w:top w:val="single" w:sz="4" w:space="0" w:color="auto"/>
              <w:left w:val="single" w:sz="4" w:space="0" w:color="auto"/>
              <w:bottom w:val="single" w:sz="4" w:space="0" w:color="auto"/>
              <w:right w:val="single" w:sz="4" w:space="0" w:color="auto"/>
            </w:tcBorders>
            <w:vAlign w:val="bottom"/>
            <w:hideMark/>
          </w:tcPr>
          <w:p w14:paraId="11887A7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 </w:t>
            </w:r>
          </w:p>
        </w:tc>
      </w:tr>
      <w:tr w:rsidR="00B82F75" w:rsidRPr="00F52C10" w14:paraId="01D2029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8BD6E0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LUX00000</w:t>
            </w:r>
          </w:p>
        </w:tc>
        <w:tc>
          <w:tcPr>
            <w:tcW w:w="994" w:type="dxa"/>
            <w:tcBorders>
              <w:top w:val="single" w:sz="4" w:space="0" w:color="auto"/>
              <w:left w:val="single" w:sz="4" w:space="0" w:color="auto"/>
              <w:bottom w:val="single" w:sz="4" w:space="0" w:color="auto"/>
              <w:right w:val="single" w:sz="4" w:space="0" w:color="auto"/>
            </w:tcBorders>
            <w:hideMark/>
          </w:tcPr>
          <w:p w14:paraId="6632FA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19,20</w:t>
            </w:r>
          </w:p>
        </w:tc>
        <w:tc>
          <w:tcPr>
            <w:tcW w:w="994" w:type="dxa"/>
            <w:tcBorders>
              <w:top w:val="single" w:sz="4" w:space="0" w:color="auto"/>
              <w:left w:val="single" w:sz="4" w:space="0" w:color="auto"/>
              <w:bottom w:val="single" w:sz="4" w:space="0" w:color="auto"/>
              <w:right w:val="single" w:sz="4" w:space="0" w:color="auto"/>
            </w:tcBorders>
            <w:hideMark/>
          </w:tcPr>
          <w:p w14:paraId="4CD238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6,20</w:t>
            </w:r>
          </w:p>
        </w:tc>
        <w:tc>
          <w:tcPr>
            <w:tcW w:w="924" w:type="dxa"/>
            <w:tcBorders>
              <w:top w:val="single" w:sz="4" w:space="0" w:color="auto"/>
              <w:left w:val="single" w:sz="4" w:space="0" w:color="auto"/>
              <w:bottom w:val="single" w:sz="4" w:space="0" w:color="auto"/>
              <w:right w:val="single" w:sz="4" w:space="0" w:color="auto"/>
            </w:tcBorders>
            <w:hideMark/>
          </w:tcPr>
          <w:p w14:paraId="37CEB33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FBDEC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41CE7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3E095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D66C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21A18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−31,6</w:t>
            </w:r>
          </w:p>
        </w:tc>
        <w:tc>
          <w:tcPr>
            <w:tcW w:w="933" w:type="dxa"/>
            <w:tcBorders>
              <w:top w:val="single" w:sz="4" w:space="0" w:color="auto"/>
              <w:left w:val="single" w:sz="4" w:space="0" w:color="auto"/>
              <w:bottom w:val="single" w:sz="4" w:space="0" w:color="auto"/>
              <w:right w:val="single" w:sz="4" w:space="0" w:color="auto"/>
            </w:tcBorders>
          </w:tcPr>
          <w:p w14:paraId="6E1A4B92" w14:textId="77777777" w:rsidR="00B82F75" w:rsidRPr="00F52C10" w:rsidRDefault="00B82F75" w:rsidP="00E4628E">
            <w:pPr>
              <w:pStyle w:val="Tabletext0"/>
              <w:spacing w:before="34" w:after="34" w:line="276" w:lineRule="auto"/>
              <w:rPr>
                <w:sz w:val="18"/>
                <w:szCs w:val="18"/>
                <w:lang w:val="en-CA"/>
              </w:rPr>
            </w:pPr>
          </w:p>
        </w:tc>
      </w:tr>
      <w:tr w:rsidR="00B82F75" w:rsidRPr="00F52C10" w14:paraId="28913F6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0B96F7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MAC00000</w:t>
            </w:r>
          </w:p>
        </w:tc>
        <w:tc>
          <w:tcPr>
            <w:tcW w:w="994" w:type="dxa"/>
            <w:tcBorders>
              <w:top w:val="single" w:sz="4" w:space="0" w:color="auto"/>
              <w:left w:val="single" w:sz="4" w:space="0" w:color="auto"/>
              <w:bottom w:val="single" w:sz="4" w:space="0" w:color="auto"/>
              <w:right w:val="single" w:sz="4" w:space="0" w:color="auto"/>
            </w:tcBorders>
            <w:hideMark/>
          </w:tcPr>
          <w:p w14:paraId="14F6B6B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117,00</w:t>
            </w:r>
          </w:p>
        </w:tc>
        <w:tc>
          <w:tcPr>
            <w:tcW w:w="994" w:type="dxa"/>
            <w:tcBorders>
              <w:top w:val="single" w:sz="4" w:space="0" w:color="auto"/>
              <w:left w:val="single" w:sz="4" w:space="0" w:color="auto"/>
              <w:bottom w:val="single" w:sz="4" w:space="0" w:color="auto"/>
              <w:right w:val="single" w:sz="4" w:space="0" w:color="auto"/>
            </w:tcBorders>
            <w:hideMark/>
          </w:tcPr>
          <w:p w14:paraId="57CCBD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113,60</w:t>
            </w:r>
          </w:p>
        </w:tc>
        <w:tc>
          <w:tcPr>
            <w:tcW w:w="924" w:type="dxa"/>
            <w:tcBorders>
              <w:top w:val="single" w:sz="4" w:space="0" w:color="auto"/>
              <w:left w:val="single" w:sz="4" w:space="0" w:color="auto"/>
              <w:bottom w:val="single" w:sz="4" w:space="0" w:color="auto"/>
              <w:right w:val="single" w:sz="4" w:space="0" w:color="auto"/>
            </w:tcBorders>
            <w:hideMark/>
          </w:tcPr>
          <w:p w14:paraId="648E15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DE15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DE127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D7854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C580F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95AAC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−27,1</w:t>
            </w:r>
          </w:p>
        </w:tc>
        <w:tc>
          <w:tcPr>
            <w:tcW w:w="933" w:type="dxa"/>
            <w:tcBorders>
              <w:top w:val="single" w:sz="4" w:space="0" w:color="auto"/>
              <w:left w:val="single" w:sz="4" w:space="0" w:color="auto"/>
              <w:bottom w:val="single" w:sz="4" w:space="0" w:color="auto"/>
              <w:right w:val="single" w:sz="4" w:space="0" w:color="auto"/>
            </w:tcBorders>
          </w:tcPr>
          <w:p w14:paraId="568788A0" w14:textId="77777777" w:rsidR="00B82F75" w:rsidRPr="00F52C10" w:rsidRDefault="00B82F75" w:rsidP="00E4628E">
            <w:pPr>
              <w:pStyle w:val="Tabletext0"/>
              <w:spacing w:before="34" w:after="34" w:line="276" w:lineRule="auto"/>
              <w:rPr>
                <w:sz w:val="18"/>
                <w:szCs w:val="18"/>
                <w:lang w:val="en-CA"/>
              </w:rPr>
            </w:pPr>
          </w:p>
        </w:tc>
      </w:tr>
      <w:tr w:rsidR="00B82F75" w:rsidRPr="00F52C10" w14:paraId="13857AB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73A7E7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MAU00000</w:t>
            </w:r>
          </w:p>
        </w:tc>
        <w:tc>
          <w:tcPr>
            <w:tcW w:w="994" w:type="dxa"/>
            <w:tcBorders>
              <w:top w:val="single" w:sz="4" w:space="0" w:color="auto"/>
              <w:left w:val="single" w:sz="4" w:space="0" w:color="auto"/>
              <w:bottom w:val="single" w:sz="4" w:space="0" w:color="auto"/>
              <w:right w:val="single" w:sz="4" w:space="0" w:color="auto"/>
            </w:tcBorders>
            <w:hideMark/>
          </w:tcPr>
          <w:p w14:paraId="4A1203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92,20</w:t>
            </w:r>
          </w:p>
        </w:tc>
        <w:tc>
          <w:tcPr>
            <w:tcW w:w="994" w:type="dxa"/>
            <w:tcBorders>
              <w:top w:val="single" w:sz="4" w:space="0" w:color="auto"/>
              <w:left w:val="single" w:sz="4" w:space="0" w:color="auto"/>
              <w:bottom w:val="single" w:sz="4" w:space="0" w:color="auto"/>
              <w:right w:val="single" w:sz="4" w:space="0" w:color="auto"/>
            </w:tcBorders>
            <w:hideMark/>
          </w:tcPr>
          <w:p w14:paraId="3027C8C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57,50</w:t>
            </w:r>
          </w:p>
        </w:tc>
        <w:tc>
          <w:tcPr>
            <w:tcW w:w="924" w:type="dxa"/>
            <w:tcBorders>
              <w:top w:val="single" w:sz="4" w:space="0" w:color="auto"/>
              <w:left w:val="single" w:sz="4" w:space="0" w:color="auto"/>
              <w:bottom w:val="single" w:sz="4" w:space="0" w:color="auto"/>
              <w:right w:val="single" w:sz="4" w:space="0" w:color="auto"/>
            </w:tcBorders>
            <w:hideMark/>
          </w:tcPr>
          <w:p w14:paraId="014D57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F1BE25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BC81A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6AC6F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04369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3610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−25,6</w:t>
            </w:r>
          </w:p>
        </w:tc>
        <w:tc>
          <w:tcPr>
            <w:tcW w:w="933" w:type="dxa"/>
            <w:tcBorders>
              <w:top w:val="single" w:sz="4" w:space="0" w:color="auto"/>
              <w:left w:val="single" w:sz="4" w:space="0" w:color="auto"/>
              <w:bottom w:val="single" w:sz="4" w:space="0" w:color="auto"/>
              <w:right w:val="single" w:sz="4" w:space="0" w:color="auto"/>
            </w:tcBorders>
          </w:tcPr>
          <w:p w14:paraId="1621389C" w14:textId="77777777" w:rsidR="00B82F75" w:rsidRPr="00F52C10" w:rsidRDefault="00B82F75" w:rsidP="00E4628E">
            <w:pPr>
              <w:pStyle w:val="Tabletext0"/>
              <w:spacing w:before="34" w:after="34" w:line="276" w:lineRule="auto"/>
              <w:rPr>
                <w:sz w:val="18"/>
                <w:szCs w:val="18"/>
                <w:lang w:val="en-CA"/>
              </w:rPr>
            </w:pPr>
          </w:p>
        </w:tc>
      </w:tr>
      <w:tr w:rsidR="00B82F75" w:rsidRPr="00F52C10" w14:paraId="6E7BD04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2C0666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MCO00000</w:t>
            </w:r>
          </w:p>
        </w:tc>
        <w:tc>
          <w:tcPr>
            <w:tcW w:w="994" w:type="dxa"/>
            <w:tcBorders>
              <w:top w:val="single" w:sz="4" w:space="0" w:color="auto"/>
              <w:left w:val="single" w:sz="4" w:space="0" w:color="auto"/>
              <w:bottom w:val="single" w:sz="4" w:space="0" w:color="auto"/>
              <w:right w:val="single" w:sz="4" w:space="0" w:color="auto"/>
            </w:tcBorders>
            <w:hideMark/>
          </w:tcPr>
          <w:p w14:paraId="2A24C3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52,00</w:t>
            </w:r>
          </w:p>
        </w:tc>
        <w:tc>
          <w:tcPr>
            <w:tcW w:w="994" w:type="dxa"/>
            <w:tcBorders>
              <w:top w:val="single" w:sz="4" w:space="0" w:color="auto"/>
              <w:left w:val="single" w:sz="4" w:space="0" w:color="auto"/>
              <w:bottom w:val="single" w:sz="4" w:space="0" w:color="auto"/>
              <w:right w:val="single" w:sz="4" w:space="0" w:color="auto"/>
            </w:tcBorders>
          </w:tcPr>
          <w:p w14:paraId="5F6CCFAE"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6C68304F"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4122854"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7A2126D"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FA9DFCD"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2FB8D38"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7657DB4"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2B942C7F" w14:textId="77777777" w:rsidR="00B82F75" w:rsidRPr="00F52C10" w:rsidRDefault="00B82F75" w:rsidP="00E4628E">
            <w:pPr>
              <w:pStyle w:val="Tabletext0"/>
              <w:spacing w:before="34" w:after="34" w:line="276" w:lineRule="auto"/>
              <w:rPr>
                <w:sz w:val="18"/>
                <w:szCs w:val="18"/>
                <w:lang w:val="en-CA"/>
              </w:rPr>
            </w:pPr>
            <w:r w:rsidRPr="00F52C10">
              <w:rPr>
                <w:sz w:val="18"/>
                <w:szCs w:val="18"/>
                <w:lang w:val="en-CA"/>
              </w:rPr>
              <w:t>1</w:t>
            </w:r>
          </w:p>
        </w:tc>
      </w:tr>
      <w:tr w:rsidR="00B82F75" w:rsidRPr="00F52C10" w14:paraId="2048C1E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EF1892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MDG00000</w:t>
            </w:r>
          </w:p>
        </w:tc>
        <w:tc>
          <w:tcPr>
            <w:tcW w:w="994" w:type="dxa"/>
            <w:tcBorders>
              <w:top w:val="single" w:sz="4" w:space="0" w:color="auto"/>
              <w:left w:val="single" w:sz="4" w:space="0" w:color="auto"/>
              <w:bottom w:val="single" w:sz="4" w:space="0" w:color="auto"/>
              <w:right w:val="single" w:sz="4" w:space="0" w:color="auto"/>
            </w:tcBorders>
            <w:hideMark/>
          </w:tcPr>
          <w:p w14:paraId="3327B6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16,90</w:t>
            </w:r>
          </w:p>
        </w:tc>
        <w:tc>
          <w:tcPr>
            <w:tcW w:w="994" w:type="dxa"/>
            <w:tcBorders>
              <w:top w:val="single" w:sz="4" w:space="0" w:color="auto"/>
              <w:left w:val="single" w:sz="4" w:space="0" w:color="auto"/>
              <w:bottom w:val="single" w:sz="4" w:space="0" w:color="auto"/>
              <w:right w:val="single" w:sz="4" w:space="0" w:color="auto"/>
            </w:tcBorders>
            <w:hideMark/>
          </w:tcPr>
          <w:p w14:paraId="15876C4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46,60</w:t>
            </w:r>
          </w:p>
        </w:tc>
        <w:tc>
          <w:tcPr>
            <w:tcW w:w="924" w:type="dxa"/>
            <w:tcBorders>
              <w:top w:val="single" w:sz="4" w:space="0" w:color="auto"/>
              <w:left w:val="single" w:sz="4" w:space="0" w:color="auto"/>
              <w:bottom w:val="single" w:sz="4" w:space="0" w:color="auto"/>
              <w:right w:val="single" w:sz="4" w:space="0" w:color="auto"/>
            </w:tcBorders>
            <w:hideMark/>
          </w:tcPr>
          <w:p w14:paraId="075093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2A89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F450C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CB2E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FD2C9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494A9A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−22,5</w:t>
            </w:r>
          </w:p>
        </w:tc>
        <w:tc>
          <w:tcPr>
            <w:tcW w:w="933" w:type="dxa"/>
            <w:tcBorders>
              <w:top w:val="single" w:sz="4" w:space="0" w:color="auto"/>
              <w:left w:val="single" w:sz="4" w:space="0" w:color="auto"/>
              <w:bottom w:val="single" w:sz="4" w:space="0" w:color="auto"/>
              <w:right w:val="single" w:sz="4" w:space="0" w:color="auto"/>
            </w:tcBorders>
          </w:tcPr>
          <w:p w14:paraId="563DEA0C" w14:textId="77777777" w:rsidR="00B82F75" w:rsidRPr="00F52C10" w:rsidRDefault="00B82F75" w:rsidP="00E4628E">
            <w:pPr>
              <w:pStyle w:val="Tabletext0"/>
              <w:spacing w:before="34" w:after="34" w:line="276" w:lineRule="auto"/>
              <w:rPr>
                <w:sz w:val="18"/>
                <w:szCs w:val="18"/>
                <w:lang w:val="en-CA"/>
              </w:rPr>
            </w:pPr>
          </w:p>
        </w:tc>
      </w:tr>
      <w:tr w:rsidR="00B82F75" w:rsidRPr="00F52C10" w14:paraId="2C68270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24371D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MDR00000</w:t>
            </w:r>
          </w:p>
        </w:tc>
        <w:tc>
          <w:tcPr>
            <w:tcW w:w="994" w:type="dxa"/>
            <w:tcBorders>
              <w:top w:val="single" w:sz="4" w:space="0" w:color="auto"/>
              <w:left w:val="single" w:sz="4" w:space="0" w:color="auto"/>
              <w:bottom w:val="single" w:sz="4" w:space="0" w:color="auto"/>
              <w:right w:val="single" w:sz="4" w:space="0" w:color="auto"/>
            </w:tcBorders>
            <w:hideMark/>
          </w:tcPr>
          <w:p w14:paraId="107324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−10,60</w:t>
            </w:r>
          </w:p>
        </w:tc>
        <w:tc>
          <w:tcPr>
            <w:tcW w:w="994" w:type="dxa"/>
            <w:tcBorders>
              <w:top w:val="single" w:sz="4" w:space="0" w:color="auto"/>
              <w:left w:val="single" w:sz="4" w:space="0" w:color="auto"/>
              <w:bottom w:val="single" w:sz="4" w:space="0" w:color="auto"/>
              <w:right w:val="single" w:sz="4" w:space="0" w:color="auto"/>
            </w:tcBorders>
            <w:hideMark/>
          </w:tcPr>
          <w:p w14:paraId="2C48D2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−16,20</w:t>
            </w:r>
          </w:p>
        </w:tc>
        <w:tc>
          <w:tcPr>
            <w:tcW w:w="924" w:type="dxa"/>
            <w:tcBorders>
              <w:top w:val="single" w:sz="4" w:space="0" w:color="auto"/>
              <w:left w:val="single" w:sz="4" w:space="0" w:color="auto"/>
              <w:bottom w:val="single" w:sz="4" w:space="0" w:color="auto"/>
              <w:right w:val="single" w:sz="4" w:space="0" w:color="auto"/>
            </w:tcBorders>
            <w:hideMark/>
          </w:tcPr>
          <w:p w14:paraId="00B2B4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D2C52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E15A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4E72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69245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47BFD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−30,5</w:t>
            </w:r>
          </w:p>
        </w:tc>
        <w:tc>
          <w:tcPr>
            <w:tcW w:w="933" w:type="dxa"/>
            <w:tcBorders>
              <w:top w:val="single" w:sz="4" w:space="0" w:color="auto"/>
              <w:left w:val="single" w:sz="4" w:space="0" w:color="auto"/>
              <w:bottom w:val="single" w:sz="4" w:space="0" w:color="auto"/>
              <w:right w:val="single" w:sz="4" w:space="0" w:color="auto"/>
            </w:tcBorders>
            <w:hideMark/>
          </w:tcPr>
          <w:p w14:paraId="63C8E0E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*/MB7</w:t>
            </w:r>
          </w:p>
        </w:tc>
      </w:tr>
      <w:tr w:rsidR="00B82F75" w:rsidRPr="00F52C10" w14:paraId="3857351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2AD103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MDW00000</w:t>
            </w:r>
          </w:p>
        </w:tc>
        <w:tc>
          <w:tcPr>
            <w:tcW w:w="994" w:type="dxa"/>
            <w:tcBorders>
              <w:top w:val="single" w:sz="4" w:space="0" w:color="auto"/>
              <w:left w:val="single" w:sz="4" w:space="0" w:color="auto"/>
              <w:bottom w:val="single" w:sz="4" w:space="0" w:color="auto"/>
              <w:right w:val="single" w:sz="4" w:space="0" w:color="auto"/>
            </w:tcBorders>
            <w:hideMark/>
          </w:tcPr>
          <w:p w14:paraId="34546A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2577F4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−177,40</w:t>
            </w:r>
          </w:p>
        </w:tc>
        <w:tc>
          <w:tcPr>
            <w:tcW w:w="924" w:type="dxa"/>
            <w:tcBorders>
              <w:top w:val="single" w:sz="4" w:space="0" w:color="auto"/>
              <w:left w:val="single" w:sz="4" w:space="0" w:color="auto"/>
              <w:bottom w:val="single" w:sz="4" w:space="0" w:color="auto"/>
              <w:right w:val="single" w:sz="4" w:space="0" w:color="auto"/>
            </w:tcBorders>
            <w:hideMark/>
          </w:tcPr>
          <w:p w14:paraId="05DAEA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A67A3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4F10D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AC48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26E98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7D7A8E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−32,2</w:t>
            </w:r>
          </w:p>
        </w:tc>
        <w:tc>
          <w:tcPr>
            <w:tcW w:w="933" w:type="dxa"/>
            <w:tcBorders>
              <w:top w:val="single" w:sz="4" w:space="0" w:color="auto"/>
              <w:left w:val="single" w:sz="4" w:space="0" w:color="auto"/>
              <w:bottom w:val="single" w:sz="4" w:space="0" w:color="auto"/>
              <w:right w:val="single" w:sz="4" w:space="0" w:color="auto"/>
            </w:tcBorders>
            <w:hideMark/>
          </w:tcPr>
          <w:p w14:paraId="2777C1E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2ECB5C5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49D136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MEX00000</w:t>
            </w:r>
          </w:p>
        </w:tc>
        <w:tc>
          <w:tcPr>
            <w:tcW w:w="994" w:type="dxa"/>
            <w:tcBorders>
              <w:top w:val="single" w:sz="4" w:space="0" w:color="auto"/>
              <w:left w:val="single" w:sz="4" w:space="0" w:color="auto"/>
              <w:bottom w:val="single" w:sz="4" w:space="0" w:color="auto"/>
              <w:right w:val="single" w:sz="4" w:space="0" w:color="auto"/>
            </w:tcBorders>
            <w:hideMark/>
          </w:tcPr>
          <w:p w14:paraId="18FDC1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94" w:type="dxa"/>
            <w:tcBorders>
              <w:top w:val="single" w:sz="4" w:space="0" w:color="auto"/>
              <w:left w:val="single" w:sz="4" w:space="0" w:color="auto"/>
              <w:bottom w:val="single" w:sz="4" w:space="0" w:color="auto"/>
              <w:right w:val="single" w:sz="4" w:space="0" w:color="auto"/>
            </w:tcBorders>
          </w:tcPr>
          <w:p w14:paraId="59EA254F"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06A628BC"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F757064"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76579BB"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AFBC6C3"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04F9C9"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1EF70C9"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59C67D8C" w14:textId="77777777" w:rsidR="00B82F75" w:rsidRPr="00F52C10" w:rsidRDefault="00B82F75" w:rsidP="00E4628E">
            <w:pPr>
              <w:pStyle w:val="Tabletext0"/>
              <w:spacing w:before="34" w:after="34" w:line="276" w:lineRule="auto"/>
              <w:rPr>
                <w:sz w:val="18"/>
                <w:szCs w:val="18"/>
                <w:lang w:val="en-CA"/>
              </w:rPr>
            </w:pPr>
            <w:r w:rsidRPr="00F52C10">
              <w:rPr>
                <w:sz w:val="18"/>
                <w:szCs w:val="18"/>
                <w:lang w:val="en-CA"/>
              </w:rPr>
              <w:t>1</w:t>
            </w:r>
          </w:p>
        </w:tc>
      </w:tr>
      <w:tr w:rsidR="00B82F75" w:rsidRPr="00F52C10" w14:paraId="3194EFF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AA28FC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MHL00000</w:t>
            </w:r>
          </w:p>
        </w:tc>
        <w:tc>
          <w:tcPr>
            <w:tcW w:w="994" w:type="dxa"/>
            <w:tcBorders>
              <w:top w:val="single" w:sz="4" w:space="0" w:color="auto"/>
              <w:left w:val="single" w:sz="4" w:space="0" w:color="auto"/>
              <w:bottom w:val="single" w:sz="4" w:space="0" w:color="auto"/>
              <w:right w:val="single" w:sz="4" w:space="0" w:color="auto"/>
            </w:tcBorders>
            <w:hideMark/>
          </w:tcPr>
          <w:p w14:paraId="5973CA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4A3F67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175,30</w:t>
            </w:r>
          </w:p>
        </w:tc>
        <w:tc>
          <w:tcPr>
            <w:tcW w:w="924" w:type="dxa"/>
            <w:tcBorders>
              <w:top w:val="single" w:sz="4" w:space="0" w:color="auto"/>
              <w:left w:val="single" w:sz="4" w:space="0" w:color="auto"/>
              <w:bottom w:val="single" w:sz="4" w:space="0" w:color="auto"/>
              <w:right w:val="single" w:sz="4" w:space="0" w:color="auto"/>
            </w:tcBorders>
            <w:hideMark/>
          </w:tcPr>
          <w:p w14:paraId="7D70F7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1C0B2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895BA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319EE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4EDD05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25F09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−22,6</w:t>
            </w:r>
          </w:p>
        </w:tc>
        <w:tc>
          <w:tcPr>
            <w:tcW w:w="933" w:type="dxa"/>
            <w:tcBorders>
              <w:top w:val="single" w:sz="4" w:space="0" w:color="auto"/>
              <w:left w:val="single" w:sz="4" w:space="0" w:color="auto"/>
              <w:bottom w:val="single" w:sz="4" w:space="0" w:color="auto"/>
              <w:right w:val="single" w:sz="4" w:space="0" w:color="auto"/>
            </w:tcBorders>
            <w:hideMark/>
          </w:tcPr>
          <w:p w14:paraId="430BAA6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79155A8E"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9C763B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MLA00000</w:t>
            </w:r>
          </w:p>
        </w:tc>
        <w:tc>
          <w:tcPr>
            <w:tcW w:w="994" w:type="dxa"/>
            <w:tcBorders>
              <w:top w:val="single" w:sz="4" w:space="0" w:color="auto"/>
              <w:left w:val="single" w:sz="4" w:space="0" w:color="auto"/>
              <w:bottom w:val="single" w:sz="4" w:space="0" w:color="auto"/>
              <w:right w:val="single" w:sz="4" w:space="0" w:color="auto"/>
            </w:tcBorders>
            <w:hideMark/>
          </w:tcPr>
          <w:p w14:paraId="31498D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78,50</w:t>
            </w:r>
          </w:p>
        </w:tc>
        <w:tc>
          <w:tcPr>
            <w:tcW w:w="994" w:type="dxa"/>
            <w:tcBorders>
              <w:top w:val="single" w:sz="4" w:space="0" w:color="auto"/>
              <w:left w:val="single" w:sz="4" w:space="0" w:color="auto"/>
              <w:bottom w:val="single" w:sz="4" w:space="0" w:color="auto"/>
              <w:right w:val="single" w:sz="4" w:space="0" w:color="auto"/>
            </w:tcBorders>
            <w:hideMark/>
          </w:tcPr>
          <w:p w14:paraId="6DC5FA1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108,20</w:t>
            </w:r>
          </w:p>
        </w:tc>
        <w:tc>
          <w:tcPr>
            <w:tcW w:w="924" w:type="dxa"/>
            <w:tcBorders>
              <w:top w:val="single" w:sz="4" w:space="0" w:color="auto"/>
              <w:left w:val="single" w:sz="4" w:space="0" w:color="auto"/>
              <w:bottom w:val="single" w:sz="4" w:space="0" w:color="auto"/>
              <w:right w:val="single" w:sz="4" w:space="0" w:color="auto"/>
            </w:tcBorders>
            <w:hideMark/>
          </w:tcPr>
          <w:p w14:paraId="5F17D3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010B73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5269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A001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56E1AB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041E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−22,3</w:t>
            </w:r>
          </w:p>
        </w:tc>
        <w:tc>
          <w:tcPr>
            <w:tcW w:w="933" w:type="dxa"/>
            <w:tcBorders>
              <w:top w:val="single" w:sz="4" w:space="0" w:color="auto"/>
              <w:left w:val="single" w:sz="4" w:space="0" w:color="auto"/>
              <w:bottom w:val="single" w:sz="4" w:space="0" w:color="auto"/>
              <w:right w:val="single" w:sz="4" w:space="0" w:color="auto"/>
            </w:tcBorders>
          </w:tcPr>
          <w:p w14:paraId="15084395" w14:textId="77777777" w:rsidR="00B82F75" w:rsidRPr="00F52C10" w:rsidRDefault="00B82F75" w:rsidP="00E4628E">
            <w:pPr>
              <w:pStyle w:val="Tabletext0"/>
              <w:spacing w:before="34" w:after="34" w:line="276" w:lineRule="auto"/>
              <w:rPr>
                <w:sz w:val="18"/>
                <w:szCs w:val="18"/>
                <w:lang w:val="en-CA"/>
              </w:rPr>
            </w:pPr>
          </w:p>
        </w:tc>
      </w:tr>
      <w:tr w:rsidR="00B82F75" w:rsidRPr="00F52C10" w14:paraId="2DCB69C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33FF8F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MLD00000</w:t>
            </w:r>
          </w:p>
        </w:tc>
        <w:tc>
          <w:tcPr>
            <w:tcW w:w="994" w:type="dxa"/>
            <w:tcBorders>
              <w:top w:val="single" w:sz="4" w:space="0" w:color="auto"/>
              <w:left w:val="single" w:sz="4" w:space="0" w:color="auto"/>
              <w:bottom w:val="single" w:sz="4" w:space="0" w:color="auto"/>
              <w:right w:val="single" w:sz="4" w:space="0" w:color="auto"/>
            </w:tcBorders>
            <w:hideMark/>
          </w:tcPr>
          <w:p w14:paraId="083EED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117,60</w:t>
            </w:r>
          </w:p>
        </w:tc>
        <w:tc>
          <w:tcPr>
            <w:tcW w:w="994" w:type="dxa"/>
            <w:tcBorders>
              <w:top w:val="single" w:sz="4" w:space="0" w:color="auto"/>
              <w:left w:val="single" w:sz="4" w:space="0" w:color="auto"/>
              <w:bottom w:val="single" w:sz="4" w:space="0" w:color="auto"/>
              <w:right w:val="single" w:sz="4" w:space="0" w:color="auto"/>
            </w:tcBorders>
            <w:hideMark/>
          </w:tcPr>
          <w:p w14:paraId="712941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73,40</w:t>
            </w:r>
          </w:p>
        </w:tc>
        <w:tc>
          <w:tcPr>
            <w:tcW w:w="924" w:type="dxa"/>
            <w:tcBorders>
              <w:top w:val="single" w:sz="4" w:space="0" w:color="auto"/>
              <w:left w:val="single" w:sz="4" w:space="0" w:color="auto"/>
              <w:bottom w:val="single" w:sz="4" w:space="0" w:color="auto"/>
              <w:right w:val="single" w:sz="4" w:space="0" w:color="auto"/>
            </w:tcBorders>
            <w:hideMark/>
          </w:tcPr>
          <w:p w14:paraId="56C97A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6641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FF08C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A5AB5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4E4E3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BE644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−22,4</w:t>
            </w:r>
          </w:p>
        </w:tc>
        <w:tc>
          <w:tcPr>
            <w:tcW w:w="933" w:type="dxa"/>
            <w:tcBorders>
              <w:top w:val="single" w:sz="4" w:space="0" w:color="auto"/>
              <w:left w:val="single" w:sz="4" w:space="0" w:color="auto"/>
              <w:bottom w:val="single" w:sz="4" w:space="0" w:color="auto"/>
              <w:right w:val="single" w:sz="4" w:space="0" w:color="auto"/>
            </w:tcBorders>
          </w:tcPr>
          <w:p w14:paraId="4BCDB5FC" w14:textId="77777777" w:rsidR="00B82F75" w:rsidRPr="00F52C10" w:rsidRDefault="00B82F75" w:rsidP="00E4628E">
            <w:pPr>
              <w:pStyle w:val="Tabletext0"/>
              <w:spacing w:before="34" w:after="34" w:line="276" w:lineRule="auto"/>
              <w:rPr>
                <w:sz w:val="18"/>
                <w:szCs w:val="18"/>
                <w:lang w:val="en-CA"/>
              </w:rPr>
            </w:pPr>
          </w:p>
        </w:tc>
      </w:tr>
      <w:tr w:rsidR="00B82F75" w:rsidRPr="00F52C10" w14:paraId="55D4F1E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FA5B9F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MLI00000</w:t>
            </w:r>
          </w:p>
        </w:tc>
        <w:tc>
          <w:tcPr>
            <w:tcW w:w="994" w:type="dxa"/>
            <w:tcBorders>
              <w:top w:val="single" w:sz="4" w:space="0" w:color="auto"/>
              <w:left w:val="single" w:sz="4" w:space="0" w:color="auto"/>
              <w:bottom w:val="single" w:sz="4" w:space="0" w:color="auto"/>
              <w:right w:val="single" w:sz="4" w:space="0" w:color="auto"/>
            </w:tcBorders>
            <w:hideMark/>
          </w:tcPr>
          <w:p w14:paraId="43DC9E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−6,00</w:t>
            </w:r>
          </w:p>
        </w:tc>
        <w:tc>
          <w:tcPr>
            <w:tcW w:w="994" w:type="dxa"/>
            <w:tcBorders>
              <w:top w:val="single" w:sz="4" w:space="0" w:color="auto"/>
              <w:left w:val="single" w:sz="4" w:space="0" w:color="auto"/>
              <w:bottom w:val="single" w:sz="4" w:space="0" w:color="auto"/>
              <w:right w:val="single" w:sz="4" w:space="0" w:color="auto"/>
            </w:tcBorders>
            <w:hideMark/>
          </w:tcPr>
          <w:p w14:paraId="01CC0A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924" w:type="dxa"/>
            <w:tcBorders>
              <w:top w:val="single" w:sz="4" w:space="0" w:color="auto"/>
              <w:left w:val="single" w:sz="4" w:space="0" w:color="auto"/>
              <w:bottom w:val="single" w:sz="4" w:space="0" w:color="auto"/>
              <w:right w:val="single" w:sz="4" w:space="0" w:color="auto"/>
            </w:tcBorders>
            <w:hideMark/>
          </w:tcPr>
          <w:p w14:paraId="0BB8F2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3B2E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66D2E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5A1187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03578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E4D97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−24,8</w:t>
            </w:r>
          </w:p>
        </w:tc>
        <w:tc>
          <w:tcPr>
            <w:tcW w:w="933" w:type="dxa"/>
            <w:tcBorders>
              <w:top w:val="single" w:sz="4" w:space="0" w:color="auto"/>
              <w:left w:val="single" w:sz="4" w:space="0" w:color="auto"/>
              <w:bottom w:val="single" w:sz="4" w:space="0" w:color="auto"/>
              <w:right w:val="single" w:sz="4" w:space="0" w:color="auto"/>
            </w:tcBorders>
          </w:tcPr>
          <w:p w14:paraId="31CB0D96" w14:textId="77777777" w:rsidR="00B82F75" w:rsidRPr="00F52C10" w:rsidRDefault="00B82F75" w:rsidP="00E4628E">
            <w:pPr>
              <w:pStyle w:val="Tabletext0"/>
              <w:spacing w:before="34" w:after="34" w:line="276" w:lineRule="auto"/>
              <w:rPr>
                <w:sz w:val="18"/>
                <w:szCs w:val="18"/>
                <w:lang w:val="en-CA"/>
              </w:rPr>
            </w:pPr>
          </w:p>
        </w:tc>
      </w:tr>
      <w:tr w:rsidR="00B82F75" w:rsidRPr="00F52C10" w14:paraId="61822EB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55136E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MLT00000</w:t>
            </w:r>
          </w:p>
        </w:tc>
        <w:tc>
          <w:tcPr>
            <w:tcW w:w="994" w:type="dxa"/>
            <w:tcBorders>
              <w:top w:val="single" w:sz="4" w:space="0" w:color="auto"/>
              <w:left w:val="single" w:sz="4" w:space="0" w:color="auto"/>
              <w:bottom w:val="single" w:sz="4" w:space="0" w:color="auto"/>
              <w:right w:val="single" w:sz="4" w:space="0" w:color="auto"/>
            </w:tcBorders>
            <w:hideMark/>
          </w:tcPr>
          <w:p w14:paraId="77B361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994" w:type="dxa"/>
            <w:tcBorders>
              <w:top w:val="single" w:sz="4" w:space="0" w:color="auto"/>
              <w:left w:val="single" w:sz="4" w:space="0" w:color="auto"/>
              <w:bottom w:val="single" w:sz="4" w:space="0" w:color="auto"/>
              <w:right w:val="single" w:sz="4" w:space="0" w:color="auto"/>
            </w:tcBorders>
            <w:hideMark/>
          </w:tcPr>
          <w:p w14:paraId="37B53C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14,40</w:t>
            </w:r>
          </w:p>
        </w:tc>
        <w:tc>
          <w:tcPr>
            <w:tcW w:w="924" w:type="dxa"/>
            <w:tcBorders>
              <w:top w:val="single" w:sz="4" w:space="0" w:color="auto"/>
              <w:left w:val="single" w:sz="4" w:space="0" w:color="auto"/>
              <w:bottom w:val="single" w:sz="4" w:space="0" w:color="auto"/>
              <w:right w:val="single" w:sz="4" w:space="0" w:color="auto"/>
            </w:tcBorders>
            <w:hideMark/>
          </w:tcPr>
          <w:p w14:paraId="3ECD7B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BFBD0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8180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136E70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248E3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4BE8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−30,4</w:t>
            </w:r>
          </w:p>
        </w:tc>
        <w:tc>
          <w:tcPr>
            <w:tcW w:w="933" w:type="dxa"/>
            <w:tcBorders>
              <w:top w:val="single" w:sz="4" w:space="0" w:color="auto"/>
              <w:left w:val="single" w:sz="4" w:space="0" w:color="auto"/>
              <w:bottom w:val="single" w:sz="4" w:space="0" w:color="auto"/>
              <w:right w:val="single" w:sz="4" w:space="0" w:color="auto"/>
            </w:tcBorders>
          </w:tcPr>
          <w:p w14:paraId="683201F6" w14:textId="77777777" w:rsidR="00B82F75" w:rsidRPr="00F52C10" w:rsidRDefault="00B82F75" w:rsidP="00E4628E">
            <w:pPr>
              <w:pStyle w:val="Tabletext0"/>
              <w:spacing w:before="34" w:after="34" w:line="276" w:lineRule="auto"/>
              <w:rPr>
                <w:sz w:val="18"/>
                <w:szCs w:val="18"/>
                <w:lang w:val="en-CA"/>
              </w:rPr>
            </w:pPr>
          </w:p>
        </w:tc>
      </w:tr>
      <w:tr w:rsidR="00B82F75" w:rsidRPr="00F52C10" w14:paraId="396227B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A47992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MNG00000</w:t>
            </w:r>
          </w:p>
        </w:tc>
        <w:tc>
          <w:tcPr>
            <w:tcW w:w="994" w:type="dxa"/>
            <w:tcBorders>
              <w:top w:val="single" w:sz="4" w:space="0" w:color="auto"/>
              <w:left w:val="single" w:sz="4" w:space="0" w:color="auto"/>
              <w:bottom w:val="single" w:sz="4" w:space="0" w:color="auto"/>
              <w:right w:val="single" w:sz="4" w:space="0" w:color="auto"/>
            </w:tcBorders>
            <w:hideMark/>
          </w:tcPr>
          <w:p w14:paraId="07CAF8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113,60</w:t>
            </w:r>
          </w:p>
        </w:tc>
        <w:tc>
          <w:tcPr>
            <w:tcW w:w="994" w:type="dxa"/>
            <w:tcBorders>
              <w:top w:val="single" w:sz="4" w:space="0" w:color="auto"/>
              <w:left w:val="single" w:sz="4" w:space="0" w:color="auto"/>
              <w:bottom w:val="single" w:sz="4" w:space="0" w:color="auto"/>
              <w:right w:val="single" w:sz="4" w:space="0" w:color="auto"/>
            </w:tcBorders>
            <w:hideMark/>
          </w:tcPr>
          <w:p w14:paraId="10B6F0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103,80</w:t>
            </w:r>
          </w:p>
        </w:tc>
        <w:tc>
          <w:tcPr>
            <w:tcW w:w="924" w:type="dxa"/>
            <w:tcBorders>
              <w:top w:val="single" w:sz="4" w:space="0" w:color="auto"/>
              <w:left w:val="single" w:sz="4" w:space="0" w:color="auto"/>
              <w:bottom w:val="single" w:sz="4" w:space="0" w:color="auto"/>
              <w:right w:val="single" w:sz="4" w:space="0" w:color="auto"/>
            </w:tcBorders>
            <w:hideMark/>
          </w:tcPr>
          <w:p w14:paraId="5531F1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0E1A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2CC8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1054F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CBD60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DFD4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−27,6</w:t>
            </w:r>
          </w:p>
        </w:tc>
        <w:tc>
          <w:tcPr>
            <w:tcW w:w="933" w:type="dxa"/>
            <w:tcBorders>
              <w:top w:val="single" w:sz="4" w:space="0" w:color="auto"/>
              <w:left w:val="single" w:sz="4" w:space="0" w:color="auto"/>
              <w:bottom w:val="single" w:sz="4" w:space="0" w:color="auto"/>
              <w:right w:val="single" w:sz="4" w:space="0" w:color="auto"/>
            </w:tcBorders>
          </w:tcPr>
          <w:p w14:paraId="6EF147F3" w14:textId="77777777" w:rsidR="00B82F75" w:rsidRPr="00F52C10" w:rsidRDefault="00B82F75" w:rsidP="00E4628E">
            <w:pPr>
              <w:pStyle w:val="Tabletext0"/>
              <w:spacing w:before="34" w:after="34" w:line="276" w:lineRule="auto"/>
              <w:rPr>
                <w:sz w:val="18"/>
                <w:szCs w:val="18"/>
                <w:lang w:val="en-CA"/>
              </w:rPr>
            </w:pPr>
          </w:p>
        </w:tc>
      </w:tr>
      <w:tr w:rsidR="00B82F75" w:rsidRPr="00F52C10" w14:paraId="55D592AE"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599993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MOZ00000</w:t>
            </w:r>
          </w:p>
        </w:tc>
        <w:tc>
          <w:tcPr>
            <w:tcW w:w="994" w:type="dxa"/>
            <w:tcBorders>
              <w:top w:val="single" w:sz="4" w:space="0" w:color="auto"/>
              <w:left w:val="single" w:sz="4" w:space="0" w:color="auto"/>
              <w:bottom w:val="single" w:sz="4" w:space="0" w:color="auto"/>
              <w:right w:val="single" w:sz="4" w:space="0" w:color="auto"/>
            </w:tcBorders>
            <w:hideMark/>
          </w:tcPr>
          <w:p w14:paraId="70981D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90,60</w:t>
            </w:r>
          </w:p>
        </w:tc>
        <w:tc>
          <w:tcPr>
            <w:tcW w:w="994" w:type="dxa"/>
            <w:tcBorders>
              <w:top w:val="single" w:sz="4" w:space="0" w:color="auto"/>
              <w:left w:val="single" w:sz="4" w:space="0" w:color="auto"/>
              <w:bottom w:val="single" w:sz="4" w:space="0" w:color="auto"/>
              <w:right w:val="single" w:sz="4" w:space="0" w:color="auto"/>
            </w:tcBorders>
            <w:hideMark/>
          </w:tcPr>
          <w:p w14:paraId="16AE23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35,60</w:t>
            </w:r>
          </w:p>
        </w:tc>
        <w:tc>
          <w:tcPr>
            <w:tcW w:w="924" w:type="dxa"/>
            <w:tcBorders>
              <w:top w:val="single" w:sz="4" w:space="0" w:color="auto"/>
              <w:left w:val="single" w:sz="4" w:space="0" w:color="auto"/>
              <w:bottom w:val="single" w:sz="4" w:space="0" w:color="auto"/>
              <w:right w:val="single" w:sz="4" w:space="0" w:color="auto"/>
            </w:tcBorders>
            <w:hideMark/>
          </w:tcPr>
          <w:p w14:paraId="3197F9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E4B6C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87C1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1C4C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98,00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9C884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924AA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w:t>
            </w:r>
          </w:p>
        </w:tc>
        <w:tc>
          <w:tcPr>
            <w:tcW w:w="933" w:type="dxa"/>
            <w:tcBorders>
              <w:top w:val="single" w:sz="4" w:space="0" w:color="auto"/>
              <w:left w:val="single" w:sz="4" w:space="0" w:color="auto"/>
              <w:bottom w:val="single" w:sz="4" w:space="0" w:color="auto"/>
              <w:right w:val="single" w:sz="4" w:space="0" w:color="auto"/>
            </w:tcBorders>
          </w:tcPr>
          <w:p w14:paraId="3EBF8EC9" w14:textId="77777777" w:rsidR="00B82F75" w:rsidRPr="00F52C10" w:rsidRDefault="00B82F75" w:rsidP="00E4628E">
            <w:pPr>
              <w:pStyle w:val="Tabletext0"/>
              <w:spacing w:before="34" w:after="34" w:line="276" w:lineRule="auto"/>
              <w:rPr>
                <w:sz w:val="18"/>
                <w:szCs w:val="18"/>
                <w:lang w:val="en-CA"/>
              </w:rPr>
            </w:pPr>
          </w:p>
        </w:tc>
      </w:tr>
      <w:tr w:rsidR="00B82F75" w:rsidRPr="00F52C10" w14:paraId="6521005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D68F8F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MRC00000</w:t>
            </w:r>
          </w:p>
        </w:tc>
        <w:tc>
          <w:tcPr>
            <w:tcW w:w="994" w:type="dxa"/>
            <w:tcBorders>
              <w:top w:val="single" w:sz="4" w:space="0" w:color="auto"/>
              <w:left w:val="single" w:sz="4" w:space="0" w:color="auto"/>
              <w:bottom w:val="single" w:sz="4" w:space="0" w:color="auto"/>
              <w:right w:val="single" w:sz="4" w:space="0" w:color="auto"/>
            </w:tcBorders>
            <w:hideMark/>
          </w:tcPr>
          <w:p w14:paraId="3F253C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32,86</w:t>
            </w:r>
          </w:p>
        </w:tc>
        <w:tc>
          <w:tcPr>
            <w:tcW w:w="994" w:type="dxa"/>
            <w:tcBorders>
              <w:top w:val="single" w:sz="4" w:space="0" w:color="auto"/>
              <w:left w:val="single" w:sz="4" w:space="0" w:color="auto"/>
              <w:bottom w:val="single" w:sz="4" w:space="0" w:color="auto"/>
              <w:right w:val="single" w:sz="4" w:space="0" w:color="auto"/>
            </w:tcBorders>
            <w:hideMark/>
          </w:tcPr>
          <w:p w14:paraId="127CE03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−8,90</w:t>
            </w:r>
          </w:p>
        </w:tc>
        <w:tc>
          <w:tcPr>
            <w:tcW w:w="924" w:type="dxa"/>
            <w:tcBorders>
              <w:top w:val="single" w:sz="4" w:space="0" w:color="auto"/>
              <w:left w:val="single" w:sz="4" w:space="0" w:color="auto"/>
              <w:bottom w:val="single" w:sz="4" w:space="0" w:color="auto"/>
              <w:right w:val="single" w:sz="4" w:space="0" w:color="auto"/>
            </w:tcBorders>
            <w:hideMark/>
          </w:tcPr>
          <w:p w14:paraId="5BB35C2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E21AE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F2F03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9AA3C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E104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D7572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933" w:type="dxa"/>
            <w:tcBorders>
              <w:top w:val="single" w:sz="4" w:space="0" w:color="auto"/>
              <w:left w:val="single" w:sz="4" w:space="0" w:color="auto"/>
              <w:bottom w:val="single" w:sz="4" w:space="0" w:color="auto"/>
              <w:right w:val="single" w:sz="4" w:space="0" w:color="auto"/>
            </w:tcBorders>
          </w:tcPr>
          <w:p w14:paraId="2DB07263" w14:textId="77777777" w:rsidR="00B82F75" w:rsidRPr="00F52C10" w:rsidRDefault="00B82F75" w:rsidP="00E4628E">
            <w:pPr>
              <w:pStyle w:val="Tabletext0"/>
              <w:spacing w:before="34" w:after="34" w:line="276" w:lineRule="auto"/>
              <w:rPr>
                <w:sz w:val="18"/>
                <w:szCs w:val="18"/>
                <w:lang w:val="en-CA"/>
              </w:rPr>
            </w:pPr>
          </w:p>
        </w:tc>
      </w:tr>
      <w:tr w:rsidR="00B82F75" w:rsidRPr="00F52C10" w14:paraId="3628CF9F"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E16717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lastRenderedPageBreak/>
              <w:t>MTN00000</w:t>
            </w:r>
          </w:p>
        </w:tc>
        <w:tc>
          <w:tcPr>
            <w:tcW w:w="994" w:type="dxa"/>
            <w:tcBorders>
              <w:top w:val="single" w:sz="4" w:space="0" w:color="auto"/>
              <w:left w:val="single" w:sz="4" w:space="0" w:color="auto"/>
              <w:bottom w:val="single" w:sz="4" w:space="0" w:color="auto"/>
              <w:right w:val="single" w:sz="4" w:space="0" w:color="auto"/>
            </w:tcBorders>
            <w:hideMark/>
          </w:tcPr>
          <w:p w14:paraId="7E0C42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−21,10</w:t>
            </w:r>
          </w:p>
        </w:tc>
        <w:tc>
          <w:tcPr>
            <w:tcW w:w="994" w:type="dxa"/>
            <w:tcBorders>
              <w:top w:val="single" w:sz="4" w:space="0" w:color="auto"/>
              <w:left w:val="single" w:sz="4" w:space="0" w:color="auto"/>
              <w:bottom w:val="single" w:sz="4" w:space="0" w:color="auto"/>
              <w:right w:val="single" w:sz="4" w:space="0" w:color="auto"/>
            </w:tcBorders>
            <w:hideMark/>
          </w:tcPr>
          <w:p w14:paraId="376B27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−10,30</w:t>
            </w:r>
          </w:p>
        </w:tc>
        <w:tc>
          <w:tcPr>
            <w:tcW w:w="924" w:type="dxa"/>
            <w:tcBorders>
              <w:top w:val="single" w:sz="4" w:space="0" w:color="auto"/>
              <w:left w:val="single" w:sz="4" w:space="0" w:color="auto"/>
              <w:bottom w:val="single" w:sz="4" w:space="0" w:color="auto"/>
              <w:right w:val="single" w:sz="4" w:space="0" w:color="auto"/>
            </w:tcBorders>
            <w:hideMark/>
          </w:tcPr>
          <w:p w14:paraId="24DE38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C2744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97CB8D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0CC33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4E17B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4F16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−28,4</w:t>
            </w:r>
          </w:p>
        </w:tc>
        <w:tc>
          <w:tcPr>
            <w:tcW w:w="933" w:type="dxa"/>
            <w:tcBorders>
              <w:top w:val="single" w:sz="4" w:space="0" w:color="auto"/>
              <w:left w:val="single" w:sz="4" w:space="0" w:color="auto"/>
              <w:bottom w:val="single" w:sz="4" w:space="0" w:color="auto"/>
              <w:right w:val="single" w:sz="4" w:space="0" w:color="auto"/>
            </w:tcBorders>
          </w:tcPr>
          <w:p w14:paraId="4A1F8471" w14:textId="77777777" w:rsidR="00B82F75" w:rsidRPr="00F52C10" w:rsidRDefault="00B82F75" w:rsidP="00E4628E">
            <w:pPr>
              <w:pStyle w:val="Tabletext0"/>
              <w:spacing w:before="34" w:after="34" w:line="276" w:lineRule="auto"/>
              <w:rPr>
                <w:sz w:val="18"/>
                <w:szCs w:val="18"/>
                <w:lang w:val="en-CA"/>
              </w:rPr>
            </w:pPr>
          </w:p>
        </w:tc>
      </w:tr>
      <w:tr w:rsidR="00B82F75" w:rsidRPr="00F52C10" w14:paraId="465F250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6B1E82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MWI00000</w:t>
            </w:r>
          </w:p>
        </w:tc>
        <w:tc>
          <w:tcPr>
            <w:tcW w:w="994" w:type="dxa"/>
            <w:tcBorders>
              <w:top w:val="single" w:sz="4" w:space="0" w:color="auto"/>
              <w:left w:val="single" w:sz="4" w:space="0" w:color="auto"/>
              <w:bottom w:val="single" w:sz="4" w:space="0" w:color="auto"/>
              <w:right w:val="single" w:sz="4" w:space="0" w:color="auto"/>
            </w:tcBorders>
            <w:hideMark/>
          </w:tcPr>
          <w:p w14:paraId="022498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28,00</w:t>
            </w:r>
          </w:p>
        </w:tc>
        <w:tc>
          <w:tcPr>
            <w:tcW w:w="994" w:type="dxa"/>
            <w:tcBorders>
              <w:top w:val="single" w:sz="4" w:space="0" w:color="auto"/>
              <w:left w:val="single" w:sz="4" w:space="0" w:color="auto"/>
              <w:bottom w:val="single" w:sz="4" w:space="0" w:color="auto"/>
              <w:right w:val="single" w:sz="4" w:space="0" w:color="auto"/>
            </w:tcBorders>
            <w:hideMark/>
          </w:tcPr>
          <w:p w14:paraId="50FD5E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34,10</w:t>
            </w:r>
          </w:p>
        </w:tc>
        <w:tc>
          <w:tcPr>
            <w:tcW w:w="924" w:type="dxa"/>
            <w:tcBorders>
              <w:top w:val="single" w:sz="4" w:space="0" w:color="auto"/>
              <w:left w:val="single" w:sz="4" w:space="0" w:color="auto"/>
              <w:bottom w:val="single" w:sz="4" w:space="0" w:color="auto"/>
              <w:right w:val="single" w:sz="4" w:space="0" w:color="auto"/>
            </w:tcBorders>
            <w:hideMark/>
          </w:tcPr>
          <w:p w14:paraId="232893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69FB1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70D9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F51E3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38A87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47DE5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−29,3</w:t>
            </w:r>
          </w:p>
        </w:tc>
        <w:tc>
          <w:tcPr>
            <w:tcW w:w="933" w:type="dxa"/>
            <w:tcBorders>
              <w:top w:val="single" w:sz="4" w:space="0" w:color="auto"/>
              <w:left w:val="single" w:sz="4" w:space="0" w:color="auto"/>
              <w:bottom w:val="single" w:sz="4" w:space="0" w:color="auto"/>
              <w:right w:val="single" w:sz="4" w:space="0" w:color="auto"/>
            </w:tcBorders>
          </w:tcPr>
          <w:p w14:paraId="7CCC5829" w14:textId="77777777" w:rsidR="00B82F75" w:rsidRPr="00F52C10" w:rsidRDefault="00B82F75" w:rsidP="00E4628E">
            <w:pPr>
              <w:pStyle w:val="Tabletext0"/>
              <w:spacing w:before="34" w:after="34" w:line="276" w:lineRule="auto"/>
              <w:rPr>
                <w:sz w:val="18"/>
                <w:szCs w:val="18"/>
                <w:lang w:val="en-CA"/>
              </w:rPr>
            </w:pPr>
          </w:p>
        </w:tc>
      </w:tr>
      <w:tr w:rsidR="00B82F75" w:rsidRPr="00F52C10" w14:paraId="74DFBA4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B1CCC1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MYT00000</w:t>
            </w:r>
          </w:p>
        </w:tc>
        <w:tc>
          <w:tcPr>
            <w:tcW w:w="994" w:type="dxa"/>
            <w:tcBorders>
              <w:top w:val="single" w:sz="4" w:space="0" w:color="auto"/>
              <w:left w:val="single" w:sz="4" w:space="0" w:color="auto"/>
              <w:bottom w:val="single" w:sz="4" w:space="0" w:color="auto"/>
              <w:right w:val="single" w:sz="4" w:space="0" w:color="auto"/>
            </w:tcBorders>
            <w:hideMark/>
          </w:tcPr>
          <w:p w14:paraId="2ACF92C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94" w:type="dxa"/>
            <w:tcBorders>
              <w:top w:val="single" w:sz="4" w:space="0" w:color="auto"/>
              <w:left w:val="single" w:sz="4" w:space="0" w:color="auto"/>
              <w:bottom w:val="single" w:sz="4" w:space="0" w:color="auto"/>
              <w:right w:val="single" w:sz="4" w:space="0" w:color="auto"/>
            </w:tcBorders>
          </w:tcPr>
          <w:p w14:paraId="783EF478"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22359C6D"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DBECCBF"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C1C2B6"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3577563"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D3F5CC9"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2D774BF"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1EA6824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4FAC6B7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5FAFFC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NCG00000</w:t>
            </w:r>
          </w:p>
        </w:tc>
        <w:tc>
          <w:tcPr>
            <w:tcW w:w="994" w:type="dxa"/>
            <w:tcBorders>
              <w:top w:val="single" w:sz="4" w:space="0" w:color="auto"/>
              <w:left w:val="single" w:sz="4" w:space="0" w:color="auto"/>
              <w:bottom w:val="single" w:sz="4" w:space="0" w:color="auto"/>
              <w:right w:val="single" w:sz="4" w:space="0" w:color="auto"/>
            </w:tcBorders>
            <w:hideMark/>
          </w:tcPr>
          <w:p w14:paraId="49334D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−84,40</w:t>
            </w:r>
          </w:p>
        </w:tc>
        <w:tc>
          <w:tcPr>
            <w:tcW w:w="994" w:type="dxa"/>
            <w:tcBorders>
              <w:top w:val="single" w:sz="4" w:space="0" w:color="auto"/>
              <w:left w:val="single" w:sz="4" w:space="0" w:color="auto"/>
              <w:bottom w:val="single" w:sz="4" w:space="0" w:color="auto"/>
              <w:right w:val="single" w:sz="4" w:space="0" w:color="auto"/>
            </w:tcBorders>
            <w:hideMark/>
          </w:tcPr>
          <w:p w14:paraId="501F20A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−84,90</w:t>
            </w:r>
          </w:p>
        </w:tc>
        <w:tc>
          <w:tcPr>
            <w:tcW w:w="924" w:type="dxa"/>
            <w:tcBorders>
              <w:top w:val="single" w:sz="4" w:space="0" w:color="auto"/>
              <w:left w:val="single" w:sz="4" w:space="0" w:color="auto"/>
              <w:bottom w:val="single" w:sz="4" w:space="0" w:color="auto"/>
              <w:right w:val="single" w:sz="4" w:space="0" w:color="auto"/>
            </w:tcBorders>
            <w:hideMark/>
          </w:tcPr>
          <w:p w14:paraId="553433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AD91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3B709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FE5DE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865E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DDFFF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w:t>
            </w:r>
          </w:p>
        </w:tc>
        <w:tc>
          <w:tcPr>
            <w:tcW w:w="933" w:type="dxa"/>
            <w:tcBorders>
              <w:top w:val="single" w:sz="4" w:space="0" w:color="auto"/>
              <w:left w:val="single" w:sz="4" w:space="0" w:color="auto"/>
              <w:bottom w:val="single" w:sz="4" w:space="0" w:color="auto"/>
              <w:right w:val="single" w:sz="4" w:space="0" w:color="auto"/>
            </w:tcBorders>
          </w:tcPr>
          <w:p w14:paraId="1549EA41" w14:textId="77777777" w:rsidR="00B82F75" w:rsidRPr="00F52C10" w:rsidRDefault="00B82F75" w:rsidP="00E4628E">
            <w:pPr>
              <w:pStyle w:val="Tabletext0"/>
              <w:spacing w:before="34" w:after="34" w:line="276" w:lineRule="auto"/>
              <w:rPr>
                <w:sz w:val="18"/>
                <w:szCs w:val="18"/>
                <w:lang w:val="en-CA"/>
              </w:rPr>
            </w:pPr>
          </w:p>
        </w:tc>
      </w:tr>
      <w:tr w:rsidR="00B82F75" w:rsidRPr="00F52C10" w14:paraId="3BD93A8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4A2D83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NCL00000</w:t>
            </w:r>
          </w:p>
        </w:tc>
        <w:tc>
          <w:tcPr>
            <w:tcW w:w="994" w:type="dxa"/>
            <w:tcBorders>
              <w:top w:val="single" w:sz="4" w:space="0" w:color="auto"/>
              <w:left w:val="single" w:sz="4" w:space="0" w:color="auto"/>
              <w:bottom w:val="single" w:sz="4" w:space="0" w:color="auto"/>
              <w:right w:val="single" w:sz="4" w:space="0" w:color="auto"/>
            </w:tcBorders>
            <w:hideMark/>
          </w:tcPr>
          <w:p w14:paraId="164DB4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94" w:type="dxa"/>
            <w:tcBorders>
              <w:top w:val="single" w:sz="4" w:space="0" w:color="auto"/>
              <w:left w:val="single" w:sz="4" w:space="0" w:color="auto"/>
              <w:bottom w:val="single" w:sz="4" w:space="0" w:color="auto"/>
              <w:right w:val="single" w:sz="4" w:space="0" w:color="auto"/>
            </w:tcBorders>
            <w:hideMark/>
          </w:tcPr>
          <w:p w14:paraId="3E027E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165,80</w:t>
            </w:r>
          </w:p>
        </w:tc>
        <w:tc>
          <w:tcPr>
            <w:tcW w:w="924" w:type="dxa"/>
            <w:tcBorders>
              <w:top w:val="single" w:sz="4" w:space="0" w:color="auto"/>
              <w:left w:val="single" w:sz="4" w:space="0" w:color="auto"/>
              <w:bottom w:val="single" w:sz="4" w:space="0" w:color="auto"/>
              <w:right w:val="single" w:sz="4" w:space="0" w:color="auto"/>
            </w:tcBorders>
            <w:hideMark/>
          </w:tcPr>
          <w:p w14:paraId="00B6B5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C6ABC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5DB65B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CDADC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538A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6F3D3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−23,9</w:t>
            </w:r>
          </w:p>
        </w:tc>
        <w:tc>
          <w:tcPr>
            <w:tcW w:w="933" w:type="dxa"/>
            <w:tcBorders>
              <w:top w:val="single" w:sz="4" w:space="0" w:color="auto"/>
              <w:left w:val="single" w:sz="4" w:space="0" w:color="auto"/>
              <w:bottom w:val="single" w:sz="4" w:space="0" w:color="auto"/>
              <w:right w:val="single" w:sz="4" w:space="0" w:color="auto"/>
            </w:tcBorders>
            <w:hideMark/>
          </w:tcPr>
          <w:p w14:paraId="63046D1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w:t>
            </w:r>
          </w:p>
        </w:tc>
      </w:tr>
      <w:tr w:rsidR="00B82F75" w:rsidRPr="00F52C10" w14:paraId="20D170D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7A6677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NGR00000</w:t>
            </w:r>
          </w:p>
        </w:tc>
        <w:tc>
          <w:tcPr>
            <w:tcW w:w="994" w:type="dxa"/>
            <w:tcBorders>
              <w:top w:val="single" w:sz="4" w:space="0" w:color="auto"/>
              <w:left w:val="single" w:sz="4" w:space="0" w:color="auto"/>
              <w:bottom w:val="single" w:sz="4" w:space="0" w:color="auto"/>
              <w:right w:val="single" w:sz="4" w:space="0" w:color="auto"/>
            </w:tcBorders>
            <w:hideMark/>
          </w:tcPr>
          <w:p w14:paraId="65DB28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−38,50</w:t>
            </w:r>
          </w:p>
        </w:tc>
        <w:tc>
          <w:tcPr>
            <w:tcW w:w="994" w:type="dxa"/>
            <w:tcBorders>
              <w:top w:val="single" w:sz="4" w:space="0" w:color="auto"/>
              <w:left w:val="single" w:sz="4" w:space="0" w:color="auto"/>
              <w:bottom w:val="single" w:sz="4" w:space="0" w:color="auto"/>
              <w:right w:val="single" w:sz="4" w:space="0" w:color="auto"/>
            </w:tcBorders>
            <w:hideMark/>
          </w:tcPr>
          <w:p w14:paraId="23A217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7,50</w:t>
            </w:r>
          </w:p>
        </w:tc>
        <w:tc>
          <w:tcPr>
            <w:tcW w:w="924" w:type="dxa"/>
            <w:tcBorders>
              <w:top w:val="single" w:sz="4" w:space="0" w:color="auto"/>
              <w:left w:val="single" w:sz="4" w:space="0" w:color="auto"/>
              <w:bottom w:val="single" w:sz="4" w:space="0" w:color="auto"/>
              <w:right w:val="single" w:sz="4" w:space="0" w:color="auto"/>
            </w:tcBorders>
            <w:hideMark/>
          </w:tcPr>
          <w:p w14:paraId="1C7317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66A7F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EA72A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E0DA9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33416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2616B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−27,3</w:t>
            </w:r>
          </w:p>
        </w:tc>
        <w:tc>
          <w:tcPr>
            <w:tcW w:w="933" w:type="dxa"/>
            <w:tcBorders>
              <w:top w:val="single" w:sz="4" w:space="0" w:color="auto"/>
              <w:left w:val="single" w:sz="4" w:space="0" w:color="auto"/>
              <w:bottom w:val="single" w:sz="4" w:space="0" w:color="auto"/>
              <w:right w:val="single" w:sz="4" w:space="0" w:color="auto"/>
            </w:tcBorders>
          </w:tcPr>
          <w:p w14:paraId="3E56BE5B" w14:textId="77777777" w:rsidR="00B82F75" w:rsidRPr="00F52C10" w:rsidRDefault="00B82F75" w:rsidP="00E4628E">
            <w:pPr>
              <w:pStyle w:val="Tabletext0"/>
              <w:spacing w:before="34" w:after="34" w:line="276" w:lineRule="auto"/>
              <w:rPr>
                <w:sz w:val="18"/>
                <w:szCs w:val="18"/>
                <w:lang w:val="en-CA"/>
              </w:rPr>
            </w:pPr>
          </w:p>
        </w:tc>
      </w:tr>
      <w:tr w:rsidR="00B82F75" w:rsidRPr="00F52C10" w14:paraId="6DA1A32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DE2C26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NIG00000</w:t>
            </w:r>
          </w:p>
        </w:tc>
        <w:tc>
          <w:tcPr>
            <w:tcW w:w="994" w:type="dxa"/>
            <w:tcBorders>
              <w:top w:val="single" w:sz="4" w:space="0" w:color="auto"/>
              <w:left w:val="single" w:sz="4" w:space="0" w:color="auto"/>
              <w:bottom w:val="single" w:sz="4" w:space="0" w:color="auto"/>
              <w:right w:val="single" w:sz="4" w:space="0" w:color="auto"/>
            </w:tcBorders>
            <w:hideMark/>
          </w:tcPr>
          <w:p w14:paraId="1F4871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41,82</w:t>
            </w:r>
          </w:p>
        </w:tc>
        <w:tc>
          <w:tcPr>
            <w:tcW w:w="994" w:type="dxa"/>
            <w:tcBorders>
              <w:top w:val="single" w:sz="4" w:space="0" w:color="auto"/>
              <w:left w:val="single" w:sz="4" w:space="0" w:color="auto"/>
              <w:bottom w:val="single" w:sz="4" w:space="0" w:color="auto"/>
              <w:right w:val="single" w:sz="4" w:space="0" w:color="auto"/>
            </w:tcBorders>
            <w:hideMark/>
          </w:tcPr>
          <w:p w14:paraId="3942F93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24" w:type="dxa"/>
            <w:tcBorders>
              <w:top w:val="single" w:sz="4" w:space="0" w:color="auto"/>
              <w:left w:val="single" w:sz="4" w:space="0" w:color="auto"/>
              <w:bottom w:val="single" w:sz="4" w:space="0" w:color="auto"/>
              <w:right w:val="single" w:sz="4" w:space="0" w:color="auto"/>
            </w:tcBorders>
            <w:hideMark/>
          </w:tcPr>
          <w:p w14:paraId="595FF6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820F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598CB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C319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47,00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4C1D1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9A50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−22,4</w:t>
            </w:r>
          </w:p>
        </w:tc>
        <w:tc>
          <w:tcPr>
            <w:tcW w:w="933" w:type="dxa"/>
            <w:tcBorders>
              <w:top w:val="single" w:sz="4" w:space="0" w:color="auto"/>
              <w:left w:val="single" w:sz="4" w:space="0" w:color="auto"/>
              <w:bottom w:val="single" w:sz="4" w:space="0" w:color="auto"/>
              <w:right w:val="single" w:sz="4" w:space="0" w:color="auto"/>
            </w:tcBorders>
          </w:tcPr>
          <w:p w14:paraId="6D0B82B1" w14:textId="77777777" w:rsidR="00B82F75" w:rsidRPr="00F52C10" w:rsidRDefault="00B82F75" w:rsidP="00E4628E">
            <w:pPr>
              <w:pStyle w:val="Tabletext0"/>
              <w:spacing w:before="34" w:after="34" w:line="276" w:lineRule="auto"/>
              <w:rPr>
                <w:sz w:val="18"/>
                <w:szCs w:val="18"/>
                <w:lang w:val="en-CA"/>
              </w:rPr>
            </w:pPr>
          </w:p>
        </w:tc>
      </w:tr>
      <w:tr w:rsidR="00B82F75" w:rsidRPr="00F52C10" w14:paraId="266A806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CFC194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NMB00000</w:t>
            </w:r>
          </w:p>
        </w:tc>
        <w:tc>
          <w:tcPr>
            <w:tcW w:w="994" w:type="dxa"/>
            <w:tcBorders>
              <w:top w:val="single" w:sz="4" w:space="0" w:color="auto"/>
              <w:left w:val="single" w:sz="4" w:space="0" w:color="auto"/>
              <w:bottom w:val="single" w:sz="4" w:space="0" w:color="auto"/>
              <w:right w:val="single" w:sz="4" w:space="0" w:color="auto"/>
            </w:tcBorders>
            <w:hideMark/>
          </w:tcPr>
          <w:p w14:paraId="1E63A9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12,20</w:t>
            </w:r>
          </w:p>
        </w:tc>
        <w:tc>
          <w:tcPr>
            <w:tcW w:w="994" w:type="dxa"/>
            <w:tcBorders>
              <w:top w:val="single" w:sz="4" w:space="0" w:color="auto"/>
              <w:left w:val="single" w:sz="4" w:space="0" w:color="auto"/>
              <w:bottom w:val="single" w:sz="4" w:space="0" w:color="auto"/>
              <w:right w:val="single" w:sz="4" w:space="0" w:color="auto"/>
            </w:tcBorders>
            <w:hideMark/>
          </w:tcPr>
          <w:p w14:paraId="707C40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18,50</w:t>
            </w:r>
          </w:p>
        </w:tc>
        <w:tc>
          <w:tcPr>
            <w:tcW w:w="924" w:type="dxa"/>
            <w:tcBorders>
              <w:top w:val="single" w:sz="4" w:space="0" w:color="auto"/>
              <w:left w:val="single" w:sz="4" w:space="0" w:color="auto"/>
              <w:bottom w:val="single" w:sz="4" w:space="0" w:color="auto"/>
              <w:right w:val="single" w:sz="4" w:space="0" w:color="auto"/>
            </w:tcBorders>
            <w:hideMark/>
          </w:tcPr>
          <w:p w14:paraId="69C230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C506B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69F92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C4AB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EE1D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E5B2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−29,6</w:t>
            </w:r>
          </w:p>
        </w:tc>
        <w:tc>
          <w:tcPr>
            <w:tcW w:w="933" w:type="dxa"/>
            <w:tcBorders>
              <w:top w:val="single" w:sz="4" w:space="0" w:color="auto"/>
              <w:left w:val="single" w:sz="4" w:space="0" w:color="auto"/>
              <w:bottom w:val="single" w:sz="4" w:space="0" w:color="auto"/>
              <w:right w:val="single" w:sz="4" w:space="0" w:color="auto"/>
            </w:tcBorders>
          </w:tcPr>
          <w:p w14:paraId="6108B73D" w14:textId="77777777" w:rsidR="00B82F75" w:rsidRPr="00F52C10" w:rsidRDefault="00B82F75" w:rsidP="00E4628E">
            <w:pPr>
              <w:pStyle w:val="Tabletext0"/>
              <w:spacing w:before="34" w:after="34" w:line="276" w:lineRule="auto"/>
              <w:rPr>
                <w:sz w:val="18"/>
                <w:szCs w:val="18"/>
                <w:lang w:val="en-CA"/>
              </w:rPr>
            </w:pPr>
          </w:p>
        </w:tc>
      </w:tr>
      <w:tr w:rsidR="00B82F75" w:rsidRPr="00F52C10" w14:paraId="57F882C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ECD59D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NOR00000</w:t>
            </w:r>
          </w:p>
        </w:tc>
        <w:tc>
          <w:tcPr>
            <w:tcW w:w="994" w:type="dxa"/>
            <w:tcBorders>
              <w:top w:val="single" w:sz="4" w:space="0" w:color="auto"/>
              <w:left w:val="single" w:sz="4" w:space="0" w:color="auto"/>
              <w:bottom w:val="single" w:sz="4" w:space="0" w:color="auto"/>
              <w:right w:val="single" w:sz="4" w:space="0" w:color="auto"/>
            </w:tcBorders>
            <w:hideMark/>
          </w:tcPr>
          <w:p w14:paraId="06FD81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94" w:type="dxa"/>
            <w:tcBorders>
              <w:top w:val="single" w:sz="4" w:space="0" w:color="auto"/>
              <w:left w:val="single" w:sz="4" w:space="0" w:color="auto"/>
              <w:bottom w:val="single" w:sz="4" w:space="0" w:color="auto"/>
              <w:right w:val="single" w:sz="4" w:space="0" w:color="auto"/>
            </w:tcBorders>
          </w:tcPr>
          <w:p w14:paraId="464C9CAD"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0423613B"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C55D9BE"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48F2889"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312F9CB"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05BB68"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F37CBD"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3005577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09BBDAD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3BD3E3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NPL00000</w:t>
            </w:r>
          </w:p>
        </w:tc>
        <w:tc>
          <w:tcPr>
            <w:tcW w:w="994" w:type="dxa"/>
            <w:tcBorders>
              <w:top w:val="single" w:sz="4" w:space="0" w:color="auto"/>
              <w:left w:val="single" w:sz="4" w:space="0" w:color="auto"/>
              <w:bottom w:val="single" w:sz="4" w:space="0" w:color="auto"/>
              <w:right w:val="single" w:sz="4" w:space="0" w:color="auto"/>
            </w:tcBorders>
            <w:hideMark/>
          </w:tcPr>
          <w:p w14:paraId="3E08B9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123,30</w:t>
            </w:r>
          </w:p>
        </w:tc>
        <w:tc>
          <w:tcPr>
            <w:tcW w:w="994" w:type="dxa"/>
            <w:tcBorders>
              <w:top w:val="single" w:sz="4" w:space="0" w:color="auto"/>
              <w:left w:val="single" w:sz="4" w:space="0" w:color="auto"/>
              <w:bottom w:val="single" w:sz="4" w:space="0" w:color="auto"/>
              <w:right w:val="single" w:sz="4" w:space="0" w:color="auto"/>
            </w:tcBorders>
            <w:hideMark/>
          </w:tcPr>
          <w:p w14:paraId="6FCE62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84,40</w:t>
            </w:r>
          </w:p>
        </w:tc>
        <w:tc>
          <w:tcPr>
            <w:tcW w:w="924" w:type="dxa"/>
            <w:tcBorders>
              <w:top w:val="single" w:sz="4" w:space="0" w:color="auto"/>
              <w:left w:val="single" w:sz="4" w:space="0" w:color="auto"/>
              <w:bottom w:val="single" w:sz="4" w:space="0" w:color="auto"/>
              <w:right w:val="single" w:sz="4" w:space="0" w:color="auto"/>
            </w:tcBorders>
            <w:hideMark/>
          </w:tcPr>
          <w:p w14:paraId="5BAC13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37DF6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6399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1FEDE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9BBCE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4E122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−26,6</w:t>
            </w:r>
          </w:p>
        </w:tc>
        <w:tc>
          <w:tcPr>
            <w:tcW w:w="933" w:type="dxa"/>
            <w:tcBorders>
              <w:top w:val="single" w:sz="4" w:space="0" w:color="auto"/>
              <w:left w:val="single" w:sz="4" w:space="0" w:color="auto"/>
              <w:bottom w:val="single" w:sz="4" w:space="0" w:color="auto"/>
              <w:right w:val="single" w:sz="4" w:space="0" w:color="auto"/>
            </w:tcBorders>
          </w:tcPr>
          <w:p w14:paraId="6C015236" w14:textId="77777777" w:rsidR="00B82F75" w:rsidRPr="00F52C10" w:rsidRDefault="00B82F75" w:rsidP="00E4628E">
            <w:pPr>
              <w:pStyle w:val="Tabletext0"/>
              <w:spacing w:before="34" w:after="34" w:line="276" w:lineRule="auto"/>
              <w:rPr>
                <w:sz w:val="18"/>
                <w:szCs w:val="18"/>
                <w:lang w:val="en-CA"/>
              </w:rPr>
            </w:pPr>
          </w:p>
        </w:tc>
      </w:tr>
      <w:tr w:rsidR="00B82F75" w:rsidRPr="00F52C10" w14:paraId="5D34D45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6C7B32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NRU00000</w:t>
            </w:r>
          </w:p>
        </w:tc>
        <w:tc>
          <w:tcPr>
            <w:tcW w:w="994" w:type="dxa"/>
            <w:tcBorders>
              <w:top w:val="single" w:sz="4" w:space="0" w:color="auto"/>
              <w:left w:val="single" w:sz="4" w:space="0" w:color="auto"/>
              <w:bottom w:val="single" w:sz="4" w:space="0" w:color="auto"/>
              <w:right w:val="single" w:sz="4" w:space="0" w:color="auto"/>
            </w:tcBorders>
            <w:hideMark/>
          </w:tcPr>
          <w:p w14:paraId="36302CA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146,00</w:t>
            </w:r>
          </w:p>
        </w:tc>
        <w:tc>
          <w:tcPr>
            <w:tcW w:w="994" w:type="dxa"/>
            <w:tcBorders>
              <w:top w:val="single" w:sz="4" w:space="0" w:color="auto"/>
              <w:left w:val="single" w:sz="4" w:space="0" w:color="auto"/>
              <w:bottom w:val="single" w:sz="4" w:space="0" w:color="auto"/>
              <w:right w:val="single" w:sz="4" w:space="0" w:color="auto"/>
            </w:tcBorders>
            <w:hideMark/>
          </w:tcPr>
          <w:p w14:paraId="712E65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166,90</w:t>
            </w:r>
          </w:p>
        </w:tc>
        <w:tc>
          <w:tcPr>
            <w:tcW w:w="924" w:type="dxa"/>
            <w:tcBorders>
              <w:top w:val="single" w:sz="4" w:space="0" w:color="auto"/>
              <w:left w:val="single" w:sz="4" w:space="0" w:color="auto"/>
              <w:bottom w:val="single" w:sz="4" w:space="0" w:color="auto"/>
              <w:right w:val="single" w:sz="4" w:space="0" w:color="auto"/>
            </w:tcBorders>
            <w:hideMark/>
          </w:tcPr>
          <w:p w14:paraId="1BFD8C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8F99C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036D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8130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1ED8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A56CB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−27,2</w:t>
            </w:r>
          </w:p>
        </w:tc>
        <w:tc>
          <w:tcPr>
            <w:tcW w:w="933" w:type="dxa"/>
            <w:tcBorders>
              <w:top w:val="single" w:sz="4" w:space="0" w:color="auto"/>
              <w:left w:val="single" w:sz="4" w:space="0" w:color="auto"/>
              <w:bottom w:val="single" w:sz="4" w:space="0" w:color="auto"/>
              <w:right w:val="single" w:sz="4" w:space="0" w:color="auto"/>
            </w:tcBorders>
          </w:tcPr>
          <w:p w14:paraId="6ECD8359" w14:textId="77777777" w:rsidR="00B82F75" w:rsidRPr="00F52C10" w:rsidRDefault="00B82F75" w:rsidP="00E4628E">
            <w:pPr>
              <w:pStyle w:val="Tabletext0"/>
              <w:spacing w:before="34" w:after="34" w:line="276" w:lineRule="auto"/>
              <w:rPr>
                <w:sz w:val="18"/>
                <w:szCs w:val="18"/>
                <w:lang w:val="en-CA"/>
              </w:rPr>
            </w:pPr>
          </w:p>
        </w:tc>
      </w:tr>
      <w:tr w:rsidR="00B82F75" w:rsidRPr="00F52C10" w14:paraId="1C499DB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EC39DF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NZL00001</w:t>
            </w:r>
          </w:p>
        </w:tc>
        <w:tc>
          <w:tcPr>
            <w:tcW w:w="994" w:type="dxa"/>
            <w:tcBorders>
              <w:top w:val="single" w:sz="4" w:space="0" w:color="auto"/>
              <w:left w:val="single" w:sz="4" w:space="0" w:color="auto"/>
              <w:bottom w:val="single" w:sz="4" w:space="0" w:color="auto"/>
              <w:right w:val="single" w:sz="4" w:space="0" w:color="auto"/>
            </w:tcBorders>
            <w:hideMark/>
          </w:tcPr>
          <w:p w14:paraId="419017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152,00</w:t>
            </w:r>
          </w:p>
        </w:tc>
        <w:tc>
          <w:tcPr>
            <w:tcW w:w="994" w:type="dxa"/>
            <w:tcBorders>
              <w:top w:val="single" w:sz="4" w:space="0" w:color="auto"/>
              <w:left w:val="single" w:sz="4" w:space="0" w:color="auto"/>
              <w:bottom w:val="single" w:sz="4" w:space="0" w:color="auto"/>
              <w:right w:val="single" w:sz="4" w:space="0" w:color="auto"/>
            </w:tcBorders>
            <w:hideMark/>
          </w:tcPr>
          <w:p w14:paraId="4FD10D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170,90</w:t>
            </w:r>
          </w:p>
        </w:tc>
        <w:tc>
          <w:tcPr>
            <w:tcW w:w="924" w:type="dxa"/>
            <w:tcBorders>
              <w:top w:val="single" w:sz="4" w:space="0" w:color="auto"/>
              <w:left w:val="single" w:sz="4" w:space="0" w:color="auto"/>
              <w:bottom w:val="single" w:sz="4" w:space="0" w:color="auto"/>
              <w:right w:val="single" w:sz="4" w:space="0" w:color="auto"/>
            </w:tcBorders>
            <w:hideMark/>
          </w:tcPr>
          <w:p w14:paraId="21EDFE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−44,80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537F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85499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096BA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182D07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832EA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−26,5</w:t>
            </w:r>
          </w:p>
        </w:tc>
        <w:tc>
          <w:tcPr>
            <w:tcW w:w="933" w:type="dxa"/>
            <w:tcBorders>
              <w:top w:val="single" w:sz="4" w:space="0" w:color="auto"/>
              <w:left w:val="single" w:sz="4" w:space="0" w:color="auto"/>
              <w:bottom w:val="single" w:sz="4" w:space="0" w:color="auto"/>
              <w:right w:val="single" w:sz="4" w:space="0" w:color="auto"/>
            </w:tcBorders>
            <w:hideMark/>
          </w:tcPr>
          <w:p w14:paraId="7DA0C8F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*/MB14</w:t>
            </w:r>
          </w:p>
        </w:tc>
      </w:tr>
      <w:tr w:rsidR="00B82F75" w:rsidRPr="00F52C10" w14:paraId="1A4046D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F33FAF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NZL00002</w:t>
            </w:r>
          </w:p>
        </w:tc>
        <w:tc>
          <w:tcPr>
            <w:tcW w:w="994" w:type="dxa"/>
            <w:tcBorders>
              <w:top w:val="single" w:sz="4" w:space="0" w:color="auto"/>
              <w:left w:val="single" w:sz="4" w:space="0" w:color="auto"/>
              <w:bottom w:val="single" w:sz="4" w:space="0" w:color="auto"/>
              <w:right w:val="single" w:sz="4" w:space="0" w:color="auto"/>
            </w:tcBorders>
            <w:hideMark/>
          </w:tcPr>
          <w:p w14:paraId="182F20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152,00</w:t>
            </w:r>
          </w:p>
        </w:tc>
        <w:tc>
          <w:tcPr>
            <w:tcW w:w="994" w:type="dxa"/>
            <w:tcBorders>
              <w:top w:val="single" w:sz="4" w:space="0" w:color="auto"/>
              <w:left w:val="single" w:sz="4" w:space="0" w:color="auto"/>
              <w:bottom w:val="single" w:sz="4" w:space="0" w:color="auto"/>
              <w:right w:val="single" w:sz="4" w:space="0" w:color="auto"/>
            </w:tcBorders>
            <w:hideMark/>
          </w:tcPr>
          <w:p w14:paraId="62EE9D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−165,40</w:t>
            </w:r>
          </w:p>
        </w:tc>
        <w:tc>
          <w:tcPr>
            <w:tcW w:w="924" w:type="dxa"/>
            <w:tcBorders>
              <w:top w:val="single" w:sz="4" w:space="0" w:color="auto"/>
              <w:left w:val="single" w:sz="4" w:space="0" w:color="auto"/>
              <w:bottom w:val="single" w:sz="4" w:space="0" w:color="auto"/>
              <w:right w:val="single" w:sz="4" w:space="0" w:color="auto"/>
            </w:tcBorders>
            <w:hideMark/>
          </w:tcPr>
          <w:p w14:paraId="771813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1BFC52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4FB53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8B9194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00BAF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57D0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w:t>
            </w:r>
          </w:p>
        </w:tc>
        <w:tc>
          <w:tcPr>
            <w:tcW w:w="933" w:type="dxa"/>
            <w:tcBorders>
              <w:top w:val="single" w:sz="4" w:space="0" w:color="auto"/>
              <w:left w:val="single" w:sz="4" w:space="0" w:color="auto"/>
              <w:bottom w:val="single" w:sz="4" w:space="0" w:color="auto"/>
              <w:right w:val="single" w:sz="4" w:space="0" w:color="auto"/>
            </w:tcBorders>
            <w:hideMark/>
          </w:tcPr>
          <w:p w14:paraId="62EF87F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*/MB14</w:t>
            </w:r>
          </w:p>
        </w:tc>
      </w:tr>
      <w:tr w:rsidR="00B82F75" w:rsidRPr="00F52C10" w14:paraId="44C13F9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EEA180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OCE00000</w:t>
            </w:r>
          </w:p>
        </w:tc>
        <w:tc>
          <w:tcPr>
            <w:tcW w:w="994" w:type="dxa"/>
            <w:tcBorders>
              <w:top w:val="single" w:sz="4" w:space="0" w:color="auto"/>
              <w:left w:val="single" w:sz="4" w:space="0" w:color="auto"/>
              <w:bottom w:val="single" w:sz="4" w:space="0" w:color="auto"/>
              <w:right w:val="single" w:sz="4" w:space="0" w:color="auto"/>
            </w:tcBorders>
            <w:hideMark/>
          </w:tcPr>
          <w:p w14:paraId="65A84B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−115,90</w:t>
            </w:r>
          </w:p>
        </w:tc>
        <w:tc>
          <w:tcPr>
            <w:tcW w:w="994" w:type="dxa"/>
            <w:tcBorders>
              <w:top w:val="single" w:sz="4" w:space="0" w:color="auto"/>
              <w:left w:val="single" w:sz="4" w:space="0" w:color="auto"/>
              <w:bottom w:val="single" w:sz="4" w:space="0" w:color="auto"/>
              <w:right w:val="single" w:sz="4" w:space="0" w:color="auto"/>
            </w:tcBorders>
            <w:hideMark/>
          </w:tcPr>
          <w:p w14:paraId="0476F5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−141,90</w:t>
            </w:r>
          </w:p>
        </w:tc>
        <w:tc>
          <w:tcPr>
            <w:tcW w:w="924" w:type="dxa"/>
            <w:tcBorders>
              <w:top w:val="single" w:sz="4" w:space="0" w:color="auto"/>
              <w:left w:val="single" w:sz="4" w:space="0" w:color="auto"/>
              <w:bottom w:val="single" w:sz="4" w:space="0" w:color="auto"/>
              <w:right w:val="single" w:sz="4" w:space="0" w:color="auto"/>
            </w:tcBorders>
            <w:hideMark/>
          </w:tcPr>
          <w:p w14:paraId="62B642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51244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D9A0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FFB10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139,00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DBA75E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54A62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−24,2</w:t>
            </w:r>
          </w:p>
        </w:tc>
        <w:tc>
          <w:tcPr>
            <w:tcW w:w="933" w:type="dxa"/>
            <w:tcBorders>
              <w:top w:val="single" w:sz="4" w:space="0" w:color="auto"/>
              <w:left w:val="single" w:sz="4" w:space="0" w:color="auto"/>
              <w:bottom w:val="single" w:sz="4" w:space="0" w:color="auto"/>
              <w:right w:val="single" w:sz="4" w:space="0" w:color="auto"/>
            </w:tcBorders>
            <w:hideMark/>
          </w:tcPr>
          <w:p w14:paraId="619FA67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*/MB13</w:t>
            </w:r>
          </w:p>
        </w:tc>
      </w:tr>
      <w:tr w:rsidR="00B82F75" w:rsidRPr="00F52C10" w14:paraId="6F27099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4B0D44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OMA00000</w:t>
            </w:r>
          </w:p>
        </w:tc>
        <w:tc>
          <w:tcPr>
            <w:tcW w:w="994" w:type="dxa"/>
            <w:tcBorders>
              <w:top w:val="single" w:sz="4" w:space="0" w:color="auto"/>
              <w:left w:val="single" w:sz="4" w:space="0" w:color="auto"/>
              <w:bottom w:val="single" w:sz="4" w:space="0" w:color="auto"/>
              <w:right w:val="single" w:sz="4" w:space="0" w:color="auto"/>
            </w:tcBorders>
            <w:hideMark/>
          </w:tcPr>
          <w:p w14:paraId="4ECC74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104,00</w:t>
            </w:r>
          </w:p>
        </w:tc>
        <w:tc>
          <w:tcPr>
            <w:tcW w:w="994" w:type="dxa"/>
            <w:tcBorders>
              <w:top w:val="single" w:sz="4" w:space="0" w:color="auto"/>
              <w:left w:val="single" w:sz="4" w:space="0" w:color="auto"/>
              <w:bottom w:val="single" w:sz="4" w:space="0" w:color="auto"/>
              <w:right w:val="single" w:sz="4" w:space="0" w:color="auto"/>
            </w:tcBorders>
            <w:hideMark/>
          </w:tcPr>
          <w:p w14:paraId="149EEC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55,10</w:t>
            </w:r>
          </w:p>
        </w:tc>
        <w:tc>
          <w:tcPr>
            <w:tcW w:w="924" w:type="dxa"/>
            <w:tcBorders>
              <w:top w:val="single" w:sz="4" w:space="0" w:color="auto"/>
              <w:left w:val="single" w:sz="4" w:space="0" w:color="auto"/>
              <w:bottom w:val="single" w:sz="4" w:space="0" w:color="auto"/>
              <w:right w:val="single" w:sz="4" w:space="0" w:color="auto"/>
            </w:tcBorders>
            <w:hideMark/>
          </w:tcPr>
          <w:p w14:paraId="2FD68C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4CD804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ABF186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17335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19F6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00098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−29,3</w:t>
            </w:r>
          </w:p>
        </w:tc>
        <w:tc>
          <w:tcPr>
            <w:tcW w:w="933" w:type="dxa"/>
            <w:tcBorders>
              <w:top w:val="single" w:sz="4" w:space="0" w:color="auto"/>
              <w:left w:val="single" w:sz="4" w:space="0" w:color="auto"/>
              <w:bottom w:val="single" w:sz="4" w:space="0" w:color="auto"/>
              <w:right w:val="single" w:sz="4" w:space="0" w:color="auto"/>
            </w:tcBorders>
          </w:tcPr>
          <w:p w14:paraId="11D9E4B1" w14:textId="77777777" w:rsidR="00B82F75" w:rsidRPr="00F52C10" w:rsidRDefault="00B82F75" w:rsidP="00E4628E">
            <w:pPr>
              <w:pStyle w:val="Tabletext0"/>
              <w:spacing w:before="34" w:after="34" w:line="276" w:lineRule="auto"/>
              <w:rPr>
                <w:sz w:val="18"/>
                <w:szCs w:val="18"/>
                <w:lang w:val="en-CA"/>
              </w:rPr>
            </w:pPr>
          </w:p>
        </w:tc>
      </w:tr>
      <w:tr w:rsidR="00B82F75" w:rsidRPr="00F52C10" w14:paraId="6F675F7F"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7A7643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PAK00000</w:t>
            </w:r>
          </w:p>
        </w:tc>
        <w:tc>
          <w:tcPr>
            <w:tcW w:w="994" w:type="dxa"/>
            <w:tcBorders>
              <w:top w:val="single" w:sz="4" w:space="0" w:color="auto"/>
              <w:left w:val="single" w:sz="4" w:space="0" w:color="auto"/>
              <w:bottom w:val="single" w:sz="4" w:space="0" w:color="auto"/>
              <w:right w:val="single" w:sz="4" w:space="0" w:color="auto"/>
            </w:tcBorders>
            <w:hideMark/>
          </w:tcPr>
          <w:p w14:paraId="7BBC1F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56,50</w:t>
            </w:r>
          </w:p>
        </w:tc>
        <w:tc>
          <w:tcPr>
            <w:tcW w:w="994" w:type="dxa"/>
            <w:tcBorders>
              <w:top w:val="single" w:sz="4" w:space="0" w:color="auto"/>
              <w:left w:val="single" w:sz="4" w:space="0" w:color="auto"/>
              <w:bottom w:val="single" w:sz="4" w:space="0" w:color="auto"/>
              <w:right w:val="single" w:sz="4" w:space="0" w:color="auto"/>
            </w:tcBorders>
            <w:hideMark/>
          </w:tcPr>
          <w:p w14:paraId="7B0D2C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69,90</w:t>
            </w:r>
          </w:p>
        </w:tc>
        <w:tc>
          <w:tcPr>
            <w:tcW w:w="924" w:type="dxa"/>
            <w:tcBorders>
              <w:top w:val="single" w:sz="4" w:space="0" w:color="auto"/>
              <w:left w:val="single" w:sz="4" w:space="0" w:color="auto"/>
              <w:bottom w:val="single" w:sz="4" w:space="0" w:color="auto"/>
              <w:right w:val="single" w:sz="4" w:space="0" w:color="auto"/>
            </w:tcBorders>
            <w:hideMark/>
          </w:tcPr>
          <w:p w14:paraId="437F56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2397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B7F6A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2274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ECE91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5A613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−25,7</w:t>
            </w:r>
          </w:p>
        </w:tc>
        <w:tc>
          <w:tcPr>
            <w:tcW w:w="933" w:type="dxa"/>
            <w:tcBorders>
              <w:top w:val="single" w:sz="4" w:space="0" w:color="auto"/>
              <w:left w:val="single" w:sz="4" w:space="0" w:color="auto"/>
              <w:bottom w:val="single" w:sz="4" w:space="0" w:color="auto"/>
              <w:right w:val="single" w:sz="4" w:space="0" w:color="auto"/>
            </w:tcBorders>
          </w:tcPr>
          <w:p w14:paraId="3F3856D1" w14:textId="77777777" w:rsidR="00B82F75" w:rsidRPr="00F52C10" w:rsidRDefault="00B82F75" w:rsidP="00E4628E">
            <w:pPr>
              <w:pStyle w:val="Tabletext0"/>
              <w:spacing w:before="34" w:after="34" w:line="276" w:lineRule="auto"/>
              <w:rPr>
                <w:sz w:val="18"/>
                <w:szCs w:val="18"/>
                <w:lang w:val="en-CA"/>
              </w:rPr>
            </w:pPr>
          </w:p>
        </w:tc>
      </w:tr>
      <w:tr w:rsidR="00B82F75" w:rsidRPr="00F52C10" w14:paraId="7B9B365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BC7879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PHL00000</w:t>
            </w:r>
          </w:p>
        </w:tc>
        <w:tc>
          <w:tcPr>
            <w:tcW w:w="994" w:type="dxa"/>
            <w:tcBorders>
              <w:top w:val="single" w:sz="4" w:space="0" w:color="auto"/>
              <w:left w:val="single" w:sz="4" w:space="0" w:color="auto"/>
              <w:bottom w:val="single" w:sz="4" w:space="0" w:color="auto"/>
              <w:right w:val="single" w:sz="4" w:space="0" w:color="auto"/>
            </w:tcBorders>
            <w:hideMark/>
          </w:tcPr>
          <w:p w14:paraId="60A9A0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161,00</w:t>
            </w:r>
          </w:p>
        </w:tc>
        <w:tc>
          <w:tcPr>
            <w:tcW w:w="994" w:type="dxa"/>
            <w:tcBorders>
              <w:top w:val="single" w:sz="4" w:space="0" w:color="auto"/>
              <w:left w:val="single" w:sz="4" w:space="0" w:color="auto"/>
              <w:bottom w:val="single" w:sz="4" w:space="0" w:color="auto"/>
              <w:right w:val="single" w:sz="4" w:space="0" w:color="auto"/>
            </w:tcBorders>
            <w:hideMark/>
          </w:tcPr>
          <w:p w14:paraId="668B60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122,23</w:t>
            </w:r>
          </w:p>
        </w:tc>
        <w:tc>
          <w:tcPr>
            <w:tcW w:w="924" w:type="dxa"/>
            <w:tcBorders>
              <w:top w:val="single" w:sz="4" w:space="0" w:color="auto"/>
              <w:left w:val="single" w:sz="4" w:space="0" w:color="auto"/>
              <w:bottom w:val="single" w:sz="4" w:space="0" w:color="auto"/>
              <w:right w:val="single" w:sz="4" w:space="0" w:color="auto"/>
            </w:tcBorders>
            <w:hideMark/>
          </w:tcPr>
          <w:p w14:paraId="0C058BE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11,37</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D5BB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3,33</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181EE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1,41</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B2E6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79,65</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A39B1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25959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−22,3</w:t>
            </w:r>
          </w:p>
        </w:tc>
        <w:tc>
          <w:tcPr>
            <w:tcW w:w="933" w:type="dxa"/>
            <w:tcBorders>
              <w:top w:val="single" w:sz="4" w:space="0" w:color="auto"/>
              <w:left w:val="single" w:sz="4" w:space="0" w:color="auto"/>
              <w:bottom w:val="single" w:sz="4" w:space="0" w:color="auto"/>
              <w:right w:val="single" w:sz="4" w:space="0" w:color="auto"/>
            </w:tcBorders>
          </w:tcPr>
          <w:p w14:paraId="08C4A92F" w14:textId="77777777" w:rsidR="00B82F75" w:rsidRPr="00F52C10" w:rsidRDefault="00B82F75" w:rsidP="00E4628E">
            <w:pPr>
              <w:pStyle w:val="Tabletext0"/>
              <w:spacing w:before="34" w:after="34" w:line="276" w:lineRule="auto"/>
              <w:rPr>
                <w:sz w:val="18"/>
                <w:szCs w:val="18"/>
                <w:lang w:val="en-CA"/>
              </w:rPr>
            </w:pPr>
          </w:p>
        </w:tc>
      </w:tr>
      <w:tr w:rsidR="00B82F75" w:rsidRPr="00F52C10" w14:paraId="4574E4D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C81297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PLM00000</w:t>
            </w:r>
          </w:p>
        </w:tc>
        <w:tc>
          <w:tcPr>
            <w:tcW w:w="994" w:type="dxa"/>
            <w:tcBorders>
              <w:top w:val="single" w:sz="4" w:space="0" w:color="auto"/>
              <w:left w:val="single" w:sz="4" w:space="0" w:color="auto"/>
              <w:bottom w:val="single" w:sz="4" w:space="0" w:color="auto"/>
              <w:right w:val="single" w:sz="4" w:space="0" w:color="auto"/>
            </w:tcBorders>
            <w:hideMark/>
          </w:tcPr>
          <w:p w14:paraId="521F623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1907981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−161,40</w:t>
            </w:r>
          </w:p>
        </w:tc>
        <w:tc>
          <w:tcPr>
            <w:tcW w:w="924" w:type="dxa"/>
            <w:tcBorders>
              <w:top w:val="single" w:sz="4" w:space="0" w:color="auto"/>
              <w:left w:val="single" w:sz="4" w:space="0" w:color="auto"/>
              <w:bottom w:val="single" w:sz="4" w:space="0" w:color="auto"/>
              <w:right w:val="single" w:sz="4" w:space="0" w:color="auto"/>
            </w:tcBorders>
            <w:hideMark/>
          </w:tcPr>
          <w:p w14:paraId="5363A35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07D54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3164F2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9E769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CA27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5A90C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−27,6</w:t>
            </w:r>
          </w:p>
        </w:tc>
        <w:tc>
          <w:tcPr>
            <w:tcW w:w="933" w:type="dxa"/>
            <w:tcBorders>
              <w:top w:val="single" w:sz="4" w:space="0" w:color="auto"/>
              <w:left w:val="single" w:sz="4" w:space="0" w:color="auto"/>
              <w:bottom w:val="single" w:sz="4" w:space="0" w:color="auto"/>
              <w:right w:val="single" w:sz="4" w:space="0" w:color="auto"/>
            </w:tcBorders>
            <w:hideMark/>
          </w:tcPr>
          <w:p w14:paraId="4070E10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139310B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07BE12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PNG00000</w:t>
            </w:r>
          </w:p>
        </w:tc>
        <w:tc>
          <w:tcPr>
            <w:tcW w:w="994" w:type="dxa"/>
            <w:tcBorders>
              <w:top w:val="single" w:sz="4" w:space="0" w:color="auto"/>
              <w:left w:val="single" w:sz="4" w:space="0" w:color="auto"/>
              <w:bottom w:val="single" w:sz="4" w:space="0" w:color="auto"/>
              <w:right w:val="single" w:sz="4" w:space="0" w:color="auto"/>
            </w:tcBorders>
            <w:hideMark/>
          </w:tcPr>
          <w:p w14:paraId="1B794ED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154,10</w:t>
            </w:r>
          </w:p>
        </w:tc>
        <w:tc>
          <w:tcPr>
            <w:tcW w:w="994" w:type="dxa"/>
            <w:tcBorders>
              <w:top w:val="single" w:sz="4" w:space="0" w:color="auto"/>
              <w:left w:val="single" w:sz="4" w:space="0" w:color="auto"/>
              <w:bottom w:val="single" w:sz="4" w:space="0" w:color="auto"/>
              <w:right w:val="single" w:sz="4" w:space="0" w:color="auto"/>
            </w:tcBorders>
            <w:hideMark/>
          </w:tcPr>
          <w:p w14:paraId="17D348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148,40</w:t>
            </w:r>
          </w:p>
        </w:tc>
        <w:tc>
          <w:tcPr>
            <w:tcW w:w="924" w:type="dxa"/>
            <w:tcBorders>
              <w:top w:val="single" w:sz="4" w:space="0" w:color="auto"/>
              <w:left w:val="single" w:sz="4" w:space="0" w:color="auto"/>
              <w:bottom w:val="single" w:sz="4" w:space="0" w:color="auto"/>
              <w:right w:val="single" w:sz="4" w:space="0" w:color="auto"/>
            </w:tcBorders>
            <w:hideMark/>
          </w:tcPr>
          <w:p w14:paraId="1F9FBC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098F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FD8D4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C4B12F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167,00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7247D2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DE31E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−22,7</w:t>
            </w:r>
          </w:p>
        </w:tc>
        <w:tc>
          <w:tcPr>
            <w:tcW w:w="933" w:type="dxa"/>
            <w:tcBorders>
              <w:top w:val="single" w:sz="4" w:space="0" w:color="auto"/>
              <w:left w:val="single" w:sz="4" w:space="0" w:color="auto"/>
              <w:bottom w:val="single" w:sz="4" w:space="0" w:color="auto"/>
              <w:right w:val="single" w:sz="4" w:space="0" w:color="auto"/>
            </w:tcBorders>
          </w:tcPr>
          <w:p w14:paraId="2D182D6A" w14:textId="77777777" w:rsidR="00B82F75" w:rsidRPr="00F52C10" w:rsidRDefault="00B82F75" w:rsidP="00E4628E">
            <w:pPr>
              <w:pStyle w:val="Tabletext0"/>
              <w:spacing w:before="34" w:after="34" w:line="276" w:lineRule="auto"/>
              <w:rPr>
                <w:sz w:val="18"/>
                <w:szCs w:val="18"/>
                <w:lang w:val="en-CA"/>
              </w:rPr>
            </w:pPr>
          </w:p>
        </w:tc>
      </w:tr>
      <w:tr w:rsidR="00B82F75" w:rsidRPr="00F52C10" w14:paraId="5D35C28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BF4910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PNR00000</w:t>
            </w:r>
          </w:p>
        </w:tc>
        <w:tc>
          <w:tcPr>
            <w:tcW w:w="994" w:type="dxa"/>
            <w:tcBorders>
              <w:top w:val="single" w:sz="4" w:space="0" w:color="auto"/>
              <w:left w:val="single" w:sz="4" w:space="0" w:color="auto"/>
              <w:bottom w:val="single" w:sz="4" w:space="0" w:color="auto"/>
              <w:right w:val="single" w:sz="4" w:space="0" w:color="auto"/>
            </w:tcBorders>
            <w:hideMark/>
          </w:tcPr>
          <w:p w14:paraId="406C5F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−79,20</w:t>
            </w:r>
          </w:p>
        </w:tc>
        <w:tc>
          <w:tcPr>
            <w:tcW w:w="994" w:type="dxa"/>
            <w:tcBorders>
              <w:top w:val="single" w:sz="4" w:space="0" w:color="auto"/>
              <w:left w:val="single" w:sz="4" w:space="0" w:color="auto"/>
              <w:bottom w:val="single" w:sz="4" w:space="0" w:color="auto"/>
              <w:right w:val="single" w:sz="4" w:space="0" w:color="auto"/>
            </w:tcBorders>
            <w:hideMark/>
          </w:tcPr>
          <w:p w14:paraId="1899C1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−80,20</w:t>
            </w:r>
          </w:p>
        </w:tc>
        <w:tc>
          <w:tcPr>
            <w:tcW w:w="924" w:type="dxa"/>
            <w:tcBorders>
              <w:top w:val="single" w:sz="4" w:space="0" w:color="auto"/>
              <w:left w:val="single" w:sz="4" w:space="0" w:color="auto"/>
              <w:bottom w:val="single" w:sz="4" w:space="0" w:color="auto"/>
              <w:right w:val="single" w:sz="4" w:space="0" w:color="auto"/>
            </w:tcBorders>
            <w:hideMark/>
          </w:tcPr>
          <w:p w14:paraId="5DAB62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2EDE0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BEE4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84B83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177,00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FFA1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0F413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−23,2</w:t>
            </w:r>
          </w:p>
        </w:tc>
        <w:tc>
          <w:tcPr>
            <w:tcW w:w="933" w:type="dxa"/>
            <w:tcBorders>
              <w:top w:val="single" w:sz="4" w:space="0" w:color="auto"/>
              <w:left w:val="single" w:sz="4" w:space="0" w:color="auto"/>
              <w:bottom w:val="single" w:sz="4" w:space="0" w:color="auto"/>
              <w:right w:val="single" w:sz="4" w:space="0" w:color="auto"/>
            </w:tcBorders>
          </w:tcPr>
          <w:p w14:paraId="4EA2F8F6" w14:textId="77777777" w:rsidR="00B82F75" w:rsidRPr="00F52C10" w:rsidRDefault="00B82F75" w:rsidP="00E4628E">
            <w:pPr>
              <w:pStyle w:val="Tabletext0"/>
              <w:spacing w:before="34" w:after="34" w:line="276" w:lineRule="auto"/>
              <w:rPr>
                <w:sz w:val="18"/>
                <w:szCs w:val="18"/>
                <w:lang w:val="en-CA"/>
              </w:rPr>
            </w:pPr>
          </w:p>
        </w:tc>
      </w:tr>
      <w:tr w:rsidR="00B82F75" w:rsidRPr="00F52C10" w14:paraId="44AAB94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2752BC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POL00000</w:t>
            </w:r>
          </w:p>
        </w:tc>
        <w:tc>
          <w:tcPr>
            <w:tcW w:w="994" w:type="dxa"/>
            <w:tcBorders>
              <w:top w:val="single" w:sz="4" w:space="0" w:color="auto"/>
              <w:left w:val="single" w:sz="4" w:space="0" w:color="auto"/>
              <w:bottom w:val="single" w:sz="4" w:space="0" w:color="auto"/>
              <w:right w:val="single" w:sz="4" w:space="0" w:color="auto"/>
            </w:tcBorders>
            <w:hideMark/>
          </w:tcPr>
          <w:p w14:paraId="141D76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15,20</w:t>
            </w:r>
          </w:p>
        </w:tc>
        <w:tc>
          <w:tcPr>
            <w:tcW w:w="994" w:type="dxa"/>
            <w:tcBorders>
              <w:top w:val="single" w:sz="4" w:space="0" w:color="auto"/>
              <w:left w:val="single" w:sz="4" w:space="0" w:color="auto"/>
              <w:bottom w:val="single" w:sz="4" w:space="0" w:color="auto"/>
              <w:right w:val="single" w:sz="4" w:space="0" w:color="auto"/>
            </w:tcBorders>
            <w:hideMark/>
          </w:tcPr>
          <w:p w14:paraId="4969BD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19,30</w:t>
            </w:r>
          </w:p>
        </w:tc>
        <w:tc>
          <w:tcPr>
            <w:tcW w:w="924" w:type="dxa"/>
            <w:tcBorders>
              <w:top w:val="single" w:sz="4" w:space="0" w:color="auto"/>
              <w:left w:val="single" w:sz="4" w:space="0" w:color="auto"/>
              <w:bottom w:val="single" w:sz="4" w:space="0" w:color="auto"/>
              <w:right w:val="single" w:sz="4" w:space="0" w:color="auto"/>
            </w:tcBorders>
            <w:hideMark/>
          </w:tcPr>
          <w:p w14:paraId="78929E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52,00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DB89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0457A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4753F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11682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A54D6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−28,7</w:t>
            </w:r>
          </w:p>
        </w:tc>
        <w:tc>
          <w:tcPr>
            <w:tcW w:w="933" w:type="dxa"/>
            <w:tcBorders>
              <w:top w:val="single" w:sz="4" w:space="0" w:color="auto"/>
              <w:left w:val="single" w:sz="4" w:space="0" w:color="auto"/>
              <w:bottom w:val="single" w:sz="4" w:space="0" w:color="auto"/>
              <w:right w:val="single" w:sz="4" w:space="0" w:color="auto"/>
            </w:tcBorders>
          </w:tcPr>
          <w:p w14:paraId="3B97ABE8" w14:textId="77777777" w:rsidR="00B82F75" w:rsidRPr="00F52C10" w:rsidRDefault="00B82F75" w:rsidP="00E4628E">
            <w:pPr>
              <w:pStyle w:val="Tabletext0"/>
              <w:spacing w:before="34" w:after="34" w:line="276" w:lineRule="auto"/>
              <w:rPr>
                <w:sz w:val="18"/>
                <w:szCs w:val="18"/>
                <w:lang w:val="en-CA"/>
              </w:rPr>
            </w:pPr>
          </w:p>
        </w:tc>
      </w:tr>
      <w:tr w:rsidR="00B82F75" w:rsidRPr="00F52C10" w14:paraId="45C992A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493868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POR00000</w:t>
            </w:r>
          </w:p>
        </w:tc>
        <w:tc>
          <w:tcPr>
            <w:tcW w:w="994" w:type="dxa"/>
            <w:tcBorders>
              <w:top w:val="single" w:sz="4" w:space="0" w:color="auto"/>
              <w:left w:val="single" w:sz="4" w:space="0" w:color="auto"/>
              <w:bottom w:val="single" w:sz="4" w:space="0" w:color="auto"/>
              <w:right w:val="single" w:sz="4" w:space="0" w:color="auto"/>
            </w:tcBorders>
            <w:hideMark/>
          </w:tcPr>
          <w:p w14:paraId="0A9CD4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−10,60</w:t>
            </w:r>
          </w:p>
        </w:tc>
        <w:tc>
          <w:tcPr>
            <w:tcW w:w="994" w:type="dxa"/>
            <w:tcBorders>
              <w:top w:val="single" w:sz="4" w:space="0" w:color="auto"/>
              <w:left w:val="single" w:sz="4" w:space="0" w:color="auto"/>
              <w:bottom w:val="single" w:sz="4" w:space="0" w:color="auto"/>
              <w:right w:val="single" w:sz="4" w:space="0" w:color="auto"/>
            </w:tcBorders>
            <w:hideMark/>
          </w:tcPr>
          <w:p w14:paraId="3D9C2A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24" w:type="dxa"/>
            <w:tcBorders>
              <w:top w:val="single" w:sz="4" w:space="0" w:color="auto"/>
              <w:left w:val="single" w:sz="4" w:space="0" w:color="auto"/>
              <w:bottom w:val="single" w:sz="4" w:space="0" w:color="auto"/>
              <w:right w:val="single" w:sz="4" w:space="0" w:color="auto"/>
            </w:tcBorders>
            <w:hideMark/>
          </w:tcPr>
          <w:p w14:paraId="2B25463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027A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21686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EAECE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343153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F92589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−28,1</w:t>
            </w:r>
          </w:p>
        </w:tc>
        <w:tc>
          <w:tcPr>
            <w:tcW w:w="933" w:type="dxa"/>
            <w:tcBorders>
              <w:top w:val="single" w:sz="4" w:space="0" w:color="auto"/>
              <w:left w:val="single" w:sz="4" w:space="0" w:color="auto"/>
              <w:bottom w:val="single" w:sz="4" w:space="0" w:color="auto"/>
              <w:right w:val="single" w:sz="4" w:space="0" w:color="auto"/>
            </w:tcBorders>
            <w:hideMark/>
          </w:tcPr>
          <w:p w14:paraId="3C5C8E3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*/MB7</w:t>
            </w:r>
          </w:p>
        </w:tc>
      </w:tr>
      <w:tr w:rsidR="00B82F75" w:rsidRPr="00F52C10" w14:paraId="5D66ABE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10BD7F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PRG00000</w:t>
            </w:r>
          </w:p>
        </w:tc>
        <w:tc>
          <w:tcPr>
            <w:tcW w:w="994" w:type="dxa"/>
            <w:tcBorders>
              <w:top w:val="single" w:sz="4" w:space="0" w:color="auto"/>
              <w:left w:val="single" w:sz="4" w:space="0" w:color="auto"/>
              <w:bottom w:val="single" w:sz="4" w:space="0" w:color="auto"/>
              <w:right w:val="single" w:sz="4" w:space="0" w:color="auto"/>
            </w:tcBorders>
            <w:hideMark/>
          </w:tcPr>
          <w:p w14:paraId="1E6A4E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−81,50</w:t>
            </w:r>
          </w:p>
        </w:tc>
        <w:tc>
          <w:tcPr>
            <w:tcW w:w="994" w:type="dxa"/>
            <w:tcBorders>
              <w:top w:val="single" w:sz="4" w:space="0" w:color="auto"/>
              <w:left w:val="single" w:sz="4" w:space="0" w:color="auto"/>
              <w:bottom w:val="single" w:sz="4" w:space="0" w:color="auto"/>
              <w:right w:val="single" w:sz="4" w:space="0" w:color="auto"/>
            </w:tcBorders>
            <w:hideMark/>
          </w:tcPr>
          <w:p w14:paraId="6F5F7B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−58,70</w:t>
            </w:r>
          </w:p>
        </w:tc>
        <w:tc>
          <w:tcPr>
            <w:tcW w:w="924" w:type="dxa"/>
            <w:tcBorders>
              <w:top w:val="single" w:sz="4" w:space="0" w:color="auto"/>
              <w:left w:val="single" w:sz="4" w:space="0" w:color="auto"/>
              <w:bottom w:val="single" w:sz="4" w:space="0" w:color="auto"/>
              <w:right w:val="single" w:sz="4" w:space="0" w:color="auto"/>
            </w:tcBorders>
            <w:hideMark/>
          </w:tcPr>
          <w:p w14:paraId="3D22FE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7944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14FD9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F5192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77517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20A4E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−22,8</w:t>
            </w:r>
          </w:p>
        </w:tc>
        <w:tc>
          <w:tcPr>
            <w:tcW w:w="933" w:type="dxa"/>
            <w:tcBorders>
              <w:top w:val="single" w:sz="4" w:space="0" w:color="auto"/>
              <w:left w:val="single" w:sz="4" w:space="0" w:color="auto"/>
              <w:bottom w:val="single" w:sz="4" w:space="0" w:color="auto"/>
              <w:right w:val="single" w:sz="4" w:space="0" w:color="auto"/>
            </w:tcBorders>
          </w:tcPr>
          <w:p w14:paraId="706B3F42" w14:textId="77777777" w:rsidR="00B82F75" w:rsidRPr="00F52C10" w:rsidRDefault="00B82F75" w:rsidP="00E4628E">
            <w:pPr>
              <w:pStyle w:val="Tabletext0"/>
              <w:spacing w:before="34" w:after="34" w:line="276" w:lineRule="auto"/>
              <w:rPr>
                <w:sz w:val="18"/>
                <w:szCs w:val="18"/>
                <w:lang w:val="en-CA"/>
              </w:rPr>
            </w:pPr>
          </w:p>
        </w:tc>
      </w:tr>
      <w:tr w:rsidR="00B82F75" w:rsidRPr="00F52C10" w14:paraId="0B9E633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6DDB088"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PRU00000</w:t>
            </w:r>
          </w:p>
        </w:tc>
        <w:tc>
          <w:tcPr>
            <w:tcW w:w="994" w:type="dxa"/>
            <w:tcBorders>
              <w:top w:val="single" w:sz="4" w:space="0" w:color="auto"/>
              <w:left w:val="single" w:sz="4" w:space="0" w:color="auto"/>
              <w:bottom w:val="single" w:sz="4" w:space="0" w:color="auto"/>
              <w:right w:val="single" w:sz="4" w:space="0" w:color="auto"/>
            </w:tcBorders>
            <w:hideMark/>
          </w:tcPr>
          <w:p w14:paraId="41CA35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−89,90</w:t>
            </w:r>
          </w:p>
        </w:tc>
        <w:tc>
          <w:tcPr>
            <w:tcW w:w="994" w:type="dxa"/>
            <w:tcBorders>
              <w:top w:val="single" w:sz="4" w:space="0" w:color="auto"/>
              <w:left w:val="single" w:sz="4" w:space="0" w:color="auto"/>
              <w:bottom w:val="single" w:sz="4" w:space="0" w:color="auto"/>
              <w:right w:val="single" w:sz="4" w:space="0" w:color="auto"/>
            </w:tcBorders>
            <w:hideMark/>
          </w:tcPr>
          <w:p w14:paraId="05796F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−74,20</w:t>
            </w:r>
          </w:p>
        </w:tc>
        <w:tc>
          <w:tcPr>
            <w:tcW w:w="924" w:type="dxa"/>
            <w:tcBorders>
              <w:top w:val="single" w:sz="4" w:space="0" w:color="auto"/>
              <w:left w:val="single" w:sz="4" w:space="0" w:color="auto"/>
              <w:bottom w:val="single" w:sz="4" w:space="0" w:color="auto"/>
              <w:right w:val="single" w:sz="4" w:space="0" w:color="auto"/>
            </w:tcBorders>
            <w:hideMark/>
          </w:tcPr>
          <w:p w14:paraId="1EBA83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445D80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7CE66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0A096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B9869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76DE2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−22,5</w:t>
            </w:r>
          </w:p>
        </w:tc>
        <w:tc>
          <w:tcPr>
            <w:tcW w:w="933" w:type="dxa"/>
            <w:tcBorders>
              <w:top w:val="single" w:sz="4" w:space="0" w:color="auto"/>
              <w:left w:val="single" w:sz="4" w:space="0" w:color="auto"/>
              <w:bottom w:val="single" w:sz="4" w:space="0" w:color="auto"/>
              <w:right w:val="single" w:sz="4" w:space="0" w:color="auto"/>
            </w:tcBorders>
          </w:tcPr>
          <w:p w14:paraId="4DA34517" w14:textId="77777777" w:rsidR="00B82F75" w:rsidRPr="00F52C10" w:rsidRDefault="00B82F75" w:rsidP="00E4628E">
            <w:pPr>
              <w:pStyle w:val="Tabletext0"/>
              <w:spacing w:before="34" w:after="34" w:line="276" w:lineRule="auto"/>
              <w:rPr>
                <w:sz w:val="18"/>
                <w:szCs w:val="18"/>
                <w:lang w:val="en-CA"/>
              </w:rPr>
            </w:pPr>
          </w:p>
        </w:tc>
      </w:tr>
      <w:tr w:rsidR="00B82F75" w:rsidRPr="00F52C10" w14:paraId="418EEAF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6500E7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PTC00000</w:t>
            </w:r>
          </w:p>
        </w:tc>
        <w:tc>
          <w:tcPr>
            <w:tcW w:w="994" w:type="dxa"/>
            <w:tcBorders>
              <w:top w:val="single" w:sz="4" w:space="0" w:color="auto"/>
              <w:left w:val="single" w:sz="4" w:space="0" w:color="auto"/>
              <w:bottom w:val="single" w:sz="4" w:space="0" w:color="auto"/>
              <w:right w:val="single" w:sz="4" w:space="0" w:color="auto"/>
            </w:tcBorders>
            <w:hideMark/>
          </w:tcPr>
          <w:p w14:paraId="5848BA6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−62,30</w:t>
            </w:r>
          </w:p>
        </w:tc>
        <w:tc>
          <w:tcPr>
            <w:tcW w:w="994" w:type="dxa"/>
            <w:tcBorders>
              <w:top w:val="single" w:sz="4" w:space="0" w:color="auto"/>
              <w:left w:val="single" w:sz="4" w:space="0" w:color="auto"/>
              <w:bottom w:val="single" w:sz="4" w:space="0" w:color="auto"/>
              <w:right w:val="single" w:sz="4" w:space="0" w:color="auto"/>
            </w:tcBorders>
            <w:hideMark/>
          </w:tcPr>
          <w:p w14:paraId="79232D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−130,10</w:t>
            </w:r>
          </w:p>
        </w:tc>
        <w:tc>
          <w:tcPr>
            <w:tcW w:w="924" w:type="dxa"/>
            <w:tcBorders>
              <w:top w:val="single" w:sz="4" w:space="0" w:color="auto"/>
              <w:left w:val="single" w:sz="4" w:space="0" w:color="auto"/>
              <w:bottom w:val="single" w:sz="4" w:space="0" w:color="auto"/>
              <w:right w:val="single" w:sz="4" w:space="0" w:color="auto"/>
            </w:tcBorders>
            <w:hideMark/>
          </w:tcPr>
          <w:p w14:paraId="55A0D0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559DCE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37BAE5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ADCB4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FFBB0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5BE437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−27,3</w:t>
            </w:r>
          </w:p>
        </w:tc>
        <w:tc>
          <w:tcPr>
            <w:tcW w:w="933" w:type="dxa"/>
            <w:tcBorders>
              <w:top w:val="single" w:sz="4" w:space="0" w:color="auto"/>
              <w:left w:val="single" w:sz="4" w:space="0" w:color="auto"/>
              <w:bottom w:val="single" w:sz="4" w:space="0" w:color="auto"/>
              <w:right w:val="single" w:sz="4" w:space="0" w:color="auto"/>
            </w:tcBorders>
          </w:tcPr>
          <w:p w14:paraId="0F300DD2" w14:textId="77777777" w:rsidR="00B82F75" w:rsidRPr="00F52C10" w:rsidRDefault="00B82F75" w:rsidP="00E4628E">
            <w:pPr>
              <w:pStyle w:val="Tabletext0"/>
              <w:spacing w:before="34" w:after="34" w:line="276" w:lineRule="auto"/>
              <w:rPr>
                <w:sz w:val="18"/>
                <w:szCs w:val="18"/>
                <w:lang w:val="en-CA"/>
              </w:rPr>
            </w:pPr>
          </w:p>
        </w:tc>
      </w:tr>
      <w:tr w:rsidR="00B82F75" w:rsidRPr="00F52C10" w14:paraId="467B20C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2D99A2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QAT00000</w:t>
            </w:r>
          </w:p>
        </w:tc>
        <w:tc>
          <w:tcPr>
            <w:tcW w:w="994" w:type="dxa"/>
            <w:tcBorders>
              <w:top w:val="single" w:sz="4" w:space="0" w:color="auto"/>
              <w:left w:val="single" w:sz="4" w:space="0" w:color="auto"/>
              <w:bottom w:val="single" w:sz="4" w:space="0" w:color="auto"/>
              <w:right w:val="single" w:sz="4" w:space="0" w:color="auto"/>
            </w:tcBorders>
            <w:hideMark/>
          </w:tcPr>
          <w:p w14:paraId="10FB33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0,90</w:t>
            </w:r>
          </w:p>
        </w:tc>
        <w:tc>
          <w:tcPr>
            <w:tcW w:w="994" w:type="dxa"/>
            <w:tcBorders>
              <w:top w:val="single" w:sz="4" w:space="0" w:color="auto"/>
              <w:left w:val="single" w:sz="4" w:space="0" w:color="auto"/>
              <w:bottom w:val="single" w:sz="4" w:space="0" w:color="auto"/>
              <w:right w:val="single" w:sz="4" w:space="0" w:color="auto"/>
            </w:tcBorders>
            <w:hideMark/>
          </w:tcPr>
          <w:p w14:paraId="0FFAD44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51,60</w:t>
            </w:r>
          </w:p>
        </w:tc>
        <w:tc>
          <w:tcPr>
            <w:tcW w:w="924" w:type="dxa"/>
            <w:tcBorders>
              <w:top w:val="single" w:sz="4" w:space="0" w:color="auto"/>
              <w:left w:val="single" w:sz="4" w:space="0" w:color="auto"/>
              <w:bottom w:val="single" w:sz="4" w:space="0" w:color="auto"/>
              <w:right w:val="single" w:sz="4" w:space="0" w:color="auto"/>
            </w:tcBorders>
            <w:hideMark/>
          </w:tcPr>
          <w:p w14:paraId="24ADC2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055F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34EC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F567E1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43084E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467B3F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−31,5</w:t>
            </w:r>
          </w:p>
        </w:tc>
        <w:tc>
          <w:tcPr>
            <w:tcW w:w="933" w:type="dxa"/>
            <w:tcBorders>
              <w:top w:val="single" w:sz="4" w:space="0" w:color="auto"/>
              <w:left w:val="single" w:sz="4" w:space="0" w:color="auto"/>
              <w:bottom w:val="single" w:sz="4" w:space="0" w:color="auto"/>
              <w:right w:val="single" w:sz="4" w:space="0" w:color="auto"/>
            </w:tcBorders>
          </w:tcPr>
          <w:p w14:paraId="0970C67B" w14:textId="77777777" w:rsidR="00B82F75" w:rsidRPr="00F52C10" w:rsidRDefault="00B82F75" w:rsidP="00E4628E">
            <w:pPr>
              <w:pStyle w:val="Tabletext0"/>
              <w:spacing w:before="34" w:after="34" w:line="276" w:lineRule="auto"/>
              <w:rPr>
                <w:sz w:val="18"/>
                <w:szCs w:val="18"/>
                <w:lang w:val="en-CA"/>
              </w:rPr>
            </w:pPr>
          </w:p>
        </w:tc>
      </w:tr>
      <w:tr w:rsidR="00B82F75" w:rsidRPr="00F52C10" w14:paraId="49A10ED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CA5E9D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lastRenderedPageBreak/>
              <w:t>REU00000</w:t>
            </w:r>
          </w:p>
        </w:tc>
        <w:tc>
          <w:tcPr>
            <w:tcW w:w="994" w:type="dxa"/>
            <w:tcBorders>
              <w:top w:val="single" w:sz="4" w:space="0" w:color="auto"/>
              <w:left w:val="single" w:sz="4" w:space="0" w:color="auto"/>
              <w:bottom w:val="single" w:sz="4" w:space="0" w:color="auto"/>
              <w:right w:val="single" w:sz="4" w:space="0" w:color="auto"/>
            </w:tcBorders>
            <w:hideMark/>
          </w:tcPr>
          <w:p w14:paraId="040955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94" w:type="dxa"/>
            <w:tcBorders>
              <w:top w:val="single" w:sz="4" w:space="0" w:color="auto"/>
              <w:left w:val="single" w:sz="4" w:space="0" w:color="auto"/>
              <w:bottom w:val="single" w:sz="4" w:space="0" w:color="auto"/>
              <w:right w:val="single" w:sz="4" w:space="0" w:color="auto"/>
            </w:tcBorders>
          </w:tcPr>
          <w:p w14:paraId="752D217D"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5F6AA2F5"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8FA763C"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B969E7B"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C4AC7D9"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BE1B0A4"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C425121"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572F38C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3A37C36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2C2457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REU00002</w:t>
            </w:r>
          </w:p>
        </w:tc>
        <w:tc>
          <w:tcPr>
            <w:tcW w:w="994" w:type="dxa"/>
            <w:tcBorders>
              <w:top w:val="single" w:sz="4" w:space="0" w:color="auto"/>
              <w:left w:val="single" w:sz="4" w:space="0" w:color="auto"/>
              <w:bottom w:val="single" w:sz="4" w:space="0" w:color="auto"/>
              <w:right w:val="single" w:sz="4" w:space="0" w:color="auto"/>
            </w:tcBorders>
            <w:hideMark/>
          </w:tcPr>
          <w:p w14:paraId="31EEA7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94" w:type="dxa"/>
            <w:tcBorders>
              <w:top w:val="single" w:sz="4" w:space="0" w:color="auto"/>
              <w:left w:val="single" w:sz="4" w:space="0" w:color="auto"/>
              <w:bottom w:val="single" w:sz="4" w:space="0" w:color="auto"/>
              <w:right w:val="single" w:sz="4" w:space="0" w:color="auto"/>
            </w:tcBorders>
            <w:hideMark/>
          </w:tcPr>
          <w:p w14:paraId="2B9E286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55,60</w:t>
            </w:r>
          </w:p>
        </w:tc>
        <w:tc>
          <w:tcPr>
            <w:tcW w:w="924" w:type="dxa"/>
            <w:tcBorders>
              <w:top w:val="single" w:sz="4" w:space="0" w:color="auto"/>
              <w:left w:val="single" w:sz="4" w:space="0" w:color="auto"/>
              <w:bottom w:val="single" w:sz="4" w:space="0" w:color="auto"/>
              <w:right w:val="single" w:sz="4" w:space="0" w:color="auto"/>
            </w:tcBorders>
            <w:hideMark/>
          </w:tcPr>
          <w:p w14:paraId="6D80FE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8AB14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64995E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0077BF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A2B27B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49F7C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−24,5</w:t>
            </w:r>
          </w:p>
        </w:tc>
        <w:tc>
          <w:tcPr>
            <w:tcW w:w="933" w:type="dxa"/>
            <w:tcBorders>
              <w:top w:val="single" w:sz="4" w:space="0" w:color="auto"/>
              <w:left w:val="single" w:sz="4" w:space="0" w:color="auto"/>
              <w:bottom w:val="single" w:sz="4" w:space="0" w:color="auto"/>
              <w:right w:val="single" w:sz="4" w:space="0" w:color="auto"/>
            </w:tcBorders>
            <w:hideMark/>
          </w:tcPr>
          <w:p w14:paraId="4585D48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w:t>
            </w:r>
          </w:p>
        </w:tc>
      </w:tr>
      <w:tr w:rsidR="00B82F75" w:rsidRPr="00F52C10" w14:paraId="4D3B0B2E"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850C16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ROU00000</w:t>
            </w:r>
          </w:p>
        </w:tc>
        <w:tc>
          <w:tcPr>
            <w:tcW w:w="994" w:type="dxa"/>
            <w:tcBorders>
              <w:top w:val="single" w:sz="4" w:space="0" w:color="auto"/>
              <w:left w:val="single" w:sz="4" w:space="0" w:color="auto"/>
              <w:bottom w:val="single" w:sz="4" w:space="0" w:color="auto"/>
              <w:right w:val="single" w:sz="4" w:space="0" w:color="auto"/>
            </w:tcBorders>
            <w:hideMark/>
          </w:tcPr>
          <w:p w14:paraId="1D195F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30,45</w:t>
            </w:r>
          </w:p>
        </w:tc>
        <w:tc>
          <w:tcPr>
            <w:tcW w:w="994" w:type="dxa"/>
            <w:tcBorders>
              <w:top w:val="single" w:sz="4" w:space="0" w:color="auto"/>
              <w:left w:val="single" w:sz="4" w:space="0" w:color="auto"/>
              <w:bottom w:val="single" w:sz="4" w:space="0" w:color="auto"/>
              <w:right w:val="single" w:sz="4" w:space="0" w:color="auto"/>
            </w:tcBorders>
            <w:hideMark/>
          </w:tcPr>
          <w:p w14:paraId="717055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25,00</w:t>
            </w:r>
          </w:p>
        </w:tc>
        <w:tc>
          <w:tcPr>
            <w:tcW w:w="924" w:type="dxa"/>
            <w:tcBorders>
              <w:top w:val="single" w:sz="4" w:space="0" w:color="auto"/>
              <w:left w:val="single" w:sz="4" w:space="0" w:color="auto"/>
              <w:bottom w:val="single" w:sz="4" w:space="0" w:color="auto"/>
              <w:right w:val="single" w:sz="4" w:space="0" w:color="auto"/>
            </w:tcBorders>
            <w:hideMark/>
          </w:tcPr>
          <w:p w14:paraId="7D8D51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16ACD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95555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9C9A4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178,00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BFE08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714BC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933" w:type="dxa"/>
            <w:tcBorders>
              <w:top w:val="single" w:sz="4" w:space="0" w:color="auto"/>
              <w:left w:val="single" w:sz="4" w:space="0" w:color="auto"/>
              <w:bottom w:val="single" w:sz="4" w:space="0" w:color="auto"/>
              <w:right w:val="single" w:sz="4" w:space="0" w:color="auto"/>
            </w:tcBorders>
          </w:tcPr>
          <w:p w14:paraId="319571C9" w14:textId="77777777" w:rsidR="00B82F75" w:rsidRPr="00F52C10" w:rsidRDefault="00B82F75" w:rsidP="00E4628E">
            <w:pPr>
              <w:pStyle w:val="Tabletext0"/>
              <w:spacing w:before="34" w:after="34" w:line="276" w:lineRule="auto"/>
              <w:rPr>
                <w:sz w:val="18"/>
                <w:szCs w:val="18"/>
                <w:lang w:val="en-CA"/>
              </w:rPr>
            </w:pPr>
          </w:p>
        </w:tc>
      </w:tr>
      <w:tr w:rsidR="00B82F75" w:rsidRPr="00F52C10" w14:paraId="567F8DA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D28B16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RRW00000</w:t>
            </w:r>
          </w:p>
        </w:tc>
        <w:tc>
          <w:tcPr>
            <w:tcW w:w="994" w:type="dxa"/>
            <w:tcBorders>
              <w:top w:val="single" w:sz="4" w:space="0" w:color="auto"/>
              <w:left w:val="single" w:sz="4" w:space="0" w:color="auto"/>
              <w:bottom w:val="single" w:sz="4" w:space="0" w:color="auto"/>
              <w:right w:val="single" w:sz="4" w:space="0" w:color="auto"/>
            </w:tcBorders>
            <w:hideMark/>
          </w:tcPr>
          <w:p w14:paraId="4D2AF0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17,60</w:t>
            </w:r>
          </w:p>
        </w:tc>
        <w:tc>
          <w:tcPr>
            <w:tcW w:w="994" w:type="dxa"/>
            <w:tcBorders>
              <w:top w:val="single" w:sz="4" w:space="0" w:color="auto"/>
              <w:left w:val="single" w:sz="4" w:space="0" w:color="auto"/>
              <w:bottom w:val="single" w:sz="4" w:space="0" w:color="auto"/>
              <w:right w:val="single" w:sz="4" w:space="0" w:color="auto"/>
            </w:tcBorders>
            <w:hideMark/>
          </w:tcPr>
          <w:p w14:paraId="0366774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29,70</w:t>
            </w:r>
          </w:p>
        </w:tc>
        <w:tc>
          <w:tcPr>
            <w:tcW w:w="924" w:type="dxa"/>
            <w:tcBorders>
              <w:top w:val="single" w:sz="4" w:space="0" w:color="auto"/>
              <w:left w:val="single" w:sz="4" w:space="0" w:color="auto"/>
              <w:bottom w:val="single" w:sz="4" w:space="0" w:color="auto"/>
              <w:right w:val="single" w:sz="4" w:space="0" w:color="auto"/>
            </w:tcBorders>
            <w:hideMark/>
          </w:tcPr>
          <w:p w14:paraId="0CFB56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132800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966A5B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1EF81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C5ACF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D486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−30,8</w:t>
            </w:r>
          </w:p>
        </w:tc>
        <w:tc>
          <w:tcPr>
            <w:tcW w:w="933" w:type="dxa"/>
            <w:tcBorders>
              <w:top w:val="single" w:sz="4" w:space="0" w:color="auto"/>
              <w:left w:val="single" w:sz="4" w:space="0" w:color="auto"/>
              <w:bottom w:val="single" w:sz="4" w:space="0" w:color="auto"/>
              <w:right w:val="single" w:sz="4" w:space="0" w:color="auto"/>
            </w:tcBorders>
          </w:tcPr>
          <w:p w14:paraId="2E463582" w14:textId="77777777" w:rsidR="00B82F75" w:rsidRPr="00F52C10" w:rsidRDefault="00B82F75" w:rsidP="00E4628E">
            <w:pPr>
              <w:pStyle w:val="Tabletext0"/>
              <w:spacing w:before="34" w:after="34" w:line="276" w:lineRule="auto"/>
              <w:rPr>
                <w:sz w:val="18"/>
                <w:szCs w:val="18"/>
                <w:lang w:val="en-CA"/>
              </w:rPr>
            </w:pPr>
          </w:p>
        </w:tc>
      </w:tr>
      <w:tr w:rsidR="00B82F75" w:rsidRPr="00F52C10" w14:paraId="168D2C1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66B015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RUS00001</w:t>
            </w:r>
          </w:p>
        </w:tc>
        <w:tc>
          <w:tcPr>
            <w:tcW w:w="994" w:type="dxa"/>
            <w:tcBorders>
              <w:top w:val="single" w:sz="4" w:space="0" w:color="auto"/>
              <w:left w:val="single" w:sz="4" w:space="0" w:color="auto"/>
              <w:bottom w:val="single" w:sz="4" w:space="0" w:color="auto"/>
              <w:right w:val="single" w:sz="4" w:space="0" w:color="auto"/>
            </w:tcBorders>
            <w:hideMark/>
          </w:tcPr>
          <w:p w14:paraId="021F11C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61,00</w:t>
            </w:r>
          </w:p>
        </w:tc>
        <w:tc>
          <w:tcPr>
            <w:tcW w:w="994" w:type="dxa"/>
            <w:tcBorders>
              <w:top w:val="single" w:sz="4" w:space="0" w:color="auto"/>
              <w:left w:val="single" w:sz="4" w:space="0" w:color="auto"/>
              <w:bottom w:val="single" w:sz="4" w:space="0" w:color="auto"/>
              <w:right w:val="single" w:sz="4" w:space="0" w:color="auto"/>
            </w:tcBorders>
            <w:hideMark/>
          </w:tcPr>
          <w:p w14:paraId="7CF957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51,50</w:t>
            </w:r>
          </w:p>
        </w:tc>
        <w:tc>
          <w:tcPr>
            <w:tcW w:w="924" w:type="dxa"/>
            <w:tcBorders>
              <w:top w:val="single" w:sz="4" w:space="0" w:color="auto"/>
              <w:left w:val="single" w:sz="4" w:space="0" w:color="auto"/>
              <w:bottom w:val="single" w:sz="4" w:space="0" w:color="auto"/>
              <w:right w:val="single" w:sz="4" w:space="0" w:color="auto"/>
            </w:tcBorders>
            <w:hideMark/>
          </w:tcPr>
          <w:p w14:paraId="04A49E8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52,99</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A61769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5,56</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0F03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2,01</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F4EA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10,74</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8C7D1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4C0EF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−28,2</w:t>
            </w:r>
          </w:p>
        </w:tc>
        <w:tc>
          <w:tcPr>
            <w:tcW w:w="933" w:type="dxa"/>
            <w:tcBorders>
              <w:top w:val="single" w:sz="4" w:space="0" w:color="auto"/>
              <w:left w:val="single" w:sz="4" w:space="0" w:color="auto"/>
              <w:bottom w:val="single" w:sz="4" w:space="0" w:color="auto"/>
              <w:right w:val="single" w:sz="4" w:space="0" w:color="auto"/>
            </w:tcBorders>
          </w:tcPr>
          <w:p w14:paraId="28A9D640" w14:textId="77777777" w:rsidR="00B82F75" w:rsidRPr="00F52C10" w:rsidRDefault="00B82F75" w:rsidP="00E4628E">
            <w:pPr>
              <w:pStyle w:val="Tabletext0"/>
              <w:spacing w:before="34" w:after="34" w:line="276" w:lineRule="auto"/>
              <w:rPr>
                <w:sz w:val="18"/>
                <w:szCs w:val="18"/>
                <w:lang w:val="en-CA"/>
              </w:rPr>
            </w:pPr>
          </w:p>
        </w:tc>
      </w:tr>
      <w:tr w:rsidR="00B82F75" w:rsidRPr="00F52C10" w14:paraId="5725A0E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0E15C3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RUS00002</w:t>
            </w:r>
          </w:p>
        </w:tc>
        <w:tc>
          <w:tcPr>
            <w:tcW w:w="994" w:type="dxa"/>
            <w:tcBorders>
              <w:top w:val="single" w:sz="4" w:space="0" w:color="auto"/>
              <w:left w:val="single" w:sz="4" w:space="0" w:color="auto"/>
              <w:bottom w:val="single" w:sz="4" w:space="0" w:color="auto"/>
              <w:right w:val="single" w:sz="4" w:space="0" w:color="auto"/>
            </w:tcBorders>
            <w:hideMark/>
          </w:tcPr>
          <w:p w14:paraId="209AF5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88,10</w:t>
            </w:r>
          </w:p>
        </w:tc>
        <w:tc>
          <w:tcPr>
            <w:tcW w:w="994" w:type="dxa"/>
            <w:tcBorders>
              <w:top w:val="single" w:sz="4" w:space="0" w:color="auto"/>
              <w:left w:val="single" w:sz="4" w:space="0" w:color="auto"/>
              <w:bottom w:val="single" w:sz="4" w:space="0" w:color="auto"/>
              <w:right w:val="single" w:sz="4" w:space="0" w:color="auto"/>
            </w:tcBorders>
          </w:tcPr>
          <w:p w14:paraId="73C196F0"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64C85AB7"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54CFD1D"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5972B30"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608869"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195DF1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5,4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4416B30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−26,32</w:t>
            </w:r>
          </w:p>
        </w:tc>
        <w:tc>
          <w:tcPr>
            <w:tcW w:w="933" w:type="dxa"/>
            <w:tcBorders>
              <w:top w:val="single" w:sz="4" w:space="0" w:color="auto"/>
              <w:left w:val="single" w:sz="4" w:space="0" w:color="auto"/>
              <w:bottom w:val="single" w:sz="4" w:space="0" w:color="auto"/>
              <w:right w:val="single" w:sz="4" w:space="0" w:color="auto"/>
            </w:tcBorders>
            <w:vAlign w:val="bottom"/>
            <w:hideMark/>
          </w:tcPr>
          <w:p w14:paraId="35DF6B5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3</w:t>
            </w:r>
          </w:p>
        </w:tc>
      </w:tr>
      <w:tr w:rsidR="00B82F75" w:rsidRPr="00F52C10" w14:paraId="24BCF5C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9999B0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RUS00003</w:t>
            </w:r>
          </w:p>
        </w:tc>
        <w:tc>
          <w:tcPr>
            <w:tcW w:w="994" w:type="dxa"/>
            <w:tcBorders>
              <w:top w:val="single" w:sz="4" w:space="0" w:color="auto"/>
              <w:left w:val="single" w:sz="4" w:space="0" w:color="auto"/>
              <w:bottom w:val="single" w:sz="4" w:space="0" w:color="auto"/>
              <w:right w:val="single" w:sz="4" w:space="0" w:color="auto"/>
            </w:tcBorders>
            <w:hideMark/>
          </w:tcPr>
          <w:p w14:paraId="74DD13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138,50</w:t>
            </w:r>
          </w:p>
        </w:tc>
        <w:tc>
          <w:tcPr>
            <w:tcW w:w="994" w:type="dxa"/>
            <w:tcBorders>
              <w:top w:val="single" w:sz="4" w:space="0" w:color="auto"/>
              <w:left w:val="single" w:sz="4" w:space="0" w:color="auto"/>
              <w:bottom w:val="single" w:sz="4" w:space="0" w:color="auto"/>
              <w:right w:val="single" w:sz="4" w:space="0" w:color="auto"/>
            </w:tcBorders>
            <w:hideMark/>
          </w:tcPr>
          <w:p w14:paraId="603CBC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138,14</w:t>
            </w:r>
          </w:p>
        </w:tc>
        <w:tc>
          <w:tcPr>
            <w:tcW w:w="924" w:type="dxa"/>
            <w:tcBorders>
              <w:top w:val="single" w:sz="4" w:space="0" w:color="auto"/>
              <w:left w:val="single" w:sz="4" w:space="0" w:color="auto"/>
              <w:bottom w:val="single" w:sz="4" w:space="0" w:color="auto"/>
              <w:right w:val="single" w:sz="4" w:space="0" w:color="auto"/>
            </w:tcBorders>
            <w:hideMark/>
          </w:tcPr>
          <w:p w14:paraId="152B06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53,83</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EA39A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5,86</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569602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2,09</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69BB1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8,41</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EA18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8C2215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−28,4</w:t>
            </w:r>
          </w:p>
        </w:tc>
        <w:tc>
          <w:tcPr>
            <w:tcW w:w="933" w:type="dxa"/>
            <w:tcBorders>
              <w:top w:val="single" w:sz="4" w:space="0" w:color="auto"/>
              <w:left w:val="single" w:sz="4" w:space="0" w:color="auto"/>
              <w:bottom w:val="single" w:sz="4" w:space="0" w:color="auto"/>
              <w:right w:val="single" w:sz="4" w:space="0" w:color="auto"/>
            </w:tcBorders>
          </w:tcPr>
          <w:p w14:paraId="4A867ED8" w14:textId="77777777" w:rsidR="00B82F75" w:rsidRPr="00F52C10" w:rsidRDefault="00B82F75" w:rsidP="00E4628E">
            <w:pPr>
              <w:pStyle w:val="Tabletext0"/>
              <w:spacing w:before="34" w:after="34" w:line="276" w:lineRule="auto"/>
              <w:rPr>
                <w:sz w:val="18"/>
                <w:szCs w:val="18"/>
                <w:lang w:val="en-CA"/>
              </w:rPr>
            </w:pPr>
          </w:p>
        </w:tc>
      </w:tr>
      <w:tr w:rsidR="00B82F75" w:rsidRPr="00F52C10" w14:paraId="43CB7CD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02D3D1E" w14:textId="77777777" w:rsidR="00B82F75" w:rsidRPr="00F52C10" w:rsidRDefault="00B82F75" w:rsidP="00E4628E">
            <w:pPr>
              <w:pStyle w:val="Tabletext0"/>
              <w:keepNext/>
              <w:spacing w:before="34" w:after="34" w:line="276" w:lineRule="auto"/>
              <w:rPr>
                <w:sz w:val="18"/>
                <w:szCs w:val="18"/>
                <w:lang w:val="en-US"/>
              </w:rPr>
            </w:pPr>
            <w:r w:rsidRPr="00F52C10">
              <w:rPr>
                <w:sz w:val="18"/>
                <w:szCs w:val="18"/>
                <w:lang w:val="en-US"/>
              </w:rPr>
              <w:t>S  00000</w:t>
            </w:r>
          </w:p>
        </w:tc>
        <w:tc>
          <w:tcPr>
            <w:tcW w:w="994" w:type="dxa"/>
            <w:tcBorders>
              <w:top w:val="single" w:sz="4" w:space="0" w:color="auto"/>
              <w:left w:val="single" w:sz="4" w:space="0" w:color="auto"/>
              <w:bottom w:val="single" w:sz="4" w:space="0" w:color="auto"/>
              <w:right w:val="single" w:sz="4" w:space="0" w:color="auto"/>
            </w:tcBorders>
            <w:hideMark/>
          </w:tcPr>
          <w:p w14:paraId="628E645D" w14:textId="77777777" w:rsidR="00B82F75" w:rsidRPr="00F52C10" w:rsidRDefault="00B82F75" w:rsidP="00E4628E">
            <w:pPr>
              <w:pStyle w:val="Tabletext0"/>
              <w:keepNext/>
              <w:spacing w:before="34" w:after="34" w:line="276" w:lineRule="auto"/>
              <w:jc w:val="right"/>
              <w:rPr>
                <w:sz w:val="18"/>
                <w:szCs w:val="18"/>
                <w:lang w:val="en-CA"/>
              </w:rPr>
            </w:pPr>
            <w:r w:rsidRPr="00F52C10">
              <w:rPr>
                <w:sz w:val="18"/>
                <w:szCs w:val="18"/>
                <w:lang w:val="en-CA"/>
              </w:rPr>
              <w:t>5,00</w:t>
            </w:r>
          </w:p>
        </w:tc>
        <w:tc>
          <w:tcPr>
            <w:tcW w:w="994" w:type="dxa"/>
            <w:tcBorders>
              <w:top w:val="single" w:sz="4" w:space="0" w:color="auto"/>
              <w:left w:val="single" w:sz="4" w:space="0" w:color="auto"/>
              <w:bottom w:val="single" w:sz="4" w:space="0" w:color="auto"/>
              <w:right w:val="single" w:sz="4" w:space="0" w:color="auto"/>
            </w:tcBorders>
          </w:tcPr>
          <w:p w14:paraId="0BAD3408" w14:textId="77777777" w:rsidR="00B82F75" w:rsidRPr="00F52C10" w:rsidRDefault="00B82F75" w:rsidP="00E4628E">
            <w:pPr>
              <w:pStyle w:val="Tabletext0"/>
              <w:keepNext/>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0EB1DC85" w14:textId="77777777" w:rsidR="00B82F75" w:rsidRPr="00F52C10" w:rsidRDefault="00B82F75" w:rsidP="00E4628E">
            <w:pPr>
              <w:pStyle w:val="Tabletext0"/>
              <w:keepNext/>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586583FA" w14:textId="77777777" w:rsidR="00B82F75" w:rsidRPr="00F52C10" w:rsidRDefault="00B82F75" w:rsidP="00E4628E">
            <w:pPr>
              <w:pStyle w:val="Tabletext0"/>
              <w:keepNext/>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984E75C" w14:textId="77777777" w:rsidR="00B82F75" w:rsidRPr="00F52C10" w:rsidRDefault="00B82F75" w:rsidP="00E4628E">
            <w:pPr>
              <w:pStyle w:val="Tabletext0"/>
              <w:keepNext/>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AAC9096" w14:textId="77777777" w:rsidR="00B82F75" w:rsidRPr="00F52C10" w:rsidRDefault="00B82F75" w:rsidP="00E4628E">
            <w:pPr>
              <w:pStyle w:val="Tabletext0"/>
              <w:keepNext/>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9338E01" w14:textId="77777777" w:rsidR="00B82F75" w:rsidRPr="00F52C10" w:rsidRDefault="00B82F75" w:rsidP="00E4628E">
            <w:pPr>
              <w:pStyle w:val="Tabletext0"/>
              <w:keepNext/>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DB8916" w14:textId="77777777" w:rsidR="00B82F75" w:rsidRPr="00F52C10" w:rsidRDefault="00B82F75" w:rsidP="00E4628E">
            <w:pPr>
              <w:pStyle w:val="Tabletext0"/>
              <w:keepNext/>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26271132" w14:textId="77777777" w:rsidR="00B82F75" w:rsidRPr="00F52C10" w:rsidRDefault="00B82F75" w:rsidP="00E4628E">
            <w:pPr>
              <w:pStyle w:val="Tabletext0"/>
              <w:keepNext/>
              <w:spacing w:before="34" w:after="34" w:line="276" w:lineRule="auto"/>
              <w:rPr>
                <w:sz w:val="18"/>
                <w:szCs w:val="18"/>
                <w:lang w:val="en-US"/>
              </w:rPr>
            </w:pPr>
            <w:r w:rsidRPr="00F52C10">
              <w:rPr>
                <w:sz w:val="18"/>
                <w:szCs w:val="18"/>
                <w:lang w:val="en-US"/>
              </w:rPr>
              <w:t>1</w:t>
            </w:r>
          </w:p>
        </w:tc>
      </w:tr>
      <w:tr w:rsidR="00B82F75" w:rsidRPr="00F52C10" w14:paraId="7AF8B03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080F72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SDN00001</w:t>
            </w:r>
          </w:p>
        </w:tc>
        <w:tc>
          <w:tcPr>
            <w:tcW w:w="994" w:type="dxa"/>
            <w:tcBorders>
              <w:top w:val="single" w:sz="4" w:space="0" w:color="auto"/>
              <w:left w:val="single" w:sz="4" w:space="0" w:color="auto"/>
              <w:bottom w:val="single" w:sz="4" w:space="0" w:color="auto"/>
              <w:right w:val="single" w:sz="4" w:space="0" w:color="auto"/>
            </w:tcBorders>
            <w:hideMark/>
          </w:tcPr>
          <w:p w14:paraId="1E95A19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23,55</w:t>
            </w:r>
          </w:p>
        </w:tc>
        <w:tc>
          <w:tcPr>
            <w:tcW w:w="994" w:type="dxa"/>
            <w:tcBorders>
              <w:top w:val="single" w:sz="4" w:space="0" w:color="auto"/>
              <w:left w:val="single" w:sz="4" w:space="0" w:color="auto"/>
              <w:bottom w:val="single" w:sz="4" w:space="0" w:color="auto"/>
              <w:right w:val="single" w:sz="4" w:space="0" w:color="auto"/>
            </w:tcBorders>
          </w:tcPr>
          <w:p w14:paraId="6D647684"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4223984B"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965647"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2478C440"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80D98A7"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CA60A7F"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18ED7D16"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69E46B63"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58530CA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18D4CD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SDN00002</w:t>
            </w:r>
          </w:p>
        </w:tc>
        <w:tc>
          <w:tcPr>
            <w:tcW w:w="994" w:type="dxa"/>
            <w:tcBorders>
              <w:top w:val="single" w:sz="4" w:space="0" w:color="auto"/>
              <w:left w:val="single" w:sz="4" w:space="0" w:color="auto"/>
              <w:bottom w:val="single" w:sz="4" w:space="0" w:color="auto"/>
              <w:right w:val="single" w:sz="4" w:space="0" w:color="auto"/>
            </w:tcBorders>
            <w:hideMark/>
          </w:tcPr>
          <w:p w14:paraId="14C93D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23,55</w:t>
            </w:r>
          </w:p>
        </w:tc>
        <w:tc>
          <w:tcPr>
            <w:tcW w:w="994" w:type="dxa"/>
            <w:tcBorders>
              <w:top w:val="single" w:sz="4" w:space="0" w:color="auto"/>
              <w:left w:val="single" w:sz="4" w:space="0" w:color="auto"/>
              <w:bottom w:val="single" w:sz="4" w:space="0" w:color="auto"/>
              <w:right w:val="single" w:sz="4" w:space="0" w:color="auto"/>
            </w:tcBorders>
          </w:tcPr>
          <w:p w14:paraId="0756B010"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23ACFD74"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E8401FD"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4D1F40"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EB4BA02"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0650BDD0"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28E9B4B"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13E8781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262AC71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51837E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SEN00000</w:t>
            </w:r>
          </w:p>
        </w:tc>
        <w:tc>
          <w:tcPr>
            <w:tcW w:w="994" w:type="dxa"/>
            <w:tcBorders>
              <w:top w:val="single" w:sz="4" w:space="0" w:color="auto"/>
              <w:left w:val="single" w:sz="4" w:space="0" w:color="auto"/>
              <w:bottom w:val="single" w:sz="4" w:space="0" w:color="auto"/>
              <w:right w:val="single" w:sz="4" w:space="0" w:color="auto"/>
            </w:tcBorders>
            <w:hideMark/>
          </w:tcPr>
          <w:p w14:paraId="0D259A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−48,40</w:t>
            </w:r>
          </w:p>
        </w:tc>
        <w:tc>
          <w:tcPr>
            <w:tcW w:w="994" w:type="dxa"/>
            <w:tcBorders>
              <w:top w:val="single" w:sz="4" w:space="0" w:color="auto"/>
              <w:left w:val="single" w:sz="4" w:space="0" w:color="auto"/>
              <w:bottom w:val="single" w:sz="4" w:space="0" w:color="auto"/>
              <w:right w:val="single" w:sz="4" w:space="0" w:color="auto"/>
            </w:tcBorders>
            <w:hideMark/>
          </w:tcPr>
          <w:p w14:paraId="76AC693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−14,00</w:t>
            </w:r>
          </w:p>
        </w:tc>
        <w:tc>
          <w:tcPr>
            <w:tcW w:w="924" w:type="dxa"/>
            <w:tcBorders>
              <w:top w:val="single" w:sz="4" w:space="0" w:color="auto"/>
              <w:left w:val="single" w:sz="4" w:space="0" w:color="auto"/>
              <w:bottom w:val="single" w:sz="4" w:space="0" w:color="auto"/>
              <w:right w:val="single" w:sz="4" w:space="0" w:color="auto"/>
            </w:tcBorders>
            <w:hideMark/>
          </w:tcPr>
          <w:p w14:paraId="4F4D58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559059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3934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49FCB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148,00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14F8F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4512C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−23,8</w:t>
            </w:r>
          </w:p>
        </w:tc>
        <w:tc>
          <w:tcPr>
            <w:tcW w:w="933" w:type="dxa"/>
            <w:tcBorders>
              <w:top w:val="single" w:sz="4" w:space="0" w:color="auto"/>
              <w:left w:val="single" w:sz="4" w:space="0" w:color="auto"/>
              <w:bottom w:val="single" w:sz="4" w:space="0" w:color="auto"/>
              <w:right w:val="single" w:sz="4" w:space="0" w:color="auto"/>
            </w:tcBorders>
          </w:tcPr>
          <w:p w14:paraId="7914987C" w14:textId="77777777" w:rsidR="00B82F75" w:rsidRPr="00F52C10" w:rsidRDefault="00B82F75" w:rsidP="00E4628E">
            <w:pPr>
              <w:pStyle w:val="Tabletext0"/>
              <w:spacing w:before="34" w:after="34" w:line="276" w:lineRule="auto"/>
              <w:rPr>
                <w:sz w:val="18"/>
                <w:szCs w:val="18"/>
                <w:lang w:val="en-CA"/>
              </w:rPr>
            </w:pPr>
          </w:p>
        </w:tc>
      </w:tr>
      <w:tr w:rsidR="00B82F75" w:rsidRPr="00F52C10" w14:paraId="6DDCB78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2252C9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SEY00000</w:t>
            </w:r>
          </w:p>
        </w:tc>
        <w:tc>
          <w:tcPr>
            <w:tcW w:w="994" w:type="dxa"/>
            <w:tcBorders>
              <w:top w:val="single" w:sz="4" w:space="0" w:color="auto"/>
              <w:left w:val="single" w:sz="4" w:space="0" w:color="auto"/>
              <w:bottom w:val="single" w:sz="4" w:space="0" w:color="auto"/>
              <w:right w:val="single" w:sz="4" w:space="0" w:color="auto"/>
            </w:tcBorders>
            <w:hideMark/>
          </w:tcPr>
          <w:p w14:paraId="772CE8F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42,25</w:t>
            </w:r>
          </w:p>
        </w:tc>
        <w:tc>
          <w:tcPr>
            <w:tcW w:w="994" w:type="dxa"/>
            <w:tcBorders>
              <w:top w:val="single" w:sz="4" w:space="0" w:color="auto"/>
              <w:left w:val="single" w:sz="4" w:space="0" w:color="auto"/>
              <w:bottom w:val="single" w:sz="4" w:space="0" w:color="auto"/>
              <w:right w:val="single" w:sz="4" w:space="0" w:color="auto"/>
            </w:tcBorders>
            <w:vAlign w:val="bottom"/>
            <w:hideMark/>
          </w:tcPr>
          <w:p w14:paraId="10F1F7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51,50</w:t>
            </w:r>
          </w:p>
        </w:tc>
        <w:tc>
          <w:tcPr>
            <w:tcW w:w="924" w:type="dxa"/>
            <w:tcBorders>
              <w:top w:val="single" w:sz="4" w:space="0" w:color="auto"/>
              <w:left w:val="single" w:sz="4" w:space="0" w:color="auto"/>
              <w:bottom w:val="single" w:sz="4" w:space="0" w:color="auto"/>
              <w:right w:val="single" w:sz="4" w:space="0" w:color="auto"/>
            </w:tcBorders>
            <w:vAlign w:val="bottom"/>
            <w:hideMark/>
          </w:tcPr>
          <w:p w14:paraId="2DA1F3F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3919422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13,80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190C33A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042570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48,50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2B52C2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−1,3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vAlign w:val="bottom"/>
            <w:hideMark/>
          </w:tcPr>
          <w:p w14:paraId="20FE36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−33,8</w:t>
            </w:r>
          </w:p>
        </w:tc>
        <w:tc>
          <w:tcPr>
            <w:tcW w:w="933" w:type="dxa"/>
            <w:tcBorders>
              <w:top w:val="single" w:sz="4" w:space="0" w:color="auto"/>
              <w:left w:val="single" w:sz="4" w:space="0" w:color="auto"/>
              <w:bottom w:val="single" w:sz="4" w:space="0" w:color="auto"/>
              <w:right w:val="single" w:sz="4" w:space="0" w:color="auto"/>
            </w:tcBorders>
          </w:tcPr>
          <w:p w14:paraId="53834436" w14:textId="77777777" w:rsidR="00B82F75" w:rsidRPr="00F52C10" w:rsidRDefault="00B82F75" w:rsidP="00E4628E">
            <w:pPr>
              <w:pStyle w:val="Tabletext0"/>
              <w:spacing w:before="34" w:after="34" w:line="276" w:lineRule="auto"/>
              <w:rPr>
                <w:sz w:val="18"/>
                <w:szCs w:val="18"/>
                <w:lang w:val="en-US"/>
              </w:rPr>
            </w:pPr>
          </w:p>
        </w:tc>
      </w:tr>
      <w:tr w:rsidR="00B82F75" w:rsidRPr="00F52C10" w14:paraId="36BB8D9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7790C0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SLM00000</w:t>
            </w:r>
          </w:p>
        </w:tc>
        <w:tc>
          <w:tcPr>
            <w:tcW w:w="994" w:type="dxa"/>
            <w:tcBorders>
              <w:top w:val="single" w:sz="4" w:space="0" w:color="auto"/>
              <w:left w:val="single" w:sz="4" w:space="0" w:color="auto"/>
              <w:bottom w:val="single" w:sz="4" w:space="0" w:color="auto"/>
              <w:right w:val="single" w:sz="4" w:space="0" w:color="auto"/>
            </w:tcBorders>
            <w:hideMark/>
          </w:tcPr>
          <w:p w14:paraId="09CE86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147,50</w:t>
            </w:r>
          </w:p>
        </w:tc>
        <w:tc>
          <w:tcPr>
            <w:tcW w:w="994" w:type="dxa"/>
            <w:tcBorders>
              <w:top w:val="single" w:sz="4" w:space="0" w:color="auto"/>
              <w:left w:val="single" w:sz="4" w:space="0" w:color="auto"/>
              <w:bottom w:val="single" w:sz="4" w:space="0" w:color="auto"/>
              <w:right w:val="single" w:sz="4" w:space="0" w:color="auto"/>
            </w:tcBorders>
            <w:hideMark/>
          </w:tcPr>
          <w:p w14:paraId="53093F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24" w:type="dxa"/>
            <w:tcBorders>
              <w:top w:val="single" w:sz="4" w:space="0" w:color="auto"/>
              <w:left w:val="single" w:sz="4" w:space="0" w:color="auto"/>
              <w:bottom w:val="single" w:sz="4" w:space="0" w:color="auto"/>
              <w:right w:val="single" w:sz="4" w:space="0" w:color="auto"/>
            </w:tcBorders>
            <w:hideMark/>
          </w:tcPr>
          <w:p w14:paraId="24DAA00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23A5AF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3C0FD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C0E87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147,00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CA280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1212C3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−23,0</w:t>
            </w:r>
          </w:p>
        </w:tc>
        <w:tc>
          <w:tcPr>
            <w:tcW w:w="933" w:type="dxa"/>
            <w:tcBorders>
              <w:top w:val="single" w:sz="4" w:space="0" w:color="auto"/>
              <w:left w:val="single" w:sz="4" w:space="0" w:color="auto"/>
              <w:bottom w:val="single" w:sz="4" w:space="0" w:color="auto"/>
              <w:right w:val="single" w:sz="4" w:space="0" w:color="auto"/>
            </w:tcBorders>
          </w:tcPr>
          <w:p w14:paraId="40A9374E" w14:textId="77777777" w:rsidR="00B82F75" w:rsidRPr="00F52C10" w:rsidRDefault="00B82F75" w:rsidP="00E4628E">
            <w:pPr>
              <w:pStyle w:val="Tabletext0"/>
              <w:spacing w:before="34" w:after="34" w:line="276" w:lineRule="auto"/>
              <w:rPr>
                <w:sz w:val="18"/>
                <w:szCs w:val="18"/>
                <w:lang w:val="en-CA"/>
              </w:rPr>
            </w:pPr>
          </w:p>
        </w:tc>
      </w:tr>
      <w:tr w:rsidR="00B82F75" w:rsidRPr="00F52C10" w14:paraId="4363ED2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432D28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SLV00000</w:t>
            </w:r>
          </w:p>
        </w:tc>
        <w:tc>
          <w:tcPr>
            <w:tcW w:w="994" w:type="dxa"/>
            <w:tcBorders>
              <w:top w:val="single" w:sz="4" w:space="0" w:color="auto"/>
              <w:left w:val="single" w:sz="4" w:space="0" w:color="auto"/>
              <w:bottom w:val="single" w:sz="4" w:space="0" w:color="auto"/>
              <w:right w:val="single" w:sz="4" w:space="0" w:color="auto"/>
            </w:tcBorders>
            <w:hideMark/>
          </w:tcPr>
          <w:p w14:paraId="3CC3A9F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−130,50</w:t>
            </w:r>
          </w:p>
        </w:tc>
        <w:tc>
          <w:tcPr>
            <w:tcW w:w="994" w:type="dxa"/>
            <w:tcBorders>
              <w:top w:val="single" w:sz="4" w:space="0" w:color="auto"/>
              <w:left w:val="single" w:sz="4" w:space="0" w:color="auto"/>
              <w:bottom w:val="single" w:sz="4" w:space="0" w:color="auto"/>
              <w:right w:val="single" w:sz="4" w:space="0" w:color="auto"/>
            </w:tcBorders>
            <w:hideMark/>
          </w:tcPr>
          <w:p w14:paraId="395C14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−89,00</w:t>
            </w:r>
          </w:p>
        </w:tc>
        <w:tc>
          <w:tcPr>
            <w:tcW w:w="924" w:type="dxa"/>
            <w:tcBorders>
              <w:top w:val="single" w:sz="4" w:space="0" w:color="auto"/>
              <w:left w:val="single" w:sz="4" w:space="0" w:color="auto"/>
              <w:bottom w:val="single" w:sz="4" w:space="0" w:color="auto"/>
              <w:right w:val="single" w:sz="4" w:space="0" w:color="auto"/>
            </w:tcBorders>
            <w:hideMark/>
          </w:tcPr>
          <w:p w14:paraId="1C7F5CC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16912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5CCAAF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7C6A47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AA1071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E9988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−24,9</w:t>
            </w:r>
          </w:p>
        </w:tc>
        <w:tc>
          <w:tcPr>
            <w:tcW w:w="933" w:type="dxa"/>
            <w:tcBorders>
              <w:top w:val="single" w:sz="4" w:space="0" w:color="auto"/>
              <w:left w:val="single" w:sz="4" w:space="0" w:color="auto"/>
              <w:bottom w:val="single" w:sz="4" w:space="0" w:color="auto"/>
              <w:right w:val="single" w:sz="4" w:space="0" w:color="auto"/>
            </w:tcBorders>
          </w:tcPr>
          <w:p w14:paraId="33259222" w14:textId="77777777" w:rsidR="00B82F75" w:rsidRPr="00F52C10" w:rsidRDefault="00B82F75" w:rsidP="00E4628E">
            <w:pPr>
              <w:pStyle w:val="Tabletext0"/>
              <w:spacing w:before="34" w:after="34" w:line="276" w:lineRule="auto"/>
              <w:rPr>
                <w:sz w:val="18"/>
                <w:szCs w:val="18"/>
                <w:lang w:val="en-CA"/>
              </w:rPr>
            </w:pPr>
          </w:p>
        </w:tc>
      </w:tr>
      <w:tr w:rsidR="00B82F75" w:rsidRPr="00F52C10" w14:paraId="624A10D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B8CEF7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SMA00000</w:t>
            </w:r>
          </w:p>
        </w:tc>
        <w:tc>
          <w:tcPr>
            <w:tcW w:w="994" w:type="dxa"/>
            <w:tcBorders>
              <w:top w:val="single" w:sz="4" w:space="0" w:color="auto"/>
              <w:left w:val="single" w:sz="4" w:space="0" w:color="auto"/>
              <w:bottom w:val="single" w:sz="4" w:space="0" w:color="auto"/>
              <w:right w:val="single" w:sz="4" w:space="0" w:color="auto"/>
            </w:tcBorders>
            <w:hideMark/>
          </w:tcPr>
          <w:p w14:paraId="18CB98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559F77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−170,70</w:t>
            </w:r>
          </w:p>
        </w:tc>
        <w:tc>
          <w:tcPr>
            <w:tcW w:w="924" w:type="dxa"/>
            <w:tcBorders>
              <w:top w:val="single" w:sz="4" w:space="0" w:color="auto"/>
              <w:left w:val="single" w:sz="4" w:space="0" w:color="auto"/>
              <w:bottom w:val="single" w:sz="4" w:space="0" w:color="auto"/>
              <w:right w:val="single" w:sz="4" w:space="0" w:color="auto"/>
            </w:tcBorders>
            <w:hideMark/>
          </w:tcPr>
          <w:p w14:paraId="61C3D0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023E2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BA899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E2836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7CE49F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F7E4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−31,1</w:t>
            </w:r>
          </w:p>
        </w:tc>
        <w:tc>
          <w:tcPr>
            <w:tcW w:w="933" w:type="dxa"/>
            <w:tcBorders>
              <w:top w:val="single" w:sz="4" w:space="0" w:color="auto"/>
              <w:left w:val="single" w:sz="4" w:space="0" w:color="auto"/>
              <w:bottom w:val="single" w:sz="4" w:space="0" w:color="auto"/>
              <w:right w:val="single" w:sz="4" w:space="0" w:color="auto"/>
            </w:tcBorders>
            <w:hideMark/>
          </w:tcPr>
          <w:p w14:paraId="5415C59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703407DF"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E75D46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SMO00000</w:t>
            </w:r>
          </w:p>
        </w:tc>
        <w:tc>
          <w:tcPr>
            <w:tcW w:w="994" w:type="dxa"/>
            <w:tcBorders>
              <w:top w:val="single" w:sz="4" w:space="0" w:color="auto"/>
              <w:left w:val="single" w:sz="4" w:space="0" w:color="auto"/>
              <w:bottom w:val="single" w:sz="4" w:space="0" w:color="auto"/>
              <w:right w:val="single" w:sz="4" w:space="0" w:color="auto"/>
            </w:tcBorders>
            <w:hideMark/>
          </w:tcPr>
          <w:p w14:paraId="1962B0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−125,50</w:t>
            </w:r>
          </w:p>
        </w:tc>
        <w:tc>
          <w:tcPr>
            <w:tcW w:w="994" w:type="dxa"/>
            <w:tcBorders>
              <w:top w:val="single" w:sz="4" w:space="0" w:color="auto"/>
              <w:left w:val="single" w:sz="4" w:space="0" w:color="auto"/>
              <w:bottom w:val="single" w:sz="4" w:space="0" w:color="auto"/>
              <w:right w:val="single" w:sz="4" w:space="0" w:color="auto"/>
            </w:tcBorders>
            <w:hideMark/>
          </w:tcPr>
          <w:p w14:paraId="7A0A241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−172,10</w:t>
            </w:r>
          </w:p>
        </w:tc>
        <w:tc>
          <w:tcPr>
            <w:tcW w:w="924" w:type="dxa"/>
            <w:tcBorders>
              <w:top w:val="single" w:sz="4" w:space="0" w:color="auto"/>
              <w:left w:val="single" w:sz="4" w:space="0" w:color="auto"/>
              <w:bottom w:val="single" w:sz="4" w:space="0" w:color="auto"/>
              <w:right w:val="single" w:sz="4" w:space="0" w:color="auto"/>
            </w:tcBorders>
            <w:hideMark/>
          </w:tcPr>
          <w:p w14:paraId="721685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50B895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6A0975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DB8C9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6ACA94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E827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−24,6</w:t>
            </w:r>
          </w:p>
        </w:tc>
        <w:tc>
          <w:tcPr>
            <w:tcW w:w="933" w:type="dxa"/>
            <w:tcBorders>
              <w:top w:val="single" w:sz="4" w:space="0" w:color="auto"/>
              <w:left w:val="single" w:sz="4" w:space="0" w:color="auto"/>
              <w:bottom w:val="single" w:sz="4" w:space="0" w:color="auto"/>
              <w:right w:val="single" w:sz="4" w:space="0" w:color="auto"/>
            </w:tcBorders>
          </w:tcPr>
          <w:p w14:paraId="3D43E1A3" w14:textId="77777777" w:rsidR="00B82F75" w:rsidRPr="00F52C10" w:rsidRDefault="00B82F75" w:rsidP="00E4628E">
            <w:pPr>
              <w:pStyle w:val="Tabletext0"/>
              <w:spacing w:before="34" w:after="34" w:line="276" w:lineRule="auto"/>
              <w:rPr>
                <w:sz w:val="18"/>
                <w:szCs w:val="18"/>
                <w:lang w:val="en-CA"/>
              </w:rPr>
            </w:pPr>
          </w:p>
        </w:tc>
      </w:tr>
      <w:tr w:rsidR="00B82F75" w:rsidRPr="00F52C10" w14:paraId="5CC7530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71EF82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SMR00000</w:t>
            </w:r>
          </w:p>
        </w:tc>
        <w:tc>
          <w:tcPr>
            <w:tcW w:w="994" w:type="dxa"/>
            <w:tcBorders>
              <w:top w:val="single" w:sz="4" w:space="0" w:color="auto"/>
              <w:left w:val="single" w:sz="4" w:space="0" w:color="auto"/>
              <w:bottom w:val="single" w:sz="4" w:space="0" w:color="auto"/>
              <w:right w:val="single" w:sz="4" w:space="0" w:color="auto"/>
            </w:tcBorders>
            <w:hideMark/>
          </w:tcPr>
          <w:p w14:paraId="1A232A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16,50</w:t>
            </w:r>
          </w:p>
        </w:tc>
        <w:tc>
          <w:tcPr>
            <w:tcW w:w="994" w:type="dxa"/>
            <w:tcBorders>
              <w:top w:val="single" w:sz="4" w:space="0" w:color="auto"/>
              <w:left w:val="single" w:sz="4" w:space="0" w:color="auto"/>
              <w:bottom w:val="single" w:sz="4" w:space="0" w:color="auto"/>
              <w:right w:val="single" w:sz="4" w:space="0" w:color="auto"/>
            </w:tcBorders>
            <w:hideMark/>
          </w:tcPr>
          <w:p w14:paraId="521D1A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12,50</w:t>
            </w:r>
          </w:p>
        </w:tc>
        <w:tc>
          <w:tcPr>
            <w:tcW w:w="924" w:type="dxa"/>
            <w:tcBorders>
              <w:top w:val="single" w:sz="4" w:space="0" w:color="auto"/>
              <w:left w:val="single" w:sz="4" w:space="0" w:color="auto"/>
              <w:bottom w:val="single" w:sz="4" w:space="0" w:color="auto"/>
              <w:right w:val="single" w:sz="4" w:space="0" w:color="auto"/>
            </w:tcBorders>
            <w:hideMark/>
          </w:tcPr>
          <w:p w14:paraId="417E91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FADA26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33BECD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CFA8A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2A1A9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E008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−30,3</w:t>
            </w:r>
          </w:p>
        </w:tc>
        <w:tc>
          <w:tcPr>
            <w:tcW w:w="933" w:type="dxa"/>
            <w:tcBorders>
              <w:top w:val="single" w:sz="4" w:space="0" w:color="auto"/>
              <w:left w:val="single" w:sz="4" w:space="0" w:color="auto"/>
              <w:bottom w:val="single" w:sz="4" w:space="0" w:color="auto"/>
              <w:right w:val="single" w:sz="4" w:space="0" w:color="auto"/>
            </w:tcBorders>
          </w:tcPr>
          <w:p w14:paraId="13B9DFB1" w14:textId="77777777" w:rsidR="00B82F75" w:rsidRPr="00F52C10" w:rsidRDefault="00B82F75" w:rsidP="00E4628E">
            <w:pPr>
              <w:pStyle w:val="Tabletext0"/>
              <w:spacing w:before="34" w:after="34" w:line="276" w:lineRule="auto"/>
              <w:rPr>
                <w:sz w:val="18"/>
                <w:szCs w:val="18"/>
                <w:lang w:val="en-CA"/>
              </w:rPr>
            </w:pPr>
          </w:p>
        </w:tc>
      </w:tr>
      <w:tr w:rsidR="00B82F75" w:rsidRPr="00F52C10" w14:paraId="5910D5A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5C9298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SNG00000</w:t>
            </w:r>
          </w:p>
        </w:tc>
        <w:tc>
          <w:tcPr>
            <w:tcW w:w="994" w:type="dxa"/>
            <w:tcBorders>
              <w:top w:val="single" w:sz="4" w:space="0" w:color="auto"/>
              <w:left w:val="single" w:sz="4" w:space="0" w:color="auto"/>
              <w:bottom w:val="single" w:sz="4" w:space="0" w:color="auto"/>
              <w:right w:val="single" w:sz="4" w:space="0" w:color="auto"/>
            </w:tcBorders>
            <w:hideMark/>
          </w:tcPr>
          <w:p w14:paraId="714C09A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98,10</w:t>
            </w:r>
          </w:p>
        </w:tc>
        <w:tc>
          <w:tcPr>
            <w:tcW w:w="994" w:type="dxa"/>
            <w:tcBorders>
              <w:top w:val="single" w:sz="4" w:space="0" w:color="auto"/>
              <w:left w:val="single" w:sz="4" w:space="0" w:color="auto"/>
              <w:bottom w:val="single" w:sz="4" w:space="0" w:color="auto"/>
              <w:right w:val="single" w:sz="4" w:space="0" w:color="auto"/>
            </w:tcBorders>
            <w:hideMark/>
          </w:tcPr>
          <w:p w14:paraId="0D1AEF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103,90</w:t>
            </w:r>
          </w:p>
        </w:tc>
        <w:tc>
          <w:tcPr>
            <w:tcW w:w="924" w:type="dxa"/>
            <w:tcBorders>
              <w:top w:val="single" w:sz="4" w:space="0" w:color="auto"/>
              <w:left w:val="single" w:sz="4" w:space="0" w:color="auto"/>
              <w:bottom w:val="single" w:sz="4" w:space="0" w:color="auto"/>
              <w:right w:val="single" w:sz="4" w:space="0" w:color="auto"/>
            </w:tcBorders>
            <w:hideMark/>
          </w:tcPr>
          <w:p w14:paraId="5D6ADA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759DC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D65FF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D05811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73657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AB665B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−25,4</w:t>
            </w:r>
          </w:p>
        </w:tc>
        <w:tc>
          <w:tcPr>
            <w:tcW w:w="933" w:type="dxa"/>
            <w:tcBorders>
              <w:top w:val="single" w:sz="4" w:space="0" w:color="auto"/>
              <w:left w:val="single" w:sz="4" w:space="0" w:color="auto"/>
              <w:bottom w:val="single" w:sz="4" w:space="0" w:color="auto"/>
              <w:right w:val="single" w:sz="4" w:space="0" w:color="auto"/>
            </w:tcBorders>
          </w:tcPr>
          <w:p w14:paraId="3267F438" w14:textId="77777777" w:rsidR="00B82F75" w:rsidRPr="00F52C10" w:rsidRDefault="00B82F75" w:rsidP="00E4628E">
            <w:pPr>
              <w:pStyle w:val="Tabletext0"/>
              <w:spacing w:before="34" w:after="34" w:line="276" w:lineRule="auto"/>
              <w:rPr>
                <w:sz w:val="18"/>
                <w:szCs w:val="18"/>
                <w:lang w:val="en-CA"/>
              </w:rPr>
            </w:pPr>
          </w:p>
        </w:tc>
      </w:tr>
      <w:tr w:rsidR="00B82F75" w:rsidRPr="00F52C10" w14:paraId="777FBDA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5E1EC5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SOM00000</w:t>
            </w:r>
          </w:p>
        </w:tc>
        <w:tc>
          <w:tcPr>
            <w:tcW w:w="994" w:type="dxa"/>
            <w:tcBorders>
              <w:top w:val="single" w:sz="4" w:space="0" w:color="auto"/>
              <w:left w:val="single" w:sz="4" w:space="0" w:color="auto"/>
              <w:bottom w:val="single" w:sz="4" w:space="0" w:color="auto"/>
              <w:right w:val="single" w:sz="4" w:space="0" w:color="auto"/>
            </w:tcBorders>
            <w:hideMark/>
          </w:tcPr>
          <w:p w14:paraId="7734C30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98,40</w:t>
            </w:r>
          </w:p>
        </w:tc>
        <w:tc>
          <w:tcPr>
            <w:tcW w:w="994" w:type="dxa"/>
            <w:tcBorders>
              <w:top w:val="single" w:sz="4" w:space="0" w:color="auto"/>
              <w:left w:val="single" w:sz="4" w:space="0" w:color="auto"/>
              <w:bottom w:val="single" w:sz="4" w:space="0" w:color="auto"/>
              <w:right w:val="single" w:sz="4" w:space="0" w:color="auto"/>
            </w:tcBorders>
            <w:hideMark/>
          </w:tcPr>
          <w:p w14:paraId="3E2B0C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46,00</w:t>
            </w:r>
          </w:p>
        </w:tc>
        <w:tc>
          <w:tcPr>
            <w:tcW w:w="924" w:type="dxa"/>
            <w:tcBorders>
              <w:top w:val="single" w:sz="4" w:space="0" w:color="auto"/>
              <w:left w:val="single" w:sz="4" w:space="0" w:color="auto"/>
              <w:bottom w:val="single" w:sz="4" w:space="0" w:color="auto"/>
              <w:right w:val="single" w:sz="4" w:space="0" w:color="auto"/>
            </w:tcBorders>
            <w:hideMark/>
          </w:tcPr>
          <w:p w14:paraId="149721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4E3EC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FFFF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5F36D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AB20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E1B0D7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−25,5</w:t>
            </w:r>
          </w:p>
        </w:tc>
        <w:tc>
          <w:tcPr>
            <w:tcW w:w="933" w:type="dxa"/>
            <w:tcBorders>
              <w:top w:val="single" w:sz="4" w:space="0" w:color="auto"/>
              <w:left w:val="single" w:sz="4" w:space="0" w:color="auto"/>
              <w:bottom w:val="single" w:sz="4" w:space="0" w:color="auto"/>
              <w:right w:val="single" w:sz="4" w:space="0" w:color="auto"/>
            </w:tcBorders>
          </w:tcPr>
          <w:p w14:paraId="4EDFB717" w14:textId="77777777" w:rsidR="00B82F75" w:rsidRPr="00F52C10" w:rsidRDefault="00B82F75" w:rsidP="00E4628E">
            <w:pPr>
              <w:pStyle w:val="Tabletext0"/>
              <w:spacing w:before="34" w:after="34" w:line="276" w:lineRule="auto"/>
              <w:rPr>
                <w:sz w:val="18"/>
                <w:szCs w:val="18"/>
                <w:lang w:val="en-CA"/>
              </w:rPr>
            </w:pPr>
          </w:p>
        </w:tc>
      </w:tr>
      <w:tr w:rsidR="00B82F75" w:rsidRPr="00F52C10" w14:paraId="2DAD390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A9C8B4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SPM00000</w:t>
            </w:r>
          </w:p>
        </w:tc>
        <w:tc>
          <w:tcPr>
            <w:tcW w:w="994" w:type="dxa"/>
            <w:tcBorders>
              <w:top w:val="single" w:sz="4" w:space="0" w:color="auto"/>
              <w:left w:val="single" w:sz="4" w:space="0" w:color="auto"/>
              <w:bottom w:val="single" w:sz="4" w:space="0" w:color="auto"/>
              <w:right w:val="single" w:sz="4" w:space="0" w:color="auto"/>
            </w:tcBorders>
            <w:hideMark/>
          </w:tcPr>
          <w:p w14:paraId="629755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−8,00</w:t>
            </w:r>
          </w:p>
        </w:tc>
        <w:tc>
          <w:tcPr>
            <w:tcW w:w="994" w:type="dxa"/>
            <w:tcBorders>
              <w:top w:val="single" w:sz="4" w:space="0" w:color="auto"/>
              <w:left w:val="single" w:sz="4" w:space="0" w:color="auto"/>
              <w:bottom w:val="single" w:sz="4" w:space="0" w:color="auto"/>
              <w:right w:val="single" w:sz="4" w:space="0" w:color="auto"/>
            </w:tcBorders>
          </w:tcPr>
          <w:p w14:paraId="62A845C5"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6C897E6A"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1C39F44"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8C1F028"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327237F"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F898771" w14:textId="77777777" w:rsidR="00B82F75" w:rsidRPr="00F52C10" w:rsidRDefault="00B82F75" w:rsidP="00E4628E">
            <w:pPr>
              <w:pStyle w:val="Tabletext0"/>
              <w:spacing w:before="34" w:after="34" w:line="276" w:lineRule="auto"/>
              <w:jc w:val="right"/>
              <w:rPr>
                <w:sz w:val="18"/>
                <w:szCs w:val="18"/>
                <w:lang w:val="en-CA"/>
              </w:rPr>
            </w:pP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A1DDEC1" w14:textId="77777777" w:rsidR="00B82F75" w:rsidRPr="00F52C10" w:rsidRDefault="00B82F75" w:rsidP="00E4628E">
            <w:pPr>
              <w:pStyle w:val="Tabletext0"/>
              <w:spacing w:before="34" w:after="34" w:line="276" w:lineRule="auto"/>
              <w:jc w:val="right"/>
              <w:rPr>
                <w:sz w:val="18"/>
                <w:szCs w:val="18"/>
                <w:lang w:val="en-CA"/>
              </w:rPr>
            </w:pPr>
          </w:p>
        </w:tc>
        <w:tc>
          <w:tcPr>
            <w:tcW w:w="933" w:type="dxa"/>
            <w:tcBorders>
              <w:top w:val="single" w:sz="4" w:space="0" w:color="auto"/>
              <w:left w:val="single" w:sz="4" w:space="0" w:color="auto"/>
              <w:bottom w:val="single" w:sz="4" w:space="0" w:color="auto"/>
              <w:right w:val="single" w:sz="4" w:space="0" w:color="auto"/>
            </w:tcBorders>
            <w:hideMark/>
          </w:tcPr>
          <w:p w14:paraId="16F770C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1</w:t>
            </w:r>
          </w:p>
        </w:tc>
      </w:tr>
      <w:tr w:rsidR="00B82F75" w:rsidRPr="00F52C10" w14:paraId="6819BCFC"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971EC74"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SRL00000</w:t>
            </w:r>
          </w:p>
        </w:tc>
        <w:tc>
          <w:tcPr>
            <w:tcW w:w="994" w:type="dxa"/>
            <w:tcBorders>
              <w:top w:val="single" w:sz="4" w:space="0" w:color="auto"/>
              <w:left w:val="single" w:sz="4" w:space="0" w:color="auto"/>
              <w:bottom w:val="single" w:sz="4" w:space="0" w:color="auto"/>
              <w:right w:val="single" w:sz="4" w:space="0" w:color="auto"/>
            </w:tcBorders>
            <w:hideMark/>
          </w:tcPr>
          <w:p w14:paraId="5289045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−51,80</w:t>
            </w:r>
          </w:p>
        </w:tc>
        <w:tc>
          <w:tcPr>
            <w:tcW w:w="994" w:type="dxa"/>
            <w:tcBorders>
              <w:top w:val="single" w:sz="4" w:space="0" w:color="auto"/>
              <w:left w:val="single" w:sz="4" w:space="0" w:color="auto"/>
              <w:bottom w:val="single" w:sz="4" w:space="0" w:color="auto"/>
              <w:right w:val="single" w:sz="4" w:space="0" w:color="auto"/>
            </w:tcBorders>
            <w:hideMark/>
          </w:tcPr>
          <w:p w14:paraId="6D78748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−11,90</w:t>
            </w:r>
          </w:p>
        </w:tc>
        <w:tc>
          <w:tcPr>
            <w:tcW w:w="924" w:type="dxa"/>
            <w:tcBorders>
              <w:top w:val="single" w:sz="4" w:space="0" w:color="auto"/>
              <w:left w:val="single" w:sz="4" w:space="0" w:color="auto"/>
              <w:bottom w:val="single" w:sz="4" w:space="0" w:color="auto"/>
              <w:right w:val="single" w:sz="4" w:space="0" w:color="auto"/>
            </w:tcBorders>
            <w:hideMark/>
          </w:tcPr>
          <w:p w14:paraId="411ACFE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CA6DD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87D4F3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A55CFB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0EA9A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8F1D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−25,4</w:t>
            </w:r>
          </w:p>
        </w:tc>
        <w:tc>
          <w:tcPr>
            <w:tcW w:w="933" w:type="dxa"/>
            <w:tcBorders>
              <w:top w:val="single" w:sz="4" w:space="0" w:color="auto"/>
              <w:left w:val="single" w:sz="4" w:space="0" w:color="auto"/>
              <w:bottom w:val="single" w:sz="4" w:space="0" w:color="auto"/>
              <w:right w:val="single" w:sz="4" w:space="0" w:color="auto"/>
            </w:tcBorders>
          </w:tcPr>
          <w:p w14:paraId="475A23BC" w14:textId="77777777" w:rsidR="00B82F75" w:rsidRPr="00F52C10" w:rsidRDefault="00B82F75" w:rsidP="00E4628E">
            <w:pPr>
              <w:pStyle w:val="Tabletext0"/>
              <w:spacing w:before="34" w:after="34" w:line="276" w:lineRule="auto"/>
              <w:rPr>
                <w:sz w:val="18"/>
                <w:szCs w:val="18"/>
                <w:lang w:val="en-CA"/>
              </w:rPr>
            </w:pPr>
          </w:p>
        </w:tc>
      </w:tr>
      <w:tr w:rsidR="00B82F75" w:rsidRPr="00F52C10" w14:paraId="22DDBB4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E7410A6"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STP00000</w:t>
            </w:r>
          </w:p>
        </w:tc>
        <w:tc>
          <w:tcPr>
            <w:tcW w:w="994" w:type="dxa"/>
            <w:tcBorders>
              <w:top w:val="single" w:sz="4" w:space="0" w:color="auto"/>
              <w:left w:val="single" w:sz="4" w:space="0" w:color="auto"/>
              <w:bottom w:val="single" w:sz="4" w:space="0" w:color="auto"/>
              <w:right w:val="single" w:sz="4" w:space="0" w:color="auto"/>
            </w:tcBorders>
            <w:hideMark/>
          </w:tcPr>
          <w:p w14:paraId="05AF88E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30,25</w:t>
            </w:r>
          </w:p>
        </w:tc>
        <w:tc>
          <w:tcPr>
            <w:tcW w:w="994" w:type="dxa"/>
            <w:tcBorders>
              <w:top w:val="single" w:sz="4" w:space="0" w:color="auto"/>
              <w:left w:val="single" w:sz="4" w:space="0" w:color="auto"/>
              <w:bottom w:val="single" w:sz="4" w:space="0" w:color="auto"/>
              <w:right w:val="single" w:sz="4" w:space="0" w:color="auto"/>
            </w:tcBorders>
            <w:hideMark/>
          </w:tcPr>
          <w:p w14:paraId="3A22A15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7,00</w:t>
            </w:r>
          </w:p>
        </w:tc>
        <w:tc>
          <w:tcPr>
            <w:tcW w:w="924" w:type="dxa"/>
            <w:tcBorders>
              <w:top w:val="single" w:sz="4" w:space="0" w:color="auto"/>
              <w:left w:val="single" w:sz="4" w:space="0" w:color="auto"/>
              <w:bottom w:val="single" w:sz="4" w:space="0" w:color="auto"/>
              <w:right w:val="single" w:sz="4" w:space="0" w:color="auto"/>
            </w:tcBorders>
            <w:hideMark/>
          </w:tcPr>
          <w:p w14:paraId="5D934C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6F582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3AAAC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5AD940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F1392F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CFA45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933" w:type="dxa"/>
            <w:tcBorders>
              <w:top w:val="single" w:sz="4" w:space="0" w:color="auto"/>
              <w:left w:val="single" w:sz="4" w:space="0" w:color="auto"/>
              <w:bottom w:val="single" w:sz="4" w:space="0" w:color="auto"/>
              <w:right w:val="single" w:sz="4" w:space="0" w:color="auto"/>
            </w:tcBorders>
          </w:tcPr>
          <w:p w14:paraId="084A3B9D" w14:textId="77777777" w:rsidR="00B82F75" w:rsidRPr="00F52C10" w:rsidRDefault="00B82F75" w:rsidP="00E4628E">
            <w:pPr>
              <w:pStyle w:val="Tabletext0"/>
              <w:spacing w:before="34" w:after="34" w:line="276" w:lineRule="auto"/>
              <w:rPr>
                <w:sz w:val="18"/>
                <w:szCs w:val="18"/>
                <w:lang w:val="en-CA"/>
              </w:rPr>
            </w:pPr>
          </w:p>
        </w:tc>
      </w:tr>
      <w:tr w:rsidR="00B82F75" w:rsidRPr="00F52C10" w14:paraId="3AD7E53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F66199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SUI00000</w:t>
            </w:r>
          </w:p>
        </w:tc>
        <w:tc>
          <w:tcPr>
            <w:tcW w:w="994" w:type="dxa"/>
            <w:tcBorders>
              <w:top w:val="single" w:sz="4" w:space="0" w:color="auto"/>
              <w:left w:val="single" w:sz="4" w:space="0" w:color="auto"/>
              <w:bottom w:val="single" w:sz="4" w:space="0" w:color="auto"/>
              <w:right w:val="single" w:sz="4" w:space="0" w:color="auto"/>
            </w:tcBorders>
            <w:hideMark/>
          </w:tcPr>
          <w:p w14:paraId="7AF163D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9,45</w:t>
            </w:r>
          </w:p>
        </w:tc>
        <w:tc>
          <w:tcPr>
            <w:tcW w:w="994" w:type="dxa"/>
            <w:tcBorders>
              <w:top w:val="single" w:sz="4" w:space="0" w:color="auto"/>
              <w:left w:val="single" w:sz="4" w:space="0" w:color="auto"/>
              <w:bottom w:val="single" w:sz="4" w:space="0" w:color="auto"/>
              <w:right w:val="single" w:sz="4" w:space="0" w:color="auto"/>
            </w:tcBorders>
            <w:hideMark/>
          </w:tcPr>
          <w:p w14:paraId="198F23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8,20</w:t>
            </w:r>
          </w:p>
        </w:tc>
        <w:tc>
          <w:tcPr>
            <w:tcW w:w="924" w:type="dxa"/>
            <w:tcBorders>
              <w:top w:val="single" w:sz="4" w:space="0" w:color="auto"/>
              <w:left w:val="single" w:sz="4" w:space="0" w:color="auto"/>
              <w:bottom w:val="single" w:sz="4" w:space="0" w:color="auto"/>
              <w:right w:val="single" w:sz="4" w:space="0" w:color="auto"/>
            </w:tcBorders>
            <w:hideMark/>
          </w:tcPr>
          <w:p w14:paraId="2346CA2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DC6E7F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BE54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BDE9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A85D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09F2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−29,4</w:t>
            </w:r>
          </w:p>
        </w:tc>
        <w:tc>
          <w:tcPr>
            <w:tcW w:w="933" w:type="dxa"/>
            <w:tcBorders>
              <w:top w:val="single" w:sz="4" w:space="0" w:color="auto"/>
              <w:left w:val="single" w:sz="4" w:space="0" w:color="auto"/>
              <w:bottom w:val="single" w:sz="4" w:space="0" w:color="auto"/>
              <w:right w:val="single" w:sz="4" w:space="0" w:color="auto"/>
            </w:tcBorders>
          </w:tcPr>
          <w:p w14:paraId="289A19AE" w14:textId="77777777" w:rsidR="00B82F75" w:rsidRPr="00F52C10" w:rsidRDefault="00B82F75" w:rsidP="00E4628E">
            <w:pPr>
              <w:pStyle w:val="Tabletext0"/>
              <w:spacing w:before="34" w:after="34" w:line="276" w:lineRule="auto"/>
              <w:rPr>
                <w:sz w:val="18"/>
                <w:szCs w:val="18"/>
                <w:lang w:val="en-CA"/>
              </w:rPr>
            </w:pPr>
          </w:p>
        </w:tc>
      </w:tr>
      <w:tr w:rsidR="00B82F75" w:rsidRPr="00F52C10" w14:paraId="459B680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780D03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SUR00000</w:t>
            </w:r>
          </w:p>
        </w:tc>
        <w:tc>
          <w:tcPr>
            <w:tcW w:w="994" w:type="dxa"/>
            <w:tcBorders>
              <w:top w:val="single" w:sz="4" w:space="0" w:color="auto"/>
              <w:left w:val="single" w:sz="4" w:space="0" w:color="auto"/>
              <w:bottom w:val="single" w:sz="4" w:space="0" w:color="auto"/>
              <w:right w:val="single" w:sz="4" w:space="0" w:color="auto"/>
            </w:tcBorders>
            <w:hideMark/>
          </w:tcPr>
          <w:p w14:paraId="73BF82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−77,00</w:t>
            </w:r>
          </w:p>
        </w:tc>
        <w:tc>
          <w:tcPr>
            <w:tcW w:w="994" w:type="dxa"/>
            <w:tcBorders>
              <w:top w:val="single" w:sz="4" w:space="0" w:color="auto"/>
              <w:left w:val="single" w:sz="4" w:space="0" w:color="auto"/>
              <w:bottom w:val="single" w:sz="4" w:space="0" w:color="auto"/>
              <w:right w:val="single" w:sz="4" w:space="0" w:color="auto"/>
            </w:tcBorders>
            <w:hideMark/>
          </w:tcPr>
          <w:p w14:paraId="14F1CF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−55,60</w:t>
            </w:r>
          </w:p>
        </w:tc>
        <w:tc>
          <w:tcPr>
            <w:tcW w:w="924" w:type="dxa"/>
            <w:tcBorders>
              <w:top w:val="single" w:sz="4" w:space="0" w:color="auto"/>
              <w:left w:val="single" w:sz="4" w:space="0" w:color="auto"/>
              <w:bottom w:val="single" w:sz="4" w:space="0" w:color="auto"/>
              <w:right w:val="single" w:sz="4" w:space="0" w:color="auto"/>
            </w:tcBorders>
            <w:hideMark/>
          </w:tcPr>
          <w:p w14:paraId="1BBD51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E5A7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6839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0,90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2839C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37,00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E0F45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F5CC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−23,2</w:t>
            </w:r>
          </w:p>
        </w:tc>
        <w:tc>
          <w:tcPr>
            <w:tcW w:w="933" w:type="dxa"/>
            <w:tcBorders>
              <w:top w:val="single" w:sz="4" w:space="0" w:color="auto"/>
              <w:left w:val="single" w:sz="4" w:space="0" w:color="auto"/>
              <w:bottom w:val="single" w:sz="4" w:space="0" w:color="auto"/>
              <w:right w:val="single" w:sz="4" w:space="0" w:color="auto"/>
            </w:tcBorders>
          </w:tcPr>
          <w:p w14:paraId="12C25DF6" w14:textId="77777777" w:rsidR="00B82F75" w:rsidRPr="00F52C10" w:rsidRDefault="00B82F75" w:rsidP="00E4628E">
            <w:pPr>
              <w:pStyle w:val="Tabletext0"/>
              <w:spacing w:before="34" w:after="34" w:line="276" w:lineRule="auto"/>
              <w:rPr>
                <w:sz w:val="18"/>
                <w:szCs w:val="18"/>
                <w:lang w:val="en-CA"/>
              </w:rPr>
            </w:pPr>
          </w:p>
        </w:tc>
      </w:tr>
      <w:tr w:rsidR="00B82F75" w:rsidRPr="00F52C10" w14:paraId="06073FE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5F1CCB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SVK00000</w:t>
            </w:r>
          </w:p>
        </w:tc>
        <w:tc>
          <w:tcPr>
            <w:tcW w:w="994" w:type="dxa"/>
            <w:tcBorders>
              <w:top w:val="single" w:sz="4" w:space="0" w:color="auto"/>
              <w:left w:val="single" w:sz="4" w:space="0" w:color="auto"/>
              <w:bottom w:val="single" w:sz="4" w:space="0" w:color="auto"/>
              <w:right w:val="single" w:sz="4" w:space="0" w:color="auto"/>
            </w:tcBorders>
            <w:hideMark/>
          </w:tcPr>
          <w:p w14:paraId="5846BC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−19,82</w:t>
            </w:r>
          </w:p>
        </w:tc>
        <w:tc>
          <w:tcPr>
            <w:tcW w:w="994" w:type="dxa"/>
            <w:tcBorders>
              <w:top w:val="single" w:sz="4" w:space="0" w:color="auto"/>
              <w:left w:val="single" w:sz="4" w:space="0" w:color="auto"/>
              <w:bottom w:val="single" w:sz="4" w:space="0" w:color="auto"/>
              <w:right w:val="single" w:sz="4" w:space="0" w:color="auto"/>
            </w:tcBorders>
            <w:hideMark/>
          </w:tcPr>
          <w:p w14:paraId="2CC5F3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17,30</w:t>
            </w:r>
          </w:p>
        </w:tc>
        <w:tc>
          <w:tcPr>
            <w:tcW w:w="924" w:type="dxa"/>
            <w:tcBorders>
              <w:top w:val="single" w:sz="4" w:space="0" w:color="auto"/>
              <w:left w:val="single" w:sz="4" w:space="0" w:color="auto"/>
              <w:bottom w:val="single" w:sz="4" w:space="0" w:color="auto"/>
              <w:right w:val="single" w:sz="4" w:space="0" w:color="auto"/>
            </w:tcBorders>
            <w:hideMark/>
          </w:tcPr>
          <w:p w14:paraId="411350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D04FB1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320CB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C3C8D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A06B2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E08E97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−27,4</w:t>
            </w:r>
          </w:p>
        </w:tc>
        <w:tc>
          <w:tcPr>
            <w:tcW w:w="933" w:type="dxa"/>
            <w:tcBorders>
              <w:top w:val="single" w:sz="4" w:space="0" w:color="auto"/>
              <w:left w:val="single" w:sz="4" w:space="0" w:color="auto"/>
              <w:bottom w:val="single" w:sz="4" w:space="0" w:color="auto"/>
              <w:right w:val="single" w:sz="4" w:space="0" w:color="auto"/>
            </w:tcBorders>
          </w:tcPr>
          <w:p w14:paraId="26F0FC2E" w14:textId="77777777" w:rsidR="00B82F75" w:rsidRPr="00F52C10" w:rsidRDefault="00B82F75" w:rsidP="00E4628E">
            <w:pPr>
              <w:pStyle w:val="Tabletext0"/>
              <w:spacing w:before="34" w:after="34" w:line="276" w:lineRule="auto"/>
              <w:rPr>
                <w:sz w:val="18"/>
                <w:szCs w:val="18"/>
                <w:lang w:val="en-CA"/>
              </w:rPr>
            </w:pPr>
          </w:p>
        </w:tc>
      </w:tr>
      <w:tr w:rsidR="00B82F75" w:rsidRPr="00F52C10" w14:paraId="5DA0EEF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F2BA74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SWZ00000</w:t>
            </w:r>
          </w:p>
        </w:tc>
        <w:tc>
          <w:tcPr>
            <w:tcW w:w="994" w:type="dxa"/>
            <w:tcBorders>
              <w:top w:val="single" w:sz="4" w:space="0" w:color="auto"/>
              <w:left w:val="single" w:sz="4" w:space="0" w:color="auto"/>
              <w:bottom w:val="single" w:sz="4" w:space="0" w:color="auto"/>
              <w:right w:val="single" w:sz="4" w:space="0" w:color="auto"/>
            </w:tcBorders>
            <w:hideMark/>
          </w:tcPr>
          <w:p w14:paraId="28BC72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30,10</w:t>
            </w:r>
          </w:p>
        </w:tc>
        <w:tc>
          <w:tcPr>
            <w:tcW w:w="994" w:type="dxa"/>
            <w:tcBorders>
              <w:top w:val="single" w:sz="4" w:space="0" w:color="auto"/>
              <w:left w:val="single" w:sz="4" w:space="0" w:color="auto"/>
              <w:bottom w:val="single" w:sz="4" w:space="0" w:color="auto"/>
              <w:right w:val="single" w:sz="4" w:space="0" w:color="auto"/>
            </w:tcBorders>
            <w:hideMark/>
          </w:tcPr>
          <w:p w14:paraId="60725B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31,30</w:t>
            </w:r>
          </w:p>
        </w:tc>
        <w:tc>
          <w:tcPr>
            <w:tcW w:w="924" w:type="dxa"/>
            <w:tcBorders>
              <w:top w:val="single" w:sz="4" w:space="0" w:color="auto"/>
              <w:left w:val="single" w:sz="4" w:space="0" w:color="auto"/>
              <w:bottom w:val="single" w:sz="4" w:space="0" w:color="auto"/>
              <w:right w:val="single" w:sz="4" w:space="0" w:color="auto"/>
            </w:tcBorders>
            <w:hideMark/>
          </w:tcPr>
          <w:p w14:paraId="1E2F70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CF868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0DA4A1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58E2E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0527C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2D5137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−30,9</w:t>
            </w:r>
          </w:p>
        </w:tc>
        <w:tc>
          <w:tcPr>
            <w:tcW w:w="933" w:type="dxa"/>
            <w:tcBorders>
              <w:top w:val="single" w:sz="4" w:space="0" w:color="auto"/>
              <w:left w:val="single" w:sz="4" w:space="0" w:color="auto"/>
              <w:bottom w:val="single" w:sz="4" w:space="0" w:color="auto"/>
              <w:right w:val="single" w:sz="4" w:space="0" w:color="auto"/>
            </w:tcBorders>
          </w:tcPr>
          <w:p w14:paraId="13592303" w14:textId="77777777" w:rsidR="00B82F75" w:rsidRPr="00F52C10" w:rsidRDefault="00B82F75" w:rsidP="00E4628E">
            <w:pPr>
              <w:pStyle w:val="Tabletext0"/>
              <w:spacing w:before="34" w:after="34" w:line="276" w:lineRule="auto"/>
              <w:rPr>
                <w:sz w:val="18"/>
                <w:szCs w:val="18"/>
                <w:lang w:val="en-CA"/>
              </w:rPr>
            </w:pPr>
          </w:p>
        </w:tc>
      </w:tr>
      <w:tr w:rsidR="00B82F75" w:rsidRPr="00F52C10" w14:paraId="6F09ED8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1FBB75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lastRenderedPageBreak/>
              <w:t>SYR00000</w:t>
            </w:r>
          </w:p>
        </w:tc>
        <w:tc>
          <w:tcPr>
            <w:tcW w:w="994" w:type="dxa"/>
            <w:tcBorders>
              <w:top w:val="single" w:sz="4" w:space="0" w:color="auto"/>
              <w:left w:val="single" w:sz="4" w:space="0" w:color="auto"/>
              <w:bottom w:val="single" w:sz="4" w:space="0" w:color="auto"/>
              <w:right w:val="single" w:sz="4" w:space="0" w:color="auto"/>
            </w:tcBorders>
            <w:hideMark/>
          </w:tcPr>
          <w:p w14:paraId="30B5875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18,00</w:t>
            </w:r>
          </w:p>
        </w:tc>
        <w:tc>
          <w:tcPr>
            <w:tcW w:w="994" w:type="dxa"/>
            <w:tcBorders>
              <w:top w:val="single" w:sz="4" w:space="0" w:color="auto"/>
              <w:left w:val="single" w:sz="4" w:space="0" w:color="auto"/>
              <w:bottom w:val="single" w:sz="4" w:space="0" w:color="auto"/>
              <w:right w:val="single" w:sz="4" w:space="0" w:color="auto"/>
            </w:tcBorders>
            <w:hideMark/>
          </w:tcPr>
          <w:p w14:paraId="3F1686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38,60</w:t>
            </w:r>
          </w:p>
        </w:tc>
        <w:tc>
          <w:tcPr>
            <w:tcW w:w="924" w:type="dxa"/>
            <w:tcBorders>
              <w:top w:val="single" w:sz="4" w:space="0" w:color="auto"/>
              <w:left w:val="single" w:sz="4" w:space="0" w:color="auto"/>
              <w:bottom w:val="single" w:sz="4" w:space="0" w:color="auto"/>
              <w:right w:val="single" w:sz="4" w:space="0" w:color="auto"/>
            </w:tcBorders>
            <w:hideMark/>
          </w:tcPr>
          <w:p w14:paraId="5E31CD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35,30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7ACAAD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6229BA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BAFD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A3FC1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0A06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−28,3</w:t>
            </w:r>
          </w:p>
        </w:tc>
        <w:tc>
          <w:tcPr>
            <w:tcW w:w="933" w:type="dxa"/>
            <w:tcBorders>
              <w:top w:val="single" w:sz="4" w:space="0" w:color="auto"/>
              <w:left w:val="single" w:sz="4" w:space="0" w:color="auto"/>
              <w:bottom w:val="single" w:sz="4" w:space="0" w:color="auto"/>
              <w:right w:val="single" w:sz="4" w:space="0" w:color="auto"/>
            </w:tcBorders>
          </w:tcPr>
          <w:p w14:paraId="39B8510B" w14:textId="77777777" w:rsidR="00B82F75" w:rsidRPr="00F52C10" w:rsidRDefault="00B82F75" w:rsidP="00E4628E">
            <w:pPr>
              <w:pStyle w:val="Tabletext0"/>
              <w:spacing w:before="34" w:after="34" w:line="276" w:lineRule="auto"/>
              <w:rPr>
                <w:sz w:val="18"/>
                <w:szCs w:val="18"/>
                <w:lang w:val="en-CA"/>
              </w:rPr>
            </w:pPr>
          </w:p>
        </w:tc>
      </w:tr>
      <w:tr w:rsidR="00B82F75" w:rsidRPr="00F52C10" w14:paraId="1A7F756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AE97E3F"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TCD00000</w:t>
            </w:r>
          </w:p>
        </w:tc>
        <w:tc>
          <w:tcPr>
            <w:tcW w:w="994" w:type="dxa"/>
            <w:tcBorders>
              <w:top w:val="single" w:sz="4" w:space="0" w:color="auto"/>
              <w:left w:val="single" w:sz="4" w:space="0" w:color="auto"/>
              <w:bottom w:val="single" w:sz="4" w:space="0" w:color="auto"/>
              <w:right w:val="single" w:sz="4" w:space="0" w:color="auto"/>
            </w:tcBorders>
            <w:hideMark/>
          </w:tcPr>
          <w:p w14:paraId="1A9D37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−9,90</w:t>
            </w:r>
          </w:p>
        </w:tc>
        <w:tc>
          <w:tcPr>
            <w:tcW w:w="994" w:type="dxa"/>
            <w:tcBorders>
              <w:top w:val="single" w:sz="4" w:space="0" w:color="auto"/>
              <w:left w:val="single" w:sz="4" w:space="0" w:color="auto"/>
              <w:bottom w:val="single" w:sz="4" w:space="0" w:color="auto"/>
              <w:right w:val="single" w:sz="4" w:space="0" w:color="auto"/>
            </w:tcBorders>
            <w:hideMark/>
          </w:tcPr>
          <w:p w14:paraId="1C79BD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18,40</w:t>
            </w:r>
          </w:p>
        </w:tc>
        <w:tc>
          <w:tcPr>
            <w:tcW w:w="924" w:type="dxa"/>
            <w:tcBorders>
              <w:top w:val="single" w:sz="4" w:space="0" w:color="auto"/>
              <w:left w:val="single" w:sz="4" w:space="0" w:color="auto"/>
              <w:bottom w:val="single" w:sz="4" w:space="0" w:color="auto"/>
              <w:right w:val="single" w:sz="4" w:space="0" w:color="auto"/>
            </w:tcBorders>
            <w:hideMark/>
          </w:tcPr>
          <w:p w14:paraId="05699F7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018736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50EF21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96AD3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97,00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425E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726A68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−24,1</w:t>
            </w:r>
          </w:p>
        </w:tc>
        <w:tc>
          <w:tcPr>
            <w:tcW w:w="933" w:type="dxa"/>
            <w:tcBorders>
              <w:top w:val="single" w:sz="4" w:space="0" w:color="auto"/>
              <w:left w:val="single" w:sz="4" w:space="0" w:color="auto"/>
              <w:bottom w:val="single" w:sz="4" w:space="0" w:color="auto"/>
              <w:right w:val="single" w:sz="4" w:space="0" w:color="auto"/>
            </w:tcBorders>
          </w:tcPr>
          <w:p w14:paraId="30CF4464" w14:textId="77777777" w:rsidR="00B82F75" w:rsidRPr="00F52C10" w:rsidRDefault="00B82F75" w:rsidP="00E4628E">
            <w:pPr>
              <w:pStyle w:val="Tabletext0"/>
              <w:spacing w:before="34" w:after="34" w:line="276" w:lineRule="auto"/>
              <w:rPr>
                <w:sz w:val="18"/>
                <w:szCs w:val="18"/>
                <w:lang w:val="en-CA"/>
              </w:rPr>
            </w:pPr>
          </w:p>
        </w:tc>
      </w:tr>
      <w:tr w:rsidR="00B82F75" w:rsidRPr="00F52C10" w14:paraId="0AB00FB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6C8291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TGO00000</w:t>
            </w:r>
          </w:p>
        </w:tc>
        <w:tc>
          <w:tcPr>
            <w:tcW w:w="994" w:type="dxa"/>
            <w:tcBorders>
              <w:top w:val="single" w:sz="4" w:space="0" w:color="auto"/>
              <w:left w:val="single" w:sz="4" w:space="0" w:color="auto"/>
              <w:bottom w:val="single" w:sz="4" w:space="0" w:color="auto"/>
              <w:right w:val="single" w:sz="4" w:space="0" w:color="auto"/>
            </w:tcBorders>
            <w:hideMark/>
          </w:tcPr>
          <w:p w14:paraId="67DE33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−23,15</w:t>
            </w:r>
          </w:p>
        </w:tc>
        <w:tc>
          <w:tcPr>
            <w:tcW w:w="994" w:type="dxa"/>
            <w:tcBorders>
              <w:top w:val="single" w:sz="4" w:space="0" w:color="auto"/>
              <w:left w:val="single" w:sz="4" w:space="0" w:color="auto"/>
              <w:bottom w:val="single" w:sz="4" w:space="0" w:color="auto"/>
              <w:right w:val="single" w:sz="4" w:space="0" w:color="auto"/>
            </w:tcBorders>
            <w:hideMark/>
          </w:tcPr>
          <w:p w14:paraId="527ABE4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24" w:type="dxa"/>
            <w:tcBorders>
              <w:top w:val="single" w:sz="4" w:space="0" w:color="auto"/>
              <w:left w:val="single" w:sz="4" w:space="0" w:color="auto"/>
              <w:bottom w:val="single" w:sz="4" w:space="0" w:color="auto"/>
              <w:right w:val="single" w:sz="4" w:space="0" w:color="auto"/>
            </w:tcBorders>
            <w:hideMark/>
          </w:tcPr>
          <w:p w14:paraId="49E25F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7A0DB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16D8B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293AC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6434B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EB313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−23,2</w:t>
            </w:r>
          </w:p>
        </w:tc>
        <w:tc>
          <w:tcPr>
            <w:tcW w:w="933" w:type="dxa"/>
            <w:tcBorders>
              <w:top w:val="single" w:sz="4" w:space="0" w:color="auto"/>
              <w:left w:val="single" w:sz="4" w:space="0" w:color="auto"/>
              <w:bottom w:val="single" w:sz="4" w:space="0" w:color="auto"/>
              <w:right w:val="single" w:sz="4" w:space="0" w:color="auto"/>
            </w:tcBorders>
          </w:tcPr>
          <w:p w14:paraId="271278C6" w14:textId="77777777" w:rsidR="00B82F75" w:rsidRPr="00F52C10" w:rsidRDefault="00B82F75" w:rsidP="00E4628E">
            <w:pPr>
              <w:pStyle w:val="Tabletext0"/>
              <w:spacing w:before="34" w:after="34" w:line="276" w:lineRule="auto"/>
              <w:rPr>
                <w:sz w:val="18"/>
                <w:szCs w:val="18"/>
                <w:lang w:val="en-CA"/>
              </w:rPr>
            </w:pPr>
          </w:p>
        </w:tc>
      </w:tr>
      <w:tr w:rsidR="00B82F75" w:rsidRPr="00F52C10" w14:paraId="5D06D23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F56788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THA00000</w:t>
            </w:r>
          </w:p>
        </w:tc>
        <w:tc>
          <w:tcPr>
            <w:tcW w:w="994" w:type="dxa"/>
            <w:tcBorders>
              <w:top w:val="single" w:sz="4" w:space="0" w:color="auto"/>
              <w:left w:val="single" w:sz="4" w:space="0" w:color="auto"/>
              <w:bottom w:val="single" w:sz="4" w:space="0" w:color="auto"/>
              <w:right w:val="single" w:sz="4" w:space="0" w:color="auto"/>
            </w:tcBorders>
            <w:hideMark/>
          </w:tcPr>
          <w:p w14:paraId="535B9A1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120,60</w:t>
            </w:r>
          </w:p>
        </w:tc>
        <w:tc>
          <w:tcPr>
            <w:tcW w:w="994" w:type="dxa"/>
            <w:tcBorders>
              <w:top w:val="single" w:sz="4" w:space="0" w:color="auto"/>
              <w:left w:val="single" w:sz="4" w:space="0" w:color="auto"/>
              <w:bottom w:val="single" w:sz="4" w:space="0" w:color="auto"/>
              <w:right w:val="single" w:sz="4" w:space="0" w:color="auto"/>
            </w:tcBorders>
            <w:hideMark/>
          </w:tcPr>
          <w:p w14:paraId="7C33D25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100,90</w:t>
            </w:r>
          </w:p>
        </w:tc>
        <w:tc>
          <w:tcPr>
            <w:tcW w:w="924" w:type="dxa"/>
            <w:tcBorders>
              <w:top w:val="single" w:sz="4" w:space="0" w:color="auto"/>
              <w:left w:val="single" w:sz="4" w:space="0" w:color="auto"/>
              <w:bottom w:val="single" w:sz="4" w:space="0" w:color="auto"/>
              <w:right w:val="single" w:sz="4" w:space="0" w:color="auto"/>
            </w:tcBorders>
            <w:hideMark/>
          </w:tcPr>
          <w:p w14:paraId="6B18B6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E110E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F54C3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D8B5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1C2AD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483D41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−22,6</w:t>
            </w:r>
          </w:p>
        </w:tc>
        <w:tc>
          <w:tcPr>
            <w:tcW w:w="933" w:type="dxa"/>
            <w:tcBorders>
              <w:top w:val="single" w:sz="4" w:space="0" w:color="auto"/>
              <w:left w:val="single" w:sz="4" w:space="0" w:color="auto"/>
              <w:bottom w:val="single" w:sz="4" w:space="0" w:color="auto"/>
              <w:right w:val="single" w:sz="4" w:space="0" w:color="auto"/>
            </w:tcBorders>
          </w:tcPr>
          <w:p w14:paraId="706B3CC2" w14:textId="77777777" w:rsidR="00B82F75" w:rsidRPr="00F52C10" w:rsidRDefault="00B82F75" w:rsidP="00E4628E">
            <w:pPr>
              <w:pStyle w:val="Tabletext0"/>
              <w:spacing w:before="34" w:after="34" w:line="276" w:lineRule="auto"/>
              <w:rPr>
                <w:sz w:val="18"/>
                <w:szCs w:val="18"/>
                <w:lang w:val="en-CA"/>
              </w:rPr>
            </w:pPr>
          </w:p>
        </w:tc>
      </w:tr>
      <w:tr w:rsidR="00B82F75" w:rsidRPr="00F52C10" w14:paraId="52F785F7"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9BC606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TON00000</w:t>
            </w:r>
          </w:p>
        </w:tc>
        <w:tc>
          <w:tcPr>
            <w:tcW w:w="994" w:type="dxa"/>
            <w:tcBorders>
              <w:top w:val="single" w:sz="4" w:space="0" w:color="auto"/>
              <w:left w:val="single" w:sz="4" w:space="0" w:color="auto"/>
              <w:bottom w:val="single" w:sz="4" w:space="0" w:color="auto"/>
              <w:right w:val="single" w:sz="4" w:space="0" w:color="auto"/>
            </w:tcBorders>
            <w:hideMark/>
          </w:tcPr>
          <w:p w14:paraId="7ACC0F8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−128,00</w:t>
            </w:r>
          </w:p>
        </w:tc>
        <w:tc>
          <w:tcPr>
            <w:tcW w:w="994" w:type="dxa"/>
            <w:tcBorders>
              <w:top w:val="single" w:sz="4" w:space="0" w:color="auto"/>
              <w:left w:val="single" w:sz="4" w:space="0" w:color="auto"/>
              <w:bottom w:val="single" w:sz="4" w:space="0" w:color="auto"/>
              <w:right w:val="single" w:sz="4" w:space="0" w:color="auto"/>
            </w:tcBorders>
            <w:hideMark/>
          </w:tcPr>
          <w:p w14:paraId="017BED3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−175,20</w:t>
            </w:r>
          </w:p>
        </w:tc>
        <w:tc>
          <w:tcPr>
            <w:tcW w:w="924" w:type="dxa"/>
            <w:tcBorders>
              <w:top w:val="single" w:sz="4" w:space="0" w:color="auto"/>
              <w:left w:val="single" w:sz="4" w:space="0" w:color="auto"/>
              <w:bottom w:val="single" w:sz="4" w:space="0" w:color="auto"/>
              <w:right w:val="single" w:sz="4" w:space="0" w:color="auto"/>
            </w:tcBorders>
            <w:hideMark/>
          </w:tcPr>
          <w:p w14:paraId="0A48C5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4D838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60A45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284EF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C699FE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2908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−24,7</w:t>
            </w:r>
          </w:p>
        </w:tc>
        <w:tc>
          <w:tcPr>
            <w:tcW w:w="933" w:type="dxa"/>
            <w:tcBorders>
              <w:top w:val="single" w:sz="4" w:space="0" w:color="auto"/>
              <w:left w:val="single" w:sz="4" w:space="0" w:color="auto"/>
              <w:bottom w:val="single" w:sz="4" w:space="0" w:color="auto"/>
              <w:right w:val="single" w:sz="4" w:space="0" w:color="auto"/>
            </w:tcBorders>
          </w:tcPr>
          <w:p w14:paraId="5039C2EB" w14:textId="77777777" w:rsidR="00B82F75" w:rsidRPr="00F52C10" w:rsidRDefault="00B82F75" w:rsidP="00E4628E">
            <w:pPr>
              <w:pStyle w:val="Tabletext0"/>
              <w:spacing w:before="34" w:after="34" w:line="276" w:lineRule="auto"/>
              <w:rPr>
                <w:sz w:val="18"/>
                <w:szCs w:val="18"/>
                <w:lang w:val="en-CA"/>
              </w:rPr>
            </w:pPr>
          </w:p>
        </w:tc>
      </w:tr>
      <w:tr w:rsidR="00B82F75" w:rsidRPr="00F52C10" w14:paraId="5E20DA2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CDB315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TRD00000</w:t>
            </w:r>
          </w:p>
        </w:tc>
        <w:tc>
          <w:tcPr>
            <w:tcW w:w="994" w:type="dxa"/>
            <w:tcBorders>
              <w:top w:val="single" w:sz="4" w:space="0" w:color="auto"/>
              <w:left w:val="single" w:sz="4" w:space="0" w:color="auto"/>
              <w:bottom w:val="single" w:sz="4" w:space="0" w:color="auto"/>
              <w:right w:val="single" w:sz="4" w:space="0" w:color="auto"/>
            </w:tcBorders>
            <w:hideMark/>
          </w:tcPr>
          <w:p w14:paraId="0000C3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−73,40</w:t>
            </w:r>
          </w:p>
        </w:tc>
        <w:tc>
          <w:tcPr>
            <w:tcW w:w="994" w:type="dxa"/>
            <w:tcBorders>
              <w:top w:val="single" w:sz="4" w:space="0" w:color="auto"/>
              <w:left w:val="single" w:sz="4" w:space="0" w:color="auto"/>
              <w:bottom w:val="single" w:sz="4" w:space="0" w:color="auto"/>
              <w:right w:val="single" w:sz="4" w:space="0" w:color="auto"/>
            </w:tcBorders>
            <w:hideMark/>
          </w:tcPr>
          <w:p w14:paraId="386935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−61,10</w:t>
            </w:r>
          </w:p>
        </w:tc>
        <w:tc>
          <w:tcPr>
            <w:tcW w:w="924" w:type="dxa"/>
            <w:tcBorders>
              <w:top w:val="single" w:sz="4" w:space="0" w:color="auto"/>
              <w:left w:val="single" w:sz="4" w:space="0" w:color="auto"/>
              <w:bottom w:val="single" w:sz="4" w:space="0" w:color="auto"/>
              <w:right w:val="single" w:sz="4" w:space="0" w:color="auto"/>
            </w:tcBorders>
            <w:hideMark/>
          </w:tcPr>
          <w:p w14:paraId="3737AB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DC7AA3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FDA2E1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027ED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6CDF3C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60D00D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−27,3</w:t>
            </w:r>
          </w:p>
        </w:tc>
        <w:tc>
          <w:tcPr>
            <w:tcW w:w="933" w:type="dxa"/>
            <w:tcBorders>
              <w:top w:val="single" w:sz="4" w:space="0" w:color="auto"/>
              <w:left w:val="single" w:sz="4" w:space="0" w:color="auto"/>
              <w:bottom w:val="single" w:sz="4" w:space="0" w:color="auto"/>
              <w:right w:val="single" w:sz="4" w:space="0" w:color="auto"/>
            </w:tcBorders>
          </w:tcPr>
          <w:p w14:paraId="3BE51344" w14:textId="77777777" w:rsidR="00B82F75" w:rsidRPr="00F52C10" w:rsidRDefault="00B82F75" w:rsidP="00E4628E">
            <w:pPr>
              <w:pStyle w:val="Tabletext0"/>
              <w:spacing w:before="34" w:after="34" w:line="276" w:lineRule="auto"/>
              <w:rPr>
                <w:sz w:val="18"/>
                <w:szCs w:val="18"/>
                <w:lang w:val="en-CA"/>
              </w:rPr>
            </w:pPr>
          </w:p>
        </w:tc>
      </w:tr>
      <w:tr w:rsidR="00B82F75" w:rsidRPr="00F52C10" w14:paraId="2C05B15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D5E5B8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TUN00000</w:t>
            </w:r>
          </w:p>
        </w:tc>
        <w:tc>
          <w:tcPr>
            <w:tcW w:w="994" w:type="dxa"/>
            <w:tcBorders>
              <w:top w:val="single" w:sz="4" w:space="0" w:color="auto"/>
              <w:left w:val="single" w:sz="4" w:space="0" w:color="auto"/>
              <w:bottom w:val="single" w:sz="4" w:space="0" w:color="auto"/>
              <w:right w:val="single" w:sz="4" w:space="0" w:color="auto"/>
            </w:tcBorders>
            <w:hideMark/>
          </w:tcPr>
          <w:p w14:paraId="17E9C42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5,74</w:t>
            </w:r>
          </w:p>
        </w:tc>
        <w:tc>
          <w:tcPr>
            <w:tcW w:w="994" w:type="dxa"/>
            <w:tcBorders>
              <w:top w:val="single" w:sz="4" w:space="0" w:color="auto"/>
              <w:left w:val="single" w:sz="4" w:space="0" w:color="auto"/>
              <w:bottom w:val="single" w:sz="4" w:space="0" w:color="auto"/>
              <w:right w:val="single" w:sz="4" w:space="0" w:color="auto"/>
            </w:tcBorders>
            <w:hideMark/>
          </w:tcPr>
          <w:p w14:paraId="7E15CC0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9,40</w:t>
            </w:r>
          </w:p>
        </w:tc>
        <w:tc>
          <w:tcPr>
            <w:tcW w:w="924" w:type="dxa"/>
            <w:tcBorders>
              <w:top w:val="single" w:sz="4" w:space="0" w:color="auto"/>
              <w:left w:val="single" w:sz="4" w:space="0" w:color="auto"/>
              <w:bottom w:val="single" w:sz="4" w:space="0" w:color="auto"/>
              <w:right w:val="single" w:sz="4" w:space="0" w:color="auto"/>
            </w:tcBorders>
            <w:hideMark/>
          </w:tcPr>
          <w:p w14:paraId="2541F3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E161B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13B3E8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D98C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104,00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FCF3D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F2444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−28,2</w:t>
            </w:r>
          </w:p>
        </w:tc>
        <w:tc>
          <w:tcPr>
            <w:tcW w:w="933" w:type="dxa"/>
            <w:tcBorders>
              <w:top w:val="single" w:sz="4" w:space="0" w:color="auto"/>
              <w:left w:val="single" w:sz="4" w:space="0" w:color="auto"/>
              <w:bottom w:val="single" w:sz="4" w:space="0" w:color="auto"/>
              <w:right w:val="single" w:sz="4" w:space="0" w:color="auto"/>
            </w:tcBorders>
          </w:tcPr>
          <w:p w14:paraId="0D5FB73F" w14:textId="77777777" w:rsidR="00B82F75" w:rsidRPr="00F52C10" w:rsidRDefault="00B82F75" w:rsidP="00E4628E">
            <w:pPr>
              <w:pStyle w:val="Tabletext0"/>
              <w:spacing w:before="34" w:after="34" w:line="276" w:lineRule="auto"/>
              <w:rPr>
                <w:sz w:val="18"/>
                <w:szCs w:val="18"/>
                <w:lang w:val="en-CA"/>
              </w:rPr>
            </w:pPr>
          </w:p>
        </w:tc>
      </w:tr>
      <w:tr w:rsidR="00B82F75" w:rsidRPr="00F52C10" w14:paraId="7F29C37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171656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TUR00000</w:t>
            </w:r>
          </w:p>
        </w:tc>
        <w:tc>
          <w:tcPr>
            <w:tcW w:w="994" w:type="dxa"/>
            <w:tcBorders>
              <w:top w:val="single" w:sz="4" w:space="0" w:color="auto"/>
              <w:left w:val="single" w:sz="4" w:space="0" w:color="auto"/>
              <w:bottom w:val="single" w:sz="4" w:space="0" w:color="auto"/>
              <w:right w:val="single" w:sz="4" w:space="0" w:color="auto"/>
            </w:tcBorders>
            <w:hideMark/>
          </w:tcPr>
          <w:p w14:paraId="264C9BA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8,50</w:t>
            </w:r>
          </w:p>
        </w:tc>
        <w:tc>
          <w:tcPr>
            <w:tcW w:w="994" w:type="dxa"/>
            <w:tcBorders>
              <w:top w:val="single" w:sz="4" w:space="0" w:color="auto"/>
              <w:left w:val="single" w:sz="4" w:space="0" w:color="auto"/>
              <w:bottom w:val="single" w:sz="4" w:space="0" w:color="auto"/>
              <w:right w:val="single" w:sz="4" w:space="0" w:color="auto"/>
            </w:tcBorders>
            <w:hideMark/>
          </w:tcPr>
          <w:p w14:paraId="63FC312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34,10</w:t>
            </w:r>
          </w:p>
        </w:tc>
        <w:tc>
          <w:tcPr>
            <w:tcW w:w="924" w:type="dxa"/>
            <w:tcBorders>
              <w:top w:val="single" w:sz="4" w:space="0" w:color="auto"/>
              <w:left w:val="single" w:sz="4" w:space="0" w:color="auto"/>
              <w:bottom w:val="single" w:sz="4" w:space="0" w:color="auto"/>
              <w:right w:val="single" w:sz="4" w:space="0" w:color="auto"/>
            </w:tcBorders>
            <w:hideMark/>
          </w:tcPr>
          <w:p w14:paraId="5CF69D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38,90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BF3ED8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7EC9D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66E8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5E2E80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ECA32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−26,0</w:t>
            </w:r>
          </w:p>
        </w:tc>
        <w:tc>
          <w:tcPr>
            <w:tcW w:w="933" w:type="dxa"/>
            <w:tcBorders>
              <w:top w:val="single" w:sz="4" w:space="0" w:color="auto"/>
              <w:left w:val="single" w:sz="4" w:space="0" w:color="auto"/>
              <w:bottom w:val="single" w:sz="4" w:space="0" w:color="auto"/>
              <w:right w:val="single" w:sz="4" w:space="0" w:color="auto"/>
            </w:tcBorders>
          </w:tcPr>
          <w:p w14:paraId="6D3AADC8" w14:textId="77777777" w:rsidR="00B82F75" w:rsidRPr="00F52C10" w:rsidRDefault="00B82F75" w:rsidP="00E4628E">
            <w:pPr>
              <w:pStyle w:val="Tabletext0"/>
              <w:spacing w:before="34" w:after="34" w:line="276" w:lineRule="auto"/>
              <w:rPr>
                <w:sz w:val="18"/>
                <w:szCs w:val="18"/>
                <w:lang w:val="en-CA"/>
              </w:rPr>
            </w:pPr>
          </w:p>
        </w:tc>
      </w:tr>
      <w:tr w:rsidR="00B82F75" w:rsidRPr="00F52C10" w14:paraId="619795F3"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03CCF8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TUV00000</w:t>
            </w:r>
          </w:p>
        </w:tc>
        <w:tc>
          <w:tcPr>
            <w:tcW w:w="994" w:type="dxa"/>
            <w:tcBorders>
              <w:top w:val="single" w:sz="4" w:space="0" w:color="auto"/>
              <w:left w:val="single" w:sz="4" w:space="0" w:color="auto"/>
              <w:bottom w:val="single" w:sz="4" w:space="0" w:color="auto"/>
              <w:right w:val="single" w:sz="4" w:space="0" w:color="auto"/>
            </w:tcBorders>
            <w:hideMark/>
          </w:tcPr>
          <w:p w14:paraId="37F133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158,00</w:t>
            </w:r>
          </w:p>
        </w:tc>
        <w:tc>
          <w:tcPr>
            <w:tcW w:w="994" w:type="dxa"/>
            <w:tcBorders>
              <w:top w:val="single" w:sz="4" w:space="0" w:color="auto"/>
              <w:left w:val="single" w:sz="4" w:space="0" w:color="auto"/>
              <w:bottom w:val="single" w:sz="4" w:space="0" w:color="auto"/>
              <w:right w:val="single" w:sz="4" w:space="0" w:color="auto"/>
            </w:tcBorders>
            <w:hideMark/>
          </w:tcPr>
          <w:p w14:paraId="3B5357B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179,20</w:t>
            </w:r>
          </w:p>
        </w:tc>
        <w:tc>
          <w:tcPr>
            <w:tcW w:w="924" w:type="dxa"/>
            <w:tcBorders>
              <w:top w:val="single" w:sz="4" w:space="0" w:color="auto"/>
              <w:left w:val="single" w:sz="4" w:space="0" w:color="auto"/>
              <w:bottom w:val="single" w:sz="4" w:space="0" w:color="auto"/>
              <w:right w:val="single" w:sz="4" w:space="0" w:color="auto"/>
            </w:tcBorders>
            <w:hideMark/>
          </w:tcPr>
          <w:p w14:paraId="075968F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−8,50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1BAE6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CFDAE5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16C1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2FEFA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ADDD29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−27,1</w:t>
            </w:r>
          </w:p>
        </w:tc>
        <w:tc>
          <w:tcPr>
            <w:tcW w:w="933" w:type="dxa"/>
            <w:tcBorders>
              <w:top w:val="single" w:sz="4" w:space="0" w:color="auto"/>
              <w:left w:val="single" w:sz="4" w:space="0" w:color="auto"/>
              <w:bottom w:val="single" w:sz="4" w:space="0" w:color="auto"/>
              <w:right w:val="single" w:sz="4" w:space="0" w:color="auto"/>
            </w:tcBorders>
          </w:tcPr>
          <w:p w14:paraId="3AE440D2" w14:textId="77777777" w:rsidR="00B82F75" w:rsidRPr="00F52C10" w:rsidRDefault="00B82F75" w:rsidP="00E4628E">
            <w:pPr>
              <w:pStyle w:val="Tabletext0"/>
              <w:spacing w:before="34" w:after="34" w:line="276" w:lineRule="auto"/>
              <w:rPr>
                <w:sz w:val="18"/>
                <w:szCs w:val="18"/>
                <w:lang w:val="en-CA"/>
              </w:rPr>
            </w:pPr>
          </w:p>
        </w:tc>
      </w:tr>
      <w:tr w:rsidR="00B82F75" w:rsidRPr="00F52C10" w14:paraId="71BF65F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F60671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TZA00000</w:t>
            </w:r>
          </w:p>
        </w:tc>
        <w:tc>
          <w:tcPr>
            <w:tcW w:w="994" w:type="dxa"/>
            <w:tcBorders>
              <w:top w:val="single" w:sz="4" w:space="0" w:color="auto"/>
              <w:left w:val="single" w:sz="4" w:space="0" w:color="auto"/>
              <w:bottom w:val="single" w:sz="4" w:space="0" w:color="auto"/>
              <w:right w:val="single" w:sz="4" w:space="0" w:color="auto"/>
            </w:tcBorders>
            <w:hideMark/>
          </w:tcPr>
          <w:p w14:paraId="005EBE3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67,50</w:t>
            </w:r>
          </w:p>
        </w:tc>
        <w:tc>
          <w:tcPr>
            <w:tcW w:w="994" w:type="dxa"/>
            <w:tcBorders>
              <w:top w:val="single" w:sz="4" w:space="0" w:color="auto"/>
              <w:left w:val="single" w:sz="4" w:space="0" w:color="auto"/>
              <w:bottom w:val="single" w:sz="4" w:space="0" w:color="auto"/>
              <w:right w:val="single" w:sz="4" w:space="0" w:color="auto"/>
            </w:tcBorders>
            <w:hideMark/>
          </w:tcPr>
          <w:p w14:paraId="4DB3D8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35,40</w:t>
            </w:r>
          </w:p>
        </w:tc>
        <w:tc>
          <w:tcPr>
            <w:tcW w:w="924" w:type="dxa"/>
            <w:tcBorders>
              <w:top w:val="single" w:sz="4" w:space="0" w:color="auto"/>
              <w:left w:val="single" w:sz="4" w:space="0" w:color="auto"/>
              <w:bottom w:val="single" w:sz="4" w:space="0" w:color="auto"/>
              <w:right w:val="single" w:sz="4" w:space="0" w:color="auto"/>
            </w:tcBorders>
            <w:hideMark/>
          </w:tcPr>
          <w:p w14:paraId="0788CA7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5CBDC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8CA4C8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E637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117,00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E071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A7A89E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−27,8</w:t>
            </w:r>
          </w:p>
        </w:tc>
        <w:tc>
          <w:tcPr>
            <w:tcW w:w="933" w:type="dxa"/>
            <w:tcBorders>
              <w:top w:val="single" w:sz="4" w:space="0" w:color="auto"/>
              <w:left w:val="single" w:sz="4" w:space="0" w:color="auto"/>
              <w:bottom w:val="single" w:sz="4" w:space="0" w:color="auto"/>
              <w:right w:val="single" w:sz="4" w:space="0" w:color="auto"/>
            </w:tcBorders>
          </w:tcPr>
          <w:p w14:paraId="3A0876B9" w14:textId="77777777" w:rsidR="00B82F75" w:rsidRPr="00F52C10" w:rsidRDefault="00B82F75" w:rsidP="00E4628E">
            <w:pPr>
              <w:pStyle w:val="Tabletext0"/>
              <w:spacing w:before="34" w:after="34" w:line="276" w:lineRule="auto"/>
              <w:rPr>
                <w:sz w:val="18"/>
                <w:szCs w:val="18"/>
                <w:lang w:val="en-CA"/>
              </w:rPr>
            </w:pPr>
          </w:p>
        </w:tc>
      </w:tr>
      <w:tr w:rsidR="00B82F75" w:rsidRPr="00F52C10" w14:paraId="2385A43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6B73E2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UAE00000</w:t>
            </w:r>
          </w:p>
        </w:tc>
        <w:tc>
          <w:tcPr>
            <w:tcW w:w="994" w:type="dxa"/>
            <w:tcBorders>
              <w:top w:val="single" w:sz="4" w:space="0" w:color="auto"/>
              <w:left w:val="single" w:sz="4" w:space="0" w:color="auto"/>
              <w:bottom w:val="single" w:sz="4" w:space="0" w:color="auto"/>
              <w:right w:val="single" w:sz="4" w:space="0" w:color="auto"/>
            </w:tcBorders>
            <w:hideMark/>
          </w:tcPr>
          <w:p w14:paraId="4ED8F3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63,50</w:t>
            </w:r>
          </w:p>
        </w:tc>
        <w:tc>
          <w:tcPr>
            <w:tcW w:w="994" w:type="dxa"/>
            <w:tcBorders>
              <w:top w:val="single" w:sz="4" w:space="0" w:color="auto"/>
              <w:left w:val="single" w:sz="4" w:space="0" w:color="auto"/>
              <w:bottom w:val="single" w:sz="4" w:space="0" w:color="auto"/>
              <w:right w:val="single" w:sz="4" w:space="0" w:color="auto"/>
            </w:tcBorders>
            <w:hideMark/>
          </w:tcPr>
          <w:p w14:paraId="7407329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53,80</w:t>
            </w:r>
          </w:p>
        </w:tc>
        <w:tc>
          <w:tcPr>
            <w:tcW w:w="924" w:type="dxa"/>
            <w:tcBorders>
              <w:top w:val="single" w:sz="4" w:space="0" w:color="auto"/>
              <w:left w:val="single" w:sz="4" w:space="0" w:color="auto"/>
              <w:bottom w:val="single" w:sz="4" w:space="0" w:color="auto"/>
              <w:right w:val="single" w:sz="4" w:space="0" w:color="auto"/>
            </w:tcBorders>
            <w:hideMark/>
          </w:tcPr>
          <w:p w14:paraId="532BBE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3E5F7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E04A2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8A1E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3BFF3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5E9A26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−30,4</w:t>
            </w:r>
          </w:p>
        </w:tc>
        <w:tc>
          <w:tcPr>
            <w:tcW w:w="933" w:type="dxa"/>
            <w:tcBorders>
              <w:top w:val="single" w:sz="4" w:space="0" w:color="auto"/>
              <w:left w:val="single" w:sz="4" w:space="0" w:color="auto"/>
              <w:bottom w:val="single" w:sz="4" w:space="0" w:color="auto"/>
              <w:right w:val="single" w:sz="4" w:space="0" w:color="auto"/>
            </w:tcBorders>
          </w:tcPr>
          <w:p w14:paraId="3F07A65A" w14:textId="77777777" w:rsidR="00B82F75" w:rsidRPr="00F52C10" w:rsidRDefault="00B82F75" w:rsidP="00E4628E">
            <w:pPr>
              <w:pStyle w:val="Tabletext0"/>
              <w:spacing w:before="34" w:after="34" w:line="276" w:lineRule="auto"/>
              <w:rPr>
                <w:sz w:val="18"/>
                <w:szCs w:val="18"/>
                <w:lang w:val="en-CA"/>
              </w:rPr>
            </w:pPr>
          </w:p>
        </w:tc>
      </w:tr>
      <w:tr w:rsidR="00B82F75" w:rsidRPr="00F52C10" w14:paraId="74DEFE3D"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58FA6DF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UGA00000</w:t>
            </w:r>
          </w:p>
        </w:tc>
        <w:tc>
          <w:tcPr>
            <w:tcW w:w="994" w:type="dxa"/>
            <w:tcBorders>
              <w:top w:val="single" w:sz="4" w:space="0" w:color="auto"/>
              <w:left w:val="single" w:sz="4" w:space="0" w:color="auto"/>
              <w:bottom w:val="single" w:sz="4" w:space="0" w:color="auto"/>
              <w:right w:val="single" w:sz="4" w:space="0" w:color="auto"/>
            </w:tcBorders>
            <w:hideMark/>
          </w:tcPr>
          <w:p w14:paraId="1A5939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31,50</w:t>
            </w:r>
          </w:p>
        </w:tc>
        <w:tc>
          <w:tcPr>
            <w:tcW w:w="994" w:type="dxa"/>
            <w:tcBorders>
              <w:top w:val="single" w:sz="4" w:space="0" w:color="auto"/>
              <w:left w:val="single" w:sz="4" w:space="0" w:color="auto"/>
              <w:bottom w:val="single" w:sz="4" w:space="0" w:color="auto"/>
              <w:right w:val="single" w:sz="4" w:space="0" w:color="auto"/>
            </w:tcBorders>
            <w:hideMark/>
          </w:tcPr>
          <w:p w14:paraId="6C0E39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32,20</w:t>
            </w:r>
          </w:p>
        </w:tc>
        <w:tc>
          <w:tcPr>
            <w:tcW w:w="924" w:type="dxa"/>
            <w:tcBorders>
              <w:top w:val="single" w:sz="4" w:space="0" w:color="auto"/>
              <w:left w:val="single" w:sz="4" w:space="0" w:color="auto"/>
              <w:bottom w:val="single" w:sz="4" w:space="0" w:color="auto"/>
              <w:right w:val="single" w:sz="4" w:space="0" w:color="auto"/>
            </w:tcBorders>
            <w:hideMark/>
          </w:tcPr>
          <w:p w14:paraId="78BF64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16ED8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46C48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93789B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AAF9A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437B9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−28,9</w:t>
            </w:r>
          </w:p>
        </w:tc>
        <w:tc>
          <w:tcPr>
            <w:tcW w:w="933" w:type="dxa"/>
            <w:tcBorders>
              <w:top w:val="single" w:sz="4" w:space="0" w:color="auto"/>
              <w:left w:val="single" w:sz="4" w:space="0" w:color="auto"/>
              <w:bottom w:val="single" w:sz="4" w:space="0" w:color="auto"/>
              <w:right w:val="single" w:sz="4" w:space="0" w:color="auto"/>
            </w:tcBorders>
          </w:tcPr>
          <w:p w14:paraId="78C33BED" w14:textId="77777777" w:rsidR="00B82F75" w:rsidRPr="00F52C10" w:rsidRDefault="00B82F75" w:rsidP="00E4628E">
            <w:pPr>
              <w:pStyle w:val="Tabletext0"/>
              <w:spacing w:before="34" w:after="34" w:line="276" w:lineRule="auto"/>
              <w:rPr>
                <w:sz w:val="18"/>
                <w:szCs w:val="18"/>
                <w:lang w:val="en-CA"/>
              </w:rPr>
            </w:pPr>
          </w:p>
        </w:tc>
      </w:tr>
      <w:tr w:rsidR="00B82F75" w:rsidRPr="00F52C10" w14:paraId="1B83EA4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9CC4FD7"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UKR00001</w:t>
            </w:r>
          </w:p>
        </w:tc>
        <w:tc>
          <w:tcPr>
            <w:tcW w:w="994" w:type="dxa"/>
            <w:tcBorders>
              <w:top w:val="single" w:sz="4" w:space="0" w:color="auto"/>
              <w:left w:val="single" w:sz="4" w:space="0" w:color="auto"/>
              <w:bottom w:val="single" w:sz="4" w:space="0" w:color="auto"/>
              <w:right w:val="single" w:sz="4" w:space="0" w:color="auto"/>
            </w:tcBorders>
            <w:hideMark/>
          </w:tcPr>
          <w:p w14:paraId="1E1FB1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38,20</w:t>
            </w:r>
          </w:p>
        </w:tc>
        <w:tc>
          <w:tcPr>
            <w:tcW w:w="994" w:type="dxa"/>
            <w:tcBorders>
              <w:top w:val="single" w:sz="4" w:space="0" w:color="auto"/>
              <w:left w:val="single" w:sz="4" w:space="0" w:color="auto"/>
              <w:bottom w:val="single" w:sz="4" w:space="0" w:color="auto"/>
              <w:right w:val="single" w:sz="4" w:space="0" w:color="auto"/>
            </w:tcBorders>
            <w:hideMark/>
          </w:tcPr>
          <w:p w14:paraId="40E22B7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31,73</w:t>
            </w:r>
          </w:p>
        </w:tc>
        <w:tc>
          <w:tcPr>
            <w:tcW w:w="924" w:type="dxa"/>
            <w:tcBorders>
              <w:top w:val="single" w:sz="4" w:space="0" w:color="auto"/>
              <w:left w:val="single" w:sz="4" w:space="0" w:color="auto"/>
              <w:bottom w:val="single" w:sz="4" w:space="0" w:color="auto"/>
              <w:right w:val="single" w:sz="4" w:space="0" w:color="auto"/>
            </w:tcBorders>
            <w:hideMark/>
          </w:tcPr>
          <w:p w14:paraId="3FAA79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48,22</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050F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2,21</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F250B9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0,97</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3A87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US"/>
              </w:rPr>
              <w:t>178,15</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F6F3B6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w:t>
            </w:r>
            <w:r w:rsidRPr="00F52C10">
              <w:rPr>
                <w:sz w:val="18"/>
                <w:szCs w:val="18"/>
                <w:lang w:val="en-US"/>
              </w:rPr>
              <w:t>9,1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947096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w:t>
            </w:r>
            <w:r w:rsidRPr="00F52C10">
              <w:rPr>
                <w:sz w:val="18"/>
                <w:szCs w:val="18"/>
                <w:lang w:val="en-US"/>
              </w:rPr>
              <w:t>3</w:t>
            </w:r>
            <w:r w:rsidRPr="00F52C10">
              <w:rPr>
                <w:sz w:val="18"/>
                <w:szCs w:val="18"/>
                <w:lang w:val="uk-UA"/>
              </w:rPr>
              <w:t>1</w:t>
            </w:r>
            <w:r w:rsidRPr="00F52C10">
              <w:rPr>
                <w:sz w:val="18"/>
                <w:szCs w:val="18"/>
                <w:lang w:val="en-US"/>
              </w:rPr>
              <w:t>,</w:t>
            </w:r>
            <w:r w:rsidRPr="00F52C10">
              <w:rPr>
                <w:sz w:val="18"/>
                <w:szCs w:val="18"/>
                <w:lang w:val="uk-UA"/>
              </w:rPr>
              <w:t>0</w:t>
            </w:r>
          </w:p>
        </w:tc>
        <w:tc>
          <w:tcPr>
            <w:tcW w:w="933" w:type="dxa"/>
            <w:tcBorders>
              <w:top w:val="single" w:sz="4" w:space="0" w:color="auto"/>
              <w:left w:val="single" w:sz="4" w:space="0" w:color="auto"/>
              <w:bottom w:val="single" w:sz="4" w:space="0" w:color="auto"/>
              <w:right w:val="single" w:sz="4" w:space="0" w:color="auto"/>
            </w:tcBorders>
          </w:tcPr>
          <w:p w14:paraId="0540A198" w14:textId="77777777" w:rsidR="00B82F75" w:rsidRPr="00F52C10" w:rsidRDefault="00B82F75" w:rsidP="00E4628E">
            <w:pPr>
              <w:pStyle w:val="Tabletext0"/>
              <w:spacing w:before="34" w:after="34" w:line="276" w:lineRule="auto"/>
              <w:rPr>
                <w:sz w:val="18"/>
                <w:szCs w:val="18"/>
                <w:lang w:val="en-CA"/>
              </w:rPr>
            </w:pPr>
          </w:p>
        </w:tc>
      </w:tr>
      <w:tr w:rsidR="00B82F75" w:rsidRPr="00F52C10" w14:paraId="3C4C1A7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EBFB07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URG00000</w:t>
            </w:r>
          </w:p>
        </w:tc>
        <w:tc>
          <w:tcPr>
            <w:tcW w:w="994" w:type="dxa"/>
            <w:tcBorders>
              <w:top w:val="single" w:sz="4" w:space="0" w:color="auto"/>
              <w:left w:val="single" w:sz="4" w:space="0" w:color="auto"/>
              <w:bottom w:val="single" w:sz="4" w:space="0" w:color="auto"/>
              <w:right w:val="single" w:sz="4" w:space="0" w:color="auto"/>
            </w:tcBorders>
            <w:hideMark/>
          </w:tcPr>
          <w:p w14:paraId="0AE2673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−86,10</w:t>
            </w:r>
          </w:p>
        </w:tc>
        <w:tc>
          <w:tcPr>
            <w:tcW w:w="994" w:type="dxa"/>
            <w:tcBorders>
              <w:top w:val="single" w:sz="4" w:space="0" w:color="auto"/>
              <w:left w:val="single" w:sz="4" w:space="0" w:color="auto"/>
              <w:bottom w:val="single" w:sz="4" w:space="0" w:color="auto"/>
              <w:right w:val="single" w:sz="4" w:space="0" w:color="auto"/>
            </w:tcBorders>
            <w:hideMark/>
          </w:tcPr>
          <w:p w14:paraId="2A9E0D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−56,30</w:t>
            </w:r>
          </w:p>
        </w:tc>
        <w:tc>
          <w:tcPr>
            <w:tcW w:w="924" w:type="dxa"/>
            <w:tcBorders>
              <w:top w:val="single" w:sz="4" w:space="0" w:color="auto"/>
              <w:left w:val="single" w:sz="4" w:space="0" w:color="auto"/>
              <w:bottom w:val="single" w:sz="4" w:space="0" w:color="auto"/>
              <w:right w:val="single" w:sz="4" w:space="0" w:color="auto"/>
            </w:tcBorders>
            <w:hideMark/>
          </w:tcPr>
          <w:p w14:paraId="0C838DF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−33,70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EA348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EE7C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43D83C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58,00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F50D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215FD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−27,7</w:t>
            </w:r>
          </w:p>
        </w:tc>
        <w:tc>
          <w:tcPr>
            <w:tcW w:w="933" w:type="dxa"/>
            <w:tcBorders>
              <w:top w:val="single" w:sz="4" w:space="0" w:color="auto"/>
              <w:left w:val="single" w:sz="4" w:space="0" w:color="auto"/>
              <w:bottom w:val="single" w:sz="4" w:space="0" w:color="auto"/>
              <w:right w:val="single" w:sz="4" w:space="0" w:color="auto"/>
            </w:tcBorders>
          </w:tcPr>
          <w:p w14:paraId="50AA9CBF" w14:textId="77777777" w:rsidR="00B82F75" w:rsidRPr="00F52C10" w:rsidRDefault="00B82F75" w:rsidP="00E4628E">
            <w:pPr>
              <w:pStyle w:val="Tabletext0"/>
              <w:spacing w:before="34" w:after="34" w:line="276" w:lineRule="auto"/>
              <w:rPr>
                <w:sz w:val="18"/>
                <w:szCs w:val="18"/>
                <w:lang w:val="en-CA"/>
              </w:rPr>
            </w:pPr>
          </w:p>
        </w:tc>
      </w:tr>
      <w:tr w:rsidR="00B82F75" w:rsidRPr="00F52C10" w14:paraId="5BB114C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E9F065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USA00000</w:t>
            </w:r>
          </w:p>
        </w:tc>
        <w:tc>
          <w:tcPr>
            <w:tcW w:w="994" w:type="dxa"/>
            <w:tcBorders>
              <w:top w:val="single" w:sz="4" w:space="0" w:color="auto"/>
              <w:left w:val="single" w:sz="4" w:space="0" w:color="auto"/>
              <w:bottom w:val="single" w:sz="4" w:space="0" w:color="auto"/>
              <w:right w:val="single" w:sz="4" w:space="0" w:color="auto"/>
            </w:tcBorders>
            <w:hideMark/>
          </w:tcPr>
          <w:p w14:paraId="45C4092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−101,00</w:t>
            </w:r>
          </w:p>
        </w:tc>
        <w:tc>
          <w:tcPr>
            <w:tcW w:w="994" w:type="dxa"/>
            <w:tcBorders>
              <w:top w:val="single" w:sz="4" w:space="0" w:color="auto"/>
              <w:left w:val="single" w:sz="4" w:space="0" w:color="auto"/>
              <w:bottom w:val="single" w:sz="4" w:space="0" w:color="auto"/>
              <w:right w:val="single" w:sz="4" w:space="0" w:color="auto"/>
            </w:tcBorders>
          </w:tcPr>
          <w:p w14:paraId="0CA0288A"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773FE3E9"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917612C"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0F7B4D1"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79E09BFA"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CCAE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F5A8E0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−23,9</w:t>
            </w:r>
          </w:p>
        </w:tc>
        <w:tc>
          <w:tcPr>
            <w:tcW w:w="9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0071B59" w14:textId="77777777" w:rsidR="00B82F75" w:rsidRPr="00F52C10" w:rsidRDefault="00B82F75" w:rsidP="00E4628E">
            <w:pPr>
              <w:pStyle w:val="Tabletext0"/>
              <w:spacing w:before="34" w:after="34" w:line="276" w:lineRule="auto"/>
              <w:ind w:left="57"/>
              <w:rPr>
                <w:sz w:val="18"/>
                <w:szCs w:val="18"/>
                <w:lang w:val="en-US"/>
              </w:rPr>
            </w:pPr>
            <w:r w:rsidRPr="00F52C10">
              <w:rPr>
                <w:sz w:val="18"/>
                <w:szCs w:val="18"/>
                <w:lang w:val="en-US"/>
              </w:rPr>
              <w:t>3,*/MB16</w:t>
            </w:r>
          </w:p>
        </w:tc>
      </w:tr>
      <w:tr w:rsidR="00B82F75" w:rsidRPr="00F52C10" w14:paraId="681C0D16"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3375E77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USAVIPRT</w:t>
            </w:r>
          </w:p>
        </w:tc>
        <w:tc>
          <w:tcPr>
            <w:tcW w:w="994" w:type="dxa"/>
            <w:tcBorders>
              <w:top w:val="single" w:sz="4" w:space="0" w:color="auto"/>
              <w:left w:val="single" w:sz="4" w:space="0" w:color="auto"/>
              <w:bottom w:val="single" w:sz="4" w:space="0" w:color="auto"/>
              <w:right w:val="single" w:sz="4" w:space="0" w:color="auto"/>
            </w:tcBorders>
            <w:hideMark/>
          </w:tcPr>
          <w:p w14:paraId="4D3E62C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−101,00</w:t>
            </w:r>
          </w:p>
        </w:tc>
        <w:tc>
          <w:tcPr>
            <w:tcW w:w="994" w:type="dxa"/>
            <w:tcBorders>
              <w:top w:val="single" w:sz="4" w:space="0" w:color="auto"/>
              <w:left w:val="single" w:sz="4" w:space="0" w:color="auto"/>
              <w:bottom w:val="single" w:sz="4" w:space="0" w:color="auto"/>
              <w:right w:val="single" w:sz="4" w:space="0" w:color="auto"/>
            </w:tcBorders>
            <w:hideMark/>
          </w:tcPr>
          <w:p w14:paraId="6D613B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−64,50</w:t>
            </w:r>
          </w:p>
        </w:tc>
        <w:tc>
          <w:tcPr>
            <w:tcW w:w="924" w:type="dxa"/>
            <w:tcBorders>
              <w:top w:val="single" w:sz="4" w:space="0" w:color="auto"/>
              <w:left w:val="single" w:sz="4" w:space="0" w:color="auto"/>
              <w:bottom w:val="single" w:sz="4" w:space="0" w:color="auto"/>
              <w:right w:val="single" w:sz="4" w:space="0" w:color="auto"/>
            </w:tcBorders>
            <w:hideMark/>
          </w:tcPr>
          <w:p w14:paraId="463DF01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309D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0A22E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CEAFA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8691C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E93FBE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−25,5</w:t>
            </w:r>
          </w:p>
        </w:tc>
        <w:tc>
          <w:tcPr>
            <w:tcW w:w="933" w:type="dxa"/>
            <w:tcBorders>
              <w:top w:val="single" w:sz="4" w:space="0" w:color="auto"/>
              <w:left w:val="single" w:sz="4" w:space="0" w:color="auto"/>
              <w:bottom w:val="single" w:sz="4" w:space="0" w:color="auto"/>
              <w:right w:val="single" w:sz="4" w:space="0" w:color="auto"/>
            </w:tcBorders>
            <w:hideMark/>
          </w:tcPr>
          <w:p w14:paraId="2E32A621"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*/MB16</w:t>
            </w:r>
          </w:p>
        </w:tc>
      </w:tr>
      <w:tr w:rsidR="00B82F75" w:rsidRPr="00F52C10" w14:paraId="0E113679"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72F01A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UZB00000</w:t>
            </w:r>
          </w:p>
        </w:tc>
        <w:tc>
          <w:tcPr>
            <w:tcW w:w="994" w:type="dxa"/>
            <w:tcBorders>
              <w:top w:val="single" w:sz="4" w:space="0" w:color="auto"/>
              <w:left w:val="single" w:sz="4" w:space="0" w:color="auto"/>
              <w:bottom w:val="single" w:sz="4" w:space="0" w:color="auto"/>
              <w:right w:val="single" w:sz="4" w:space="0" w:color="auto"/>
            </w:tcBorders>
            <w:hideMark/>
          </w:tcPr>
          <w:p w14:paraId="016006E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110,50</w:t>
            </w:r>
          </w:p>
        </w:tc>
        <w:tc>
          <w:tcPr>
            <w:tcW w:w="994" w:type="dxa"/>
            <w:tcBorders>
              <w:top w:val="single" w:sz="4" w:space="0" w:color="auto"/>
              <w:left w:val="single" w:sz="4" w:space="0" w:color="auto"/>
              <w:bottom w:val="single" w:sz="4" w:space="0" w:color="auto"/>
              <w:right w:val="single" w:sz="4" w:space="0" w:color="auto"/>
            </w:tcBorders>
            <w:hideMark/>
          </w:tcPr>
          <w:p w14:paraId="5BF61A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65,45</w:t>
            </w:r>
          </w:p>
        </w:tc>
        <w:tc>
          <w:tcPr>
            <w:tcW w:w="924" w:type="dxa"/>
            <w:tcBorders>
              <w:top w:val="single" w:sz="4" w:space="0" w:color="auto"/>
              <w:left w:val="single" w:sz="4" w:space="0" w:color="auto"/>
              <w:bottom w:val="single" w:sz="4" w:space="0" w:color="auto"/>
              <w:right w:val="single" w:sz="4" w:space="0" w:color="auto"/>
            </w:tcBorders>
            <w:hideMark/>
          </w:tcPr>
          <w:p w14:paraId="0B5AAC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41,09</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0872BA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1,49</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CA1FFE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1,05</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DE32C2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10,98</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F2138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873BFF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−31,0</w:t>
            </w:r>
          </w:p>
        </w:tc>
        <w:tc>
          <w:tcPr>
            <w:tcW w:w="933" w:type="dxa"/>
            <w:tcBorders>
              <w:top w:val="single" w:sz="4" w:space="0" w:color="auto"/>
              <w:left w:val="single" w:sz="4" w:space="0" w:color="auto"/>
              <w:bottom w:val="single" w:sz="4" w:space="0" w:color="auto"/>
              <w:right w:val="single" w:sz="4" w:space="0" w:color="auto"/>
            </w:tcBorders>
            <w:hideMark/>
          </w:tcPr>
          <w:p w14:paraId="5B98C02C" w14:textId="77777777" w:rsidR="00B82F75" w:rsidRPr="00F52C10" w:rsidRDefault="00B82F75" w:rsidP="00E4628E">
            <w:pPr>
              <w:pStyle w:val="Tabletext0"/>
              <w:spacing w:before="34" w:after="34" w:line="276" w:lineRule="auto"/>
              <w:rPr>
                <w:sz w:val="18"/>
                <w:szCs w:val="18"/>
                <w:lang w:val="en-CA"/>
              </w:rPr>
            </w:pPr>
            <w:r w:rsidRPr="00F52C10">
              <w:rPr>
                <w:sz w:val="18"/>
                <w:szCs w:val="18"/>
                <w:lang w:val="en-CA"/>
              </w:rPr>
              <w:t> </w:t>
            </w:r>
          </w:p>
        </w:tc>
      </w:tr>
      <w:tr w:rsidR="00B82F75" w:rsidRPr="00F52C10" w14:paraId="768C88E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563754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VCT00000</w:t>
            </w:r>
          </w:p>
        </w:tc>
        <w:tc>
          <w:tcPr>
            <w:tcW w:w="994" w:type="dxa"/>
            <w:tcBorders>
              <w:top w:val="single" w:sz="4" w:space="0" w:color="auto"/>
              <w:left w:val="single" w:sz="4" w:space="0" w:color="auto"/>
              <w:bottom w:val="single" w:sz="4" w:space="0" w:color="auto"/>
              <w:right w:val="single" w:sz="4" w:space="0" w:color="auto"/>
            </w:tcBorders>
            <w:hideMark/>
          </w:tcPr>
          <w:p w14:paraId="139817C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−93,10</w:t>
            </w:r>
          </w:p>
        </w:tc>
        <w:tc>
          <w:tcPr>
            <w:tcW w:w="994" w:type="dxa"/>
            <w:tcBorders>
              <w:top w:val="single" w:sz="4" w:space="0" w:color="auto"/>
              <w:left w:val="single" w:sz="4" w:space="0" w:color="auto"/>
              <w:bottom w:val="single" w:sz="4" w:space="0" w:color="auto"/>
              <w:right w:val="single" w:sz="4" w:space="0" w:color="auto"/>
            </w:tcBorders>
            <w:hideMark/>
          </w:tcPr>
          <w:p w14:paraId="4CD4794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−61,10</w:t>
            </w:r>
          </w:p>
        </w:tc>
        <w:tc>
          <w:tcPr>
            <w:tcW w:w="924" w:type="dxa"/>
            <w:tcBorders>
              <w:top w:val="single" w:sz="4" w:space="0" w:color="auto"/>
              <w:left w:val="single" w:sz="4" w:space="0" w:color="auto"/>
              <w:bottom w:val="single" w:sz="4" w:space="0" w:color="auto"/>
              <w:right w:val="single" w:sz="4" w:space="0" w:color="auto"/>
            </w:tcBorders>
            <w:hideMark/>
          </w:tcPr>
          <w:p w14:paraId="0E3E09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D0C3D8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9A1DF6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20542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EC2A9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CEBE01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−26,2</w:t>
            </w:r>
          </w:p>
        </w:tc>
        <w:tc>
          <w:tcPr>
            <w:tcW w:w="933" w:type="dxa"/>
            <w:tcBorders>
              <w:top w:val="single" w:sz="4" w:space="0" w:color="auto"/>
              <w:left w:val="single" w:sz="4" w:space="0" w:color="auto"/>
              <w:bottom w:val="single" w:sz="4" w:space="0" w:color="auto"/>
              <w:right w:val="single" w:sz="4" w:space="0" w:color="auto"/>
            </w:tcBorders>
          </w:tcPr>
          <w:p w14:paraId="5FFFE1F6" w14:textId="77777777" w:rsidR="00B82F75" w:rsidRPr="00F52C10" w:rsidRDefault="00B82F75" w:rsidP="00E4628E">
            <w:pPr>
              <w:pStyle w:val="Tabletext0"/>
              <w:spacing w:before="34" w:after="34" w:line="276" w:lineRule="auto"/>
              <w:rPr>
                <w:sz w:val="18"/>
                <w:szCs w:val="18"/>
                <w:lang w:val="en-CA"/>
              </w:rPr>
            </w:pPr>
          </w:p>
        </w:tc>
      </w:tr>
      <w:tr w:rsidR="00B82F75" w:rsidRPr="00F52C10" w14:paraId="1A4FBEAE"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86C433C"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VEN00001</w:t>
            </w:r>
          </w:p>
        </w:tc>
        <w:tc>
          <w:tcPr>
            <w:tcW w:w="994" w:type="dxa"/>
            <w:tcBorders>
              <w:top w:val="single" w:sz="4" w:space="0" w:color="auto"/>
              <w:left w:val="single" w:sz="4" w:space="0" w:color="auto"/>
              <w:bottom w:val="single" w:sz="4" w:space="0" w:color="auto"/>
              <w:right w:val="single" w:sz="4" w:space="0" w:color="auto"/>
            </w:tcBorders>
            <w:hideMark/>
          </w:tcPr>
          <w:p w14:paraId="3C5C157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−82,70</w:t>
            </w:r>
          </w:p>
        </w:tc>
        <w:tc>
          <w:tcPr>
            <w:tcW w:w="994" w:type="dxa"/>
            <w:tcBorders>
              <w:top w:val="single" w:sz="4" w:space="0" w:color="auto"/>
              <w:left w:val="single" w:sz="4" w:space="0" w:color="auto"/>
              <w:bottom w:val="single" w:sz="4" w:space="0" w:color="auto"/>
              <w:right w:val="single" w:sz="4" w:space="0" w:color="auto"/>
            </w:tcBorders>
            <w:hideMark/>
          </w:tcPr>
          <w:p w14:paraId="33B020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−66,40</w:t>
            </w:r>
          </w:p>
        </w:tc>
        <w:tc>
          <w:tcPr>
            <w:tcW w:w="924" w:type="dxa"/>
            <w:tcBorders>
              <w:top w:val="single" w:sz="4" w:space="0" w:color="auto"/>
              <w:left w:val="single" w:sz="4" w:space="0" w:color="auto"/>
              <w:bottom w:val="single" w:sz="4" w:space="0" w:color="auto"/>
              <w:right w:val="single" w:sz="4" w:space="0" w:color="auto"/>
            </w:tcBorders>
            <w:hideMark/>
          </w:tcPr>
          <w:p w14:paraId="06D586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9938A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91F4AC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2,10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085055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A2AD24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7D1579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−22,8</w:t>
            </w:r>
          </w:p>
        </w:tc>
        <w:tc>
          <w:tcPr>
            <w:tcW w:w="933" w:type="dxa"/>
            <w:tcBorders>
              <w:top w:val="single" w:sz="4" w:space="0" w:color="auto"/>
              <w:left w:val="single" w:sz="4" w:space="0" w:color="auto"/>
              <w:bottom w:val="single" w:sz="4" w:space="0" w:color="auto"/>
              <w:right w:val="single" w:sz="4" w:space="0" w:color="auto"/>
            </w:tcBorders>
            <w:hideMark/>
          </w:tcPr>
          <w:p w14:paraId="251B105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*/MB17</w:t>
            </w:r>
          </w:p>
        </w:tc>
      </w:tr>
      <w:tr w:rsidR="00B82F75" w:rsidRPr="00F52C10" w14:paraId="13B03C7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0052D0D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VEN00002</w:t>
            </w:r>
          </w:p>
        </w:tc>
        <w:tc>
          <w:tcPr>
            <w:tcW w:w="994" w:type="dxa"/>
            <w:tcBorders>
              <w:top w:val="single" w:sz="4" w:space="0" w:color="auto"/>
              <w:left w:val="single" w:sz="4" w:space="0" w:color="auto"/>
              <w:bottom w:val="single" w:sz="4" w:space="0" w:color="auto"/>
              <w:right w:val="single" w:sz="4" w:space="0" w:color="auto"/>
            </w:tcBorders>
            <w:hideMark/>
          </w:tcPr>
          <w:p w14:paraId="0422D67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−82,70</w:t>
            </w:r>
          </w:p>
        </w:tc>
        <w:tc>
          <w:tcPr>
            <w:tcW w:w="994" w:type="dxa"/>
            <w:tcBorders>
              <w:top w:val="single" w:sz="4" w:space="0" w:color="auto"/>
              <w:left w:val="single" w:sz="4" w:space="0" w:color="auto"/>
              <w:bottom w:val="single" w:sz="4" w:space="0" w:color="auto"/>
              <w:right w:val="single" w:sz="4" w:space="0" w:color="auto"/>
            </w:tcBorders>
            <w:hideMark/>
          </w:tcPr>
          <w:p w14:paraId="478927F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−63,60</w:t>
            </w:r>
          </w:p>
        </w:tc>
        <w:tc>
          <w:tcPr>
            <w:tcW w:w="924" w:type="dxa"/>
            <w:tcBorders>
              <w:top w:val="single" w:sz="4" w:space="0" w:color="auto"/>
              <w:left w:val="single" w:sz="4" w:space="0" w:color="auto"/>
              <w:bottom w:val="single" w:sz="4" w:space="0" w:color="auto"/>
              <w:right w:val="single" w:sz="4" w:space="0" w:color="auto"/>
            </w:tcBorders>
            <w:hideMark/>
          </w:tcPr>
          <w:p w14:paraId="73D02C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15,70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44E48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A423E7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A63FF2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940486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−7,1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27153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w:t>
            </w:r>
          </w:p>
        </w:tc>
        <w:tc>
          <w:tcPr>
            <w:tcW w:w="933" w:type="dxa"/>
            <w:tcBorders>
              <w:top w:val="single" w:sz="4" w:space="0" w:color="auto"/>
              <w:left w:val="single" w:sz="4" w:space="0" w:color="auto"/>
              <w:bottom w:val="single" w:sz="4" w:space="0" w:color="auto"/>
              <w:right w:val="single" w:sz="4" w:space="0" w:color="auto"/>
            </w:tcBorders>
            <w:hideMark/>
          </w:tcPr>
          <w:p w14:paraId="106527B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*/MB17</w:t>
            </w:r>
          </w:p>
        </w:tc>
      </w:tr>
      <w:tr w:rsidR="00B82F75" w:rsidRPr="00F52C10" w14:paraId="37AA694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B0C7D8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VTN00000</w:t>
            </w:r>
          </w:p>
        </w:tc>
        <w:tc>
          <w:tcPr>
            <w:tcW w:w="994" w:type="dxa"/>
            <w:tcBorders>
              <w:top w:val="single" w:sz="4" w:space="0" w:color="auto"/>
              <w:left w:val="single" w:sz="4" w:space="0" w:color="auto"/>
              <w:bottom w:val="single" w:sz="4" w:space="0" w:color="auto"/>
              <w:right w:val="single" w:sz="4" w:space="0" w:color="auto"/>
            </w:tcBorders>
            <w:hideMark/>
          </w:tcPr>
          <w:p w14:paraId="59390EF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107,00</w:t>
            </w:r>
          </w:p>
        </w:tc>
        <w:tc>
          <w:tcPr>
            <w:tcW w:w="994" w:type="dxa"/>
            <w:tcBorders>
              <w:top w:val="single" w:sz="4" w:space="0" w:color="auto"/>
              <w:left w:val="single" w:sz="4" w:space="0" w:color="auto"/>
              <w:bottom w:val="single" w:sz="4" w:space="0" w:color="auto"/>
              <w:right w:val="single" w:sz="4" w:space="0" w:color="auto"/>
            </w:tcBorders>
          </w:tcPr>
          <w:p w14:paraId="7CFF1E78" w14:textId="77777777" w:rsidR="00B82F75" w:rsidRPr="00F52C10" w:rsidRDefault="00B82F75" w:rsidP="00E4628E">
            <w:pPr>
              <w:pStyle w:val="Tabletext0"/>
              <w:spacing w:before="34" w:after="34" w:line="276" w:lineRule="auto"/>
              <w:jc w:val="right"/>
              <w:rPr>
                <w:sz w:val="18"/>
                <w:szCs w:val="18"/>
                <w:lang w:val="en-CA"/>
              </w:rPr>
            </w:pPr>
          </w:p>
        </w:tc>
        <w:tc>
          <w:tcPr>
            <w:tcW w:w="924" w:type="dxa"/>
            <w:tcBorders>
              <w:top w:val="single" w:sz="4" w:space="0" w:color="auto"/>
              <w:left w:val="single" w:sz="4" w:space="0" w:color="auto"/>
              <w:bottom w:val="single" w:sz="4" w:space="0" w:color="auto"/>
              <w:right w:val="single" w:sz="4" w:space="0" w:color="auto"/>
            </w:tcBorders>
          </w:tcPr>
          <w:p w14:paraId="6240E983" w14:textId="77777777" w:rsidR="00B82F75" w:rsidRPr="00F52C10" w:rsidRDefault="00B82F75" w:rsidP="00E4628E">
            <w:pPr>
              <w:pStyle w:val="Tabletext0"/>
              <w:spacing w:before="34" w:after="34" w:line="276" w:lineRule="auto"/>
              <w:jc w:val="right"/>
              <w:rPr>
                <w:sz w:val="18"/>
                <w:szCs w:val="18"/>
                <w:lang w:val="en-CA"/>
              </w:rPr>
            </w:pP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6F4B339C" w14:textId="77777777" w:rsidR="00B82F75" w:rsidRPr="00F52C10" w:rsidRDefault="00B82F75" w:rsidP="00E4628E">
            <w:pPr>
              <w:pStyle w:val="Tabletext0"/>
              <w:spacing w:before="34" w:after="34" w:line="276" w:lineRule="auto"/>
              <w:jc w:val="right"/>
              <w:rPr>
                <w:sz w:val="18"/>
                <w:szCs w:val="18"/>
                <w:lang w:val="en-CA"/>
              </w:rPr>
            </w:pP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3307CC87" w14:textId="77777777" w:rsidR="00B82F75" w:rsidRPr="00F52C10" w:rsidRDefault="00B82F75" w:rsidP="00E4628E">
            <w:pPr>
              <w:pStyle w:val="Tabletext0"/>
              <w:spacing w:before="34" w:after="34" w:line="276" w:lineRule="auto"/>
              <w:jc w:val="right"/>
              <w:rPr>
                <w:sz w:val="18"/>
                <w:szCs w:val="18"/>
                <w:lang w:val="en-CA"/>
              </w:rPr>
            </w:pP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tcPr>
          <w:p w14:paraId="4D3E1D66" w14:textId="77777777" w:rsidR="00B82F75" w:rsidRPr="00F52C10" w:rsidRDefault="00B82F75" w:rsidP="00E4628E">
            <w:pPr>
              <w:pStyle w:val="Tabletext0"/>
              <w:spacing w:before="34" w:after="34" w:line="276" w:lineRule="auto"/>
              <w:jc w:val="right"/>
              <w:rPr>
                <w:sz w:val="18"/>
                <w:szCs w:val="18"/>
                <w:lang w:val="en-CA"/>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2FAC16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8DA3C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−18,6</w:t>
            </w:r>
          </w:p>
        </w:tc>
        <w:tc>
          <w:tcPr>
            <w:tcW w:w="933" w:type="dxa"/>
            <w:tcBorders>
              <w:top w:val="single" w:sz="4" w:space="0" w:color="auto"/>
              <w:left w:val="single" w:sz="4" w:space="0" w:color="auto"/>
              <w:bottom w:val="single" w:sz="4" w:space="0" w:color="auto"/>
              <w:right w:val="single" w:sz="4" w:space="0" w:color="auto"/>
            </w:tcBorders>
            <w:hideMark/>
          </w:tcPr>
          <w:p w14:paraId="77594B4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3</w:t>
            </w:r>
          </w:p>
        </w:tc>
      </w:tr>
      <w:tr w:rsidR="00B82F75" w:rsidRPr="00F52C10" w14:paraId="22B05F0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F953AA2"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VUT00000</w:t>
            </w:r>
          </w:p>
        </w:tc>
        <w:tc>
          <w:tcPr>
            <w:tcW w:w="994" w:type="dxa"/>
            <w:tcBorders>
              <w:top w:val="single" w:sz="4" w:space="0" w:color="auto"/>
              <w:left w:val="single" w:sz="4" w:space="0" w:color="auto"/>
              <w:bottom w:val="single" w:sz="4" w:space="0" w:color="auto"/>
              <w:right w:val="single" w:sz="4" w:space="0" w:color="auto"/>
            </w:tcBorders>
            <w:hideMark/>
          </w:tcPr>
          <w:p w14:paraId="3AF7260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150,70</w:t>
            </w:r>
          </w:p>
        </w:tc>
        <w:tc>
          <w:tcPr>
            <w:tcW w:w="994" w:type="dxa"/>
            <w:tcBorders>
              <w:top w:val="single" w:sz="4" w:space="0" w:color="auto"/>
              <w:left w:val="single" w:sz="4" w:space="0" w:color="auto"/>
              <w:bottom w:val="single" w:sz="4" w:space="0" w:color="auto"/>
              <w:right w:val="single" w:sz="4" w:space="0" w:color="auto"/>
            </w:tcBorders>
            <w:hideMark/>
          </w:tcPr>
          <w:p w14:paraId="367AB7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168,40</w:t>
            </w:r>
          </w:p>
        </w:tc>
        <w:tc>
          <w:tcPr>
            <w:tcW w:w="924" w:type="dxa"/>
            <w:tcBorders>
              <w:top w:val="single" w:sz="4" w:space="0" w:color="auto"/>
              <w:left w:val="single" w:sz="4" w:space="0" w:color="auto"/>
              <w:bottom w:val="single" w:sz="4" w:space="0" w:color="auto"/>
              <w:right w:val="single" w:sz="4" w:space="0" w:color="auto"/>
            </w:tcBorders>
            <w:hideMark/>
          </w:tcPr>
          <w:p w14:paraId="1CEB1F5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31D8EC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FFBBAD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3BB3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122,00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869086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075453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−23,1</w:t>
            </w:r>
          </w:p>
        </w:tc>
        <w:tc>
          <w:tcPr>
            <w:tcW w:w="933" w:type="dxa"/>
            <w:tcBorders>
              <w:top w:val="single" w:sz="4" w:space="0" w:color="auto"/>
              <w:left w:val="single" w:sz="4" w:space="0" w:color="auto"/>
              <w:bottom w:val="single" w:sz="4" w:space="0" w:color="auto"/>
              <w:right w:val="single" w:sz="4" w:space="0" w:color="auto"/>
            </w:tcBorders>
          </w:tcPr>
          <w:p w14:paraId="4DED4657" w14:textId="77777777" w:rsidR="00B82F75" w:rsidRPr="00F52C10" w:rsidRDefault="00B82F75" w:rsidP="00E4628E">
            <w:pPr>
              <w:pStyle w:val="Tabletext0"/>
              <w:spacing w:before="34" w:after="34" w:line="276" w:lineRule="auto"/>
              <w:rPr>
                <w:sz w:val="18"/>
                <w:szCs w:val="18"/>
                <w:lang w:val="en-CA"/>
              </w:rPr>
            </w:pPr>
          </w:p>
        </w:tc>
      </w:tr>
      <w:tr w:rsidR="00B82F75" w:rsidRPr="00F52C10" w14:paraId="5A64AC44"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3399CA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WAK00000</w:t>
            </w:r>
          </w:p>
        </w:tc>
        <w:tc>
          <w:tcPr>
            <w:tcW w:w="994" w:type="dxa"/>
            <w:tcBorders>
              <w:top w:val="single" w:sz="4" w:space="0" w:color="auto"/>
              <w:left w:val="single" w:sz="4" w:space="0" w:color="auto"/>
              <w:bottom w:val="single" w:sz="4" w:space="0" w:color="auto"/>
              <w:right w:val="single" w:sz="4" w:space="0" w:color="auto"/>
            </w:tcBorders>
            <w:hideMark/>
          </w:tcPr>
          <w:p w14:paraId="343C879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112A978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166,50</w:t>
            </w:r>
          </w:p>
        </w:tc>
        <w:tc>
          <w:tcPr>
            <w:tcW w:w="924" w:type="dxa"/>
            <w:tcBorders>
              <w:top w:val="single" w:sz="4" w:space="0" w:color="auto"/>
              <w:left w:val="single" w:sz="4" w:space="0" w:color="auto"/>
              <w:bottom w:val="single" w:sz="4" w:space="0" w:color="auto"/>
              <w:right w:val="single" w:sz="4" w:space="0" w:color="auto"/>
            </w:tcBorders>
            <w:hideMark/>
          </w:tcPr>
          <w:p w14:paraId="2A03F08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19,20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430619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F1D78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9E4CF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FC665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CEF0F0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−31,9</w:t>
            </w:r>
          </w:p>
        </w:tc>
        <w:tc>
          <w:tcPr>
            <w:tcW w:w="933" w:type="dxa"/>
            <w:tcBorders>
              <w:top w:val="single" w:sz="4" w:space="0" w:color="auto"/>
              <w:left w:val="single" w:sz="4" w:space="0" w:color="auto"/>
              <w:bottom w:val="single" w:sz="4" w:space="0" w:color="auto"/>
              <w:right w:val="single" w:sz="4" w:space="0" w:color="auto"/>
            </w:tcBorders>
            <w:hideMark/>
          </w:tcPr>
          <w:p w14:paraId="7A20E100"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50861DF5"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331A2DD"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WAL00000</w:t>
            </w:r>
          </w:p>
        </w:tc>
        <w:tc>
          <w:tcPr>
            <w:tcW w:w="994" w:type="dxa"/>
            <w:tcBorders>
              <w:top w:val="single" w:sz="4" w:space="0" w:color="auto"/>
              <w:left w:val="single" w:sz="4" w:space="0" w:color="auto"/>
              <w:bottom w:val="single" w:sz="4" w:space="0" w:color="auto"/>
              <w:right w:val="single" w:sz="4" w:space="0" w:color="auto"/>
            </w:tcBorders>
            <w:hideMark/>
          </w:tcPr>
          <w:p w14:paraId="0241E34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113,00</w:t>
            </w:r>
          </w:p>
        </w:tc>
        <w:tc>
          <w:tcPr>
            <w:tcW w:w="994" w:type="dxa"/>
            <w:tcBorders>
              <w:top w:val="single" w:sz="4" w:space="0" w:color="auto"/>
              <w:left w:val="single" w:sz="4" w:space="0" w:color="auto"/>
              <w:bottom w:val="single" w:sz="4" w:space="0" w:color="auto"/>
              <w:right w:val="single" w:sz="4" w:space="0" w:color="auto"/>
            </w:tcBorders>
            <w:hideMark/>
          </w:tcPr>
          <w:p w14:paraId="34B929A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−177,10</w:t>
            </w:r>
          </w:p>
        </w:tc>
        <w:tc>
          <w:tcPr>
            <w:tcW w:w="924" w:type="dxa"/>
            <w:tcBorders>
              <w:top w:val="single" w:sz="4" w:space="0" w:color="auto"/>
              <w:left w:val="single" w:sz="4" w:space="0" w:color="auto"/>
              <w:bottom w:val="single" w:sz="4" w:space="0" w:color="auto"/>
              <w:right w:val="single" w:sz="4" w:space="0" w:color="auto"/>
            </w:tcBorders>
            <w:hideMark/>
          </w:tcPr>
          <w:p w14:paraId="3E80E0F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1432BA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8EEDA9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0,80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E45D2B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7B17ED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F5CA99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−24,1</w:t>
            </w:r>
          </w:p>
        </w:tc>
        <w:tc>
          <w:tcPr>
            <w:tcW w:w="933" w:type="dxa"/>
            <w:tcBorders>
              <w:top w:val="single" w:sz="4" w:space="0" w:color="auto"/>
              <w:left w:val="single" w:sz="4" w:space="0" w:color="auto"/>
              <w:bottom w:val="single" w:sz="4" w:space="0" w:color="auto"/>
              <w:right w:val="single" w:sz="4" w:space="0" w:color="auto"/>
            </w:tcBorders>
            <w:hideMark/>
          </w:tcPr>
          <w:p w14:paraId="70E306B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*/MB1</w:t>
            </w:r>
          </w:p>
        </w:tc>
      </w:tr>
      <w:tr w:rsidR="00B82F75" w:rsidRPr="00F52C10" w14:paraId="2ED618A8"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4381AB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XAN00000</w:t>
            </w:r>
          </w:p>
        </w:tc>
        <w:tc>
          <w:tcPr>
            <w:tcW w:w="994" w:type="dxa"/>
            <w:tcBorders>
              <w:top w:val="single" w:sz="4" w:space="0" w:color="auto"/>
              <w:left w:val="single" w:sz="4" w:space="0" w:color="auto"/>
              <w:bottom w:val="single" w:sz="4" w:space="0" w:color="auto"/>
              <w:right w:val="single" w:sz="4" w:space="0" w:color="auto"/>
            </w:tcBorders>
            <w:hideMark/>
          </w:tcPr>
          <w:p w14:paraId="3766C39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−5,00</w:t>
            </w:r>
          </w:p>
        </w:tc>
        <w:tc>
          <w:tcPr>
            <w:tcW w:w="994" w:type="dxa"/>
            <w:tcBorders>
              <w:top w:val="single" w:sz="4" w:space="0" w:color="auto"/>
              <w:left w:val="single" w:sz="4" w:space="0" w:color="auto"/>
              <w:bottom w:val="single" w:sz="4" w:space="0" w:color="auto"/>
              <w:right w:val="single" w:sz="4" w:space="0" w:color="auto"/>
            </w:tcBorders>
            <w:hideMark/>
          </w:tcPr>
          <w:p w14:paraId="7C6A462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−65,60</w:t>
            </w:r>
          </w:p>
        </w:tc>
        <w:tc>
          <w:tcPr>
            <w:tcW w:w="924" w:type="dxa"/>
            <w:tcBorders>
              <w:top w:val="single" w:sz="4" w:space="0" w:color="auto"/>
              <w:left w:val="single" w:sz="4" w:space="0" w:color="auto"/>
              <w:bottom w:val="single" w:sz="4" w:space="0" w:color="auto"/>
              <w:right w:val="single" w:sz="4" w:space="0" w:color="auto"/>
            </w:tcBorders>
            <w:hideMark/>
          </w:tcPr>
          <w:p w14:paraId="14123F4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B11687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1,30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5E1A4D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C7E103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58,00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B400F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3940AD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−22,3</w:t>
            </w:r>
          </w:p>
        </w:tc>
        <w:tc>
          <w:tcPr>
            <w:tcW w:w="933" w:type="dxa"/>
            <w:tcBorders>
              <w:top w:val="single" w:sz="4" w:space="0" w:color="auto"/>
              <w:left w:val="single" w:sz="4" w:space="0" w:color="auto"/>
              <w:bottom w:val="single" w:sz="4" w:space="0" w:color="auto"/>
              <w:right w:val="single" w:sz="4" w:space="0" w:color="auto"/>
            </w:tcBorders>
            <w:hideMark/>
          </w:tcPr>
          <w:p w14:paraId="1170C8D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*/MB5</w:t>
            </w:r>
          </w:p>
        </w:tc>
      </w:tr>
      <w:tr w:rsidR="00B82F75" w:rsidRPr="00F52C10" w14:paraId="75C83B51"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667CA71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XCQ00000</w:t>
            </w:r>
          </w:p>
        </w:tc>
        <w:tc>
          <w:tcPr>
            <w:tcW w:w="994" w:type="dxa"/>
            <w:tcBorders>
              <w:top w:val="single" w:sz="4" w:space="0" w:color="auto"/>
              <w:left w:val="single" w:sz="4" w:space="0" w:color="auto"/>
              <w:bottom w:val="single" w:sz="4" w:space="0" w:color="auto"/>
              <w:right w:val="single" w:sz="4" w:space="0" w:color="auto"/>
            </w:tcBorders>
            <w:hideMark/>
          </w:tcPr>
          <w:p w14:paraId="57240BA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−159,00</w:t>
            </w:r>
          </w:p>
        </w:tc>
        <w:tc>
          <w:tcPr>
            <w:tcW w:w="994" w:type="dxa"/>
            <w:tcBorders>
              <w:top w:val="single" w:sz="4" w:space="0" w:color="auto"/>
              <w:left w:val="single" w:sz="4" w:space="0" w:color="auto"/>
              <w:bottom w:val="single" w:sz="4" w:space="0" w:color="auto"/>
              <w:right w:val="single" w:sz="4" w:space="0" w:color="auto"/>
            </w:tcBorders>
            <w:hideMark/>
          </w:tcPr>
          <w:p w14:paraId="1CE0EDA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173,40</w:t>
            </w:r>
          </w:p>
        </w:tc>
        <w:tc>
          <w:tcPr>
            <w:tcW w:w="924" w:type="dxa"/>
            <w:tcBorders>
              <w:top w:val="single" w:sz="4" w:space="0" w:color="auto"/>
              <w:left w:val="single" w:sz="4" w:space="0" w:color="auto"/>
              <w:bottom w:val="single" w:sz="4" w:space="0" w:color="auto"/>
              <w:right w:val="single" w:sz="4" w:space="0" w:color="auto"/>
            </w:tcBorders>
            <w:hideMark/>
          </w:tcPr>
          <w:p w14:paraId="7C08DDA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4,60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B2D2B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10,20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EF5944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E45AAD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175,00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1B939B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9E8733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33" w:type="dxa"/>
            <w:tcBorders>
              <w:top w:val="single" w:sz="4" w:space="0" w:color="auto"/>
              <w:left w:val="single" w:sz="4" w:space="0" w:color="auto"/>
              <w:bottom w:val="single" w:sz="4" w:space="0" w:color="auto"/>
              <w:right w:val="single" w:sz="4" w:space="0" w:color="auto"/>
            </w:tcBorders>
            <w:hideMark/>
          </w:tcPr>
          <w:p w14:paraId="75987B89"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*/MB2</w:t>
            </w:r>
          </w:p>
        </w:tc>
      </w:tr>
      <w:tr w:rsidR="00B82F75" w:rsidRPr="00F52C10" w14:paraId="166DF33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D9878B5"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lastRenderedPageBreak/>
              <w:t>XYU00000</w:t>
            </w:r>
          </w:p>
        </w:tc>
        <w:tc>
          <w:tcPr>
            <w:tcW w:w="994" w:type="dxa"/>
            <w:tcBorders>
              <w:top w:val="single" w:sz="4" w:space="0" w:color="auto"/>
              <w:left w:val="single" w:sz="4" w:space="0" w:color="auto"/>
              <w:bottom w:val="single" w:sz="4" w:space="0" w:color="auto"/>
              <w:right w:val="single" w:sz="4" w:space="0" w:color="auto"/>
            </w:tcBorders>
            <w:hideMark/>
          </w:tcPr>
          <w:p w14:paraId="7D5B68F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43,04</w:t>
            </w:r>
          </w:p>
        </w:tc>
        <w:tc>
          <w:tcPr>
            <w:tcW w:w="994" w:type="dxa"/>
            <w:tcBorders>
              <w:top w:val="single" w:sz="4" w:space="0" w:color="auto"/>
              <w:left w:val="single" w:sz="4" w:space="0" w:color="auto"/>
              <w:bottom w:val="single" w:sz="4" w:space="0" w:color="auto"/>
              <w:right w:val="single" w:sz="4" w:space="0" w:color="auto"/>
            </w:tcBorders>
            <w:hideMark/>
          </w:tcPr>
          <w:p w14:paraId="36D74BF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18,70</w:t>
            </w:r>
          </w:p>
        </w:tc>
        <w:tc>
          <w:tcPr>
            <w:tcW w:w="924" w:type="dxa"/>
            <w:tcBorders>
              <w:top w:val="single" w:sz="4" w:space="0" w:color="auto"/>
              <w:left w:val="single" w:sz="4" w:space="0" w:color="auto"/>
              <w:bottom w:val="single" w:sz="4" w:space="0" w:color="auto"/>
              <w:right w:val="single" w:sz="4" w:space="0" w:color="auto"/>
            </w:tcBorders>
            <w:hideMark/>
          </w:tcPr>
          <w:p w14:paraId="7C8AE47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44,40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76C05A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62259F3"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EE1773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161,00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AA8A00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−5,6</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20FF500"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−27,3</w:t>
            </w:r>
          </w:p>
        </w:tc>
        <w:tc>
          <w:tcPr>
            <w:tcW w:w="933" w:type="dxa"/>
            <w:tcBorders>
              <w:top w:val="single" w:sz="4" w:space="0" w:color="auto"/>
              <w:left w:val="single" w:sz="4" w:space="0" w:color="auto"/>
              <w:bottom w:val="single" w:sz="4" w:space="0" w:color="auto"/>
              <w:right w:val="single" w:sz="4" w:space="0" w:color="auto"/>
            </w:tcBorders>
          </w:tcPr>
          <w:p w14:paraId="0936CD48" w14:textId="77777777" w:rsidR="00B82F75" w:rsidRPr="00F52C10" w:rsidRDefault="00B82F75" w:rsidP="00E4628E">
            <w:pPr>
              <w:pStyle w:val="Tabletext0"/>
              <w:spacing w:before="34" w:after="34" w:line="276" w:lineRule="auto"/>
              <w:rPr>
                <w:sz w:val="18"/>
                <w:szCs w:val="18"/>
                <w:lang w:val="en-CA"/>
              </w:rPr>
            </w:pPr>
          </w:p>
        </w:tc>
      </w:tr>
      <w:tr w:rsidR="00B82F75" w:rsidRPr="00F52C10" w14:paraId="714B5C2B"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13173C7A"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YEM00001</w:t>
            </w:r>
          </w:p>
        </w:tc>
        <w:tc>
          <w:tcPr>
            <w:tcW w:w="994" w:type="dxa"/>
            <w:tcBorders>
              <w:top w:val="single" w:sz="4" w:space="0" w:color="auto"/>
              <w:left w:val="single" w:sz="4" w:space="0" w:color="auto"/>
              <w:bottom w:val="single" w:sz="4" w:space="0" w:color="auto"/>
              <w:right w:val="single" w:sz="4" w:space="0" w:color="auto"/>
            </w:tcBorders>
            <w:hideMark/>
          </w:tcPr>
          <w:p w14:paraId="7D77C51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27,00</w:t>
            </w:r>
          </w:p>
        </w:tc>
        <w:tc>
          <w:tcPr>
            <w:tcW w:w="994" w:type="dxa"/>
            <w:tcBorders>
              <w:top w:val="single" w:sz="4" w:space="0" w:color="auto"/>
              <w:left w:val="single" w:sz="4" w:space="0" w:color="auto"/>
              <w:bottom w:val="single" w:sz="4" w:space="0" w:color="auto"/>
              <w:right w:val="single" w:sz="4" w:space="0" w:color="auto"/>
            </w:tcBorders>
            <w:hideMark/>
          </w:tcPr>
          <w:p w14:paraId="76D1336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44,20</w:t>
            </w:r>
          </w:p>
        </w:tc>
        <w:tc>
          <w:tcPr>
            <w:tcW w:w="924" w:type="dxa"/>
            <w:tcBorders>
              <w:top w:val="single" w:sz="4" w:space="0" w:color="auto"/>
              <w:left w:val="single" w:sz="4" w:space="0" w:color="auto"/>
              <w:bottom w:val="single" w:sz="4" w:space="0" w:color="auto"/>
              <w:right w:val="single" w:sz="4" w:space="0" w:color="auto"/>
            </w:tcBorders>
            <w:hideMark/>
          </w:tcPr>
          <w:p w14:paraId="52AF242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15,10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409FB1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DF2EA9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B1F5E8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D7A448C"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−9,8</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6A49117"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−30,1</w:t>
            </w:r>
          </w:p>
        </w:tc>
        <w:tc>
          <w:tcPr>
            <w:tcW w:w="933" w:type="dxa"/>
            <w:tcBorders>
              <w:top w:val="single" w:sz="4" w:space="0" w:color="auto"/>
              <w:left w:val="single" w:sz="4" w:space="0" w:color="auto"/>
              <w:bottom w:val="single" w:sz="4" w:space="0" w:color="auto"/>
              <w:right w:val="single" w:sz="4" w:space="0" w:color="auto"/>
            </w:tcBorders>
          </w:tcPr>
          <w:p w14:paraId="625EFE37" w14:textId="77777777" w:rsidR="00B82F75" w:rsidRPr="00F52C10" w:rsidRDefault="00B82F75" w:rsidP="00E4628E">
            <w:pPr>
              <w:pStyle w:val="Tabletext0"/>
              <w:spacing w:before="34" w:after="34" w:line="276" w:lineRule="auto"/>
              <w:rPr>
                <w:sz w:val="18"/>
                <w:szCs w:val="18"/>
                <w:lang w:val="en-CA"/>
              </w:rPr>
            </w:pPr>
          </w:p>
        </w:tc>
      </w:tr>
      <w:tr w:rsidR="00B82F75" w:rsidRPr="00F52C10" w14:paraId="4A1BA8BA"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731BD5C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YEM00002</w:t>
            </w:r>
          </w:p>
        </w:tc>
        <w:tc>
          <w:tcPr>
            <w:tcW w:w="994" w:type="dxa"/>
            <w:tcBorders>
              <w:top w:val="single" w:sz="4" w:space="0" w:color="auto"/>
              <w:left w:val="single" w:sz="4" w:space="0" w:color="auto"/>
              <w:bottom w:val="single" w:sz="4" w:space="0" w:color="auto"/>
              <w:right w:val="single" w:sz="4" w:space="0" w:color="auto"/>
            </w:tcBorders>
            <w:hideMark/>
          </w:tcPr>
          <w:p w14:paraId="0DE6272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108,00</w:t>
            </w:r>
          </w:p>
        </w:tc>
        <w:tc>
          <w:tcPr>
            <w:tcW w:w="994" w:type="dxa"/>
            <w:tcBorders>
              <w:top w:val="single" w:sz="4" w:space="0" w:color="auto"/>
              <w:left w:val="single" w:sz="4" w:space="0" w:color="auto"/>
              <w:bottom w:val="single" w:sz="4" w:space="0" w:color="auto"/>
              <w:right w:val="single" w:sz="4" w:space="0" w:color="auto"/>
            </w:tcBorders>
            <w:hideMark/>
          </w:tcPr>
          <w:p w14:paraId="51793C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49,90</w:t>
            </w:r>
          </w:p>
        </w:tc>
        <w:tc>
          <w:tcPr>
            <w:tcW w:w="924" w:type="dxa"/>
            <w:tcBorders>
              <w:top w:val="single" w:sz="4" w:space="0" w:color="auto"/>
              <w:left w:val="single" w:sz="4" w:space="0" w:color="auto"/>
              <w:bottom w:val="single" w:sz="4" w:space="0" w:color="auto"/>
              <w:right w:val="single" w:sz="4" w:space="0" w:color="auto"/>
            </w:tcBorders>
            <w:hideMark/>
          </w:tcPr>
          <w:p w14:paraId="330BC2E6"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540B25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E079E8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1,00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55AA8B2"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53,00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20678E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−5,7</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D59E1C8"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−26,9</w:t>
            </w:r>
          </w:p>
        </w:tc>
        <w:tc>
          <w:tcPr>
            <w:tcW w:w="933" w:type="dxa"/>
            <w:tcBorders>
              <w:top w:val="single" w:sz="4" w:space="0" w:color="auto"/>
              <w:left w:val="single" w:sz="4" w:space="0" w:color="auto"/>
              <w:bottom w:val="single" w:sz="4" w:space="0" w:color="auto"/>
              <w:right w:val="single" w:sz="4" w:space="0" w:color="auto"/>
            </w:tcBorders>
          </w:tcPr>
          <w:p w14:paraId="0C378CA7" w14:textId="77777777" w:rsidR="00B82F75" w:rsidRPr="00F52C10" w:rsidRDefault="00B82F75" w:rsidP="00E4628E">
            <w:pPr>
              <w:pStyle w:val="Tabletext0"/>
              <w:spacing w:before="34" w:after="34" w:line="276" w:lineRule="auto"/>
              <w:jc w:val="center"/>
              <w:rPr>
                <w:sz w:val="18"/>
                <w:szCs w:val="18"/>
                <w:lang w:val="en-CA"/>
              </w:rPr>
            </w:pPr>
          </w:p>
        </w:tc>
      </w:tr>
      <w:tr w:rsidR="00B82F75" w:rsidRPr="00F52C10" w14:paraId="33654232"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2224BB0B"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ZMB00000</w:t>
            </w:r>
          </w:p>
        </w:tc>
        <w:tc>
          <w:tcPr>
            <w:tcW w:w="994" w:type="dxa"/>
            <w:tcBorders>
              <w:top w:val="single" w:sz="4" w:space="0" w:color="auto"/>
              <w:left w:val="single" w:sz="4" w:space="0" w:color="auto"/>
              <w:bottom w:val="single" w:sz="4" w:space="0" w:color="auto"/>
              <w:right w:val="single" w:sz="4" w:space="0" w:color="auto"/>
            </w:tcBorders>
            <w:hideMark/>
          </w:tcPr>
          <w:p w14:paraId="762855C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39,55</w:t>
            </w:r>
          </w:p>
        </w:tc>
        <w:tc>
          <w:tcPr>
            <w:tcW w:w="994" w:type="dxa"/>
            <w:tcBorders>
              <w:top w:val="single" w:sz="4" w:space="0" w:color="auto"/>
              <w:left w:val="single" w:sz="4" w:space="0" w:color="auto"/>
              <w:bottom w:val="single" w:sz="4" w:space="0" w:color="auto"/>
              <w:right w:val="single" w:sz="4" w:space="0" w:color="auto"/>
            </w:tcBorders>
            <w:hideMark/>
          </w:tcPr>
          <w:p w14:paraId="0470C49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27,90</w:t>
            </w:r>
          </w:p>
        </w:tc>
        <w:tc>
          <w:tcPr>
            <w:tcW w:w="924" w:type="dxa"/>
            <w:tcBorders>
              <w:top w:val="single" w:sz="4" w:space="0" w:color="auto"/>
              <w:left w:val="single" w:sz="4" w:space="0" w:color="auto"/>
              <w:bottom w:val="single" w:sz="4" w:space="0" w:color="auto"/>
              <w:right w:val="single" w:sz="4" w:space="0" w:color="auto"/>
            </w:tcBorders>
            <w:hideMark/>
          </w:tcPr>
          <w:p w14:paraId="7533696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−12,80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505FF20E"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2,40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0BD5E851"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1,60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83E2E1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26,00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47BDB5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4E9A530D"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−29,2</w:t>
            </w:r>
          </w:p>
        </w:tc>
        <w:tc>
          <w:tcPr>
            <w:tcW w:w="933" w:type="dxa"/>
            <w:tcBorders>
              <w:top w:val="single" w:sz="4" w:space="0" w:color="auto"/>
              <w:left w:val="single" w:sz="4" w:space="0" w:color="auto"/>
              <w:bottom w:val="single" w:sz="4" w:space="0" w:color="auto"/>
              <w:right w:val="single" w:sz="4" w:space="0" w:color="auto"/>
            </w:tcBorders>
          </w:tcPr>
          <w:p w14:paraId="1170E747" w14:textId="77777777" w:rsidR="00B82F75" w:rsidRPr="00F52C10" w:rsidRDefault="00B82F75" w:rsidP="00E4628E">
            <w:pPr>
              <w:pStyle w:val="Tabletext0"/>
              <w:spacing w:before="34" w:after="34" w:line="276" w:lineRule="auto"/>
              <w:jc w:val="center"/>
              <w:rPr>
                <w:sz w:val="18"/>
                <w:szCs w:val="18"/>
                <w:lang w:val="en-CA"/>
              </w:rPr>
            </w:pPr>
          </w:p>
        </w:tc>
      </w:tr>
      <w:tr w:rsidR="00B82F75" w:rsidRPr="00F52C10" w14:paraId="520384E0" w14:textId="77777777" w:rsidTr="004473CA">
        <w:trPr>
          <w:gridAfter w:val="1"/>
          <w:wAfter w:w="18" w:type="dxa"/>
          <w:jc w:val="center"/>
        </w:trPr>
        <w:tc>
          <w:tcPr>
            <w:tcW w:w="1190" w:type="dxa"/>
            <w:tcBorders>
              <w:top w:val="single" w:sz="4" w:space="0" w:color="auto"/>
              <w:left w:val="single" w:sz="4" w:space="0" w:color="auto"/>
              <w:bottom w:val="single" w:sz="4" w:space="0" w:color="auto"/>
              <w:right w:val="single" w:sz="4" w:space="0" w:color="auto"/>
            </w:tcBorders>
            <w:hideMark/>
          </w:tcPr>
          <w:p w14:paraId="4EA942DE" w14:textId="77777777" w:rsidR="00B82F75" w:rsidRPr="00F52C10" w:rsidRDefault="00B82F75" w:rsidP="00E4628E">
            <w:pPr>
              <w:pStyle w:val="Tabletext0"/>
              <w:spacing w:before="34" w:after="34" w:line="276" w:lineRule="auto"/>
              <w:rPr>
                <w:sz w:val="18"/>
                <w:szCs w:val="18"/>
                <w:lang w:val="en-US"/>
              </w:rPr>
            </w:pPr>
            <w:r w:rsidRPr="00F52C10">
              <w:rPr>
                <w:sz w:val="18"/>
                <w:szCs w:val="18"/>
                <w:lang w:val="en-US"/>
              </w:rPr>
              <w:t>ZWE00000</w:t>
            </w:r>
          </w:p>
        </w:tc>
        <w:tc>
          <w:tcPr>
            <w:tcW w:w="994" w:type="dxa"/>
            <w:tcBorders>
              <w:top w:val="single" w:sz="4" w:space="0" w:color="auto"/>
              <w:left w:val="single" w:sz="4" w:space="0" w:color="auto"/>
              <w:bottom w:val="single" w:sz="4" w:space="0" w:color="auto"/>
              <w:right w:val="single" w:sz="4" w:space="0" w:color="auto"/>
            </w:tcBorders>
            <w:hideMark/>
          </w:tcPr>
          <w:p w14:paraId="4E771C29"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65,60</w:t>
            </w:r>
          </w:p>
        </w:tc>
        <w:tc>
          <w:tcPr>
            <w:tcW w:w="994" w:type="dxa"/>
            <w:tcBorders>
              <w:top w:val="single" w:sz="4" w:space="0" w:color="auto"/>
              <w:left w:val="single" w:sz="4" w:space="0" w:color="auto"/>
              <w:bottom w:val="single" w:sz="4" w:space="0" w:color="auto"/>
              <w:right w:val="single" w:sz="4" w:space="0" w:color="auto"/>
            </w:tcBorders>
            <w:hideMark/>
          </w:tcPr>
          <w:p w14:paraId="4A801EBF"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30,00</w:t>
            </w:r>
          </w:p>
        </w:tc>
        <w:tc>
          <w:tcPr>
            <w:tcW w:w="924" w:type="dxa"/>
            <w:tcBorders>
              <w:top w:val="single" w:sz="4" w:space="0" w:color="auto"/>
              <w:left w:val="single" w:sz="4" w:space="0" w:color="auto"/>
              <w:bottom w:val="single" w:sz="4" w:space="0" w:color="auto"/>
              <w:right w:val="single" w:sz="4" w:space="0" w:color="auto"/>
            </w:tcBorders>
            <w:hideMark/>
          </w:tcPr>
          <w:p w14:paraId="302854AA"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−18,90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1644B7FB"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1,50</w:t>
            </w:r>
          </w:p>
        </w:tc>
        <w:tc>
          <w:tcPr>
            <w:tcW w:w="867"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6552D0D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1,10</w:t>
            </w:r>
          </w:p>
        </w:tc>
        <w:tc>
          <w:tcPr>
            <w:tcW w:w="98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35223B2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140,00</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7D43C404"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−6,0</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227" w:type="dxa"/>
            </w:tcMar>
            <w:hideMark/>
          </w:tcPr>
          <w:p w14:paraId="2BC3DBE5" w14:textId="77777777" w:rsidR="00B82F75" w:rsidRPr="00F52C10" w:rsidRDefault="00B82F75" w:rsidP="00E4628E">
            <w:pPr>
              <w:pStyle w:val="Tabletext0"/>
              <w:spacing w:before="34" w:after="34" w:line="276" w:lineRule="auto"/>
              <w:jc w:val="right"/>
              <w:rPr>
                <w:sz w:val="18"/>
                <w:szCs w:val="18"/>
                <w:lang w:val="en-CA"/>
              </w:rPr>
            </w:pPr>
            <w:r w:rsidRPr="00F52C10">
              <w:rPr>
                <w:sz w:val="18"/>
                <w:szCs w:val="18"/>
                <w:lang w:val="en-CA"/>
              </w:rPr>
              <w:t>−28,9</w:t>
            </w:r>
          </w:p>
        </w:tc>
        <w:tc>
          <w:tcPr>
            <w:tcW w:w="933" w:type="dxa"/>
            <w:tcBorders>
              <w:top w:val="single" w:sz="4" w:space="0" w:color="auto"/>
              <w:left w:val="single" w:sz="4" w:space="0" w:color="auto"/>
              <w:bottom w:val="single" w:sz="4" w:space="0" w:color="auto"/>
              <w:right w:val="single" w:sz="4" w:space="0" w:color="auto"/>
            </w:tcBorders>
          </w:tcPr>
          <w:p w14:paraId="13D79F36" w14:textId="77777777" w:rsidR="00B82F75" w:rsidRPr="00F52C10" w:rsidRDefault="00B82F75" w:rsidP="00E4628E">
            <w:pPr>
              <w:pStyle w:val="Tabletext0"/>
              <w:spacing w:before="34" w:after="34" w:line="276" w:lineRule="auto"/>
              <w:jc w:val="center"/>
              <w:rPr>
                <w:sz w:val="18"/>
                <w:szCs w:val="18"/>
                <w:lang w:val="en-CA"/>
              </w:rPr>
            </w:pPr>
          </w:p>
        </w:tc>
      </w:tr>
    </w:tbl>
    <w:p w14:paraId="6C0D704C" w14:textId="77777777" w:rsidR="00B82F75" w:rsidRPr="00F52C10" w:rsidRDefault="00B82F75" w:rsidP="00E4628E">
      <w:pPr>
        <w:autoSpaceDE/>
        <w:autoSpaceDN/>
        <w:spacing w:line="276" w:lineRule="auto"/>
        <w:rPr>
          <w:sz w:val="8"/>
          <w:szCs w:val="8"/>
        </w:rPr>
      </w:pPr>
      <w:r w:rsidRPr="00F52C10">
        <w:rPr>
          <w:sz w:val="8"/>
          <w:szCs w:val="8"/>
        </w:rPr>
        <w:br w:type="page"/>
      </w:r>
    </w:p>
    <w:p w14:paraId="5A99F52A" w14:textId="77777777" w:rsidR="00B82F75" w:rsidRPr="00F52C10" w:rsidRDefault="00B82F75" w:rsidP="00E4628E">
      <w:pPr>
        <w:pStyle w:val="AppArtNo"/>
        <w:spacing w:line="276" w:lineRule="auto"/>
        <w:rPr>
          <w:lang w:val="es-ES_tradnl"/>
        </w:rPr>
      </w:pPr>
      <w:r w:rsidRPr="00F52C10">
        <w:rPr>
          <w:lang w:val="es-ES_tradnl"/>
        </w:rPr>
        <w:lastRenderedPageBreak/>
        <w:t>ARTÍCULO 11</w:t>
      </w:r>
    </w:p>
    <w:p w14:paraId="5F5F3947" w14:textId="77777777" w:rsidR="00B82F75" w:rsidRPr="00F52C10" w:rsidRDefault="00B82F75" w:rsidP="00E4628E">
      <w:pPr>
        <w:pStyle w:val="AppArttitle"/>
        <w:spacing w:line="276" w:lineRule="auto"/>
        <w:rPr>
          <w:lang w:val="es-ES_tradnl"/>
        </w:rPr>
      </w:pPr>
      <w:r w:rsidRPr="00F52C10">
        <w:rPr>
          <w:lang w:val="es-ES_tradnl"/>
        </w:rPr>
        <w:t>Periodo de validez de las disposiciones y del Plan asociado</w:t>
      </w:r>
    </w:p>
    <w:p w14:paraId="63253DA5" w14:textId="77777777" w:rsidR="00B82F75" w:rsidRPr="00F52C10" w:rsidRDefault="00B82F75" w:rsidP="00E4628E">
      <w:pPr>
        <w:pStyle w:val="Normalaftertitle"/>
        <w:spacing w:line="276" w:lineRule="auto"/>
        <w:rPr>
          <w:lang w:val="es-ES_tradnl"/>
        </w:rPr>
      </w:pPr>
      <w:r w:rsidRPr="00F52C10">
        <w:rPr>
          <w:lang w:val="es-ES_tradnl"/>
        </w:rPr>
        <w:t>11.1</w:t>
      </w:r>
      <w:r w:rsidRPr="00F52C10">
        <w:rPr>
          <w:lang w:val="es-ES_tradnl"/>
        </w:rPr>
        <w:tab/>
        <w:t>Estas disposiciones y el Plan asociado se han preparado para garantizar en la práctica el acceso equitativo de todos los países a la órbita de los satélites geoestacionarios y a las bandas de frecuencias del Artículo 3, a fin de satisfacer las necesidades del servicio fijo por satélite durante un periodo no inferior a 20 años, a partir de la fecha de entrada en vigor del presente Apéndice.</w:t>
      </w:r>
    </w:p>
    <w:p w14:paraId="26BACF84" w14:textId="77777777" w:rsidR="00B82F75" w:rsidRPr="00F52C10" w:rsidRDefault="00B82F75" w:rsidP="00E4628E">
      <w:pPr>
        <w:spacing w:line="276" w:lineRule="auto"/>
        <w:rPr>
          <w:color w:val="000000"/>
          <w:szCs w:val="24"/>
          <w:lang w:val="es-ES_tradnl"/>
        </w:rPr>
      </w:pPr>
      <w:r w:rsidRPr="00F52C10">
        <w:rPr>
          <w:bCs/>
          <w:lang w:val="es-ES_tradnl"/>
        </w:rPr>
        <w:t>11.2</w:t>
      </w:r>
      <w:r w:rsidRPr="00F52C10">
        <w:rPr>
          <w:bCs/>
          <w:lang w:val="es-ES_tradnl"/>
        </w:rPr>
        <w:tab/>
      </w:r>
      <w:r w:rsidRPr="00F52C10">
        <w:rPr>
          <w:color w:val="000000"/>
          <w:lang w:val="es-ES_tradnl"/>
        </w:rPr>
        <w:t>Estas disposiciones y el Plan asociado permanecerán en vigor, en cualquier caso, hasta su revisión por una Conferencia Mundial de Radiocomunicaciones competente, convocada de conformidad con las disposiciones pertinentes de la Constitución y del Convenio de la UIT vigentes.</w:t>
      </w:r>
      <w:r w:rsidRPr="00F52C10">
        <w:rPr>
          <w:color w:val="000000"/>
          <w:sz w:val="16"/>
          <w:szCs w:val="16"/>
          <w:lang w:val="es-ES_tradnl"/>
        </w:rPr>
        <w:t>     (CMR-07)</w:t>
      </w:r>
    </w:p>
    <w:p w14:paraId="67B7B5FF" w14:textId="77777777" w:rsidR="00B82F75" w:rsidRPr="00F52C10" w:rsidRDefault="00B82F75" w:rsidP="00E4628E">
      <w:pPr>
        <w:pStyle w:val="AnnexNo"/>
        <w:spacing w:line="276" w:lineRule="auto"/>
        <w:rPr>
          <w:color w:val="000000"/>
          <w:sz w:val="16"/>
          <w:szCs w:val="16"/>
          <w:lang w:val="es-ES_tradnl"/>
        </w:rPr>
      </w:pPr>
      <w:r w:rsidRPr="00F52C10">
        <w:rPr>
          <w:color w:val="000000"/>
          <w:lang w:val="es-ES_tradnl"/>
        </w:rPr>
        <w:t>              </w:t>
      </w:r>
      <w:r w:rsidRPr="00F52C10">
        <w:rPr>
          <w:lang w:val="es-ES_tradnl"/>
        </w:rPr>
        <w:t>ANEXO 1</w:t>
      </w:r>
      <w:r w:rsidRPr="00F52C10">
        <w:rPr>
          <w:sz w:val="16"/>
          <w:szCs w:val="16"/>
          <w:lang w:val="es-ES_tradnl"/>
        </w:rPr>
        <w:t>     (CMR-03)</w:t>
      </w:r>
    </w:p>
    <w:p w14:paraId="0DCDD693" w14:textId="77777777" w:rsidR="00B82F75" w:rsidRPr="00F52C10" w:rsidRDefault="00B82F75" w:rsidP="00E4628E">
      <w:pPr>
        <w:pStyle w:val="Annextitle"/>
        <w:spacing w:line="276" w:lineRule="auto"/>
        <w:rPr>
          <w:rFonts w:ascii="Times New Roman" w:hAnsi="Times New Roman"/>
          <w:lang w:val="es-ES_tradnl"/>
        </w:rPr>
      </w:pPr>
      <w:r w:rsidRPr="00F52C10">
        <w:rPr>
          <w:rFonts w:ascii="Times New Roman" w:hAnsi="Times New Roman"/>
          <w:lang w:val="es-ES_tradnl"/>
        </w:rPr>
        <w:t xml:space="preserve">Parámetros utilizados para caracterizar el Plan de adjudicaciones </w:t>
      </w:r>
      <w:r w:rsidRPr="00F52C10">
        <w:rPr>
          <w:rFonts w:ascii="Times New Roman" w:hAnsi="Times New Roman"/>
          <w:lang w:val="es-ES_tradnl"/>
        </w:rPr>
        <w:br/>
        <w:t>del servicio fijo por satélite</w:t>
      </w:r>
      <w:r w:rsidRPr="00F52C10">
        <w:rPr>
          <w:rFonts w:ascii="Times New Roman" w:hAnsi="Times New Roman"/>
          <w:b w:val="0"/>
          <w:color w:val="000000"/>
          <w:sz w:val="16"/>
          <w:szCs w:val="16"/>
          <w:lang w:val="es-ES_tradnl"/>
        </w:rPr>
        <w:t>     </w:t>
      </w:r>
      <w:r w:rsidRPr="00F52C10">
        <w:rPr>
          <w:rFonts w:ascii="Times New Roman" w:hAnsi="Times New Roman"/>
          <w:b w:val="0"/>
          <w:sz w:val="16"/>
          <w:szCs w:val="16"/>
          <w:lang w:val="es-ES_tradnl"/>
        </w:rPr>
        <w:t>(CMR-07)</w:t>
      </w:r>
    </w:p>
    <w:p w14:paraId="2CAD7E33" w14:textId="77777777" w:rsidR="00B82F75" w:rsidRPr="00F52C10" w:rsidRDefault="00B82F75" w:rsidP="00E4628E">
      <w:pPr>
        <w:pStyle w:val="Section1"/>
        <w:spacing w:before="240" w:line="276" w:lineRule="auto"/>
        <w:rPr>
          <w:color w:val="000000"/>
          <w:lang w:val="es-ES_tradnl"/>
        </w:rPr>
      </w:pPr>
      <w:r w:rsidRPr="00F52C10">
        <w:rPr>
          <w:color w:val="000000"/>
          <w:lang w:val="es-ES_tradnl"/>
        </w:rPr>
        <w:t>                  </w:t>
      </w:r>
      <w:r w:rsidRPr="00F52C10">
        <w:rPr>
          <w:lang w:val="es-ES_tradnl"/>
        </w:rPr>
        <w:t>         Sección A</w:t>
      </w:r>
      <w:r w:rsidRPr="00F52C10">
        <w:rPr>
          <w:sz w:val="16"/>
          <w:szCs w:val="16"/>
          <w:lang w:val="es-ES_tradnl"/>
        </w:rPr>
        <w:t>     </w:t>
      </w:r>
      <w:r w:rsidRPr="00F52C10">
        <w:rPr>
          <w:b w:val="0"/>
          <w:bCs/>
          <w:color w:val="000000"/>
          <w:sz w:val="16"/>
          <w:szCs w:val="16"/>
          <w:lang w:val="es-ES_tradnl"/>
        </w:rPr>
        <w:t>(SUP – CMR-07)</w:t>
      </w:r>
    </w:p>
    <w:p w14:paraId="16CF383B" w14:textId="77777777" w:rsidR="00B82F75" w:rsidRPr="00F52C10" w:rsidRDefault="00B82F75" w:rsidP="00E4628E">
      <w:pPr>
        <w:pStyle w:val="Ttulo1"/>
        <w:spacing w:line="276" w:lineRule="auto"/>
        <w:rPr>
          <w:color w:val="000000"/>
          <w:lang w:val="es-ES_tradnl"/>
        </w:rPr>
      </w:pPr>
      <w:r w:rsidRPr="00F52C10">
        <w:rPr>
          <w:color w:val="000000"/>
          <w:lang w:val="es-ES_tradnl"/>
        </w:rPr>
        <w:t>1</w:t>
      </w:r>
      <w:r w:rsidRPr="00F52C10">
        <w:rPr>
          <w:color w:val="000000"/>
          <w:lang w:val="es-ES_tradnl"/>
        </w:rPr>
        <w:tab/>
        <w:t>Características técnicas básicas</w:t>
      </w:r>
    </w:p>
    <w:p w14:paraId="26ACF0C6" w14:textId="77777777" w:rsidR="00B82F75" w:rsidRPr="00F52C10" w:rsidRDefault="00B82F75" w:rsidP="00E4628E">
      <w:pPr>
        <w:spacing w:line="276" w:lineRule="auto"/>
        <w:rPr>
          <w:color w:val="000000"/>
          <w:lang w:val="es-ES_tradnl"/>
        </w:rPr>
      </w:pPr>
      <w:r w:rsidRPr="00F52C10">
        <w:rPr>
          <w:color w:val="000000"/>
          <w:lang w:val="es-ES_tradnl"/>
        </w:rPr>
        <w:t>Las adjudicaciones que figuran en el Plan se basan en una red de satélite de referencia con los siguientes supuestos:</w:t>
      </w:r>
    </w:p>
    <w:p w14:paraId="539D9E64" w14:textId="77777777" w:rsidR="00B82F75" w:rsidRPr="00F52C10" w:rsidRDefault="00B82F75" w:rsidP="00E4628E">
      <w:pPr>
        <w:pStyle w:val="Ttulo2"/>
        <w:spacing w:line="276" w:lineRule="auto"/>
        <w:rPr>
          <w:color w:val="000000"/>
          <w:lang w:val="es-ES_tradnl"/>
        </w:rPr>
      </w:pPr>
      <w:r w:rsidRPr="00F52C10">
        <w:rPr>
          <w:color w:val="000000"/>
          <w:lang w:val="es-ES_tradnl"/>
        </w:rPr>
        <w:t>1.1</w:t>
      </w:r>
      <w:r w:rsidRPr="00F52C10">
        <w:rPr>
          <w:color w:val="000000"/>
          <w:lang w:val="es-ES_tradnl"/>
        </w:rPr>
        <w:tab/>
        <w:t>Tipo de modulación</w:t>
      </w:r>
    </w:p>
    <w:p w14:paraId="60D24096" w14:textId="77777777" w:rsidR="00B82F75" w:rsidRPr="00F52C10" w:rsidRDefault="00B82F75" w:rsidP="00E4628E">
      <w:pPr>
        <w:spacing w:line="276" w:lineRule="auto"/>
        <w:rPr>
          <w:color w:val="000000"/>
          <w:lang w:val="es-ES_tradnl"/>
        </w:rPr>
      </w:pPr>
      <w:r w:rsidRPr="00F52C10">
        <w:rPr>
          <w:color w:val="000000"/>
          <w:lang w:val="es-ES_tradnl"/>
        </w:rPr>
        <w:t>El Plan es independiente de las características de modulación y de las técnicas de acceso.</w:t>
      </w:r>
    </w:p>
    <w:p w14:paraId="7D04A7A9" w14:textId="77777777" w:rsidR="00B82F75" w:rsidRPr="00F52C10" w:rsidRDefault="00B82F75" w:rsidP="00E4628E">
      <w:pPr>
        <w:pStyle w:val="Ttulo2"/>
        <w:spacing w:before="240" w:line="276" w:lineRule="auto"/>
        <w:rPr>
          <w:bCs w:val="0"/>
          <w:lang w:val="es-ES_tradnl"/>
        </w:rPr>
      </w:pPr>
      <w:r w:rsidRPr="00F52C10">
        <w:rPr>
          <w:bCs w:val="0"/>
          <w:lang w:val="es-ES_tradnl"/>
        </w:rPr>
        <w:t>1.2</w:t>
      </w:r>
      <w:r w:rsidRPr="00F52C10">
        <w:rPr>
          <w:bCs w:val="0"/>
          <w:lang w:val="es-ES_tradnl"/>
        </w:rPr>
        <w:tab/>
        <w:t>Parámetros utilizados para calcular las densidades de potencia de la estación terrena y la estación espacial</w:t>
      </w:r>
    </w:p>
    <w:p w14:paraId="36A0F130" w14:textId="77777777" w:rsidR="00B82F75" w:rsidRPr="00F52C10" w:rsidRDefault="00B82F75" w:rsidP="00E4628E">
      <w:pPr>
        <w:spacing w:line="276" w:lineRule="auto"/>
        <w:rPr>
          <w:color w:val="000000"/>
          <w:lang w:val="es-ES_tradnl"/>
        </w:rPr>
      </w:pPr>
      <w:r w:rsidRPr="00F52C10">
        <w:rPr>
          <w:color w:val="000000"/>
          <w:lang w:val="es-ES_tradnl"/>
        </w:rPr>
        <w:t>La relación portadora/ruido (</w:t>
      </w:r>
      <w:r w:rsidRPr="00F52C10">
        <w:rPr>
          <w:i/>
          <w:color w:val="000000"/>
          <w:lang w:val="es-ES_tradnl"/>
        </w:rPr>
        <w:t>C</w:t>
      </w:r>
      <w:r w:rsidRPr="00F52C10">
        <w:rPr>
          <w:i/>
          <w:color w:val="000000"/>
          <w:sz w:val="8"/>
          <w:lang w:val="es-ES_tradnl"/>
        </w:rPr>
        <w:t> </w:t>
      </w:r>
      <w:r w:rsidRPr="00F52C10">
        <w:rPr>
          <w:color w:val="000000"/>
          <w:lang w:val="es-ES_tradnl"/>
        </w:rPr>
        <w:t>/</w:t>
      </w:r>
      <w:r w:rsidRPr="00F52C10">
        <w:rPr>
          <w:i/>
          <w:color w:val="000000"/>
          <w:sz w:val="8"/>
          <w:lang w:val="es-ES_tradnl"/>
        </w:rPr>
        <w:t> </w:t>
      </w:r>
      <w:r w:rsidRPr="00F52C10">
        <w:rPr>
          <w:i/>
          <w:color w:val="000000"/>
          <w:lang w:val="es-ES_tradnl"/>
        </w:rPr>
        <w:t>N</w:t>
      </w:r>
      <w:r w:rsidRPr="00F52C10">
        <w:rPr>
          <w:color w:val="000000"/>
          <w:lang w:val="es-ES_tradnl"/>
        </w:rPr>
        <w:t>) es la siguiente:</w:t>
      </w:r>
    </w:p>
    <w:p w14:paraId="57517C67" w14:textId="77777777" w:rsidR="00B82F75" w:rsidRPr="00F52C10" w:rsidRDefault="00B82F75" w:rsidP="00E4628E">
      <w:pPr>
        <w:pStyle w:val="enumlev1"/>
        <w:spacing w:line="276" w:lineRule="auto"/>
        <w:rPr>
          <w:lang w:val="es-ES_tradnl"/>
        </w:rPr>
      </w:pPr>
      <w:r w:rsidRPr="00F52C10">
        <w:rPr>
          <w:i/>
          <w:lang w:val="es-ES_tradnl"/>
        </w:rPr>
        <w:t>a)</w:t>
      </w:r>
      <w:r w:rsidRPr="00F52C10">
        <w:rPr>
          <w:lang w:val="es-ES_tradnl"/>
        </w:rPr>
        <w:tab/>
        <w:t xml:space="preserve">la </w:t>
      </w:r>
      <w:r w:rsidRPr="00F52C10">
        <w:rPr>
          <w:i/>
          <w:lang w:val="es-ES_tradnl"/>
        </w:rPr>
        <w:t>C</w:t>
      </w:r>
      <w:r w:rsidRPr="00F52C10">
        <w:rPr>
          <w:lang w:val="es-ES_tradnl"/>
        </w:rPr>
        <w:t>/</w:t>
      </w:r>
      <w:r w:rsidRPr="00F52C10">
        <w:rPr>
          <w:i/>
          <w:lang w:val="es-ES_tradnl"/>
        </w:rPr>
        <w:t>N</w:t>
      </w:r>
      <w:r w:rsidRPr="00F52C10">
        <w:rPr>
          <w:lang w:val="es-ES_tradnl"/>
        </w:rPr>
        <w:t xml:space="preserve"> del enlace ascendente supera 21 dB en condiciones de desvanecimiento debido a la lluvia y con una mínima densidad de potencia del transmisor de la estación terrena de </w:t>
      </w:r>
      <w:r w:rsidRPr="00E4628E">
        <w:lastRenderedPageBreak/>
        <w:fldChar w:fldCharType="begin"/>
      </w:r>
      <w:r w:rsidRPr="00F52C10">
        <w:rPr>
          <w:lang w:val="es-ES_tradnl"/>
        </w:rPr>
        <w:instrText xml:space="preserve"> EQ  –</w:instrText>
      </w:r>
      <w:r w:rsidRPr="00F52C10">
        <w:rPr>
          <w:sz w:val="8"/>
          <w:lang w:val="es-ES_tradnl"/>
        </w:rPr>
        <w:instrText> </w:instrText>
      </w:r>
      <w:r w:rsidRPr="00F52C10">
        <w:rPr>
          <w:lang w:val="es-ES_tradnl"/>
        </w:rPr>
        <w:instrText>60 dB(W/Hz)</w:instrText>
      </w:r>
      <w:r w:rsidRPr="00E4628E">
        <w:fldChar w:fldCharType="end"/>
      </w:r>
      <w:r w:rsidRPr="00F52C10">
        <w:rPr>
          <w:lang w:val="es-ES_tradnl"/>
        </w:rPr>
        <w:t xml:space="preserve"> promediada a lo largo de la anchura de banda necesaria de la portadora modulada;</w:t>
      </w:r>
    </w:p>
    <w:p w14:paraId="6C1E5D92" w14:textId="77777777" w:rsidR="00B82F75" w:rsidRPr="00F52C10" w:rsidRDefault="00B82F75" w:rsidP="00E4628E">
      <w:pPr>
        <w:pStyle w:val="enumlev1"/>
        <w:spacing w:line="276" w:lineRule="auto"/>
        <w:rPr>
          <w:lang w:val="es-ES_tradnl"/>
        </w:rPr>
      </w:pPr>
      <w:r w:rsidRPr="00F52C10">
        <w:rPr>
          <w:i/>
          <w:lang w:val="es-ES_tradnl"/>
        </w:rPr>
        <w:t>b)</w:t>
      </w:r>
      <w:r w:rsidRPr="00215C51">
        <w:rPr>
          <w:lang w:val="es-ES_tradnl"/>
        </w:rPr>
        <w:tab/>
        <w:t xml:space="preserve">la </w:t>
      </w:r>
      <w:r w:rsidRPr="00215C51">
        <w:rPr>
          <w:i/>
          <w:lang w:val="es-ES_tradnl"/>
        </w:rPr>
        <w:t>C</w:t>
      </w:r>
      <w:r w:rsidRPr="00F52C10">
        <w:rPr>
          <w:lang w:val="es-ES_tradnl"/>
        </w:rPr>
        <w:t>/</w:t>
      </w:r>
      <w:r w:rsidRPr="00F52C10">
        <w:rPr>
          <w:i/>
          <w:lang w:val="es-ES_tradnl"/>
        </w:rPr>
        <w:t>N</w:t>
      </w:r>
      <w:r w:rsidRPr="00F52C10">
        <w:rPr>
          <w:lang w:val="es-ES_tradnl"/>
        </w:rPr>
        <w:t xml:space="preserve"> del enlace descendente en condiciones de desvanecimiento debido a la lluvia supera 15 dB;</w:t>
      </w:r>
    </w:p>
    <w:p w14:paraId="63F8A84B" w14:textId="77777777" w:rsidR="00B82F75" w:rsidRPr="00F52C10" w:rsidRDefault="00B82F75" w:rsidP="00E4628E">
      <w:pPr>
        <w:pStyle w:val="enumlev1"/>
        <w:spacing w:line="276" w:lineRule="auto"/>
        <w:rPr>
          <w:lang w:val="es-ES_tradnl"/>
        </w:rPr>
      </w:pPr>
      <w:r w:rsidRPr="00F52C10">
        <w:rPr>
          <w:i/>
          <w:lang w:val="es-ES_tradnl"/>
        </w:rPr>
        <w:t>c)</w:t>
      </w:r>
      <w:r w:rsidRPr="00F52C10">
        <w:rPr>
          <w:lang w:val="es-ES_tradnl"/>
        </w:rPr>
        <w:tab/>
        <w:t>en las bandas de 6/4 GHz, las</w:t>
      </w:r>
      <w:r w:rsidRPr="00F52C10">
        <w:rPr>
          <w:i/>
          <w:lang w:val="es-ES_tradnl"/>
        </w:rPr>
        <w:t xml:space="preserve"> C</w:t>
      </w:r>
      <w:r w:rsidRPr="00F52C10">
        <w:rPr>
          <w:lang w:val="es-ES_tradnl"/>
        </w:rPr>
        <w:t>/</w:t>
      </w:r>
      <w:r w:rsidRPr="00F52C10">
        <w:rPr>
          <w:i/>
          <w:lang w:val="es-ES_tradnl"/>
        </w:rPr>
        <w:t>N</w:t>
      </w:r>
      <w:r w:rsidRPr="00F52C10">
        <w:rPr>
          <w:lang w:val="es-ES_tradnl"/>
        </w:rPr>
        <w:t xml:space="preserve"> indicadas se superan el 99,95% del año</w:t>
      </w:r>
    </w:p>
    <w:p w14:paraId="555D21A2" w14:textId="77777777" w:rsidR="00B82F75" w:rsidRPr="00F52C10" w:rsidRDefault="00B82F75" w:rsidP="00E4628E">
      <w:pPr>
        <w:pStyle w:val="Note"/>
        <w:spacing w:line="276" w:lineRule="auto"/>
        <w:ind w:left="1134" w:hanging="1134"/>
      </w:pPr>
      <w:r w:rsidRPr="00F52C10">
        <w:tab/>
      </w:r>
      <w:r w:rsidRPr="00F52C10">
        <w:tab/>
        <w:t>(NOTA – El margen de atenuación debida a la lluvia está limitado a 8 dB como máximo);</w:t>
      </w:r>
    </w:p>
    <w:p w14:paraId="70E01C44" w14:textId="77777777" w:rsidR="00B82F75" w:rsidRPr="00F52C10" w:rsidRDefault="00B82F75" w:rsidP="00E4628E">
      <w:pPr>
        <w:autoSpaceDE/>
        <w:autoSpaceDN/>
        <w:spacing w:line="276" w:lineRule="auto"/>
        <w:rPr>
          <w:i/>
          <w:lang w:val="es-ES_tradnl"/>
        </w:rPr>
      </w:pPr>
      <w:r w:rsidRPr="00F52C10">
        <w:rPr>
          <w:i/>
          <w:lang w:val="es-ES_tradnl"/>
        </w:rPr>
        <w:br w:type="page"/>
      </w:r>
    </w:p>
    <w:p w14:paraId="60A9436E" w14:textId="77777777" w:rsidR="00B82F75" w:rsidRPr="00F52C10" w:rsidRDefault="00B82F75" w:rsidP="00E4628E">
      <w:pPr>
        <w:pStyle w:val="enumlev1"/>
        <w:spacing w:line="276" w:lineRule="auto"/>
        <w:rPr>
          <w:lang w:val="es-ES_tradnl"/>
        </w:rPr>
      </w:pPr>
      <w:r w:rsidRPr="00F52C10">
        <w:rPr>
          <w:i/>
          <w:lang w:val="es-ES_tradnl"/>
        </w:rPr>
        <w:lastRenderedPageBreak/>
        <w:t>d)</w:t>
      </w:r>
      <w:r w:rsidRPr="00F52C10">
        <w:rPr>
          <w:lang w:val="es-ES_tradnl"/>
        </w:rPr>
        <w:tab/>
        <w:t>en las bandas de 13/10-11 GHz, las</w:t>
      </w:r>
      <w:r w:rsidRPr="00F52C10">
        <w:rPr>
          <w:i/>
          <w:lang w:val="es-ES_tradnl"/>
        </w:rPr>
        <w:t xml:space="preserve"> C</w:t>
      </w:r>
      <w:r w:rsidRPr="00F52C10">
        <w:rPr>
          <w:lang w:val="es-ES_tradnl"/>
        </w:rPr>
        <w:t>/</w:t>
      </w:r>
      <w:r w:rsidRPr="00F52C10">
        <w:rPr>
          <w:i/>
          <w:lang w:val="es-ES_tradnl"/>
        </w:rPr>
        <w:t>N</w:t>
      </w:r>
      <w:r w:rsidRPr="00F52C10">
        <w:rPr>
          <w:lang w:val="es-ES_tradnl"/>
        </w:rPr>
        <w:t xml:space="preserve"> indicadas se superan el 99,9% del año</w:t>
      </w:r>
    </w:p>
    <w:p w14:paraId="588CADFF" w14:textId="77777777" w:rsidR="00B82F75" w:rsidRPr="00F52C10" w:rsidRDefault="00B82F75" w:rsidP="00E4628E">
      <w:pPr>
        <w:pStyle w:val="Note"/>
        <w:spacing w:line="276" w:lineRule="auto"/>
        <w:ind w:left="1134" w:hanging="1134"/>
      </w:pPr>
      <w:r w:rsidRPr="00F52C10">
        <w:tab/>
      </w:r>
      <w:r w:rsidRPr="00F52C10">
        <w:tab/>
        <w:t>(NOTA – El margen de atenuación debida a la lluvia está limitado a 8 dB como máximo);</w:t>
      </w:r>
    </w:p>
    <w:p w14:paraId="27FC0414" w14:textId="77777777" w:rsidR="00B82F75" w:rsidRPr="00F52C10" w:rsidRDefault="00B82F75" w:rsidP="00E4628E">
      <w:pPr>
        <w:pStyle w:val="enumlev1"/>
        <w:spacing w:line="276" w:lineRule="auto"/>
        <w:rPr>
          <w:lang w:val="es-ES_tradnl"/>
        </w:rPr>
      </w:pPr>
      <w:r w:rsidRPr="00F52C10">
        <w:rPr>
          <w:i/>
          <w:lang w:val="es-ES_tradnl"/>
        </w:rPr>
        <w:t>e)</w:t>
      </w:r>
      <w:r w:rsidRPr="00F52C10">
        <w:rPr>
          <w:lang w:val="es-ES_tradnl"/>
        </w:rPr>
        <w:tab/>
        <w:t>los modelos para la atenuación atmosférica gaseosa y para la atenuación debida a la lluvia son los que figuran en las Recomendaciones P.676-7 y P.618-9 del UIT</w:t>
      </w:r>
      <w:r w:rsidRPr="00F52C10">
        <w:rPr>
          <w:lang w:val="es-ES_tradnl"/>
        </w:rPr>
        <w:noBreakHyphen/>
        <w:t>R.</w:t>
      </w:r>
      <w:r w:rsidRPr="00F52C10">
        <w:rPr>
          <w:sz w:val="16"/>
          <w:szCs w:val="16"/>
          <w:lang w:val="es-ES_tradnl"/>
        </w:rPr>
        <w:t>     (CMR</w:t>
      </w:r>
      <w:r w:rsidRPr="00F52C10">
        <w:rPr>
          <w:sz w:val="16"/>
          <w:szCs w:val="16"/>
          <w:lang w:val="es-ES_tradnl"/>
        </w:rPr>
        <w:noBreakHyphen/>
        <w:t>07)</w:t>
      </w:r>
    </w:p>
    <w:p w14:paraId="0A353116" w14:textId="77777777" w:rsidR="00B82F75" w:rsidRPr="00F52C10" w:rsidRDefault="00B82F75" w:rsidP="00E4628E">
      <w:pPr>
        <w:pStyle w:val="Ttulo2"/>
        <w:spacing w:line="276" w:lineRule="auto"/>
        <w:rPr>
          <w:bCs w:val="0"/>
          <w:lang w:val="es-ES_tradnl"/>
        </w:rPr>
      </w:pPr>
      <w:r w:rsidRPr="00F52C10">
        <w:rPr>
          <w:bCs w:val="0"/>
          <w:lang w:val="es-ES_tradnl"/>
        </w:rPr>
        <w:t>1.3</w:t>
      </w:r>
      <w:r w:rsidRPr="00F52C10">
        <w:rPr>
          <w:bCs w:val="0"/>
          <w:lang w:val="es-ES_tradnl"/>
        </w:rPr>
        <w:tab/>
        <w:t>Ángulo de elevación de la antena de la estación terrena</w:t>
      </w:r>
    </w:p>
    <w:p w14:paraId="35A8C6D9" w14:textId="77777777" w:rsidR="00B82F75" w:rsidRPr="00F52C10" w:rsidRDefault="00B82F75" w:rsidP="00E4628E">
      <w:pPr>
        <w:spacing w:line="276" w:lineRule="auto"/>
        <w:rPr>
          <w:color w:val="000000"/>
          <w:lang w:val="es-ES_tradnl"/>
        </w:rPr>
      </w:pPr>
      <w:r w:rsidRPr="00F52C10">
        <w:rPr>
          <w:color w:val="000000"/>
          <w:lang w:val="es-ES_tradnl"/>
        </w:rPr>
        <w:t>El mínimo ángulo de elevación en cada punto de prueba que se incluye en la zona de servicio se calcula a partir de los datos siguientes:</w:t>
      </w:r>
    </w:p>
    <w:p w14:paraId="26E152F8" w14:textId="77777777" w:rsidR="00B82F75" w:rsidRPr="00F52C10" w:rsidRDefault="00B82F75" w:rsidP="00E4628E">
      <w:pPr>
        <w:pStyle w:val="enumlev1"/>
        <w:tabs>
          <w:tab w:val="clear" w:pos="2608"/>
          <w:tab w:val="left" w:pos="2722"/>
        </w:tabs>
        <w:spacing w:line="276" w:lineRule="auto"/>
        <w:ind w:left="0" w:firstLine="0"/>
        <w:rPr>
          <w:lang w:val="es-ES_tradnl"/>
        </w:rPr>
      </w:pPr>
      <w:r w:rsidRPr="00F52C10">
        <w:rPr>
          <w:lang w:val="es-ES_tradnl"/>
        </w:rPr>
        <w:tab/>
        <w:t>10°  para</w:t>
      </w:r>
      <w:r w:rsidRPr="00F52C10">
        <w:rPr>
          <w:lang w:val="es-ES_tradnl"/>
        </w:rPr>
        <w:tab/>
      </w:r>
      <w:r w:rsidRPr="00F52C10">
        <w:rPr>
          <w:i/>
          <w:lang w:val="es-ES_tradnl"/>
        </w:rPr>
        <w:t xml:space="preserve">Rp </w:t>
      </w:r>
      <w:r w:rsidRPr="00F52C10">
        <w:rPr>
          <w:lang w:val="es-ES_tradnl"/>
        </w:rPr>
        <w:t xml:space="preserve"> ≤  40 mm/h;</w:t>
      </w:r>
    </w:p>
    <w:p w14:paraId="2D38A94B" w14:textId="77777777" w:rsidR="00B82F75" w:rsidRPr="00F52C10" w:rsidRDefault="00B82F75" w:rsidP="00E4628E">
      <w:pPr>
        <w:pStyle w:val="enumlev1"/>
        <w:tabs>
          <w:tab w:val="clear" w:pos="2608"/>
          <w:tab w:val="left" w:pos="2722"/>
        </w:tabs>
        <w:spacing w:line="276" w:lineRule="auto"/>
        <w:ind w:left="0" w:firstLine="0"/>
        <w:rPr>
          <w:lang w:val="es-ES_tradnl"/>
        </w:rPr>
      </w:pPr>
      <w:r w:rsidRPr="00F52C10">
        <w:rPr>
          <w:lang w:val="es-ES_tradnl"/>
        </w:rPr>
        <w:tab/>
        <w:t xml:space="preserve">20°  para  </w:t>
      </w:r>
      <w:r w:rsidRPr="00F52C10">
        <w:rPr>
          <w:kern w:val="2"/>
          <w:szCs w:val="24"/>
          <w:lang w:val="es-ES_tradnl" w:eastAsia="zh-CN"/>
        </w:rPr>
        <w:t>40</w:t>
      </w:r>
      <w:r w:rsidRPr="00F52C10">
        <w:rPr>
          <w:szCs w:val="24"/>
          <w:lang w:val="es-ES_tradnl"/>
        </w:rPr>
        <w:t xml:space="preserve">  </w:t>
      </w:r>
      <w:r w:rsidRPr="00F52C10">
        <w:rPr>
          <w:kern w:val="2"/>
          <w:szCs w:val="24"/>
          <w:lang w:val="es-ES_tradnl" w:eastAsia="zh-CN"/>
        </w:rPr>
        <w:t>&lt;</w:t>
      </w:r>
      <w:r w:rsidRPr="00F52C10">
        <w:rPr>
          <w:szCs w:val="24"/>
          <w:lang w:val="es-ES_tradnl"/>
        </w:rPr>
        <w:tab/>
      </w:r>
      <w:r w:rsidRPr="00F52C10">
        <w:rPr>
          <w:i/>
          <w:kern w:val="2"/>
          <w:szCs w:val="24"/>
          <w:lang w:val="es-ES_tradnl" w:eastAsia="zh-CN"/>
        </w:rPr>
        <w:t xml:space="preserve">Rp </w:t>
      </w:r>
      <w:r w:rsidRPr="00F52C10">
        <w:rPr>
          <w:i/>
          <w:szCs w:val="24"/>
          <w:lang w:val="es-ES_tradnl"/>
        </w:rPr>
        <w:t xml:space="preserve"> </w:t>
      </w:r>
      <w:r w:rsidRPr="00F52C10">
        <w:rPr>
          <w:szCs w:val="24"/>
          <w:lang w:val="es-ES_tradnl"/>
        </w:rPr>
        <w:t>≤</w:t>
      </w:r>
      <w:r w:rsidRPr="00F52C10">
        <w:rPr>
          <w:kern w:val="2"/>
          <w:szCs w:val="24"/>
          <w:lang w:val="es-ES_tradnl" w:eastAsia="zh-CN"/>
        </w:rPr>
        <w:t xml:space="preserve">  70 mm/h</w:t>
      </w:r>
      <w:r w:rsidRPr="00F52C10">
        <w:rPr>
          <w:lang w:val="es-ES_tradnl"/>
        </w:rPr>
        <w:t>;</w:t>
      </w:r>
    </w:p>
    <w:p w14:paraId="71C37ABC" w14:textId="77777777" w:rsidR="00B82F75" w:rsidRPr="00F52C10" w:rsidRDefault="00B82F75" w:rsidP="00E4628E">
      <w:pPr>
        <w:pStyle w:val="enumlev1"/>
        <w:tabs>
          <w:tab w:val="clear" w:pos="2608"/>
          <w:tab w:val="left" w:pos="2722"/>
        </w:tabs>
        <w:spacing w:line="276" w:lineRule="auto"/>
        <w:ind w:left="0" w:firstLine="0"/>
        <w:rPr>
          <w:lang w:val="es-ES_tradnl"/>
        </w:rPr>
      </w:pPr>
      <w:r w:rsidRPr="00F52C10">
        <w:rPr>
          <w:lang w:val="es-ES_tradnl"/>
        </w:rPr>
        <w:tab/>
        <w:t xml:space="preserve">30°  para  </w:t>
      </w:r>
      <w:r w:rsidRPr="00F52C10">
        <w:rPr>
          <w:kern w:val="2"/>
          <w:szCs w:val="24"/>
          <w:lang w:val="es-ES_tradnl" w:eastAsia="zh-CN"/>
        </w:rPr>
        <w:t>70</w:t>
      </w:r>
      <w:r w:rsidRPr="00F52C10">
        <w:rPr>
          <w:szCs w:val="24"/>
          <w:lang w:val="es-ES_tradnl"/>
        </w:rPr>
        <w:t xml:space="preserve">  </w:t>
      </w:r>
      <w:r w:rsidRPr="00F52C10">
        <w:rPr>
          <w:kern w:val="2"/>
          <w:szCs w:val="24"/>
          <w:lang w:val="es-ES_tradnl" w:eastAsia="zh-CN"/>
        </w:rPr>
        <w:t>&lt;</w:t>
      </w:r>
      <w:r w:rsidRPr="00F52C10">
        <w:rPr>
          <w:szCs w:val="24"/>
          <w:lang w:val="es-ES_tradnl"/>
        </w:rPr>
        <w:tab/>
      </w:r>
      <w:r w:rsidRPr="00F52C10">
        <w:rPr>
          <w:i/>
          <w:kern w:val="2"/>
          <w:szCs w:val="24"/>
          <w:lang w:val="es-ES_tradnl" w:eastAsia="zh-CN"/>
        </w:rPr>
        <w:t xml:space="preserve">Rp </w:t>
      </w:r>
      <w:r w:rsidRPr="00F52C10">
        <w:rPr>
          <w:i/>
          <w:szCs w:val="24"/>
          <w:lang w:val="es-ES_tradnl"/>
        </w:rPr>
        <w:t xml:space="preserve"> </w:t>
      </w:r>
      <w:r w:rsidRPr="00F52C10">
        <w:rPr>
          <w:szCs w:val="24"/>
          <w:lang w:val="es-ES_tradnl"/>
        </w:rPr>
        <w:t>≤</w:t>
      </w:r>
      <w:r w:rsidRPr="00F52C10">
        <w:rPr>
          <w:kern w:val="2"/>
          <w:lang w:val="es-ES_tradnl" w:eastAsia="zh-CN"/>
        </w:rPr>
        <w:t xml:space="preserve">  100 mm/h</w:t>
      </w:r>
      <w:r w:rsidRPr="00F52C10">
        <w:rPr>
          <w:lang w:val="es-ES_tradnl"/>
        </w:rPr>
        <w:t>;</w:t>
      </w:r>
    </w:p>
    <w:p w14:paraId="73486BFD" w14:textId="77777777" w:rsidR="00B82F75" w:rsidRPr="00F52C10" w:rsidRDefault="00B82F75" w:rsidP="00E4628E">
      <w:pPr>
        <w:pStyle w:val="enumlev1"/>
        <w:tabs>
          <w:tab w:val="clear" w:pos="2608"/>
          <w:tab w:val="left" w:pos="2722"/>
        </w:tabs>
        <w:spacing w:line="276" w:lineRule="auto"/>
        <w:ind w:left="0" w:firstLine="0"/>
        <w:rPr>
          <w:lang w:val="es-ES_tradnl"/>
        </w:rPr>
      </w:pPr>
      <w:r w:rsidRPr="00F52C10">
        <w:rPr>
          <w:lang w:val="es-ES_tradnl"/>
        </w:rPr>
        <w:tab/>
        <w:t>40°  para</w:t>
      </w:r>
      <w:r w:rsidRPr="00F52C10">
        <w:rPr>
          <w:szCs w:val="24"/>
          <w:lang w:val="es-ES_tradnl"/>
        </w:rPr>
        <w:tab/>
      </w:r>
      <w:r w:rsidRPr="00F52C10">
        <w:rPr>
          <w:i/>
          <w:kern w:val="2"/>
          <w:lang w:val="es-ES_tradnl" w:eastAsia="zh-CN"/>
        </w:rPr>
        <w:t xml:space="preserve">Rp </w:t>
      </w:r>
      <w:r w:rsidRPr="00F52C10">
        <w:rPr>
          <w:i/>
          <w:lang w:val="es-ES_tradnl"/>
        </w:rPr>
        <w:t xml:space="preserve"> </w:t>
      </w:r>
      <w:r w:rsidRPr="00F52C10">
        <w:rPr>
          <w:kern w:val="2"/>
          <w:lang w:val="es-ES_tradnl" w:eastAsia="zh-CN"/>
        </w:rPr>
        <w:t>&gt;</w:t>
      </w:r>
      <w:r w:rsidRPr="00F52C10">
        <w:rPr>
          <w:lang w:val="es-ES_tradnl"/>
        </w:rPr>
        <w:t xml:space="preserve">  </w:t>
      </w:r>
      <w:r w:rsidRPr="00F52C10">
        <w:rPr>
          <w:kern w:val="2"/>
          <w:lang w:val="es-ES_tradnl" w:eastAsia="zh-CN"/>
        </w:rPr>
        <w:t>100 mm/h</w:t>
      </w:r>
      <w:r w:rsidRPr="00F52C10">
        <w:rPr>
          <w:lang w:val="es-ES_tradnl"/>
        </w:rPr>
        <w:t>.</w:t>
      </w:r>
    </w:p>
    <w:p w14:paraId="3C63C61E" w14:textId="77777777" w:rsidR="00B82F75" w:rsidRPr="00F52C10" w:rsidRDefault="00B82F75" w:rsidP="00E4628E">
      <w:pPr>
        <w:spacing w:line="276" w:lineRule="auto"/>
        <w:rPr>
          <w:color w:val="000000"/>
          <w:sz w:val="16"/>
          <w:szCs w:val="16"/>
          <w:lang w:val="es-ES_tradnl"/>
        </w:rPr>
      </w:pPr>
      <w:r w:rsidRPr="00F52C10">
        <w:rPr>
          <w:lang w:val="es-ES_tradnl"/>
        </w:rPr>
        <w:t xml:space="preserve">Donde </w:t>
      </w:r>
      <w:r w:rsidRPr="00F52C10">
        <w:rPr>
          <w:i/>
          <w:lang w:val="es-ES_tradnl"/>
        </w:rPr>
        <w:t>Rp</w:t>
      </w:r>
      <w:r w:rsidRPr="00F52C10">
        <w:rPr>
          <w:lang w:val="es-ES_tradnl"/>
        </w:rPr>
        <w:t xml:space="preserve"> es el índice de pluviosidad rebasado durante cualquier porcentaje </w:t>
      </w:r>
      <w:r w:rsidRPr="00F52C10">
        <w:rPr>
          <w:i/>
          <w:lang w:val="es-ES_tradnl"/>
        </w:rPr>
        <w:t>p</w:t>
      </w:r>
      <w:r w:rsidRPr="00F52C10">
        <w:rPr>
          <w:lang w:val="es-ES_tradnl"/>
        </w:rPr>
        <w:t xml:space="preserve"> dado del año promedio, calculado de conformidad con la Recomendación UIT-R P.837</w:t>
      </w:r>
      <w:r w:rsidRPr="00F52C10">
        <w:rPr>
          <w:lang w:val="es-ES_tradnl"/>
        </w:rPr>
        <w:noBreakHyphen/>
        <w:t xml:space="preserve">5. </w:t>
      </w:r>
      <w:r w:rsidRPr="00F52C10">
        <w:rPr>
          <w:color w:val="000000"/>
          <w:lang w:val="es-ES_tradnl"/>
        </w:rPr>
        <w:t>Las administraciones pueden elegir ángulos de elevación menores para sus zonas de servicio. En los países situados en latitudes altas o con territorios dispersos, en ausencia de tal petición, y cuando sea imposible obtener los valores del mínimo ángulo de elevación mencionados, se aplicará el mayor ángulo de elevación que permita obtener una gama de posibles posiciones orbitales no nula. En zonas montañosas los ángulos de elevación serán especificados por las administraciones interesadas.</w:t>
      </w:r>
      <w:r w:rsidRPr="00F52C10">
        <w:rPr>
          <w:color w:val="000000"/>
          <w:sz w:val="16"/>
          <w:szCs w:val="16"/>
          <w:lang w:val="es-ES_tradnl"/>
        </w:rPr>
        <w:t>     (CMR-07)</w:t>
      </w:r>
    </w:p>
    <w:p w14:paraId="5AB43474" w14:textId="77777777" w:rsidR="00B82F75" w:rsidRPr="00F52C10" w:rsidRDefault="00B82F75" w:rsidP="00E4628E">
      <w:pPr>
        <w:pStyle w:val="Ttulo2"/>
        <w:spacing w:line="276" w:lineRule="auto"/>
        <w:rPr>
          <w:lang w:val="es-ES_tradnl"/>
        </w:rPr>
      </w:pPr>
      <w:r w:rsidRPr="00F52C10">
        <w:rPr>
          <w:lang w:val="es-ES_tradnl"/>
        </w:rPr>
        <w:t>1.4</w:t>
      </w:r>
      <w:r w:rsidRPr="00F52C10">
        <w:rPr>
          <w:lang w:val="es-ES_tradnl"/>
        </w:rPr>
        <w:tab/>
        <w:t>Criterios de interferencia</w:t>
      </w:r>
    </w:p>
    <w:p w14:paraId="4E4D31E3" w14:textId="77777777" w:rsidR="00B82F75" w:rsidRPr="00F52C10" w:rsidRDefault="00B82F75" w:rsidP="00E4628E">
      <w:pPr>
        <w:spacing w:line="276" w:lineRule="auto"/>
        <w:rPr>
          <w:color w:val="000000"/>
          <w:lang w:val="es-ES_tradnl"/>
        </w:rPr>
      </w:pPr>
      <w:r w:rsidRPr="00F52C10">
        <w:rPr>
          <w:color w:val="000000"/>
          <w:lang w:val="es-ES_tradnl"/>
        </w:rPr>
        <w:t>El Plan ha sido preparado a fin de asegurar a cada adjudicación un valor global de la relación combinada portadora/interferencia en condiciones de espacio libre de 21 dB o superior y un valor global de la relación portadora/interferencia debida a una sola fuente de 25 dB en condiciones de espacio libre.</w:t>
      </w:r>
      <w:r w:rsidRPr="00F52C10">
        <w:rPr>
          <w:color w:val="000000"/>
          <w:sz w:val="16"/>
          <w:lang w:val="es-ES_tradnl"/>
        </w:rPr>
        <w:t>     (CMR-07)</w:t>
      </w:r>
    </w:p>
    <w:p w14:paraId="027FB2F3" w14:textId="77777777" w:rsidR="00B82F75" w:rsidRPr="00F52C10" w:rsidRDefault="00B82F75" w:rsidP="00E4628E">
      <w:pPr>
        <w:pStyle w:val="Ttulo2"/>
        <w:spacing w:line="276" w:lineRule="auto"/>
        <w:rPr>
          <w:color w:val="000000"/>
          <w:lang w:val="es-ES_tradnl"/>
        </w:rPr>
      </w:pPr>
      <w:r w:rsidRPr="00F52C10">
        <w:rPr>
          <w:color w:val="000000"/>
          <w:lang w:val="es-ES_tradnl"/>
        </w:rPr>
        <w:t>1.5</w:t>
      </w:r>
      <w:r w:rsidRPr="00F52C10">
        <w:rPr>
          <w:color w:val="000000"/>
          <w:lang w:val="es-ES_tradnl"/>
        </w:rPr>
        <w:tab/>
        <w:t>Polarización</w:t>
      </w:r>
    </w:p>
    <w:p w14:paraId="7800D3D0" w14:textId="77777777" w:rsidR="00B82F75" w:rsidRPr="00F52C10" w:rsidRDefault="00B82F75" w:rsidP="00E4628E">
      <w:pPr>
        <w:spacing w:line="276" w:lineRule="auto"/>
        <w:rPr>
          <w:color w:val="000000"/>
          <w:lang w:val="es-ES_tradnl"/>
        </w:rPr>
      </w:pPr>
      <w:r w:rsidRPr="00F52C10">
        <w:rPr>
          <w:color w:val="000000"/>
          <w:lang w:val="es-ES_tradnl"/>
        </w:rPr>
        <w:t>Para el establecimiento del Plan de adjudicaciones no se ha utilizado aislamiento de polarización entre redes de satélite.</w:t>
      </w:r>
    </w:p>
    <w:p w14:paraId="52CAD3F7" w14:textId="77777777" w:rsidR="00B82F75" w:rsidRPr="00F52C10" w:rsidRDefault="00B82F75" w:rsidP="00E4628E">
      <w:pPr>
        <w:pStyle w:val="Ttulo2"/>
        <w:spacing w:line="276" w:lineRule="auto"/>
        <w:rPr>
          <w:lang w:val="es-ES_tradnl"/>
        </w:rPr>
      </w:pPr>
      <w:r w:rsidRPr="00F52C10">
        <w:rPr>
          <w:lang w:val="es-ES_tradnl"/>
        </w:rPr>
        <w:t>1.6</w:t>
      </w:r>
      <w:r w:rsidRPr="00F52C10">
        <w:rPr>
          <w:lang w:val="es-ES_tradnl"/>
        </w:rPr>
        <w:tab/>
        <w:t>Características de la estación terrena</w:t>
      </w:r>
    </w:p>
    <w:p w14:paraId="4A328FCF" w14:textId="77777777" w:rsidR="00B82F75" w:rsidRPr="00F52C10" w:rsidRDefault="00B82F75" w:rsidP="00E4628E">
      <w:pPr>
        <w:spacing w:line="276" w:lineRule="auto"/>
        <w:rPr>
          <w:color w:val="000000"/>
          <w:lang w:val="es-ES_tradnl"/>
        </w:rPr>
      </w:pPr>
      <w:r w:rsidRPr="00F52C10">
        <w:rPr>
          <w:color w:val="000000"/>
          <w:lang w:val="es-ES_tradnl"/>
        </w:rPr>
        <w:t>1.6.1</w:t>
      </w:r>
      <w:r w:rsidRPr="00F52C10">
        <w:rPr>
          <w:color w:val="000000"/>
          <w:lang w:val="es-ES_tradnl"/>
        </w:rPr>
        <w:tab/>
        <w:t>El diámetro de las antenas de estación terrena es:</w:t>
      </w:r>
    </w:p>
    <w:p w14:paraId="10C3D351" w14:textId="77777777" w:rsidR="00B82F75" w:rsidRPr="00F52C10" w:rsidRDefault="00B82F75" w:rsidP="00E4628E">
      <w:pPr>
        <w:pStyle w:val="enumlev2"/>
        <w:spacing w:line="276" w:lineRule="auto"/>
        <w:rPr>
          <w:lang w:val="es-ES_tradnl"/>
        </w:rPr>
      </w:pPr>
      <w:r w:rsidRPr="00F52C10">
        <w:rPr>
          <w:lang w:val="es-ES_tradnl"/>
        </w:rPr>
        <w:t>5,5 m para la banda 6/4 GHz;</w:t>
      </w:r>
    </w:p>
    <w:p w14:paraId="438E791B" w14:textId="77777777" w:rsidR="00B82F75" w:rsidRPr="00F52C10" w:rsidRDefault="00B82F75" w:rsidP="00E4628E">
      <w:pPr>
        <w:pStyle w:val="enumlev2"/>
        <w:spacing w:line="276" w:lineRule="auto"/>
        <w:rPr>
          <w:lang w:val="es-ES_tradnl"/>
        </w:rPr>
      </w:pPr>
      <w:r w:rsidRPr="00F52C10">
        <w:rPr>
          <w:lang w:val="es-ES_tradnl"/>
        </w:rPr>
        <w:t>2,7 m para la banda 13/10-11 GHz.</w:t>
      </w:r>
      <w:r w:rsidRPr="00F52C10">
        <w:rPr>
          <w:sz w:val="16"/>
          <w:lang w:val="es-ES_tradnl"/>
        </w:rPr>
        <w:t>     (CMR-07)</w:t>
      </w:r>
    </w:p>
    <w:p w14:paraId="4BC8E0DE" w14:textId="77777777" w:rsidR="00B82F75" w:rsidRPr="00F52C10" w:rsidRDefault="00B82F75" w:rsidP="00E4628E">
      <w:pPr>
        <w:spacing w:line="276" w:lineRule="auto"/>
        <w:rPr>
          <w:color w:val="000000"/>
          <w:lang w:val="es-ES_tradnl"/>
        </w:rPr>
      </w:pPr>
      <w:r w:rsidRPr="00F52C10">
        <w:rPr>
          <w:color w:val="000000"/>
          <w:lang w:val="es-ES_tradnl"/>
        </w:rPr>
        <w:t>1.6.2</w:t>
      </w:r>
      <w:r w:rsidRPr="00F52C10">
        <w:rPr>
          <w:color w:val="000000"/>
          <w:lang w:val="es-ES_tradnl"/>
        </w:rPr>
        <w:tab/>
        <w:t>La temperatura de ruido del sistema receptor de la estación terrena a la salida de la antena receptora es:</w:t>
      </w:r>
    </w:p>
    <w:p w14:paraId="7467793D" w14:textId="77777777" w:rsidR="00B82F75" w:rsidRPr="00F52C10" w:rsidRDefault="00B82F75" w:rsidP="00E4628E">
      <w:pPr>
        <w:pStyle w:val="enumlev2"/>
        <w:spacing w:line="276" w:lineRule="auto"/>
        <w:rPr>
          <w:lang w:val="es-ES_tradnl"/>
        </w:rPr>
      </w:pPr>
      <w:r w:rsidRPr="00F52C10">
        <w:rPr>
          <w:lang w:val="es-ES_tradnl"/>
        </w:rPr>
        <w:t>95 K para la banda 4 GHz;</w:t>
      </w:r>
    </w:p>
    <w:p w14:paraId="40A31C23" w14:textId="77777777" w:rsidR="00B82F75" w:rsidRPr="00F52C10" w:rsidRDefault="00B82F75" w:rsidP="00E4628E">
      <w:pPr>
        <w:pStyle w:val="enumlev2"/>
        <w:spacing w:line="276" w:lineRule="auto"/>
        <w:rPr>
          <w:lang w:val="es-ES_tradnl"/>
        </w:rPr>
      </w:pPr>
      <w:r w:rsidRPr="00F52C10">
        <w:rPr>
          <w:lang w:val="es-ES_tradnl"/>
        </w:rPr>
        <w:lastRenderedPageBreak/>
        <w:t>125 K para la banda 10-11 GHz.</w:t>
      </w:r>
      <w:r w:rsidRPr="00F52C10">
        <w:rPr>
          <w:sz w:val="16"/>
          <w:lang w:val="es-ES_tradnl"/>
        </w:rPr>
        <w:t>     (CMR-07)</w:t>
      </w:r>
    </w:p>
    <w:p w14:paraId="4C7B31AC" w14:textId="77777777" w:rsidR="00B82F75" w:rsidRPr="00F52C10" w:rsidRDefault="00B82F75" w:rsidP="00E4628E">
      <w:pPr>
        <w:autoSpaceDE/>
        <w:autoSpaceDN/>
        <w:spacing w:line="276" w:lineRule="auto"/>
        <w:rPr>
          <w:iCs/>
          <w:lang w:val="es-ES_tradnl"/>
        </w:rPr>
      </w:pPr>
      <w:r w:rsidRPr="00F52C10">
        <w:rPr>
          <w:iCs/>
          <w:lang w:val="es-ES_tradnl"/>
        </w:rPr>
        <w:br w:type="page"/>
      </w:r>
    </w:p>
    <w:p w14:paraId="2D2D6DD9" w14:textId="77777777" w:rsidR="00B82F75" w:rsidRPr="00F52C10" w:rsidRDefault="00B82F75" w:rsidP="00E4628E">
      <w:pPr>
        <w:spacing w:line="276" w:lineRule="auto"/>
        <w:rPr>
          <w:color w:val="000000"/>
          <w:lang w:val="es-ES_tradnl"/>
        </w:rPr>
      </w:pPr>
      <w:r w:rsidRPr="00F52C10">
        <w:rPr>
          <w:color w:val="000000"/>
          <w:lang w:val="es-ES_tradnl"/>
        </w:rPr>
        <w:lastRenderedPageBreak/>
        <w:t>1.6.3</w:t>
      </w:r>
      <w:r w:rsidRPr="00F52C10">
        <w:rPr>
          <w:color w:val="000000"/>
          <w:lang w:val="es-ES_tradnl"/>
        </w:rPr>
        <w:tab/>
        <w:t>La eficiencia de la antena de la estación terrena es del 70%.</w:t>
      </w:r>
    </w:p>
    <w:p w14:paraId="42DBF9EB" w14:textId="77777777" w:rsidR="00B82F75" w:rsidRPr="00F52C10" w:rsidRDefault="00B82F75" w:rsidP="00E4628E">
      <w:pPr>
        <w:spacing w:line="276" w:lineRule="auto"/>
        <w:rPr>
          <w:color w:val="000000"/>
          <w:lang w:val="es-ES_tradnl"/>
        </w:rPr>
      </w:pPr>
      <w:r w:rsidRPr="00F52C10">
        <w:rPr>
          <w:color w:val="000000"/>
          <w:lang w:val="es-ES_tradnl"/>
        </w:rPr>
        <w:t>1.6.3</w:t>
      </w:r>
      <w:r w:rsidRPr="00F52C10">
        <w:rPr>
          <w:i/>
          <w:color w:val="000000"/>
          <w:lang w:val="es-ES_tradnl"/>
        </w:rPr>
        <w:t>bis</w:t>
      </w:r>
      <w:r w:rsidRPr="00F52C10">
        <w:rPr>
          <w:color w:val="000000"/>
          <w:lang w:val="es-ES_tradnl"/>
        </w:rPr>
        <w:tab/>
        <w:t>Las ganancias de las antenas de estación terrena para el diámetro y la eficiencia antes especificados en las frecuencias de evaluación indicadas son las siguientes:</w:t>
      </w:r>
    </w:p>
    <w:p w14:paraId="0C0F8F48" w14:textId="77777777" w:rsidR="00B82F75" w:rsidRPr="00F52C10" w:rsidDel="00B21932" w:rsidRDefault="00B82F75" w:rsidP="00E4628E">
      <w:pPr>
        <w:pStyle w:val="enumlev2"/>
        <w:spacing w:line="276" w:lineRule="auto"/>
        <w:rPr>
          <w:lang w:val="es-ES_tradnl"/>
        </w:rPr>
      </w:pPr>
      <w:r w:rsidRPr="00F52C10">
        <w:rPr>
          <w:lang w:val="es-ES_tradnl"/>
        </w:rPr>
        <w:t>50,4 dBi a 6 875 MHz;</w:t>
      </w:r>
    </w:p>
    <w:p w14:paraId="4BF867A4" w14:textId="77777777" w:rsidR="00B82F75" w:rsidRPr="00F52C10" w:rsidDel="00B21932" w:rsidRDefault="00B82F75" w:rsidP="00E4628E">
      <w:pPr>
        <w:pStyle w:val="enumlev2"/>
        <w:spacing w:line="276" w:lineRule="auto"/>
        <w:rPr>
          <w:lang w:val="es-ES_tradnl"/>
        </w:rPr>
      </w:pPr>
      <w:r w:rsidRPr="00F52C10">
        <w:rPr>
          <w:lang w:val="es-ES_tradnl"/>
        </w:rPr>
        <w:t>47,0 dBi a 4 650 MHz;</w:t>
      </w:r>
    </w:p>
    <w:p w14:paraId="13ACD80C" w14:textId="77777777" w:rsidR="00B82F75" w:rsidRPr="00F52C10" w:rsidDel="00B21932" w:rsidRDefault="00B82F75" w:rsidP="00E4628E">
      <w:pPr>
        <w:pStyle w:val="enumlev2"/>
        <w:spacing w:line="276" w:lineRule="auto"/>
        <w:rPr>
          <w:lang w:val="es-ES_tradnl"/>
        </w:rPr>
      </w:pPr>
      <w:r w:rsidRPr="00F52C10">
        <w:rPr>
          <w:lang w:val="es-ES_tradnl"/>
        </w:rPr>
        <w:t>49,8 dBi a 13,0 GHz;</w:t>
      </w:r>
    </w:p>
    <w:p w14:paraId="68E8F330" w14:textId="77777777" w:rsidR="00B82F75" w:rsidRPr="00F52C10" w:rsidRDefault="00B82F75" w:rsidP="00E4628E">
      <w:pPr>
        <w:pStyle w:val="enumlev2"/>
        <w:spacing w:line="276" w:lineRule="auto"/>
        <w:rPr>
          <w:lang w:val="es-ES_tradnl"/>
        </w:rPr>
      </w:pPr>
      <w:r w:rsidRPr="00F52C10">
        <w:rPr>
          <w:lang w:val="es-ES_tradnl"/>
        </w:rPr>
        <w:t>48,4 dBi a 11,075 GHz.</w:t>
      </w:r>
      <w:r w:rsidRPr="00F52C10">
        <w:rPr>
          <w:sz w:val="16"/>
          <w:lang w:val="es-ES_tradnl"/>
        </w:rPr>
        <w:t>     (CMR-07)</w:t>
      </w:r>
    </w:p>
    <w:p w14:paraId="4BC6666F" w14:textId="77777777" w:rsidR="00B82F75" w:rsidRPr="00F52C10" w:rsidRDefault="00B82F75" w:rsidP="00E4628E">
      <w:pPr>
        <w:spacing w:line="276" w:lineRule="auto"/>
        <w:rPr>
          <w:color w:val="000000"/>
          <w:sz w:val="16"/>
        </w:rPr>
      </w:pPr>
      <w:r w:rsidRPr="00F52C10">
        <w:rPr>
          <w:color w:val="000000"/>
          <w:lang w:val="es-ES_tradnl"/>
        </w:rPr>
        <w:t>1.6.4</w:t>
      </w:r>
      <w:r w:rsidRPr="00F52C10">
        <w:rPr>
          <w:color w:val="000000"/>
          <w:lang w:val="es-ES_tradnl"/>
        </w:rPr>
        <w:tab/>
        <w:t>El diagrama de referencia de la antena de la estación aplicable es el que figura a continuación en el Cuadro 1.</w:t>
      </w:r>
      <w:r w:rsidRPr="00F52C10">
        <w:rPr>
          <w:color w:val="000000"/>
          <w:sz w:val="16"/>
          <w:lang w:val="es-ES_tradnl"/>
        </w:rPr>
        <w:t>     </w:t>
      </w:r>
      <w:r w:rsidRPr="00F52C10">
        <w:rPr>
          <w:color w:val="000000"/>
          <w:sz w:val="16"/>
        </w:rPr>
        <w:t>(CMR-07)</w:t>
      </w:r>
    </w:p>
    <w:p w14:paraId="15547CAE" w14:textId="77777777" w:rsidR="00B82F75" w:rsidRPr="00F52C10" w:rsidRDefault="00B82F75" w:rsidP="00E4628E">
      <w:pPr>
        <w:pStyle w:val="TableNo"/>
        <w:spacing w:line="276" w:lineRule="auto"/>
      </w:pPr>
      <w:r w:rsidRPr="00F52C10">
        <w:t>CUADRO 1</w:t>
      </w:r>
      <w:r w:rsidRPr="00F52C10">
        <w:rPr>
          <w:sz w:val="16"/>
          <w:szCs w:val="16"/>
        </w:rPr>
        <w:t>     (CMR-07)</w:t>
      </w:r>
    </w:p>
    <w:tbl>
      <w:tblPr>
        <w:tblW w:w="0" w:type="auto"/>
        <w:jc w:val="center"/>
        <w:tblLayout w:type="fixed"/>
        <w:tblLook w:val="0000" w:firstRow="0" w:lastRow="0" w:firstColumn="0" w:lastColumn="0" w:noHBand="0" w:noVBand="0"/>
      </w:tblPr>
      <w:tblGrid>
        <w:gridCol w:w="665"/>
        <w:gridCol w:w="91"/>
        <w:gridCol w:w="2603"/>
        <w:gridCol w:w="1134"/>
        <w:gridCol w:w="2075"/>
        <w:gridCol w:w="459"/>
        <w:gridCol w:w="546"/>
      </w:tblGrid>
      <w:tr w:rsidR="00B82F75" w:rsidRPr="00F52C10" w14:paraId="5CBBAABA" w14:textId="77777777" w:rsidTr="004473CA">
        <w:trPr>
          <w:cantSplit/>
          <w:jc w:val="center"/>
        </w:trPr>
        <w:tc>
          <w:tcPr>
            <w:tcW w:w="665" w:type="dxa"/>
            <w:tcBorders>
              <w:top w:val="single" w:sz="6" w:space="0" w:color="auto"/>
              <w:left w:val="single" w:sz="6" w:space="0" w:color="auto"/>
              <w:bottom w:val="single" w:sz="6" w:space="0" w:color="auto"/>
            </w:tcBorders>
          </w:tcPr>
          <w:p w14:paraId="653FD635" w14:textId="77777777" w:rsidR="00B82F75" w:rsidRPr="00F52C10" w:rsidRDefault="00B82F75" w:rsidP="00E4628E">
            <w:pPr>
              <w:pStyle w:val="Tabletext0"/>
              <w:spacing w:line="276" w:lineRule="auto"/>
            </w:pPr>
          </w:p>
        </w:tc>
        <w:tc>
          <w:tcPr>
            <w:tcW w:w="3828" w:type="dxa"/>
            <w:gridSpan w:val="3"/>
            <w:tcBorders>
              <w:top w:val="single" w:sz="6" w:space="0" w:color="auto"/>
              <w:bottom w:val="single" w:sz="6" w:space="0" w:color="auto"/>
            </w:tcBorders>
          </w:tcPr>
          <w:p w14:paraId="5D099588" w14:textId="77777777" w:rsidR="00B82F75" w:rsidRPr="00F52C10" w:rsidRDefault="00B82F75" w:rsidP="00E4628E">
            <w:pPr>
              <w:pStyle w:val="Tabletext0"/>
              <w:spacing w:line="276" w:lineRule="auto"/>
              <w:rPr>
                <w:i/>
              </w:rPr>
            </w:pPr>
            <w:r w:rsidRPr="00F52C10">
              <w:rPr>
                <w:i/>
              </w:rPr>
              <w:t>G</w:t>
            </w:r>
            <w:r w:rsidRPr="00F52C10">
              <w:rPr>
                <w:i/>
                <w:vertAlign w:val="subscript"/>
              </w:rPr>
              <w:t>máx</w:t>
            </w:r>
            <w:r w:rsidRPr="00F52C10">
              <w:t xml:space="preserve">  =  10 log (</w:t>
            </w:r>
            <w:r w:rsidRPr="00F52C10">
              <w:sym w:font="Symbol" w:char="F020"/>
            </w:r>
            <w:r w:rsidRPr="00215C51">
              <w:sym w:font="Symbol" w:char="F068"/>
            </w:r>
            <w:r w:rsidRPr="00F52C10">
              <w:t>(</w:t>
            </w:r>
            <w:r w:rsidRPr="00F52C10">
              <w:sym w:font="Symbol" w:char="F070"/>
            </w:r>
            <w:r w:rsidRPr="00F52C10">
              <w:rPr>
                <w:i/>
              </w:rPr>
              <w:t>D</w:t>
            </w:r>
            <w:r w:rsidRPr="00215C51">
              <w:t>/</w:t>
            </w:r>
            <w:r w:rsidRPr="00F52C10">
              <w:sym w:font="Symbol" w:char="F06C"/>
            </w:r>
            <w:r w:rsidRPr="00F52C10">
              <w:t>)</w:t>
            </w:r>
            <w:r w:rsidRPr="00215C51">
              <w:rPr>
                <w:vertAlign w:val="superscript"/>
              </w:rPr>
              <w:t>2</w:t>
            </w:r>
            <w:r w:rsidRPr="00215C51">
              <w:t>)</w:t>
            </w:r>
          </w:p>
        </w:tc>
        <w:tc>
          <w:tcPr>
            <w:tcW w:w="2534" w:type="dxa"/>
            <w:gridSpan w:val="2"/>
            <w:tcBorders>
              <w:top w:val="single" w:sz="6" w:space="0" w:color="auto"/>
              <w:bottom w:val="single" w:sz="4" w:space="0" w:color="auto"/>
            </w:tcBorders>
            <w:vAlign w:val="center"/>
          </w:tcPr>
          <w:p w14:paraId="53BA59EC" w14:textId="77777777" w:rsidR="00B82F75" w:rsidRPr="00F52C10" w:rsidRDefault="00B82F75" w:rsidP="00E4628E">
            <w:pPr>
              <w:pStyle w:val="Tabletext0"/>
              <w:tabs>
                <w:tab w:val="clear" w:pos="284"/>
                <w:tab w:val="left" w:pos="307"/>
                <w:tab w:val="left" w:pos="697"/>
                <w:tab w:val="left" w:pos="1027"/>
              </w:tabs>
              <w:spacing w:line="276" w:lineRule="auto"/>
            </w:pPr>
          </w:p>
        </w:tc>
        <w:tc>
          <w:tcPr>
            <w:tcW w:w="546" w:type="dxa"/>
            <w:tcBorders>
              <w:top w:val="single" w:sz="6" w:space="0" w:color="auto"/>
              <w:bottom w:val="single" w:sz="6" w:space="0" w:color="auto"/>
              <w:right w:val="single" w:sz="6" w:space="0" w:color="auto"/>
            </w:tcBorders>
          </w:tcPr>
          <w:p w14:paraId="2F189292" w14:textId="77777777" w:rsidR="00B82F75" w:rsidRPr="00F52C10" w:rsidRDefault="00B82F75" w:rsidP="00E4628E">
            <w:pPr>
              <w:pStyle w:val="Tabletext0"/>
              <w:spacing w:line="276" w:lineRule="auto"/>
            </w:pPr>
            <w:r w:rsidRPr="00F52C10">
              <w:t>dBi</w:t>
            </w:r>
          </w:p>
        </w:tc>
      </w:tr>
      <w:tr w:rsidR="00B82F75" w:rsidRPr="00F52C10" w14:paraId="5A4B3EF5" w14:textId="77777777" w:rsidTr="004473CA">
        <w:trPr>
          <w:cantSplit/>
          <w:jc w:val="center"/>
        </w:trPr>
        <w:tc>
          <w:tcPr>
            <w:tcW w:w="665" w:type="dxa"/>
            <w:tcBorders>
              <w:top w:val="single" w:sz="6" w:space="0" w:color="auto"/>
              <w:left w:val="single" w:sz="6" w:space="0" w:color="auto"/>
              <w:bottom w:val="single" w:sz="6" w:space="0" w:color="auto"/>
            </w:tcBorders>
          </w:tcPr>
          <w:p w14:paraId="26918A8C" w14:textId="77777777" w:rsidR="00B82F75" w:rsidRPr="00F52C10" w:rsidRDefault="00B82F75" w:rsidP="00E4628E">
            <w:pPr>
              <w:pStyle w:val="Tabletext0"/>
              <w:spacing w:line="276" w:lineRule="auto"/>
            </w:pPr>
          </w:p>
        </w:tc>
        <w:tc>
          <w:tcPr>
            <w:tcW w:w="3828" w:type="dxa"/>
            <w:gridSpan w:val="3"/>
            <w:tcBorders>
              <w:top w:val="single" w:sz="6" w:space="0" w:color="auto"/>
              <w:bottom w:val="single" w:sz="6" w:space="0" w:color="auto"/>
            </w:tcBorders>
          </w:tcPr>
          <w:p w14:paraId="387CE2B1" w14:textId="77777777" w:rsidR="00B82F75" w:rsidRPr="00F52C10" w:rsidRDefault="00B82F75" w:rsidP="00E4628E">
            <w:pPr>
              <w:pStyle w:val="Tabletext0"/>
              <w:spacing w:line="276" w:lineRule="auto"/>
            </w:pPr>
            <w:r w:rsidRPr="00F52C10">
              <w:rPr>
                <w:i/>
              </w:rPr>
              <w:t>G</w:t>
            </w:r>
            <w:r w:rsidRPr="00F52C10">
              <w:t>(</w:t>
            </w:r>
            <w:r w:rsidRPr="00F52C10">
              <w:sym w:font="Symbol" w:char="F06A"/>
            </w:r>
            <w:r w:rsidRPr="00F52C10">
              <w:t xml:space="preserve">)  =  </w:t>
            </w:r>
            <w:r w:rsidRPr="00215C51">
              <w:rPr>
                <w:i/>
              </w:rPr>
              <w:t>G</w:t>
            </w:r>
            <w:r w:rsidRPr="00215C51">
              <w:rPr>
                <w:i/>
                <w:vertAlign w:val="subscript"/>
              </w:rPr>
              <w:t>máx</w:t>
            </w:r>
            <w:r w:rsidRPr="00F52C10">
              <w:t xml:space="preserve">  –  2,5  ×  10</w:t>
            </w:r>
            <w:r w:rsidRPr="00F52C10">
              <w:rPr>
                <w:vertAlign w:val="superscript"/>
              </w:rPr>
              <w:t>–3</w:t>
            </w:r>
            <w:r w:rsidRPr="00F52C10">
              <w:t xml:space="preserve"> </w:t>
            </w:r>
            <w:r w:rsidR="00D12659" w:rsidRPr="00B82F75">
              <w:rPr>
                <w:noProof/>
                <w:position w:val="-24"/>
              </w:rPr>
              <w:object w:dxaOrig="680" w:dyaOrig="660" w14:anchorId="1EBC5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5405" o:spid="_x0000_i1025" type="#_x0000_t75" alt="" style="width:36.75pt;height:33.75pt;mso-width-percent:0;mso-height-percent:0;mso-width-percent:0;mso-height-percent:0" o:ole="">
                  <v:imagedata r:id="rId11" o:title=""/>
                </v:shape>
                <o:OLEObject Type="Embed" ProgID="Equation.3" ShapeID="shape5405" DrawAspect="Content" ObjectID="_1604399706" r:id="rId12"/>
              </w:object>
            </w:r>
          </w:p>
        </w:tc>
        <w:tc>
          <w:tcPr>
            <w:tcW w:w="2534" w:type="dxa"/>
            <w:gridSpan w:val="2"/>
            <w:tcBorders>
              <w:bottom w:val="single" w:sz="4" w:space="0" w:color="auto"/>
            </w:tcBorders>
            <w:vAlign w:val="center"/>
          </w:tcPr>
          <w:p w14:paraId="2A11853B" w14:textId="77777777" w:rsidR="00B82F75" w:rsidRPr="00215C51" w:rsidRDefault="00B82F75" w:rsidP="00E4628E">
            <w:pPr>
              <w:pStyle w:val="Tabletext0"/>
              <w:tabs>
                <w:tab w:val="left" w:pos="697"/>
                <w:tab w:val="left" w:pos="1027"/>
              </w:tabs>
              <w:spacing w:line="276" w:lineRule="auto"/>
            </w:pPr>
            <w:r w:rsidRPr="00215C51">
              <w:tab/>
              <w:t>para  0</w:t>
            </w:r>
            <w:r w:rsidRPr="00215C51">
              <w:tab/>
              <w:t xml:space="preserve">&lt; </w:t>
            </w:r>
            <w:r w:rsidRPr="00F52C10">
              <w:sym w:font="Symbol" w:char="F06A"/>
            </w:r>
            <w:r w:rsidRPr="00F52C10">
              <w:t xml:space="preserve"> &lt; </w:t>
            </w:r>
            <w:r w:rsidRPr="00F52C10">
              <w:sym w:font="Symbol" w:char="F06A"/>
            </w:r>
            <w:r w:rsidRPr="00F52C10">
              <w:rPr>
                <w:i/>
                <w:iCs/>
                <w:vertAlign w:val="subscript"/>
              </w:rPr>
              <w:t>m</w:t>
            </w:r>
          </w:p>
        </w:tc>
        <w:tc>
          <w:tcPr>
            <w:tcW w:w="546" w:type="dxa"/>
            <w:tcBorders>
              <w:top w:val="single" w:sz="6" w:space="0" w:color="auto"/>
              <w:bottom w:val="single" w:sz="6" w:space="0" w:color="auto"/>
              <w:right w:val="single" w:sz="6" w:space="0" w:color="auto"/>
            </w:tcBorders>
            <w:vAlign w:val="center"/>
          </w:tcPr>
          <w:p w14:paraId="7D30F59B" w14:textId="77777777" w:rsidR="00B82F75" w:rsidRPr="00215C51" w:rsidRDefault="00B82F75" w:rsidP="00E4628E">
            <w:pPr>
              <w:pStyle w:val="Tabletext0"/>
              <w:spacing w:line="276" w:lineRule="auto"/>
            </w:pPr>
            <w:r w:rsidRPr="00215C51">
              <w:t>dBi</w:t>
            </w:r>
          </w:p>
        </w:tc>
      </w:tr>
      <w:tr w:rsidR="00B82F75" w:rsidRPr="00F52C10" w14:paraId="73C11E58" w14:textId="77777777" w:rsidTr="004473CA">
        <w:trPr>
          <w:cantSplit/>
          <w:jc w:val="center"/>
        </w:trPr>
        <w:tc>
          <w:tcPr>
            <w:tcW w:w="665" w:type="dxa"/>
            <w:tcBorders>
              <w:top w:val="single" w:sz="6" w:space="0" w:color="auto"/>
              <w:left w:val="single" w:sz="6" w:space="0" w:color="auto"/>
              <w:bottom w:val="single" w:sz="6" w:space="0" w:color="auto"/>
            </w:tcBorders>
          </w:tcPr>
          <w:p w14:paraId="13BB1C64" w14:textId="77777777" w:rsidR="00B82F75" w:rsidRPr="00F52C10" w:rsidRDefault="00B82F75" w:rsidP="00E4628E">
            <w:pPr>
              <w:pStyle w:val="Tabletext0"/>
              <w:spacing w:line="276" w:lineRule="auto"/>
            </w:pPr>
          </w:p>
        </w:tc>
        <w:tc>
          <w:tcPr>
            <w:tcW w:w="3828" w:type="dxa"/>
            <w:gridSpan w:val="3"/>
            <w:tcBorders>
              <w:top w:val="single" w:sz="6" w:space="0" w:color="auto"/>
              <w:bottom w:val="single" w:sz="6" w:space="0" w:color="auto"/>
            </w:tcBorders>
          </w:tcPr>
          <w:p w14:paraId="0C3CE493" w14:textId="77777777" w:rsidR="00B82F75" w:rsidRPr="00215C51" w:rsidRDefault="00B82F75" w:rsidP="00E4628E">
            <w:pPr>
              <w:pStyle w:val="Tabletext0"/>
              <w:spacing w:line="276" w:lineRule="auto"/>
            </w:pPr>
            <w:r w:rsidRPr="00F52C10">
              <w:rPr>
                <w:i/>
              </w:rPr>
              <w:t>G</w:t>
            </w:r>
            <w:r w:rsidRPr="00F52C10">
              <w:t>(</w:t>
            </w:r>
            <w:r w:rsidRPr="00F52C10">
              <w:sym w:font="Symbol" w:char="F06A"/>
            </w:r>
            <w:r w:rsidRPr="00F52C10">
              <w:t>)  =  mín (</w:t>
            </w:r>
            <w:r w:rsidRPr="00215C51">
              <w:rPr>
                <w:i/>
                <w:iCs/>
              </w:rPr>
              <w:t>G</w:t>
            </w:r>
            <w:r w:rsidRPr="00215C51">
              <w:rPr>
                <w:vertAlign w:val="subscript"/>
              </w:rPr>
              <w:t>1</w:t>
            </w:r>
            <w:r w:rsidRPr="00F52C10">
              <w:t xml:space="preserve">, 29 – 25 log </w:t>
            </w:r>
            <w:r w:rsidRPr="00F52C10">
              <w:sym w:font="Symbol" w:char="F06A"/>
            </w:r>
            <w:r w:rsidRPr="00F52C10">
              <w:t>)</w:t>
            </w:r>
          </w:p>
        </w:tc>
        <w:tc>
          <w:tcPr>
            <w:tcW w:w="2534" w:type="dxa"/>
            <w:gridSpan w:val="2"/>
            <w:tcBorders>
              <w:top w:val="single" w:sz="4" w:space="0" w:color="auto"/>
              <w:bottom w:val="single" w:sz="4" w:space="0" w:color="auto"/>
            </w:tcBorders>
          </w:tcPr>
          <w:p w14:paraId="17199061" w14:textId="77777777" w:rsidR="00B82F75" w:rsidRPr="00215C51" w:rsidRDefault="00B82F75" w:rsidP="00E4628E">
            <w:pPr>
              <w:pStyle w:val="Tabletext0"/>
              <w:tabs>
                <w:tab w:val="left" w:pos="697"/>
              </w:tabs>
              <w:spacing w:line="276" w:lineRule="auto"/>
            </w:pPr>
            <w:r w:rsidRPr="00215C51">
              <w:tab/>
              <w:t xml:space="preserve">para  </w:t>
            </w:r>
            <w:r w:rsidRPr="00F52C10">
              <w:sym w:font="Symbol" w:char="F06A"/>
            </w:r>
            <w:r w:rsidRPr="00F52C10">
              <w:rPr>
                <w:i/>
                <w:iCs/>
                <w:vertAlign w:val="subscript"/>
              </w:rPr>
              <w:t>m</w:t>
            </w:r>
            <w:r w:rsidRPr="00215C51">
              <w:t xml:space="preserve"> ≤ </w:t>
            </w:r>
            <w:r w:rsidRPr="00F52C10">
              <w:sym w:font="Symbol" w:char="F06A"/>
            </w:r>
            <w:r w:rsidRPr="00F52C10">
              <w:t xml:space="preserve"> ≤ 19,95°</w:t>
            </w:r>
          </w:p>
        </w:tc>
        <w:tc>
          <w:tcPr>
            <w:tcW w:w="546" w:type="dxa"/>
            <w:tcBorders>
              <w:top w:val="single" w:sz="6" w:space="0" w:color="auto"/>
              <w:bottom w:val="single" w:sz="6" w:space="0" w:color="auto"/>
              <w:right w:val="single" w:sz="6" w:space="0" w:color="auto"/>
            </w:tcBorders>
          </w:tcPr>
          <w:p w14:paraId="4AC49CD3" w14:textId="77777777" w:rsidR="00B82F75" w:rsidRPr="00215C51" w:rsidRDefault="00B82F75" w:rsidP="00E4628E">
            <w:pPr>
              <w:pStyle w:val="Tabletext0"/>
              <w:spacing w:line="276" w:lineRule="auto"/>
            </w:pPr>
            <w:r w:rsidRPr="00215C51">
              <w:t>dBi</w:t>
            </w:r>
          </w:p>
        </w:tc>
      </w:tr>
      <w:tr w:rsidR="00B82F75" w:rsidRPr="00F52C10" w14:paraId="78D9D766" w14:textId="77777777" w:rsidTr="004473CA">
        <w:trPr>
          <w:cantSplit/>
          <w:jc w:val="center"/>
        </w:trPr>
        <w:tc>
          <w:tcPr>
            <w:tcW w:w="665" w:type="dxa"/>
            <w:tcBorders>
              <w:top w:val="single" w:sz="6" w:space="0" w:color="auto"/>
              <w:left w:val="single" w:sz="6" w:space="0" w:color="auto"/>
              <w:bottom w:val="single" w:sz="6" w:space="0" w:color="auto"/>
            </w:tcBorders>
          </w:tcPr>
          <w:p w14:paraId="52B6120D" w14:textId="77777777" w:rsidR="00B82F75" w:rsidRPr="00F52C10" w:rsidRDefault="00B82F75" w:rsidP="00E4628E">
            <w:pPr>
              <w:pStyle w:val="Tabletext0"/>
              <w:spacing w:line="276" w:lineRule="auto"/>
            </w:pPr>
          </w:p>
        </w:tc>
        <w:tc>
          <w:tcPr>
            <w:tcW w:w="3828" w:type="dxa"/>
            <w:gridSpan w:val="3"/>
            <w:tcBorders>
              <w:top w:val="single" w:sz="6" w:space="0" w:color="auto"/>
              <w:bottom w:val="single" w:sz="6" w:space="0" w:color="auto"/>
            </w:tcBorders>
          </w:tcPr>
          <w:p w14:paraId="2DDF4EC5" w14:textId="77777777" w:rsidR="00B82F75" w:rsidRPr="00215C51" w:rsidRDefault="00B82F75" w:rsidP="00E4628E">
            <w:pPr>
              <w:pStyle w:val="Tabletext0"/>
              <w:spacing w:line="276" w:lineRule="auto"/>
              <w:ind w:right="-57"/>
              <w:rPr>
                <w:spacing w:val="-2"/>
              </w:rPr>
            </w:pPr>
            <w:r w:rsidRPr="00F52C10">
              <w:rPr>
                <w:i/>
                <w:spacing w:val="-2"/>
              </w:rPr>
              <w:t>G</w:t>
            </w:r>
            <w:r w:rsidRPr="00F52C10">
              <w:t>(</w:t>
            </w:r>
            <w:r w:rsidRPr="00F52C10">
              <w:sym w:font="Symbol" w:char="F06A"/>
            </w:r>
            <w:r w:rsidRPr="00F52C10">
              <w:t>)</w:t>
            </w:r>
            <w:r w:rsidRPr="00215C51">
              <w:rPr>
                <w:spacing w:val="-2"/>
              </w:rPr>
              <w:t xml:space="preserve">  =  máx (mín (–3,5, 32 – 25 log </w:t>
            </w:r>
            <w:r w:rsidRPr="00F52C10">
              <w:sym w:font="Symbol" w:char="F06A"/>
            </w:r>
            <w:r w:rsidRPr="00F52C10">
              <w:rPr>
                <w:spacing w:val="-2"/>
              </w:rPr>
              <w:t>), – 10)</w:t>
            </w:r>
          </w:p>
        </w:tc>
        <w:tc>
          <w:tcPr>
            <w:tcW w:w="2534" w:type="dxa"/>
            <w:gridSpan w:val="2"/>
            <w:tcBorders>
              <w:top w:val="single" w:sz="4" w:space="0" w:color="auto"/>
              <w:bottom w:val="single" w:sz="4" w:space="0" w:color="auto"/>
            </w:tcBorders>
          </w:tcPr>
          <w:p w14:paraId="6ADDB16F" w14:textId="77777777" w:rsidR="00B82F75" w:rsidRPr="00215C51" w:rsidRDefault="00B82F75" w:rsidP="00E4628E">
            <w:pPr>
              <w:pStyle w:val="Tabletext0"/>
              <w:tabs>
                <w:tab w:val="left" w:pos="787"/>
                <w:tab w:val="left" w:pos="1190"/>
              </w:tabs>
              <w:spacing w:line="276" w:lineRule="auto"/>
            </w:pPr>
            <w:r w:rsidRPr="00215C51">
              <w:tab/>
              <w:t>para</w:t>
            </w:r>
            <w:r w:rsidRPr="00215C51">
              <w:tab/>
            </w:r>
            <w:r w:rsidRPr="00215C51">
              <w:tab/>
            </w:r>
            <w:r w:rsidRPr="00F52C10">
              <w:sym w:font="Symbol" w:char="F06A"/>
            </w:r>
            <w:r w:rsidRPr="00F52C10">
              <w:t xml:space="preserve"> &gt; 19,95°</w:t>
            </w:r>
          </w:p>
        </w:tc>
        <w:tc>
          <w:tcPr>
            <w:tcW w:w="546" w:type="dxa"/>
            <w:tcBorders>
              <w:top w:val="single" w:sz="6" w:space="0" w:color="auto"/>
              <w:bottom w:val="single" w:sz="6" w:space="0" w:color="auto"/>
              <w:right w:val="single" w:sz="6" w:space="0" w:color="auto"/>
            </w:tcBorders>
          </w:tcPr>
          <w:p w14:paraId="55ECCF4E" w14:textId="77777777" w:rsidR="00B82F75" w:rsidRPr="00215C51" w:rsidRDefault="00B82F75" w:rsidP="00E4628E">
            <w:pPr>
              <w:pStyle w:val="Tabletext0"/>
              <w:spacing w:line="276" w:lineRule="auto"/>
            </w:pPr>
            <w:r w:rsidRPr="00215C51">
              <w:t>dBi</w:t>
            </w:r>
          </w:p>
        </w:tc>
      </w:tr>
      <w:tr w:rsidR="00B82F75" w:rsidRPr="00F52C10" w14:paraId="434C13F0" w14:textId="77777777" w:rsidTr="004473CA">
        <w:trPr>
          <w:cantSplit/>
          <w:jc w:val="center"/>
        </w:trPr>
        <w:tc>
          <w:tcPr>
            <w:tcW w:w="7573" w:type="dxa"/>
            <w:gridSpan w:val="7"/>
            <w:tcBorders>
              <w:top w:val="single" w:sz="6" w:space="0" w:color="auto"/>
              <w:left w:val="single" w:sz="6" w:space="0" w:color="auto"/>
              <w:right w:val="single" w:sz="6" w:space="0" w:color="auto"/>
            </w:tcBorders>
          </w:tcPr>
          <w:p w14:paraId="58294BC1" w14:textId="77777777" w:rsidR="00B82F75" w:rsidRPr="00F52C10" w:rsidRDefault="00B82F75" w:rsidP="00E4628E">
            <w:pPr>
              <w:pStyle w:val="Tabletext0"/>
              <w:tabs>
                <w:tab w:val="left" w:pos="510"/>
              </w:tabs>
              <w:spacing w:line="276" w:lineRule="auto"/>
            </w:pPr>
            <w:r w:rsidRPr="00F52C10">
              <w:tab/>
              <w:t>siendo:</w:t>
            </w:r>
          </w:p>
        </w:tc>
      </w:tr>
      <w:tr w:rsidR="00B82F75" w:rsidRPr="00F52C10" w14:paraId="601C002F" w14:textId="77777777" w:rsidTr="004473CA">
        <w:trPr>
          <w:cantSplit/>
          <w:jc w:val="center"/>
        </w:trPr>
        <w:tc>
          <w:tcPr>
            <w:tcW w:w="756" w:type="dxa"/>
            <w:gridSpan w:val="2"/>
            <w:tcBorders>
              <w:left w:val="single" w:sz="6" w:space="0" w:color="auto"/>
              <w:right w:val="single" w:sz="4" w:space="0" w:color="auto"/>
            </w:tcBorders>
          </w:tcPr>
          <w:p w14:paraId="58A5BC72" w14:textId="77777777" w:rsidR="00B82F75" w:rsidRPr="00F52C10" w:rsidRDefault="00B82F75" w:rsidP="00E4628E">
            <w:pPr>
              <w:pStyle w:val="Tabletext0"/>
              <w:tabs>
                <w:tab w:val="left" w:pos="510"/>
              </w:tabs>
              <w:spacing w:line="276" w:lineRule="auto"/>
            </w:pPr>
          </w:p>
        </w:tc>
        <w:tc>
          <w:tcPr>
            <w:tcW w:w="2603" w:type="dxa"/>
            <w:tcBorders>
              <w:top w:val="single" w:sz="6" w:space="0" w:color="auto"/>
              <w:left w:val="single" w:sz="4" w:space="0" w:color="auto"/>
              <w:bottom w:val="single" w:sz="6" w:space="0" w:color="auto"/>
            </w:tcBorders>
          </w:tcPr>
          <w:p w14:paraId="693B4E95" w14:textId="77777777" w:rsidR="00B82F75" w:rsidRPr="00215C51" w:rsidRDefault="00B82F75" w:rsidP="00E4628E">
            <w:pPr>
              <w:pStyle w:val="Tabletext0"/>
              <w:tabs>
                <w:tab w:val="left" w:pos="397"/>
              </w:tabs>
              <w:spacing w:before="120" w:line="276" w:lineRule="auto"/>
              <w:rPr>
                <w:lang w:val="es-ES_tradnl"/>
              </w:rPr>
            </w:pPr>
            <w:r w:rsidRPr="00F52C10">
              <w:rPr>
                <w:i/>
                <w:lang w:val="es-ES_tradnl"/>
              </w:rPr>
              <w:t>D</w:t>
            </w:r>
            <w:r w:rsidRPr="00F52C10">
              <w:rPr>
                <w:sz w:val="12"/>
                <w:lang w:val="es-ES_tradnl"/>
              </w:rPr>
              <w:t> </w:t>
            </w:r>
            <w:r w:rsidRPr="00F52C10">
              <w:rPr>
                <w:lang w:val="es-ES_tradnl"/>
              </w:rPr>
              <w:t>:  diámetro de la antena</w:t>
            </w:r>
            <w:r w:rsidRPr="00F52C10">
              <w:rPr>
                <w:lang w:val="es-ES_tradnl"/>
              </w:rPr>
              <w:br/>
            </w:r>
            <w:r w:rsidRPr="00F52C10">
              <w:sym w:font="Symbol" w:char="F06C"/>
            </w:r>
            <w:r w:rsidRPr="00F52C10">
              <w:rPr>
                <w:sz w:val="12"/>
                <w:lang w:val="es-ES_tradnl"/>
              </w:rPr>
              <w:t>  </w:t>
            </w:r>
            <w:r w:rsidRPr="00215C51">
              <w:rPr>
                <w:lang w:val="es-ES_tradnl"/>
              </w:rPr>
              <w:t>:  longitud de onda</w:t>
            </w:r>
          </w:p>
        </w:tc>
        <w:tc>
          <w:tcPr>
            <w:tcW w:w="3209" w:type="dxa"/>
            <w:gridSpan w:val="2"/>
            <w:tcBorders>
              <w:top w:val="single" w:sz="6" w:space="0" w:color="auto"/>
              <w:bottom w:val="single" w:sz="6" w:space="0" w:color="auto"/>
              <w:right w:val="single" w:sz="6" w:space="0" w:color="auto"/>
            </w:tcBorders>
          </w:tcPr>
          <w:p w14:paraId="23429CEC" w14:textId="77777777" w:rsidR="00B82F75" w:rsidRPr="00215C51" w:rsidRDefault="00D12659" w:rsidP="00E4628E">
            <w:pPr>
              <w:pStyle w:val="Tabletext0"/>
              <w:tabs>
                <w:tab w:val="left" w:pos="397"/>
              </w:tabs>
              <w:spacing w:line="276" w:lineRule="auto"/>
              <w:rPr>
                <w:lang w:val="es-ES_tradnl"/>
              </w:rPr>
            </w:pPr>
            <w:r w:rsidRPr="00B82F75">
              <w:rPr>
                <w:noProof/>
                <w:position w:val="-26"/>
              </w:rPr>
              <w:object w:dxaOrig="260" w:dyaOrig="620" w14:anchorId="3CC0B091">
                <v:shape id="shape5406" o:spid="_x0000_i1026" type="#_x0000_t75" alt="" style="width:13.5pt;height:30pt;mso-width-percent:0;mso-height-percent:0;mso-width-percent:0;mso-height-percent:0" o:ole="">
                  <v:imagedata r:id="rId13" o:title=""/>
                </v:shape>
                <o:OLEObject Type="Embed" ProgID="Equation.3" ShapeID="shape5406" DrawAspect="Content" ObjectID="_1604399707" r:id="rId14"/>
              </w:object>
            </w:r>
            <w:r w:rsidR="00B82F75" w:rsidRPr="00F52C10">
              <w:rPr>
                <w:lang w:val="es-ES_tradnl"/>
              </w:rPr>
              <w:t>expresados en la misma unidad</w:t>
            </w:r>
          </w:p>
        </w:tc>
        <w:tc>
          <w:tcPr>
            <w:tcW w:w="1005" w:type="dxa"/>
            <w:gridSpan w:val="2"/>
            <w:tcBorders>
              <w:right w:val="single" w:sz="6" w:space="0" w:color="auto"/>
            </w:tcBorders>
          </w:tcPr>
          <w:p w14:paraId="4D8AC7B3" w14:textId="77777777" w:rsidR="00B82F75" w:rsidRPr="00215C51" w:rsidRDefault="00B82F75" w:rsidP="00E4628E">
            <w:pPr>
              <w:pStyle w:val="Tabletext0"/>
              <w:spacing w:line="276" w:lineRule="auto"/>
              <w:rPr>
                <w:lang w:val="es-ES_tradnl"/>
              </w:rPr>
            </w:pPr>
          </w:p>
        </w:tc>
      </w:tr>
      <w:tr w:rsidR="00B82F75" w:rsidRPr="00F52C10" w14:paraId="06F2FA0C" w14:textId="77777777" w:rsidTr="004473CA">
        <w:trPr>
          <w:cantSplit/>
          <w:jc w:val="center"/>
        </w:trPr>
        <w:tc>
          <w:tcPr>
            <w:tcW w:w="7573" w:type="dxa"/>
            <w:gridSpan w:val="7"/>
            <w:tcBorders>
              <w:left w:val="single" w:sz="6" w:space="0" w:color="auto"/>
              <w:right w:val="single" w:sz="6" w:space="0" w:color="auto"/>
            </w:tcBorders>
          </w:tcPr>
          <w:p w14:paraId="2D3FE2F7" w14:textId="77777777" w:rsidR="00B82F75" w:rsidRPr="00215C51" w:rsidRDefault="00B82F75" w:rsidP="00E4628E">
            <w:pPr>
              <w:pStyle w:val="Tabletext0"/>
              <w:tabs>
                <w:tab w:val="left" w:pos="510"/>
              </w:tabs>
              <w:spacing w:line="276" w:lineRule="auto"/>
              <w:rPr>
                <w:lang w:val="es-ES_tradnl"/>
              </w:rPr>
            </w:pPr>
            <w:r w:rsidRPr="00F52C10">
              <w:rPr>
                <w:lang w:val="es-ES_tradnl"/>
              </w:rPr>
              <w:tab/>
            </w:r>
            <w:r w:rsidRPr="00F52C10">
              <w:sym w:font="Symbol" w:char="F06A"/>
            </w:r>
            <w:r w:rsidRPr="00F52C10">
              <w:rPr>
                <w:lang w:val="es-ES_tradnl"/>
              </w:rPr>
              <w:t>:  ángulo con relación al eje de la antena (grados)</w:t>
            </w:r>
          </w:p>
        </w:tc>
      </w:tr>
      <w:tr w:rsidR="00B82F75" w:rsidRPr="00F52C10" w14:paraId="5447EE25" w14:textId="77777777" w:rsidTr="004473CA">
        <w:trPr>
          <w:cantSplit/>
          <w:jc w:val="center"/>
        </w:trPr>
        <w:tc>
          <w:tcPr>
            <w:tcW w:w="756" w:type="dxa"/>
            <w:gridSpan w:val="2"/>
            <w:tcBorders>
              <w:left w:val="single" w:sz="6" w:space="0" w:color="auto"/>
              <w:right w:val="single" w:sz="4" w:space="0" w:color="auto"/>
            </w:tcBorders>
          </w:tcPr>
          <w:p w14:paraId="326F4972" w14:textId="77777777" w:rsidR="00B82F75" w:rsidRPr="00F52C10" w:rsidRDefault="00B82F75" w:rsidP="00E4628E">
            <w:pPr>
              <w:pStyle w:val="Tabletext0"/>
              <w:tabs>
                <w:tab w:val="left" w:pos="510"/>
              </w:tabs>
              <w:spacing w:line="276" w:lineRule="auto"/>
              <w:rPr>
                <w:lang w:val="es-ES_tradnl"/>
              </w:rPr>
            </w:pPr>
          </w:p>
        </w:tc>
        <w:tc>
          <w:tcPr>
            <w:tcW w:w="5812" w:type="dxa"/>
            <w:gridSpan w:val="3"/>
            <w:tcBorders>
              <w:top w:val="single" w:sz="6" w:space="0" w:color="auto"/>
              <w:left w:val="single" w:sz="4" w:space="0" w:color="auto"/>
              <w:bottom w:val="single" w:sz="6" w:space="0" w:color="auto"/>
              <w:right w:val="single" w:sz="6" w:space="0" w:color="auto"/>
            </w:tcBorders>
          </w:tcPr>
          <w:p w14:paraId="72615EE5" w14:textId="77777777" w:rsidR="00B82F75" w:rsidRPr="00215C51" w:rsidRDefault="00B82F75" w:rsidP="00E4628E">
            <w:pPr>
              <w:pStyle w:val="Tabletext0"/>
              <w:tabs>
                <w:tab w:val="left" w:pos="226"/>
              </w:tabs>
              <w:spacing w:line="276" w:lineRule="auto"/>
              <w:ind w:left="-57" w:right="-57"/>
              <w:rPr>
                <w:lang w:val="es-ES_tradnl"/>
              </w:rPr>
            </w:pPr>
            <w:r w:rsidRPr="00F52C10">
              <w:rPr>
                <w:i/>
                <w:lang w:val="es-ES_tradnl"/>
              </w:rPr>
              <w:t>G</w:t>
            </w:r>
            <w:r w:rsidRPr="00F52C10">
              <w:rPr>
                <w:iCs/>
                <w:vertAlign w:val="subscript"/>
                <w:lang w:val="es-ES_tradnl"/>
              </w:rPr>
              <w:t>1</w:t>
            </w:r>
            <w:r w:rsidRPr="00F52C10">
              <w:rPr>
                <w:sz w:val="12"/>
                <w:lang w:val="es-ES_tradnl"/>
              </w:rPr>
              <w:t> </w:t>
            </w:r>
            <w:r w:rsidRPr="00F52C10">
              <w:rPr>
                <w:lang w:val="es-ES_tradnl"/>
              </w:rPr>
              <w:t xml:space="preserve">:  ganancia del primer lóbulo lateral  = </w:t>
            </w:r>
            <w:r w:rsidR="00D12659" w:rsidRPr="00B82F75">
              <w:rPr>
                <w:noProof/>
                <w:position w:val="-22"/>
                <w:sz w:val="16"/>
              </w:rPr>
              <w:object w:dxaOrig="1340" w:dyaOrig="560" w14:anchorId="3DDA0C86">
                <v:shape id="shape5407" o:spid="_x0000_i1027" type="#_x0000_t75" alt="" style="width:66pt;height:30pt;mso-width-percent:0;mso-height-percent:0;mso-width-percent:0;mso-height-percent:0" o:ole="">
                  <v:imagedata r:id="rId15" o:title=""/>
                </v:shape>
                <o:OLEObject Type="Embed" ProgID="Equation.3" ShapeID="shape5407" DrawAspect="Content" ObjectID="_1604399708" r:id="rId16"/>
              </w:object>
            </w:r>
            <w:r w:rsidRPr="00F52C10">
              <w:rPr>
                <w:lang w:val="es-ES_tradnl"/>
              </w:rPr>
              <w:tab/>
              <w:t>dBi</w:t>
            </w:r>
          </w:p>
        </w:tc>
        <w:tc>
          <w:tcPr>
            <w:tcW w:w="1005" w:type="dxa"/>
            <w:gridSpan w:val="2"/>
            <w:tcBorders>
              <w:right w:val="single" w:sz="6" w:space="0" w:color="auto"/>
            </w:tcBorders>
          </w:tcPr>
          <w:p w14:paraId="1C827825" w14:textId="77777777" w:rsidR="00B82F75" w:rsidRPr="00215C51" w:rsidRDefault="00B82F75" w:rsidP="00E4628E">
            <w:pPr>
              <w:pStyle w:val="Tabletext0"/>
              <w:spacing w:line="276" w:lineRule="auto"/>
              <w:rPr>
                <w:lang w:val="es-ES_tradnl"/>
              </w:rPr>
            </w:pPr>
          </w:p>
        </w:tc>
      </w:tr>
      <w:tr w:rsidR="00B82F75" w:rsidRPr="00F52C10" w14:paraId="0581047F" w14:textId="77777777" w:rsidTr="004473CA">
        <w:trPr>
          <w:cantSplit/>
          <w:jc w:val="center"/>
        </w:trPr>
        <w:tc>
          <w:tcPr>
            <w:tcW w:w="7573" w:type="dxa"/>
            <w:gridSpan w:val="7"/>
            <w:tcBorders>
              <w:left w:val="single" w:sz="6" w:space="0" w:color="auto"/>
              <w:right w:val="single" w:sz="6" w:space="0" w:color="auto"/>
            </w:tcBorders>
          </w:tcPr>
          <w:p w14:paraId="6687DEF3" w14:textId="77777777" w:rsidR="00B82F75" w:rsidRPr="00F52C10" w:rsidRDefault="00D12659" w:rsidP="00E4628E">
            <w:pPr>
              <w:pStyle w:val="Tabletext0"/>
              <w:tabs>
                <w:tab w:val="left" w:pos="510"/>
              </w:tabs>
              <w:spacing w:line="276" w:lineRule="auto"/>
              <w:jc w:val="center"/>
            </w:pPr>
            <w:r w:rsidRPr="00FE447A">
              <w:rPr>
                <w:noProof/>
                <w:position w:val="-20"/>
              </w:rPr>
              <w:object w:dxaOrig="3300" w:dyaOrig="540" w14:anchorId="083F03D0">
                <v:shape id="shape5408" o:spid="_x0000_i1028" type="#_x0000_t75" alt="" style="width:165.75pt;height:25.5pt;mso-width-percent:0;mso-height-percent:0;mso-width-percent:0;mso-height-percent:0" o:ole="">
                  <v:imagedata r:id="rId17" o:title=""/>
                </v:shape>
                <o:OLEObject Type="Embed" ProgID="Equation.3" ShapeID="shape5408" DrawAspect="Content" ObjectID="_1604399709" r:id="rId18"/>
              </w:object>
            </w:r>
          </w:p>
        </w:tc>
      </w:tr>
      <w:tr w:rsidR="00B82F75" w:rsidRPr="00F52C10" w14:paraId="38181DF1" w14:textId="77777777" w:rsidTr="004473CA">
        <w:trPr>
          <w:cantSplit/>
          <w:jc w:val="center"/>
        </w:trPr>
        <w:tc>
          <w:tcPr>
            <w:tcW w:w="7573" w:type="dxa"/>
            <w:gridSpan w:val="7"/>
            <w:tcBorders>
              <w:left w:val="single" w:sz="6" w:space="0" w:color="auto"/>
              <w:bottom w:val="single" w:sz="6" w:space="0" w:color="auto"/>
              <w:right w:val="single" w:sz="6" w:space="0" w:color="auto"/>
            </w:tcBorders>
          </w:tcPr>
          <w:p w14:paraId="4196250C" w14:textId="77777777" w:rsidR="00B82F75" w:rsidRPr="00215C51" w:rsidRDefault="00B82F75" w:rsidP="00E4628E">
            <w:pPr>
              <w:pStyle w:val="Tabletext0"/>
              <w:tabs>
                <w:tab w:val="left" w:pos="510"/>
              </w:tabs>
              <w:spacing w:line="276" w:lineRule="auto"/>
            </w:pPr>
            <w:r w:rsidRPr="00F52C10">
              <w:tab/>
            </w:r>
            <w:r w:rsidRPr="00F52C10">
              <w:sym w:font="Symbol" w:char="F068"/>
            </w:r>
            <w:r w:rsidRPr="00F52C10">
              <w:rPr>
                <w:sz w:val="12"/>
              </w:rPr>
              <w:t> </w:t>
            </w:r>
            <w:r w:rsidRPr="00215C51">
              <w:t>:  eficiencia de la antena</w:t>
            </w:r>
          </w:p>
        </w:tc>
      </w:tr>
    </w:tbl>
    <w:p w14:paraId="10418590" w14:textId="77777777" w:rsidR="00B82F75" w:rsidRPr="00F52C10" w:rsidRDefault="00B82F75" w:rsidP="00E4628E">
      <w:pPr>
        <w:pStyle w:val="TableFin0"/>
        <w:spacing w:line="276" w:lineRule="auto"/>
      </w:pPr>
    </w:p>
    <w:p w14:paraId="3CADA514" w14:textId="77777777" w:rsidR="00B82F75" w:rsidRPr="00F52C10" w:rsidRDefault="00B82F75" w:rsidP="00E4628E">
      <w:pPr>
        <w:pStyle w:val="Ttulo2"/>
        <w:spacing w:line="276" w:lineRule="auto"/>
        <w:rPr>
          <w:lang w:val="es-ES_tradnl"/>
        </w:rPr>
      </w:pPr>
      <w:r w:rsidRPr="00F52C10">
        <w:rPr>
          <w:lang w:val="es-ES_tradnl"/>
        </w:rPr>
        <w:lastRenderedPageBreak/>
        <w:t>1.7</w:t>
      </w:r>
      <w:r w:rsidRPr="00F52C10">
        <w:rPr>
          <w:lang w:val="es-ES_tradnl"/>
        </w:rPr>
        <w:tab/>
        <w:t>Características de la estación espacial</w:t>
      </w:r>
      <w:r w:rsidRPr="00F52C10">
        <w:rPr>
          <w:b w:val="0"/>
          <w:sz w:val="16"/>
          <w:szCs w:val="16"/>
          <w:lang w:val="es-ES_tradnl"/>
        </w:rPr>
        <w:t>     (CMR-07)</w:t>
      </w:r>
    </w:p>
    <w:p w14:paraId="6CA2B9D8" w14:textId="77777777" w:rsidR="00B82F75" w:rsidRPr="00F52C10" w:rsidRDefault="00B82F75" w:rsidP="00E4628E">
      <w:pPr>
        <w:spacing w:line="276" w:lineRule="auto"/>
        <w:rPr>
          <w:lang w:val="es-ES_tradnl"/>
        </w:rPr>
      </w:pPr>
      <w:r w:rsidRPr="00F52C10">
        <w:rPr>
          <w:lang w:val="es-ES_tradnl"/>
        </w:rPr>
        <w:t>1.7.1</w:t>
      </w:r>
      <w:r w:rsidRPr="00F52C10">
        <w:rPr>
          <w:lang w:val="es-ES_tradnl"/>
        </w:rPr>
        <w:tab/>
        <w:t>El Plan de adjudicaciones se basa en la utilización de una antena de la estación espacial con haces de sección elíptica.</w:t>
      </w:r>
    </w:p>
    <w:p w14:paraId="39C07B8B" w14:textId="77777777" w:rsidR="00B82F75" w:rsidRPr="00F52C10" w:rsidRDefault="00B82F75" w:rsidP="00E4628E">
      <w:pPr>
        <w:spacing w:line="276" w:lineRule="auto"/>
        <w:rPr>
          <w:lang w:val="es-ES_tradnl"/>
        </w:rPr>
      </w:pPr>
      <w:r w:rsidRPr="00F52C10">
        <w:rPr>
          <w:lang w:val="es-ES_tradnl"/>
        </w:rPr>
        <w:t>1.7.2</w:t>
      </w:r>
      <w:r w:rsidRPr="00F52C10">
        <w:rPr>
          <w:lang w:val="es-ES_tradnl"/>
        </w:rPr>
        <w:tab/>
        <w:t>Las características de radiación de la antena son las indicadas en la Fig. 1.</w:t>
      </w:r>
    </w:p>
    <w:p w14:paraId="285068E0" w14:textId="77777777" w:rsidR="00B82F75" w:rsidRPr="00F52C10" w:rsidRDefault="00B82F75" w:rsidP="00E4628E">
      <w:pPr>
        <w:spacing w:line="276" w:lineRule="auto"/>
        <w:rPr>
          <w:lang w:val="es-ES_tradnl"/>
        </w:rPr>
      </w:pPr>
    </w:p>
    <w:p w14:paraId="2FD42A00" w14:textId="77777777" w:rsidR="00B82F75" w:rsidRPr="00F52C10" w:rsidRDefault="00B82F75" w:rsidP="00E4628E">
      <w:pPr>
        <w:autoSpaceDE/>
        <w:autoSpaceDN/>
        <w:spacing w:line="276" w:lineRule="auto"/>
        <w:rPr>
          <w:i/>
          <w:lang w:val="es-ES_tradnl"/>
        </w:rPr>
      </w:pPr>
      <w:r w:rsidRPr="00F52C10">
        <w:rPr>
          <w:i/>
          <w:lang w:val="es-ES_tradnl"/>
        </w:rPr>
        <w:br w:type="page"/>
      </w:r>
    </w:p>
    <w:p w14:paraId="795C068E" w14:textId="77777777" w:rsidR="00B82F75" w:rsidRPr="00F52C10" w:rsidRDefault="00B82F75" w:rsidP="00E4628E">
      <w:pPr>
        <w:pStyle w:val="FigureNo"/>
        <w:spacing w:before="240" w:line="276" w:lineRule="auto"/>
        <w:rPr>
          <w:sz w:val="16"/>
          <w:szCs w:val="16"/>
          <w:lang w:val="es-ES_tradnl"/>
        </w:rPr>
      </w:pPr>
      <w:r w:rsidRPr="00F52C10">
        <w:rPr>
          <w:lang w:val="es-ES_tradnl"/>
        </w:rPr>
        <w:lastRenderedPageBreak/>
        <w:t>FIGURA 1</w:t>
      </w:r>
      <w:r w:rsidRPr="00F52C10">
        <w:rPr>
          <w:rStyle w:val="Refdenotaalpie"/>
          <w:lang w:val="es-ES_tradnl"/>
        </w:rPr>
        <w:footnoteReference w:customMarkFollows="1" w:id="28"/>
        <w:t>*</w:t>
      </w:r>
      <w:r w:rsidRPr="00F52C10">
        <w:rPr>
          <w:sz w:val="16"/>
          <w:szCs w:val="16"/>
          <w:lang w:val="es-ES_tradnl"/>
        </w:rPr>
        <w:t>     (CMR-07)</w:t>
      </w:r>
    </w:p>
    <w:p w14:paraId="5A747D81" w14:textId="77777777" w:rsidR="00B82F75" w:rsidRPr="00F52C10" w:rsidRDefault="00B82F75" w:rsidP="00E4628E">
      <w:pPr>
        <w:pStyle w:val="Figuretitle"/>
        <w:spacing w:after="0" w:line="276" w:lineRule="auto"/>
        <w:rPr>
          <w:rFonts w:ascii="Times New Roman" w:hAnsi="Times New Roman" w:cs="Times New Roman"/>
          <w:b w:val="0"/>
          <w:bCs/>
          <w:lang w:val="es-ES_tradnl"/>
        </w:rPr>
      </w:pPr>
      <w:r w:rsidRPr="00F52C10">
        <w:rPr>
          <w:rFonts w:ascii="Times New Roman" w:hAnsi="Times New Roman" w:cs="Times New Roman"/>
          <w:b w:val="0"/>
          <w:bCs/>
          <w:lang w:val="es-ES_tradnl"/>
        </w:rPr>
        <w:t>Diagramas de referencia para las antenas de satélite con</w:t>
      </w:r>
      <w:r w:rsidRPr="00F52C10">
        <w:rPr>
          <w:rFonts w:ascii="Times New Roman" w:hAnsi="Times New Roman" w:cs="Times New Roman"/>
          <w:b w:val="0"/>
          <w:bCs/>
          <w:lang w:val="es-ES_tradnl"/>
        </w:rPr>
        <w:br/>
        <w:t>régimen de caída rápida en el haz principal</w:t>
      </w:r>
    </w:p>
    <w:p w14:paraId="41FFAAE2" w14:textId="77777777" w:rsidR="00B82F75" w:rsidRPr="00F52C10" w:rsidRDefault="00D12659" w:rsidP="00E4628E">
      <w:pPr>
        <w:pStyle w:val="Figure"/>
        <w:spacing w:line="276" w:lineRule="auto"/>
      </w:pPr>
      <w:r w:rsidRPr="00B82F75">
        <w:rPr>
          <w:noProof/>
        </w:rPr>
        <w:object w:dxaOrig="6590" w:dyaOrig="3627" w14:anchorId="7B44CAA2">
          <v:shape id="shape5676" o:spid="_x0000_i1029" type="#_x0000_t75" alt="" style="width:328.5pt;height:180.75pt;mso-width-percent:0;mso-height-percent:0;mso-width-percent:0;mso-height-percent:0" o:ole="">
            <v:imagedata r:id="rId19" o:title=""/>
          </v:shape>
          <o:OLEObject Type="Embed" ProgID="CorelDraw.Graphic.12" ShapeID="shape5676" DrawAspect="Content" ObjectID="_1604399710" r:id="rId20"/>
        </w:object>
      </w:r>
    </w:p>
    <w:p w14:paraId="084B84F5" w14:textId="77777777" w:rsidR="00B82F75" w:rsidRPr="00215C51" w:rsidRDefault="00B82F75" w:rsidP="00E4628E">
      <w:pPr>
        <w:spacing w:line="276" w:lineRule="auto"/>
      </w:pPr>
    </w:p>
    <w:p w14:paraId="54387136" w14:textId="77777777" w:rsidR="00B82F75" w:rsidRPr="00F52C10" w:rsidRDefault="00B82F75" w:rsidP="00E4628E">
      <w:pPr>
        <w:spacing w:line="276" w:lineRule="auto"/>
        <w:rPr>
          <w:color w:val="000000"/>
          <w:lang w:val="es-ES_tradnl"/>
        </w:rPr>
      </w:pPr>
      <w:r w:rsidRPr="00215C51">
        <w:rPr>
          <w:i/>
          <w:color w:val="000000"/>
          <w:lang w:val="es-ES_tradnl"/>
        </w:rPr>
        <w:t>G</w:t>
      </w:r>
      <w:r w:rsidRPr="00F52C10">
        <w:rPr>
          <w:i/>
          <w:color w:val="000000"/>
          <w:position w:val="-4"/>
          <w:sz w:val="16"/>
          <w:lang w:val="es-ES_tradnl"/>
        </w:rPr>
        <w:t>máx</w:t>
      </w:r>
      <w:r w:rsidRPr="00F52C10">
        <w:rPr>
          <w:color w:val="000000"/>
          <w:lang w:val="es-ES_tradnl"/>
        </w:rPr>
        <w:t xml:space="preserve">  =  44,45  –  10 log  (</w:t>
      </w:r>
      <w:r w:rsidRPr="00F52C10">
        <w:sym w:font="Symbol" w:char="F06A"/>
      </w:r>
      <w:r w:rsidRPr="00F52C10">
        <w:rPr>
          <w:color w:val="000000"/>
          <w:position w:val="-4"/>
          <w:sz w:val="16"/>
          <w:lang w:val="es-ES_tradnl"/>
        </w:rPr>
        <w:t>01</w:t>
      </w:r>
      <w:r w:rsidRPr="00215C51">
        <w:rPr>
          <w:color w:val="000000"/>
          <w:lang w:val="es-ES_tradnl"/>
        </w:rPr>
        <w:t xml:space="preserve">  ·  </w:t>
      </w:r>
      <w:r w:rsidRPr="00F52C10">
        <w:sym w:font="Symbol" w:char="F06A"/>
      </w:r>
      <w:r w:rsidRPr="00F52C10">
        <w:rPr>
          <w:color w:val="000000"/>
          <w:position w:val="-4"/>
          <w:sz w:val="16"/>
          <w:lang w:val="es-ES_tradnl"/>
        </w:rPr>
        <w:t>02</w:t>
      </w:r>
      <w:r w:rsidRPr="00215C51">
        <w:rPr>
          <w:color w:val="000000"/>
          <w:lang w:val="es-ES_tradnl"/>
        </w:rPr>
        <w:t>)               dBi</w:t>
      </w:r>
      <w:r w:rsidRPr="00215C51">
        <w:rPr>
          <w:color w:val="000000"/>
          <w:sz w:val="16"/>
          <w:lang w:val="es-ES_tradnl"/>
        </w:rPr>
        <w:t>     (CMR-07)</w:t>
      </w:r>
    </w:p>
    <w:p w14:paraId="145C0607" w14:textId="77777777" w:rsidR="00B82F75" w:rsidRPr="00F52C10" w:rsidRDefault="00B82F75" w:rsidP="00E4628E">
      <w:pPr>
        <w:spacing w:line="276" w:lineRule="auto"/>
        <w:rPr>
          <w:color w:val="000000"/>
          <w:lang w:val="es-ES_tradnl"/>
        </w:rPr>
      </w:pPr>
      <w:r w:rsidRPr="00F52C10">
        <w:rPr>
          <w:i/>
          <w:color w:val="000000"/>
          <w:lang w:val="es-ES_tradnl"/>
        </w:rPr>
        <w:t>Curva A:</w:t>
      </w:r>
      <w:r w:rsidRPr="00F52C10">
        <w:rPr>
          <w:color w:val="000000"/>
          <w:lang w:val="es-ES_tradnl"/>
        </w:rPr>
        <w:tab/>
        <w:t>dB en relación con la ganancia del haz principal</w:t>
      </w:r>
    </w:p>
    <w:p w14:paraId="295FF31E" w14:textId="77777777" w:rsidR="00B82F75" w:rsidRPr="00215C51" w:rsidRDefault="00B82F75" w:rsidP="00E4628E">
      <w:pPr>
        <w:pStyle w:val="Equation"/>
        <w:tabs>
          <w:tab w:val="clear" w:pos="4820"/>
          <w:tab w:val="left" w:pos="4536"/>
          <w:tab w:val="left" w:pos="5387"/>
        </w:tabs>
        <w:spacing w:line="276" w:lineRule="auto"/>
        <w:rPr>
          <w:color w:val="000000"/>
          <w:sz w:val="20"/>
          <w:lang w:val="es-ES_tradnl"/>
        </w:rPr>
      </w:pPr>
      <w:r w:rsidRPr="00F52C10">
        <w:rPr>
          <w:color w:val="000000"/>
          <w:sz w:val="20"/>
          <w:lang w:val="es-ES_tradnl"/>
        </w:rPr>
        <w:tab/>
        <w:t>–12 (</w:t>
      </w:r>
      <w:r w:rsidRPr="00F52C10">
        <w:rPr>
          <w:color w:val="000000"/>
          <w:sz w:val="20"/>
          <w:lang w:val="es-ES_tradnl"/>
        </w:rPr>
        <w:sym w:font="Symbol" w:char="F06A"/>
      </w:r>
      <w:r w:rsidRPr="00F52C10">
        <w:rPr>
          <w:color w:val="000000"/>
          <w:sz w:val="20"/>
          <w:lang w:val="es-ES_tradnl"/>
        </w:rPr>
        <w:t>/</w:t>
      </w:r>
      <w:r w:rsidRPr="00F52C10">
        <w:rPr>
          <w:color w:val="000000"/>
          <w:sz w:val="20"/>
          <w:lang w:val="es-ES_tradnl"/>
        </w:rPr>
        <w:sym w:font="Symbol" w:char="F06A"/>
      </w:r>
      <w:r w:rsidRPr="00F52C10">
        <w:rPr>
          <w:color w:val="000000"/>
          <w:sz w:val="20"/>
          <w:vertAlign w:val="subscript"/>
          <w:lang w:val="es-ES_tradnl"/>
        </w:rPr>
        <w:t>0</w:t>
      </w:r>
      <w:r w:rsidRPr="00215C51">
        <w:rPr>
          <w:color w:val="000000"/>
          <w:sz w:val="20"/>
          <w:lang w:val="es-ES_tradnl"/>
        </w:rPr>
        <w:t>)</w:t>
      </w:r>
      <w:r w:rsidRPr="00215C51">
        <w:rPr>
          <w:color w:val="000000"/>
          <w:sz w:val="20"/>
          <w:vertAlign w:val="superscript"/>
          <w:lang w:val="es-ES_tradnl"/>
        </w:rPr>
        <w:t>2</w:t>
      </w:r>
      <w:r w:rsidRPr="00F52C10">
        <w:rPr>
          <w:color w:val="000000"/>
          <w:position w:val="6"/>
          <w:sz w:val="20"/>
          <w:lang w:val="es-ES_tradnl"/>
        </w:rPr>
        <w:tab/>
      </w:r>
      <w:r w:rsidRPr="00F52C10">
        <w:rPr>
          <w:color w:val="000000"/>
          <w:sz w:val="20"/>
          <w:lang w:val="es-ES_tradnl"/>
        </w:rPr>
        <w:t>para</w:t>
      </w:r>
      <w:r w:rsidRPr="00F52C10">
        <w:rPr>
          <w:color w:val="000000"/>
          <w:sz w:val="20"/>
          <w:lang w:val="es-ES_tradnl"/>
        </w:rPr>
        <w:tab/>
        <w:t>0  ≤  (</w:t>
      </w:r>
      <w:r w:rsidRPr="00F52C10">
        <w:rPr>
          <w:color w:val="000000"/>
          <w:sz w:val="20"/>
          <w:lang w:val="es-ES_tradnl"/>
        </w:rPr>
        <w:sym w:font="Symbol" w:char="F06A"/>
      </w:r>
      <w:r w:rsidRPr="00F52C10">
        <w:rPr>
          <w:color w:val="000000"/>
          <w:sz w:val="20"/>
          <w:lang w:val="es-ES_tradnl"/>
        </w:rPr>
        <w:t>/</w:t>
      </w:r>
      <w:r w:rsidRPr="00F52C10">
        <w:rPr>
          <w:color w:val="000000"/>
          <w:sz w:val="20"/>
          <w:lang w:val="es-ES_tradnl"/>
        </w:rPr>
        <w:sym w:font="Symbol" w:char="F06A"/>
      </w:r>
      <w:r w:rsidRPr="00F52C10">
        <w:rPr>
          <w:color w:val="000000"/>
          <w:sz w:val="20"/>
          <w:vertAlign w:val="subscript"/>
          <w:lang w:val="es-ES_tradnl"/>
        </w:rPr>
        <w:t>0</w:t>
      </w:r>
      <w:r w:rsidRPr="00215C51">
        <w:rPr>
          <w:color w:val="000000"/>
          <w:sz w:val="20"/>
          <w:lang w:val="es-ES_tradnl"/>
        </w:rPr>
        <w:t>)  ≤  0,5</w:t>
      </w:r>
    </w:p>
    <w:p w14:paraId="60FE7EB1" w14:textId="77777777" w:rsidR="00B82F75" w:rsidRPr="00F52C10" w:rsidRDefault="00B82F75" w:rsidP="00E4628E">
      <w:pPr>
        <w:pStyle w:val="Equation"/>
        <w:tabs>
          <w:tab w:val="clear" w:pos="4820"/>
          <w:tab w:val="left" w:pos="4536"/>
          <w:tab w:val="left" w:pos="5387"/>
        </w:tabs>
        <w:spacing w:line="276" w:lineRule="auto"/>
        <w:rPr>
          <w:color w:val="000000"/>
          <w:sz w:val="20"/>
          <w:lang w:val="es-ES_tradnl"/>
        </w:rPr>
      </w:pPr>
      <w:r w:rsidRPr="00215C51">
        <w:rPr>
          <w:color w:val="000000"/>
          <w:sz w:val="20"/>
          <w:lang w:val="es-ES_tradnl"/>
        </w:rPr>
        <w:tab/>
        <w:t>–</w:t>
      </w:r>
      <w:r w:rsidRPr="00F52C10">
        <w:rPr>
          <w:noProof/>
          <w:color w:val="000000"/>
          <w:position w:val="-28"/>
          <w:sz w:val="20"/>
          <w:lang w:val="en-US" w:eastAsia="zh-CN"/>
        </w:rPr>
        <w:drawing>
          <wp:inline distT="0" distB="0" distL="0" distR="0" wp14:anchorId="19141589" wp14:editId="328AF499">
            <wp:extent cx="876300" cy="457200"/>
            <wp:effectExtent l="0" t="0" r="0" b="0"/>
            <wp:docPr id="5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sidRPr="00F52C10">
        <w:rPr>
          <w:color w:val="000000"/>
          <w:sz w:val="20"/>
          <w:lang w:val="es-ES_tradnl"/>
        </w:rPr>
        <w:tab/>
        <w:t>para</w:t>
      </w:r>
      <w:r w:rsidRPr="00F52C10">
        <w:rPr>
          <w:color w:val="000000"/>
          <w:sz w:val="20"/>
          <w:lang w:val="es-ES_tradnl"/>
        </w:rPr>
        <w:tab/>
        <w:t xml:space="preserve">0,5  </w:t>
      </w:r>
      <w:r w:rsidRPr="00215C51">
        <w:rPr>
          <w:color w:val="000000"/>
          <w:sz w:val="20"/>
          <w:lang w:val="es-ES_tradnl"/>
        </w:rPr>
        <w:t>&lt;  (</w:t>
      </w:r>
      <w:r w:rsidRPr="00F52C10">
        <w:rPr>
          <w:color w:val="000000"/>
          <w:sz w:val="20"/>
          <w:lang w:val="es-ES_tradnl"/>
        </w:rPr>
        <w:sym w:font="Symbol" w:char="F06A"/>
      </w:r>
      <w:r w:rsidRPr="00F52C10">
        <w:rPr>
          <w:color w:val="000000"/>
          <w:sz w:val="20"/>
          <w:lang w:val="es-ES_tradnl"/>
        </w:rPr>
        <w:t>/</w:t>
      </w:r>
      <w:r w:rsidRPr="00F52C10">
        <w:rPr>
          <w:color w:val="000000"/>
          <w:sz w:val="20"/>
          <w:lang w:val="es-ES_tradnl"/>
        </w:rPr>
        <w:sym w:font="Symbol" w:char="F06A"/>
      </w:r>
      <w:r w:rsidRPr="00F52C10">
        <w:rPr>
          <w:color w:val="000000"/>
          <w:sz w:val="20"/>
          <w:vertAlign w:val="subscript"/>
          <w:lang w:val="es-ES_tradnl"/>
        </w:rPr>
        <w:t>0</w:t>
      </w:r>
      <w:r w:rsidRPr="00215C51">
        <w:rPr>
          <w:color w:val="000000"/>
          <w:sz w:val="20"/>
          <w:lang w:val="es-ES_tradnl"/>
        </w:rPr>
        <w:t xml:space="preserve">)  ≤  </w:t>
      </w:r>
      <w:r w:rsidRPr="00F52C10">
        <w:rPr>
          <w:noProof/>
          <w:color w:val="000000"/>
          <w:position w:val="-28"/>
          <w:sz w:val="20"/>
          <w:lang w:val="en-US" w:eastAsia="zh-CN"/>
        </w:rPr>
        <w:drawing>
          <wp:inline distT="0" distB="0" distL="0" distR="0" wp14:anchorId="17D66488" wp14:editId="16DB6BCF">
            <wp:extent cx="800100" cy="419100"/>
            <wp:effectExtent l="0" t="0" r="0" b="0"/>
            <wp:docPr id="5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p>
    <w:p w14:paraId="1E4F405E" w14:textId="77777777" w:rsidR="00B82F75" w:rsidRPr="00F52C10" w:rsidRDefault="00B82F75" w:rsidP="00E4628E">
      <w:pPr>
        <w:pStyle w:val="Equation"/>
        <w:tabs>
          <w:tab w:val="clear" w:pos="4820"/>
          <w:tab w:val="left" w:pos="4536"/>
          <w:tab w:val="left" w:pos="5387"/>
        </w:tabs>
        <w:spacing w:line="276" w:lineRule="auto"/>
        <w:rPr>
          <w:color w:val="000000"/>
          <w:sz w:val="20"/>
          <w:lang w:val="es-ES_tradnl"/>
        </w:rPr>
      </w:pPr>
      <w:r w:rsidRPr="00215C51">
        <w:rPr>
          <w:color w:val="000000"/>
          <w:sz w:val="20"/>
          <w:lang w:val="es-ES_tradnl"/>
        </w:rPr>
        <w:tab/>
        <w:t>–25,23</w:t>
      </w:r>
      <w:r w:rsidRPr="00215C51">
        <w:rPr>
          <w:color w:val="000000"/>
          <w:sz w:val="20"/>
          <w:lang w:val="es-ES_tradnl"/>
        </w:rPr>
        <w:tab/>
        <w:t>para</w:t>
      </w:r>
      <w:r w:rsidRPr="00215C51">
        <w:rPr>
          <w:color w:val="000000"/>
          <w:sz w:val="20"/>
          <w:lang w:val="es-ES_tradnl"/>
        </w:rPr>
        <w:tab/>
      </w:r>
      <w:r w:rsidRPr="00F52C10">
        <w:rPr>
          <w:noProof/>
          <w:color w:val="000000"/>
          <w:position w:val="-28"/>
          <w:sz w:val="20"/>
          <w:lang w:val="en-US" w:eastAsia="zh-CN"/>
        </w:rPr>
        <w:drawing>
          <wp:inline distT="0" distB="0" distL="0" distR="0" wp14:anchorId="7AC392BA" wp14:editId="3BE0E20E">
            <wp:extent cx="1590675" cy="419100"/>
            <wp:effectExtent l="0" t="0" r="9525" b="0"/>
            <wp:docPr id="56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p w14:paraId="6165177C" w14:textId="77777777" w:rsidR="00B82F75" w:rsidRPr="00215C51" w:rsidRDefault="00B82F75" w:rsidP="00E4628E">
      <w:pPr>
        <w:pStyle w:val="Equation"/>
        <w:tabs>
          <w:tab w:val="clear" w:pos="4820"/>
          <w:tab w:val="left" w:pos="4536"/>
          <w:tab w:val="left" w:pos="5387"/>
        </w:tabs>
        <w:spacing w:line="276" w:lineRule="auto"/>
        <w:rPr>
          <w:color w:val="000000"/>
          <w:sz w:val="20"/>
          <w:lang w:val="es-ES_tradnl"/>
        </w:rPr>
      </w:pPr>
      <w:r w:rsidRPr="00215C51">
        <w:rPr>
          <w:color w:val="000000"/>
          <w:sz w:val="20"/>
          <w:lang w:val="es-ES_tradnl"/>
        </w:rPr>
        <w:tab/>
        <w:t>–(22  +  20 log (</w:t>
      </w:r>
      <w:r w:rsidRPr="00F52C10">
        <w:rPr>
          <w:color w:val="000000"/>
          <w:sz w:val="20"/>
          <w:lang w:val="es-ES_tradnl"/>
        </w:rPr>
        <w:sym w:font="Symbol" w:char="F06A"/>
      </w:r>
      <w:r w:rsidRPr="00F52C10">
        <w:rPr>
          <w:color w:val="000000"/>
          <w:sz w:val="20"/>
          <w:lang w:val="es-ES_tradnl"/>
        </w:rPr>
        <w:t>/</w:t>
      </w:r>
      <w:r w:rsidRPr="00F52C10">
        <w:rPr>
          <w:color w:val="000000"/>
          <w:sz w:val="20"/>
          <w:lang w:val="es-ES_tradnl"/>
        </w:rPr>
        <w:sym w:font="Symbol" w:char="F06A"/>
      </w:r>
      <w:r w:rsidRPr="00F52C10">
        <w:rPr>
          <w:color w:val="000000"/>
          <w:sz w:val="20"/>
          <w:vertAlign w:val="subscript"/>
          <w:lang w:val="es-ES_tradnl"/>
        </w:rPr>
        <w:t>0</w:t>
      </w:r>
      <w:r w:rsidRPr="00215C51">
        <w:rPr>
          <w:color w:val="000000"/>
          <w:sz w:val="20"/>
          <w:lang w:val="es-ES_tradnl"/>
        </w:rPr>
        <w:t>))</w:t>
      </w:r>
      <w:r w:rsidRPr="00215C51">
        <w:rPr>
          <w:color w:val="000000"/>
          <w:sz w:val="20"/>
          <w:lang w:val="es-ES_tradnl"/>
        </w:rPr>
        <w:tab/>
        <w:t>para</w:t>
      </w:r>
      <w:r w:rsidRPr="00215C51">
        <w:rPr>
          <w:color w:val="000000"/>
          <w:sz w:val="20"/>
          <w:lang w:val="es-ES_tradnl"/>
        </w:rPr>
        <w:tab/>
        <w:t>(</w:t>
      </w:r>
      <w:r w:rsidRPr="00F52C10">
        <w:rPr>
          <w:color w:val="000000"/>
          <w:sz w:val="20"/>
          <w:lang w:val="es-ES_tradnl"/>
        </w:rPr>
        <w:sym w:font="Symbol" w:char="F06A"/>
      </w:r>
      <w:r w:rsidRPr="00F52C10">
        <w:rPr>
          <w:color w:val="000000"/>
          <w:sz w:val="20"/>
          <w:lang w:val="es-ES_tradnl"/>
        </w:rPr>
        <w:t>/</w:t>
      </w:r>
      <w:r w:rsidRPr="00F52C10">
        <w:rPr>
          <w:color w:val="000000"/>
          <w:sz w:val="20"/>
          <w:lang w:val="es-ES_tradnl"/>
        </w:rPr>
        <w:sym w:font="Symbol" w:char="F06A"/>
      </w:r>
      <w:r w:rsidRPr="00F52C10">
        <w:rPr>
          <w:color w:val="000000"/>
          <w:sz w:val="20"/>
          <w:vertAlign w:val="subscript"/>
          <w:lang w:val="es-ES_tradnl"/>
        </w:rPr>
        <w:t>0</w:t>
      </w:r>
      <w:r w:rsidRPr="00215C51">
        <w:rPr>
          <w:color w:val="000000"/>
          <w:sz w:val="20"/>
          <w:lang w:val="es-ES_tradnl"/>
        </w:rPr>
        <w:t>)  &gt;  1,45</w:t>
      </w:r>
    </w:p>
    <w:p w14:paraId="7E42D8DE" w14:textId="77777777" w:rsidR="00B82F75" w:rsidRPr="00215C51" w:rsidRDefault="00B82F75" w:rsidP="00E4628E">
      <w:pPr>
        <w:spacing w:before="160" w:line="276" w:lineRule="auto"/>
        <w:rPr>
          <w:color w:val="000000"/>
          <w:lang w:val="es-ES_tradnl"/>
        </w:rPr>
      </w:pPr>
      <w:r w:rsidRPr="00215C51">
        <w:rPr>
          <w:color w:val="000000"/>
          <w:lang w:val="es-ES_tradnl"/>
        </w:rPr>
        <w:t>después de la intersección con la Curva B: como la Curva B.</w:t>
      </w:r>
    </w:p>
    <w:p w14:paraId="6586C145" w14:textId="77777777" w:rsidR="00B82F75" w:rsidRPr="00F52C10" w:rsidRDefault="00B82F75" w:rsidP="00E4628E">
      <w:pPr>
        <w:spacing w:before="160" w:line="276" w:lineRule="auto"/>
        <w:ind w:left="1134" w:hanging="1134"/>
        <w:rPr>
          <w:lang w:val="es-ES_tradnl"/>
        </w:rPr>
      </w:pPr>
      <w:r w:rsidRPr="00215C51">
        <w:rPr>
          <w:i/>
          <w:lang w:val="es-ES_tradnl"/>
        </w:rPr>
        <w:lastRenderedPageBreak/>
        <w:t>Curva B:</w:t>
      </w:r>
      <w:r w:rsidRPr="00F52C10">
        <w:rPr>
          <w:lang w:val="es-ES_tradnl"/>
        </w:rPr>
        <w:tab/>
        <w:t xml:space="preserve">Ganancia en el eje del haz principal, con signo menos (la Curva B representa ejemplos de cuatro antenas que tienen diferentes valores de </w:t>
      </w:r>
      <w:r w:rsidRPr="00F52C10">
        <w:rPr>
          <w:color w:val="000000"/>
          <w:lang w:val="es-ES_tradnl"/>
        </w:rPr>
        <w:sym w:font="Symbol" w:char="F06A"/>
      </w:r>
      <w:r w:rsidRPr="00F52C10">
        <w:rPr>
          <w:vertAlign w:val="subscript"/>
          <w:lang w:val="es-ES_tradnl"/>
        </w:rPr>
        <w:t>0</w:t>
      </w:r>
      <w:r w:rsidRPr="00215C51">
        <w:rPr>
          <w:lang w:val="es-ES_tradnl"/>
        </w:rPr>
        <w:t xml:space="preserve"> según se indica en la Fig. 1. Las ganancias en el eje de estas antenas son aproximadamente 28,3, 34,3, 40,4 y 46,4 dBi, respectivamente)</w:t>
      </w:r>
      <w:r w:rsidRPr="00215C51">
        <w:rPr>
          <w:color w:val="000000"/>
          <w:sz w:val="16"/>
          <w:lang w:val="es-ES_tradnl"/>
        </w:rPr>
        <w:t xml:space="preserve">      (CMR-07)</w:t>
      </w:r>
    </w:p>
    <w:p w14:paraId="7DB16162" w14:textId="77777777" w:rsidR="00B82F75" w:rsidRPr="00F52C10" w:rsidRDefault="00B82F75" w:rsidP="00E4628E">
      <w:pPr>
        <w:spacing w:line="276" w:lineRule="auto"/>
        <w:rPr>
          <w:color w:val="000000"/>
          <w:lang w:val="es-ES_tradnl"/>
        </w:rPr>
      </w:pPr>
      <w:r w:rsidRPr="00F52C10">
        <w:rPr>
          <w:color w:val="000000"/>
          <w:lang w:val="es-ES_tradnl"/>
        </w:rPr>
        <w:t>donde:</w:t>
      </w:r>
    </w:p>
    <w:p w14:paraId="18F1ED55" w14:textId="77777777" w:rsidR="00B82F75" w:rsidRPr="00215C51" w:rsidRDefault="00B82F75" w:rsidP="00E4628E">
      <w:pPr>
        <w:tabs>
          <w:tab w:val="right" w:pos="1531"/>
          <w:tab w:val="left" w:pos="1701"/>
        </w:tabs>
        <w:spacing w:line="276" w:lineRule="auto"/>
        <w:rPr>
          <w:lang w:val="es-ES_tradnl"/>
        </w:rPr>
      </w:pPr>
      <w:r w:rsidRPr="00F52C10">
        <w:rPr>
          <w:lang w:val="es-ES_tradnl"/>
        </w:rPr>
        <w:tab/>
      </w:r>
      <w:r w:rsidRPr="00F52C10">
        <w:rPr>
          <w:color w:val="000000"/>
          <w:lang w:val="es-ES_tradnl"/>
        </w:rPr>
        <w:sym w:font="Symbol" w:char="F06A"/>
      </w:r>
      <w:r w:rsidRPr="00F52C10">
        <w:rPr>
          <w:color w:val="000000"/>
          <w:lang w:val="es-ES_tradnl"/>
        </w:rPr>
        <w:t>:</w:t>
      </w:r>
      <w:r w:rsidRPr="00215C51">
        <w:rPr>
          <w:lang w:val="es-ES_tradnl"/>
        </w:rPr>
        <w:tab/>
        <w:t>ángulo con respecto al eje principal (grados)</w:t>
      </w:r>
    </w:p>
    <w:p w14:paraId="142A8BC1" w14:textId="77777777" w:rsidR="00B82F75" w:rsidRPr="00215C51" w:rsidRDefault="00B82F75" w:rsidP="00E4628E">
      <w:pPr>
        <w:tabs>
          <w:tab w:val="right" w:pos="1531"/>
          <w:tab w:val="left" w:pos="1701"/>
        </w:tabs>
        <w:spacing w:line="276" w:lineRule="auto"/>
        <w:rPr>
          <w:lang w:val="es-ES_tradnl"/>
        </w:rPr>
      </w:pPr>
      <w:r w:rsidRPr="00215C51">
        <w:rPr>
          <w:lang w:val="es-ES_tradnl"/>
        </w:rPr>
        <w:tab/>
      </w:r>
      <w:r w:rsidRPr="00F52C10">
        <w:rPr>
          <w:color w:val="000000"/>
          <w:lang w:val="es-ES_tradnl"/>
        </w:rPr>
        <w:sym w:font="Symbol" w:char="F06A"/>
      </w:r>
      <w:r w:rsidRPr="00F52C10">
        <w:rPr>
          <w:vertAlign w:val="subscript"/>
          <w:lang w:val="es-ES_tradnl"/>
        </w:rPr>
        <w:t>0</w:t>
      </w:r>
      <w:r w:rsidRPr="00215C51">
        <w:rPr>
          <w:lang w:val="es-ES_tradnl"/>
        </w:rPr>
        <w:t>:</w:t>
      </w:r>
      <w:r w:rsidRPr="00215C51">
        <w:rPr>
          <w:lang w:val="es-ES_tradnl"/>
        </w:rPr>
        <w:tab/>
        <w:t>sección transversal de la anchura de haz a potencia mitad en la dirección considerada (grados)</w:t>
      </w:r>
    </w:p>
    <w:p w14:paraId="3F403598" w14:textId="77777777" w:rsidR="00B82F75" w:rsidRPr="00F52C10" w:rsidRDefault="00B82F75" w:rsidP="00E4628E">
      <w:pPr>
        <w:tabs>
          <w:tab w:val="right" w:pos="1531"/>
          <w:tab w:val="left" w:pos="1701"/>
        </w:tabs>
        <w:spacing w:line="276" w:lineRule="auto"/>
        <w:ind w:left="1701" w:hanging="1701"/>
        <w:rPr>
          <w:lang w:val="es-ES_tradnl"/>
        </w:rPr>
      </w:pPr>
      <w:r w:rsidRPr="00F52C10">
        <w:rPr>
          <w:lang w:val="es-ES_tradnl"/>
        </w:rPr>
        <w:tab/>
      </w:r>
      <w:r w:rsidRPr="00F52C10">
        <w:rPr>
          <w:color w:val="000000"/>
          <w:lang w:val="es-ES_tradnl"/>
        </w:rPr>
        <w:sym w:font="Symbol" w:char="F06A"/>
      </w:r>
      <w:r w:rsidRPr="00F52C10">
        <w:rPr>
          <w:vertAlign w:val="subscript"/>
          <w:lang w:val="es-ES_tradnl"/>
        </w:rPr>
        <w:t>01</w:t>
      </w:r>
      <w:r w:rsidRPr="00215C51">
        <w:rPr>
          <w:lang w:val="es-ES_tradnl" w:eastAsia="zh-CN"/>
        </w:rPr>
        <w:t xml:space="preserve">, </w:t>
      </w:r>
      <w:r w:rsidRPr="00F52C10">
        <w:rPr>
          <w:color w:val="000000"/>
          <w:lang w:val="es-ES_tradnl"/>
        </w:rPr>
        <w:sym w:font="Symbol" w:char="F06A"/>
      </w:r>
      <w:r w:rsidRPr="00F52C10">
        <w:rPr>
          <w:vertAlign w:val="subscript"/>
          <w:lang w:val="es-ES_tradnl"/>
        </w:rPr>
        <w:t>02</w:t>
      </w:r>
      <w:r w:rsidRPr="00215C51">
        <w:rPr>
          <w:lang w:val="es-ES_tradnl" w:eastAsia="zh-CN"/>
        </w:rPr>
        <w:t>:</w:t>
      </w:r>
      <w:r w:rsidRPr="00215C51">
        <w:rPr>
          <w:lang w:val="es-ES_tradnl" w:eastAsia="zh-CN"/>
        </w:rPr>
        <w:tab/>
      </w:r>
      <w:r w:rsidRPr="00215C51">
        <w:rPr>
          <w:lang w:val="es-ES_tradnl"/>
        </w:rPr>
        <w:t>Anchura de haz a potencia mitad de los ejes mayor y menor, respectivamente, de un haz elíptico (grados)</w:t>
      </w:r>
      <w:r w:rsidRPr="00F52C10">
        <w:rPr>
          <w:sz w:val="16"/>
          <w:szCs w:val="16"/>
          <w:lang w:val="es-ES_tradnl"/>
        </w:rPr>
        <w:t>     (CMR-07)</w:t>
      </w:r>
    </w:p>
    <w:p w14:paraId="1D54D0D4" w14:textId="77777777" w:rsidR="00B82F75" w:rsidRPr="00F52C10" w:rsidRDefault="00B82F75" w:rsidP="00E4628E">
      <w:pPr>
        <w:tabs>
          <w:tab w:val="left" w:pos="851"/>
        </w:tabs>
        <w:spacing w:line="276" w:lineRule="auto"/>
        <w:ind w:left="851" w:hanging="851"/>
      </w:pPr>
      <w:r w:rsidRPr="00F52C10">
        <w:rPr>
          <w:lang w:val="es-ES_tradnl"/>
        </w:rPr>
        <w:tab/>
      </w:r>
      <w:r w:rsidR="00D12659" w:rsidRPr="00B82F75">
        <w:rPr>
          <w:noProof/>
          <w:color w:val="000000"/>
          <w:position w:val="-32"/>
          <w:lang w:val="en-US"/>
        </w:rPr>
        <w:object w:dxaOrig="1428" w:dyaOrig="600" w14:anchorId="72825903">
          <v:shape id="_x0000_i1030" type="#_x0000_t75" alt="" style="width:1in;height:30pt;mso-width-percent:0;mso-height-percent:0;mso-width-percent:0;mso-height-percent:0" o:ole="">
            <v:imagedata r:id="rId24" o:title=""/>
          </v:shape>
          <o:OLEObject Type="Embed" ProgID="Equation.3" ShapeID="_x0000_i1030" DrawAspect="Content" ObjectID="_1604399711" r:id="rId25"/>
        </w:object>
      </w:r>
    </w:p>
    <w:p w14:paraId="59DC08DD" w14:textId="77777777" w:rsidR="00B82F75" w:rsidRPr="00215C51" w:rsidRDefault="00B82F75" w:rsidP="00E4628E">
      <w:pPr>
        <w:tabs>
          <w:tab w:val="left" w:pos="851"/>
        </w:tabs>
        <w:spacing w:line="276" w:lineRule="auto"/>
        <w:ind w:left="851" w:hanging="851"/>
      </w:pPr>
      <w:r w:rsidRPr="00215C51">
        <w:t>donde:</w:t>
      </w:r>
    </w:p>
    <w:p w14:paraId="694CFACC" w14:textId="77777777" w:rsidR="00B82F75" w:rsidRPr="00F52C10" w:rsidRDefault="00B82F75" w:rsidP="00E4628E">
      <w:pPr>
        <w:tabs>
          <w:tab w:val="left" w:pos="851"/>
        </w:tabs>
        <w:spacing w:line="276" w:lineRule="auto"/>
        <w:ind w:left="851" w:hanging="851"/>
        <w:rPr>
          <w:color w:val="000000"/>
          <w:lang w:val="en-US"/>
        </w:rPr>
      </w:pPr>
      <w:r w:rsidRPr="00215C51">
        <w:rPr>
          <w:color w:val="000000"/>
        </w:rPr>
        <w:tab/>
      </w:r>
      <w:r w:rsidR="00D12659" w:rsidRPr="00B82F75">
        <w:rPr>
          <w:noProof/>
          <w:color w:val="000000"/>
          <w:position w:val="-30"/>
          <w:lang w:val="en-US"/>
        </w:rPr>
        <w:object w:dxaOrig="2820" w:dyaOrig="564" w14:anchorId="1DB38667">
          <v:shape id="_x0000_i1031" type="#_x0000_t75" alt="" style="width:141.75pt;height:30pt;mso-width-percent:0;mso-height-percent:0;mso-width-percent:0;mso-height-percent:0" o:ole="">
            <v:imagedata r:id="rId26" o:title=""/>
          </v:shape>
          <o:OLEObject Type="Embed" ProgID="Equation.3" ShapeID="_x0000_i1031" DrawAspect="Content" ObjectID="_1604399712" r:id="rId27"/>
        </w:object>
      </w:r>
    </w:p>
    <w:p w14:paraId="493E4F42" w14:textId="77777777" w:rsidR="00B82F75" w:rsidRPr="00215C51" w:rsidRDefault="00B82F75" w:rsidP="00E4628E">
      <w:pPr>
        <w:autoSpaceDE/>
        <w:autoSpaceDN/>
        <w:spacing w:line="276" w:lineRule="auto"/>
        <w:rPr>
          <w:i/>
          <w:lang w:val="es-ES_tradnl"/>
        </w:rPr>
      </w:pPr>
      <w:r w:rsidRPr="00215C51">
        <w:rPr>
          <w:i/>
          <w:lang w:val="es-ES_tradnl"/>
        </w:rPr>
        <w:br w:type="page"/>
      </w:r>
    </w:p>
    <w:p w14:paraId="76736712" w14:textId="77777777" w:rsidR="00B82F75" w:rsidRPr="00215C51" w:rsidRDefault="00B82F75" w:rsidP="00E4628E">
      <w:pPr>
        <w:keepNext/>
        <w:keepLines/>
        <w:spacing w:line="276" w:lineRule="auto"/>
        <w:rPr>
          <w:color w:val="000000"/>
          <w:lang w:val="es-ES_tradnl"/>
        </w:rPr>
      </w:pPr>
      <w:r w:rsidRPr="00215C51">
        <w:rPr>
          <w:color w:val="000000"/>
          <w:lang w:val="es-ES_tradnl"/>
        </w:rPr>
        <w:lastRenderedPageBreak/>
        <w:t>1.7.3</w:t>
      </w:r>
      <w:r w:rsidRPr="00215C51">
        <w:rPr>
          <w:color w:val="000000"/>
          <w:lang w:val="es-ES_tradnl"/>
        </w:rPr>
        <w:tab/>
        <w:t>La temperatura de ruido del sistema receptor de la estación espacial a la salida de la antena receptora es:</w:t>
      </w:r>
    </w:p>
    <w:p w14:paraId="44462469" w14:textId="77777777" w:rsidR="00B82F75" w:rsidRPr="00F52C10" w:rsidRDefault="00B82F75" w:rsidP="00E4628E">
      <w:pPr>
        <w:pStyle w:val="enumlev2"/>
        <w:spacing w:line="276" w:lineRule="auto"/>
        <w:rPr>
          <w:lang w:val="es-ES_tradnl"/>
        </w:rPr>
      </w:pPr>
      <w:r w:rsidRPr="00F52C10">
        <w:rPr>
          <w:lang w:val="es-ES_tradnl"/>
        </w:rPr>
        <w:t>500 K para 6 GHz;</w:t>
      </w:r>
    </w:p>
    <w:p w14:paraId="51EFA82F" w14:textId="77777777" w:rsidR="00B82F75" w:rsidRPr="00F52C10" w:rsidRDefault="00B82F75" w:rsidP="00E4628E">
      <w:pPr>
        <w:pStyle w:val="enumlev2"/>
        <w:spacing w:line="276" w:lineRule="auto"/>
        <w:rPr>
          <w:lang w:val="es-ES_tradnl"/>
        </w:rPr>
      </w:pPr>
      <w:r w:rsidRPr="00F52C10">
        <w:rPr>
          <w:lang w:val="es-ES_tradnl"/>
        </w:rPr>
        <w:t>550 K para 13 GHz.</w:t>
      </w:r>
    </w:p>
    <w:p w14:paraId="7213FD52" w14:textId="77777777" w:rsidR="00B82F75" w:rsidRPr="00F52C10" w:rsidRDefault="00B82F75" w:rsidP="00E4628E">
      <w:pPr>
        <w:spacing w:line="276" w:lineRule="auto"/>
        <w:rPr>
          <w:color w:val="000000"/>
          <w:lang w:val="es-ES_tradnl"/>
        </w:rPr>
      </w:pPr>
      <w:r w:rsidRPr="00F52C10">
        <w:rPr>
          <w:color w:val="000000"/>
          <w:lang w:val="es-ES_tradnl"/>
        </w:rPr>
        <w:t>1.7.4</w:t>
      </w:r>
      <w:r w:rsidRPr="00F52C10">
        <w:rPr>
          <w:color w:val="000000"/>
          <w:lang w:val="es-ES_tradnl"/>
        </w:rPr>
        <w:tab/>
        <w:t>La apertura mínima del haz, en términos de anchura de haz a potencia mitad, es de 1,6° para la banda 6/4 GHz y de 0,8° para la banda 13/10-11 GHz.</w:t>
      </w:r>
    </w:p>
    <w:p w14:paraId="03EA225C" w14:textId="77777777" w:rsidR="00B82F75" w:rsidRPr="00F52C10" w:rsidRDefault="00B82F75" w:rsidP="00E4628E">
      <w:pPr>
        <w:spacing w:line="276" w:lineRule="auto"/>
        <w:rPr>
          <w:color w:val="000000"/>
          <w:lang w:val="es-ES_tradnl"/>
        </w:rPr>
      </w:pPr>
      <w:r w:rsidRPr="00F52C10">
        <w:rPr>
          <w:color w:val="000000"/>
          <w:lang w:val="es-ES_tradnl"/>
        </w:rPr>
        <w:t>1.7.5</w:t>
      </w:r>
      <w:r w:rsidRPr="00F52C10">
        <w:rPr>
          <w:color w:val="000000"/>
          <w:lang w:val="es-ES_tradnl"/>
        </w:rPr>
        <w:tab/>
        <w:t>La eficiencia de la antena de la estación espacial es del 55%.</w:t>
      </w:r>
    </w:p>
    <w:p w14:paraId="4834E8BB" w14:textId="77777777" w:rsidR="00B82F75" w:rsidRPr="00F52C10" w:rsidRDefault="00B82F75" w:rsidP="00E4628E">
      <w:pPr>
        <w:spacing w:line="276" w:lineRule="auto"/>
        <w:rPr>
          <w:color w:val="000000"/>
          <w:lang w:val="es-ES_tradnl"/>
        </w:rPr>
      </w:pPr>
      <w:r w:rsidRPr="00F52C10">
        <w:rPr>
          <w:color w:val="000000"/>
          <w:lang w:val="es-ES_tradnl"/>
        </w:rPr>
        <w:t>1.7.6</w:t>
      </w:r>
      <w:r w:rsidRPr="00F52C10">
        <w:rPr>
          <w:color w:val="000000"/>
          <w:lang w:val="es-ES_tradnl"/>
        </w:rPr>
        <w:tab/>
        <w:t>La desviación del haz de la antena de la estación espacial respecto a su dirección de puntería nominal está limitada a 0,1° en cualquier dirección. La precisión de rotación de los haces elípticos es de ±1,0°.</w:t>
      </w:r>
    </w:p>
    <w:p w14:paraId="30D12873" w14:textId="77777777" w:rsidR="00B82F75" w:rsidRPr="00F52C10" w:rsidRDefault="00B82F75" w:rsidP="00E4628E">
      <w:pPr>
        <w:pStyle w:val="Ttulo2"/>
        <w:spacing w:line="276" w:lineRule="auto"/>
        <w:rPr>
          <w:color w:val="000000"/>
          <w:lang w:val="es-ES_tradnl"/>
        </w:rPr>
      </w:pPr>
      <w:r w:rsidRPr="00F52C10">
        <w:rPr>
          <w:color w:val="000000"/>
          <w:lang w:val="es-ES_tradnl"/>
        </w:rPr>
        <w:t>1.8</w:t>
      </w:r>
      <w:r w:rsidRPr="00F52C10">
        <w:rPr>
          <w:color w:val="000000"/>
          <w:lang w:val="es-ES_tradnl"/>
        </w:rPr>
        <w:tab/>
        <w:t>Anchura de banda</w:t>
      </w:r>
    </w:p>
    <w:p w14:paraId="63098770" w14:textId="77777777" w:rsidR="00B82F75" w:rsidRPr="00F52C10" w:rsidRDefault="00B82F75" w:rsidP="00E4628E">
      <w:pPr>
        <w:spacing w:line="276" w:lineRule="auto"/>
        <w:rPr>
          <w:color w:val="000000"/>
          <w:lang w:val="es-ES_tradnl"/>
        </w:rPr>
      </w:pPr>
      <w:r w:rsidRPr="00F52C10">
        <w:rPr>
          <w:color w:val="000000"/>
          <w:lang w:val="es-ES_tradnl"/>
        </w:rPr>
        <w:t>El Plan de adjudicaciones se basa en la potencia de la portadora promediada en la anchura de banda necesaria de la portadora modulada y referida a un ancho de banda de 1 MHz.</w:t>
      </w:r>
    </w:p>
    <w:p w14:paraId="7F9DAE59" w14:textId="77777777" w:rsidR="00B82F75" w:rsidRPr="00F52C10" w:rsidRDefault="00B82F75" w:rsidP="00E4628E">
      <w:pPr>
        <w:pStyle w:val="Section1"/>
        <w:keepNext/>
        <w:keepLines/>
        <w:spacing w:before="600" w:line="276" w:lineRule="auto"/>
        <w:rPr>
          <w:color w:val="000000"/>
          <w:lang w:val="es-ES_tradnl"/>
        </w:rPr>
      </w:pPr>
      <w:r w:rsidRPr="00F52C10">
        <w:rPr>
          <w:color w:val="000000"/>
          <w:lang w:val="es-ES_tradnl"/>
        </w:rPr>
        <w:t>                   Sección B</w:t>
      </w:r>
      <w:r w:rsidRPr="00F52C10">
        <w:rPr>
          <w:sz w:val="16"/>
          <w:szCs w:val="16"/>
          <w:lang w:val="es-ES_tradnl"/>
        </w:rPr>
        <w:t>     </w:t>
      </w:r>
      <w:r w:rsidRPr="00F52C10">
        <w:rPr>
          <w:b w:val="0"/>
          <w:bCs/>
          <w:color w:val="000000"/>
          <w:sz w:val="16"/>
          <w:szCs w:val="16"/>
          <w:lang w:val="es-ES_tradnl"/>
        </w:rPr>
        <w:t>(SUP – CMR-07)</w:t>
      </w:r>
    </w:p>
    <w:p w14:paraId="5F36844A" w14:textId="77777777" w:rsidR="00B82F75" w:rsidRPr="00F52C10" w:rsidRDefault="00B82F75" w:rsidP="00E4628E">
      <w:pPr>
        <w:pStyle w:val="AnnexNo"/>
        <w:spacing w:before="600" w:line="276" w:lineRule="auto"/>
        <w:rPr>
          <w:color w:val="000000"/>
          <w:lang w:val="es-ES_tradnl"/>
        </w:rPr>
      </w:pPr>
      <w:r w:rsidRPr="00F52C10">
        <w:rPr>
          <w:color w:val="000000"/>
          <w:lang w:val="es-ES_tradnl"/>
        </w:rPr>
        <w:t>                   ANEXO 2</w:t>
      </w:r>
      <w:r w:rsidRPr="00F52C10">
        <w:rPr>
          <w:color w:val="000000"/>
          <w:sz w:val="16"/>
          <w:lang w:val="es-ES_tradnl"/>
        </w:rPr>
        <w:t>     </w:t>
      </w:r>
      <w:r w:rsidRPr="00F52C10">
        <w:rPr>
          <w:color w:val="000000"/>
          <w:sz w:val="16"/>
          <w:szCs w:val="16"/>
          <w:lang w:val="es-ES_tradnl"/>
        </w:rPr>
        <w:t>(SUP – CMR-07)</w:t>
      </w:r>
    </w:p>
    <w:p w14:paraId="497E03BE" w14:textId="77777777" w:rsidR="00B82F75" w:rsidRPr="00F52C10" w:rsidRDefault="00B82F75" w:rsidP="00E4628E">
      <w:pPr>
        <w:pStyle w:val="AnnexNo"/>
        <w:spacing w:before="600" w:line="276" w:lineRule="auto"/>
        <w:rPr>
          <w:sz w:val="16"/>
          <w:szCs w:val="16"/>
          <w:lang w:val="es-ES_tradnl"/>
        </w:rPr>
      </w:pPr>
      <w:r w:rsidRPr="00F52C10">
        <w:rPr>
          <w:color w:val="000000"/>
          <w:lang w:val="es-ES_tradnl"/>
        </w:rPr>
        <w:t>             </w:t>
      </w:r>
      <w:r w:rsidRPr="00F52C10">
        <w:rPr>
          <w:lang w:val="es-ES_tradnl"/>
        </w:rPr>
        <w:t>ANEXO 3</w:t>
      </w:r>
      <w:r w:rsidRPr="00F52C10">
        <w:rPr>
          <w:sz w:val="16"/>
          <w:szCs w:val="16"/>
          <w:lang w:val="es-ES_tradnl"/>
        </w:rPr>
        <w:t>     (CMR-07)</w:t>
      </w:r>
    </w:p>
    <w:p w14:paraId="02626958" w14:textId="77777777" w:rsidR="00B82F75" w:rsidRPr="00F52C10" w:rsidRDefault="00B82F75" w:rsidP="00E4628E">
      <w:pPr>
        <w:pStyle w:val="Annextitle"/>
        <w:spacing w:line="276" w:lineRule="auto"/>
        <w:rPr>
          <w:rFonts w:ascii="Times New Roman" w:hAnsi="Times New Roman"/>
          <w:color w:val="000000"/>
          <w:vertAlign w:val="superscript"/>
          <w:lang w:val="es-ES_tradnl"/>
        </w:rPr>
      </w:pPr>
      <w:r w:rsidRPr="00F52C10">
        <w:rPr>
          <w:rFonts w:ascii="Times New Roman" w:hAnsi="Times New Roman"/>
          <w:lang w:val="es-ES_tradnl"/>
        </w:rPr>
        <w:t>Límites aplicables a las comunicaciones recibidas con arreglo</w:t>
      </w:r>
      <w:r w:rsidRPr="00F52C10">
        <w:rPr>
          <w:rFonts w:ascii="Times New Roman" w:hAnsi="Times New Roman"/>
          <w:lang w:val="es-ES_tradnl"/>
        </w:rPr>
        <w:br/>
        <w:t>al Artículo 6 o al Artículo 7</w:t>
      </w:r>
      <w:r w:rsidRPr="00F52C10">
        <w:rPr>
          <w:rFonts w:ascii="Times New Roman" w:hAnsi="Times New Roman"/>
          <w:b w:val="0"/>
          <w:bCs/>
          <w:vertAlign w:val="superscript"/>
          <w:lang w:val="es-ES_tradnl"/>
        </w:rPr>
        <w:footnoteReference w:customMarkFollows="1" w:id="29"/>
        <w:t>15</w:t>
      </w:r>
    </w:p>
    <w:p w14:paraId="146FF5DE" w14:textId="77777777" w:rsidR="00B82F75" w:rsidRPr="00F52C10" w:rsidRDefault="00B82F75" w:rsidP="00E4628E">
      <w:pPr>
        <w:pStyle w:val="Normalaftertitle"/>
        <w:spacing w:line="276" w:lineRule="auto"/>
        <w:rPr>
          <w:lang w:val="es-ES_tradnl" w:eastAsia="zh-CN"/>
        </w:rPr>
      </w:pPr>
      <w:r w:rsidRPr="00F52C10">
        <w:rPr>
          <w:lang w:val="es-ES_tradnl" w:eastAsia="zh-CN"/>
        </w:rPr>
        <w:t>En condiciones de propagación en el espacio libre,</w:t>
      </w:r>
      <w:r w:rsidRPr="00F52C10">
        <w:rPr>
          <w:lang w:val="es-ES_tradnl"/>
        </w:rPr>
        <w:t xml:space="preserve"> </w:t>
      </w:r>
      <w:r w:rsidRPr="00F52C10">
        <w:rPr>
          <w:lang w:val="es-ES_tradnl" w:eastAsia="zh-CN"/>
        </w:rPr>
        <w:t>la densidad de flujo de potencia (espacio-Tierra) producida en cualquier porción de la superficie de la Tierra por una nueva adjudicación o asignación propuesta no deberá superar:</w:t>
      </w:r>
    </w:p>
    <w:p w14:paraId="2637EF2A" w14:textId="77777777" w:rsidR="00B82F75" w:rsidRPr="00F52C10" w:rsidRDefault="00B82F75" w:rsidP="00E4628E">
      <w:pPr>
        <w:pStyle w:val="enumlev1"/>
        <w:spacing w:line="276" w:lineRule="auto"/>
        <w:rPr>
          <w:lang w:val="es-ES_tradnl" w:eastAsia="zh-CN"/>
        </w:rPr>
      </w:pPr>
      <w:r w:rsidRPr="00F52C10">
        <w:rPr>
          <w:lang w:val="es-ES_tradnl" w:eastAsia="zh-CN"/>
        </w:rPr>
        <w:t>–</w:t>
      </w:r>
      <w:r w:rsidRPr="00F52C10">
        <w:rPr>
          <w:lang w:val="es-ES_tradnl" w:eastAsia="zh-CN"/>
        </w:rPr>
        <w:tab/>
      </w:r>
      <w:r w:rsidRPr="00F52C10">
        <w:rPr>
          <w:lang w:val="es-ES_tradnl"/>
        </w:rPr>
        <w:t>−127,5 dB(W/(m</w:t>
      </w:r>
      <w:r w:rsidRPr="00F52C10">
        <w:rPr>
          <w:vertAlign w:val="superscript"/>
          <w:lang w:val="es-ES_tradnl"/>
        </w:rPr>
        <w:t>2</w:t>
      </w:r>
      <w:r w:rsidRPr="00F52C10">
        <w:rPr>
          <w:lang w:val="es-ES_tradnl"/>
        </w:rPr>
        <w:t xml:space="preserve"> · MHz)) en la banda 4 500-4 800 MHz; </w:t>
      </w:r>
      <w:r w:rsidRPr="00F52C10">
        <w:rPr>
          <w:i/>
          <w:iCs/>
          <w:lang w:val="es-ES_tradnl"/>
        </w:rPr>
        <w:t>y</w:t>
      </w:r>
    </w:p>
    <w:p w14:paraId="4ADEDA80" w14:textId="77777777" w:rsidR="00B82F75" w:rsidRPr="00F52C10" w:rsidRDefault="00B82F75" w:rsidP="00E4628E">
      <w:pPr>
        <w:pStyle w:val="enumlev1"/>
        <w:spacing w:line="276" w:lineRule="auto"/>
        <w:rPr>
          <w:lang w:val="es-ES_tradnl"/>
        </w:rPr>
      </w:pPr>
      <w:r w:rsidRPr="00F52C10">
        <w:rPr>
          <w:lang w:val="es-ES_tradnl"/>
        </w:rPr>
        <w:lastRenderedPageBreak/>
        <w:t>–</w:t>
      </w:r>
      <w:r w:rsidRPr="00F52C10">
        <w:rPr>
          <w:lang w:val="es-ES_tradnl"/>
        </w:rPr>
        <w:tab/>
        <w:t>−114,0 dB(W/(m</w:t>
      </w:r>
      <w:r w:rsidRPr="00F52C10">
        <w:rPr>
          <w:vertAlign w:val="superscript"/>
          <w:lang w:val="es-ES_tradnl"/>
        </w:rPr>
        <w:t>2</w:t>
      </w:r>
      <w:r w:rsidRPr="00F52C10">
        <w:rPr>
          <w:lang w:val="es-ES_tradnl"/>
        </w:rPr>
        <w:t> · MHz)) en las bandas 10,70-10,95 GHz y 11,20-11,45 GHz.</w:t>
      </w:r>
    </w:p>
    <w:p w14:paraId="62713BD6" w14:textId="77777777" w:rsidR="00B82F75" w:rsidRPr="00F52C10" w:rsidRDefault="00B82F75" w:rsidP="00E4628E">
      <w:pPr>
        <w:spacing w:line="276" w:lineRule="auto"/>
        <w:rPr>
          <w:lang w:val="es-ES_tradnl"/>
        </w:rPr>
      </w:pPr>
      <w:r w:rsidRPr="00F52C10">
        <w:rPr>
          <w:lang w:val="es-ES_tradnl" w:eastAsia="zh-CN"/>
        </w:rPr>
        <w:t>En condiciones de propagación en el espacio libre,</w:t>
      </w:r>
      <w:r w:rsidRPr="00F52C10">
        <w:rPr>
          <w:lang w:val="es-ES_tradnl"/>
        </w:rPr>
        <w:t xml:space="preserve"> </w:t>
      </w:r>
      <w:r w:rsidRPr="00F52C10">
        <w:rPr>
          <w:lang w:val="es-ES_tradnl" w:eastAsia="zh-CN"/>
        </w:rPr>
        <w:t>la densidad de flujo de potencia (Tierra- espacio) de una nueva adjudicación o asignación propuesta no deberá superar:</w:t>
      </w:r>
    </w:p>
    <w:p w14:paraId="2D116AB1" w14:textId="77777777" w:rsidR="00B82F75" w:rsidRPr="00F52C10" w:rsidRDefault="00B82F75" w:rsidP="00E4628E">
      <w:pPr>
        <w:pStyle w:val="enumlev1"/>
        <w:spacing w:line="276" w:lineRule="auto"/>
        <w:rPr>
          <w:i/>
          <w:iCs/>
          <w:lang w:val="es-ES_tradnl"/>
        </w:rPr>
      </w:pPr>
      <w:r w:rsidRPr="00F52C10">
        <w:rPr>
          <w:lang w:val="es-ES_tradnl"/>
        </w:rPr>
        <w:t>–</w:t>
      </w:r>
      <w:r w:rsidRPr="00F52C10">
        <w:rPr>
          <w:lang w:val="es-ES_tradnl"/>
        </w:rPr>
        <w:tab/>
        <w:t>−140,0 dB(W/(m</w:t>
      </w:r>
      <w:r w:rsidRPr="00F52C10">
        <w:rPr>
          <w:vertAlign w:val="superscript"/>
          <w:lang w:val="es-ES_tradnl"/>
        </w:rPr>
        <w:t>2</w:t>
      </w:r>
      <w:r w:rsidRPr="00F52C10">
        <w:rPr>
          <w:lang w:val="es-ES_tradnl"/>
        </w:rPr>
        <w:t xml:space="preserve"> · MHz)) </w:t>
      </w:r>
      <w:r w:rsidRPr="00F52C10">
        <w:rPr>
          <w:lang w:val="es-ES_tradnl" w:eastAsia="zh-CN"/>
        </w:rPr>
        <w:t>hacia cualquier punto de la órbita de los satélites geoestacionarios situado a más de 10</w:t>
      </w:r>
      <w:r w:rsidRPr="00F52C10">
        <w:rPr>
          <w:color w:val="000000"/>
          <w:lang w:val="es-ES_tradnl"/>
        </w:rPr>
        <w:t>°</w:t>
      </w:r>
      <w:r w:rsidRPr="00F52C10">
        <w:rPr>
          <w:lang w:val="es-ES_tradnl"/>
        </w:rPr>
        <w:t xml:space="preserve"> </w:t>
      </w:r>
      <w:r w:rsidRPr="00F52C10">
        <w:rPr>
          <w:lang w:val="es-ES_tradnl" w:eastAsia="zh-CN"/>
        </w:rPr>
        <w:t xml:space="preserve">de la posición orbital propuesta en la banda </w:t>
      </w:r>
      <w:r w:rsidRPr="00F52C10">
        <w:rPr>
          <w:lang w:val="es-ES_tradnl"/>
        </w:rPr>
        <w:t>6 725</w:t>
      </w:r>
      <w:r w:rsidRPr="00F52C10">
        <w:rPr>
          <w:lang w:val="es-ES_tradnl"/>
        </w:rPr>
        <w:noBreakHyphen/>
        <w:t xml:space="preserve">7 025 MHz, </w:t>
      </w:r>
      <w:r w:rsidRPr="00F52C10">
        <w:rPr>
          <w:iCs/>
          <w:lang w:val="es-ES_tradnl"/>
        </w:rPr>
        <w:t>y</w:t>
      </w:r>
    </w:p>
    <w:p w14:paraId="394F978B" w14:textId="562C4277" w:rsidR="00B82F75" w:rsidRPr="00F52C10" w:rsidRDefault="00B82F75" w:rsidP="00E4628E">
      <w:pPr>
        <w:pStyle w:val="enumlev1"/>
        <w:spacing w:line="276" w:lineRule="auto"/>
        <w:rPr>
          <w:lang w:val="es-ES_tradnl"/>
        </w:rPr>
      </w:pPr>
      <w:r w:rsidRPr="00F52C10">
        <w:rPr>
          <w:lang w:val="es-ES_tradnl"/>
        </w:rPr>
        <w:t>–</w:t>
      </w:r>
      <w:r w:rsidRPr="00F52C10">
        <w:rPr>
          <w:lang w:val="es-ES_tradnl"/>
        </w:rPr>
        <w:tab/>
        <w:t>−133,0 dB(W/(m</w:t>
      </w:r>
      <w:r w:rsidRPr="00F52C10">
        <w:rPr>
          <w:vertAlign w:val="superscript"/>
          <w:lang w:val="es-ES_tradnl"/>
        </w:rPr>
        <w:t>2</w:t>
      </w:r>
      <w:r w:rsidRPr="00F52C10">
        <w:rPr>
          <w:lang w:val="es-ES_tradnl"/>
        </w:rPr>
        <w:t xml:space="preserve"> · MHz)) </w:t>
      </w:r>
      <w:r w:rsidRPr="00F52C10">
        <w:rPr>
          <w:lang w:val="es-ES_tradnl" w:eastAsia="zh-CN"/>
        </w:rPr>
        <w:t xml:space="preserve">hacia cualquier punto de la órbita de los satélites geoestacionarios situado a más de </w:t>
      </w:r>
      <w:r w:rsidRPr="00F52C10">
        <w:rPr>
          <w:lang w:val="es-ES_tradnl"/>
        </w:rPr>
        <w:t xml:space="preserve">9° </w:t>
      </w:r>
      <w:r w:rsidRPr="00F52C10">
        <w:rPr>
          <w:lang w:val="es-ES_tradnl" w:eastAsia="zh-CN"/>
        </w:rPr>
        <w:t xml:space="preserve">de la posición orbital propuesta en la banda </w:t>
      </w:r>
      <w:r w:rsidRPr="00F52C10">
        <w:rPr>
          <w:lang w:val="es-ES_tradnl"/>
        </w:rPr>
        <w:t>12,75</w:t>
      </w:r>
      <w:r w:rsidRPr="00F52C10">
        <w:rPr>
          <w:lang w:val="es-ES_tradnl"/>
        </w:rPr>
        <w:noBreakHyphen/>
        <w:t>13,25 GHz.</w:t>
      </w:r>
      <w:r w:rsidRPr="00F52C10">
        <w:rPr>
          <w:color w:val="000000"/>
          <w:lang w:val="es-ES_tradnl"/>
        </w:rPr>
        <w:t> </w:t>
      </w:r>
    </w:p>
    <w:sectPr w:rsidR="00B82F75" w:rsidRPr="00F52C10" w:rsidSect="007148B2">
      <w:headerReference w:type="default" r:id="rId28"/>
      <w:footerReference w:type="even" r:id="rId29"/>
      <w:footerReference w:type="default" r:id="rId30"/>
      <w:footerReference w:type="first" r:id="rId31"/>
      <w:pgSz w:w="12240" w:h="15840" w:code="1"/>
      <w:pgMar w:top="1440" w:right="1080" w:bottom="1440" w:left="1080" w:header="1440" w:footer="720" w:gutter="0"/>
      <w:pgNumType w:start="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7C65" w14:textId="77777777" w:rsidR="001C4FC0" w:rsidRDefault="001C4FC0">
      <w:r>
        <w:separator/>
      </w:r>
    </w:p>
  </w:endnote>
  <w:endnote w:type="continuationSeparator" w:id="0">
    <w:p w14:paraId="00369C85" w14:textId="77777777" w:rsidR="001C4FC0" w:rsidRDefault="001C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宋体">
    <w:altName w:val="SimSun"/>
    <w:charset w:val="86"/>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Bernard MT Condensed"/>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A333" w14:textId="77777777" w:rsidR="001A2FEC" w:rsidRDefault="001A2F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FA662" w14:textId="77777777" w:rsidR="001A2FEC" w:rsidRDefault="001A2FE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9F8B" w14:textId="1B852DF3" w:rsidR="001A2FEC" w:rsidRDefault="001A2FEC" w:rsidP="0070225A">
    <w:pPr>
      <w:pStyle w:val="Piedepgina"/>
      <w:rPr>
        <w:lang w:val="es-CR"/>
      </w:rPr>
    </w:pPr>
  </w:p>
  <w:p w14:paraId="44A88DE2" w14:textId="77777777" w:rsidR="001A2FEC" w:rsidRDefault="001A2FEC" w:rsidP="0070225A">
    <w:pPr>
      <w:pStyle w:val="Piedepgina"/>
      <w:rPr>
        <w:lang w:val="es-CR"/>
      </w:rPr>
    </w:pPr>
  </w:p>
  <w:tbl>
    <w:tblPr>
      <w:tblW w:w="5288" w:type="pct"/>
      <w:tblBorders>
        <w:top w:val="double" w:sz="2" w:space="0" w:color="A6A6A6"/>
        <w:bottom w:val="double" w:sz="2" w:space="0" w:color="A6A6A6"/>
      </w:tblBorders>
      <w:tblLayout w:type="fixed"/>
      <w:tblLook w:val="04A0" w:firstRow="1" w:lastRow="0" w:firstColumn="1" w:lastColumn="0" w:noHBand="0" w:noVBand="1"/>
    </w:tblPr>
    <w:tblGrid>
      <w:gridCol w:w="2111"/>
      <w:gridCol w:w="7484"/>
      <w:gridCol w:w="1066"/>
    </w:tblGrid>
    <w:tr w:rsidR="001A2FEC" w14:paraId="73202A23" w14:textId="77777777" w:rsidTr="00E4628E">
      <w:trPr>
        <w:trHeight w:hRule="exact" w:val="425"/>
      </w:trPr>
      <w:tc>
        <w:tcPr>
          <w:tcW w:w="990" w:type="pct"/>
          <w:vMerge w:val="restart"/>
          <w:shd w:val="clear" w:color="auto" w:fill="auto"/>
          <w:vAlign w:val="center"/>
        </w:tcPr>
        <w:p w14:paraId="6BAEFE22" w14:textId="77777777" w:rsidR="001A2FEC" w:rsidRPr="005948BF" w:rsidRDefault="001A2FEC" w:rsidP="00215C51">
          <w:pPr>
            <w:pStyle w:val="Piedepgina"/>
            <w:rPr>
              <w:sz w:val="22"/>
              <w:szCs w:val="22"/>
            </w:rPr>
          </w:pPr>
          <w:r w:rsidRPr="005948BF">
            <w:rPr>
              <w:noProof/>
              <w:sz w:val="22"/>
              <w:szCs w:val="22"/>
              <w:lang w:eastAsia="es-CR"/>
            </w:rPr>
            <w:drawing>
              <wp:inline distT="0" distB="0" distL="0" distR="0" wp14:anchorId="36A1446F" wp14:editId="63CB28E5">
                <wp:extent cx="1203960" cy="67691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676910"/>
                        </a:xfrm>
                        <a:prstGeom prst="rect">
                          <a:avLst/>
                        </a:prstGeom>
                        <a:noFill/>
                        <a:ln>
                          <a:noFill/>
                        </a:ln>
                      </pic:spPr>
                    </pic:pic>
                  </a:graphicData>
                </a:graphic>
              </wp:inline>
            </w:drawing>
          </w:r>
        </w:p>
      </w:tc>
      <w:tc>
        <w:tcPr>
          <w:tcW w:w="3510" w:type="pct"/>
          <w:tcBorders>
            <w:top w:val="double" w:sz="2" w:space="0" w:color="A6A6A6"/>
            <w:bottom w:val="single" w:sz="2" w:space="0" w:color="BFBFBF"/>
          </w:tcBorders>
          <w:shd w:val="clear" w:color="auto" w:fill="auto"/>
          <w:vAlign w:val="center"/>
        </w:tcPr>
        <w:p w14:paraId="33585A82" w14:textId="77777777" w:rsidR="001A2FEC" w:rsidRPr="005948BF" w:rsidRDefault="001A2FEC" w:rsidP="00215C51">
          <w:pPr>
            <w:jc w:val="center"/>
            <w:rPr>
              <w:rFonts w:ascii="Arial" w:hAnsi="Arial" w:cs="Arial"/>
              <w:sz w:val="16"/>
              <w:szCs w:val="22"/>
            </w:rPr>
          </w:pPr>
          <w:r w:rsidRPr="005948BF">
            <w:rPr>
              <w:rFonts w:ascii="Arial" w:hAnsi="Arial" w:cs="Arial"/>
              <w:sz w:val="16"/>
              <w:szCs w:val="22"/>
            </w:rPr>
            <w:t>Ministerio de Ciencia, Tecnología y Telecomunicaciones</w:t>
          </w:r>
        </w:p>
      </w:tc>
      <w:tc>
        <w:tcPr>
          <w:tcW w:w="500" w:type="pct"/>
          <w:vMerge w:val="restart"/>
          <w:shd w:val="clear" w:color="auto" w:fill="auto"/>
          <w:vAlign w:val="center"/>
        </w:tcPr>
        <w:p w14:paraId="5F950651" w14:textId="77777777" w:rsidR="001A2FEC" w:rsidRPr="005948BF" w:rsidRDefault="001A2FEC" w:rsidP="00215C51">
          <w:pPr>
            <w:pStyle w:val="Piedepgina"/>
            <w:jc w:val="right"/>
            <w:rPr>
              <w:rFonts w:ascii="Arial" w:hAnsi="Arial" w:cs="Arial"/>
              <w:b/>
              <w:i/>
              <w:iCs/>
            </w:rPr>
          </w:pPr>
          <w:r w:rsidRPr="005948BF">
            <w:rPr>
              <w:rStyle w:val="Nmerodepgina"/>
              <w:rFonts w:ascii="Arial" w:hAnsi="Arial" w:cs="Arial"/>
              <w:b/>
              <w:i/>
              <w:iCs/>
              <w:szCs w:val="22"/>
            </w:rPr>
            <w:fldChar w:fldCharType="begin"/>
          </w:r>
          <w:r w:rsidRPr="005948BF">
            <w:rPr>
              <w:rStyle w:val="Nmerodepgina"/>
              <w:rFonts w:ascii="Arial" w:hAnsi="Arial" w:cs="Arial"/>
              <w:i/>
              <w:iCs/>
              <w:szCs w:val="22"/>
            </w:rPr>
            <w:instrText xml:space="preserve"> </w:instrText>
          </w:r>
          <w:r>
            <w:rPr>
              <w:rStyle w:val="Nmerodepgina"/>
              <w:rFonts w:ascii="Arial" w:hAnsi="Arial" w:cs="Arial"/>
              <w:i/>
              <w:iCs/>
              <w:szCs w:val="22"/>
            </w:rPr>
            <w:instrText>PAGE</w:instrText>
          </w:r>
          <w:r w:rsidRPr="005948BF">
            <w:rPr>
              <w:rStyle w:val="Nmerodepgina"/>
              <w:rFonts w:ascii="Arial" w:hAnsi="Arial" w:cs="Arial"/>
              <w:i/>
              <w:iCs/>
              <w:szCs w:val="22"/>
            </w:rPr>
            <w:instrText xml:space="preserve"> </w:instrText>
          </w:r>
          <w:r w:rsidRPr="005948BF">
            <w:rPr>
              <w:rStyle w:val="Nmerodepgina"/>
              <w:rFonts w:ascii="Arial" w:hAnsi="Arial" w:cs="Arial"/>
              <w:b/>
              <w:i/>
              <w:iCs/>
              <w:szCs w:val="22"/>
            </w:rPr>
            <w:fldChar w:fldCharType="separate"/>
          </w:r>
          <w:r>
            <w:rPr>
              <w:rStyle w:val="Nmerodepgina"/>
              <w:rFonts w:ascii="Arial" w:hAnsi="Arial" w:cs="Arial"/>
              <w:i/>
              <w:iCs/>
              <w:noProof/>
              <w:szCs w:val="22"/>
            </w:rPr>
            <w:t>1</w:t>
          </w:r>
          <w:r w:rsidRPr="005948BF">
            <w:rPr>
              <w:rStyle w:val="Nmerodepgina"/>
              <w:rFonts w:ascii="Arial" w:hAnsi="Arial" w:cs="Arial"/>
              <w:b/>
              <w:i/>
              <w:iCs/>
              <w:szCs w:val="22"/>
            </w:rPr>
            <w:fldChar w:fldCharType="end"/>
          </w:r>
          <w:r w:rsidRPr="005948BF">
            <w:rPr>
              <w:rStyle w:val="Nmerodepgina"/>
              <w:rFonts w:ascii="Arial" w:hAnsi="Arial" w:cs="Arial"/>
              <w:i/>
              <w:iCs/>
              <w:szCs w:val="22"/>
            </w:rPr>
            <w:t xml:space="preserve"> de </w:t>
          </w:r>
          <w:r w:rsidRPr="005948BF">
            <w:rPr>
              <w:rStyle w:val="Nmerodepgina"/>
              <w:rFonts w:ascii="Arial" w:hAnsi="Arial" w:cs="Arial"/>
              <w:b/>
              <w:i/>
              <w:iCs/>
              <w:szCs w:val="22"/>
            </w:rPr>
            <w:fldChar w:fldCharType="begin"/>
          </w:r>
          <w:r w:rsidRPr="005948BF">
            <w:rPr>
              <w:rStyle w:val="Nmerodepgina"/>
              <w:rFonts w:ascii="Arial" w:hAnsi="Arial" w:cs="Arial"/>
              <w:i/>
              <w:iCs/>
              <w:szCs w:val="22"/>
            </w:rPr>
            <w:instrText xml:space="preserve"> </w:instrText>
          </w:r>
          <w:r>
            <w:rPr>
              <w:rStyle w:val="Nmerodepgina"/>
              <w:rFonts w:ascii="Arial" w:hAnsi="Arial" w:cs="Arial"/>
              <w:i/>
              <w:iCs/>
              <w:szCs w:val="22"/>
            </w:rPr>
            <w:instrText>NUMPAGES</w:instrText>
          </w:r>
          <w:r w:rsidRPr="005948BF">
            <w:rPr>
              <w:rStyle w:val="Nmerodepgina"/>
              <w:rFonts w:ascii="Arial" w:hAnsi="Arial" w:cs="Arial"/>
              <w:i/>
              <w:iCs/>
              <w:szCs w:val="22"/>
            </w:rPr>
            <w:instrText xml:space="preserve"> </w:instrText>
          </w:r>
          <w:r w:rsidRPr="005948BF">
            <w:rPr>
              <w:rStyle w:val="Nmerodepgina"/>
              <w:rFonts w:ascii="Arial" w:hAnsi="Arial" w:cs="Arial"/>
              <w:b/>
              <w:i/>
              <w:iCs/>
              <w:szCs w:val="22"/>
            </w:rPr>
            <w:fldChar w:fldCharType="separate"/>
          </w:r>
          <w:r>
            <w:rPr>
              <w:rStyle w:val="Nmerodepgina"/>
              <w:rFonts w:ascii="Arial" w:hAnsi="Arial" w:cs="Arial"/>
              <w:i/>
              <w:iCs/>
              <w:noProof/>
              <w:szCs w:val="22"/>
            </w:rPr>
            <w:t>7</w:t>
          </w:r>
          <w:r w:rsidRPr="005948BF">
            <w:rPr>
              <w:rStyle w:val="Nmerodepgina"/>
              <w:rFonts w:ascii="Arial" w:hAnsi="Arial" w:cs="Arial"/>
              <w:b/>
              <w:i/>
              <w:iCs/>
              <w:szCs w:val="22"/>
            </w:rPr>
            <w:fldChar w:fldCharType="end"/>
          </w:r>
        </w:p>
      </w:tc>
    </w:tr>
    <w:tr w:rsidR="001A2FEC" w14:paraId="03705791" w14:textId="77777777" w:rsidTr="00E4628E">
      <w:trPr>
        <w:trHeight w:hRule="exact" w:val="425"/>
      </w:trPr>
      <w:tc>
        <w:tcPr>
          <w:tcW w:w="990" w:type="pct"/>
          <w:vMerge/>
          <w:shd w:val="clear" w:color="auto" w:fill="auto"/>
          <w:vAlign w:val="center"/>
        </w:tcPr>
        <w:p w14:paraId="33FD8351" w14:textId="77777777" w:rsidR="001A2FEC" w:rsidRPr="005948BF" w:rsidRDefault="001A2FEC" w:rsidP="00215C51">
          <w:pPr>
            <w:pStyle w:val="Piedepgina"/>
            <w:rPr>
              <w:noProof/>
              <w:sz w:val="22"/>
              <w:szCs w:val="22"/>
              <w:lang w:eastAsia="es-CR"/>
            </w:rPr>
          </w:pPr>
        </w:p>
      </w:tc>
      <w:tc>
        <w:tcPr>
          <w:tcW w:w="3510" w:type="pct"/>
          <w:tcBorders>
            <w:top w:val="double" w:sz="2" w:space="0" w:color="A6A6A6"/>
            <w:bottom w:val="single" w:sz="2" w:space="0" w:color="BFBFBF"/>
          </w:tcBorders>
          <w:shd w:val="clear" w:color="auto" w:fill="auto"/>
          <w:vAlign w:val="center"/>
        </w:tcPr>
        <w:p w14:paraId="1FA384FB" w14:textId="77777777" w:rsidR="001A2FEC" w:rsidRPr="005948BF" w:rsidRDefault="001A2FEC" w:rsidP="00215C51">
          <w:pPr>
            <w:ind w:left="-109"/>
            <w:jc w:val="center"/>
            <w:rPr>
              <w:rFonts w:ascii="Arial" w:hAnsi="Arial" w:cs="Arial"/>
              <w:sz w:val="16"/>
              <w:szCs w:val="22"/>
            </w:rPr>
          </w:pPr>
          <w:r w:rsidRPr="005948BF">
            <w:rPr>
              <w:rFonts w:ascii="Arial" w:hAnsi="Arial" w:cs="Arial"/>
              <w:sz w:val="16"/>
              <w:szCs w:val="22"/>
            </w:rPr>
            <w:t xml:space="preserve">San José, Zapote, 200 metros Oeste de Casa Presidencial, Edificio MIRA </w:t>
          </w:r>
          <w:r w:rsidRPr="005948BF">
            <w:rPr>
              <w:rFonts w:ascii="Arial" w:hAnsi="Arial" w:cs="Arial"/>
              <w:bCs/>
              <w:sz w:val="16"/>
              <w:szCs w:val="22"/>
            </w:rPr>
            <w:t>Apartado Postal</w:t>
          </w:r>
          <w:r w:rsidRPr="005948BF">
            <w:rPr>
              <w:rFonts w:ascii="Arial" w:hAnsi="Arial" w:cs="Arial"/>
              <w:b/>
              <w:bCs/>
              <w:sz w:val="16"/>
              <w:szCs w:val="22"/>
            </w:rPr>
            <w:t>:</w:t>
          </w:r>
          <w:r w:rsidRPr="005948BF">
            <w:rPr>
              <w:rFonts w:ascii="Arial" w:hAnsi="Arial" w:cs="Arial"/>
              <w:sz w:val="16"/>
              <w:szCs w:val="22"/>
            </w:rPr>
            <w:t xml:space="preserve"> 5589.1000 </w:t>
          </w:r>
        </w:p>
        <w:p w14:paraId="5F3160C2" w14:textId="77777777" w:rsidR="001A2FEC" w:rsidRPr="005948BF" w:rsidRDefault="001A2FEC" w:rsidP="00215C51">
          <w:pPr>
            <w:jc w:val="center"/>
            <w:rPr>
              <w:rFonts w:ascii="Arial" w:hAnsi="Arial" w:cs="Arial"/>
              <w:sz w:val="16"/>
              <w:szCs w:val="22"/>
            </w:rPr>
          </w:pPr>
          <w:r w:rsidRPr="005948BF">
            <w:rPr>
              <w:rFonts w:ascii="Arial" w:hAnsi="Arial" w:cs="Arial"/>
              <w:sz w:val="16"/>
              <w:szCs w:val="22"/>
            </w:rPr>
            <w:t xml:space="preserve">Tel: 2211-1299 / Fax:2211-1280 </w:t>
          </w:r>
        </w:p>
      </w:tc>
      <w:tc>
        <w:tcPr>
          <w:tcW w:w="500" w:type="pct"/>
          <w:vMerge/>
          <w:shd w:val="clear" w:color="auto" w:fill="auto"/>
          <w:vAlign w:val="center"/>
        </w:tcPr>
        <w:p w14:paraId="0459C893" w14:textId="77777777" w:rsidR="001A2FEC" w:rsidRPr="005948BF" w:rsidRDefault="001A2FEC" w:rsidP="00215C51">
          <w:pPr>
            <w:pStyle w:val="Piedepgina"/>
            <w:jc w:val="right"/>
            <w:rPr>
              <w:rStyle w:val="Nmerodepgina"/>
              <w:rFonts w:ascii="Arial" w:hAnsi="Arial" w:cs="Arial"/>
              <w:b/>
              <w:i/>
              <w:iCs/>
              <w:szCs w:val="22"/>
            </w:rPr>
          </w:pPr>
        </w:p>
      </w:tc>
    </w:tr>
    <w:tr w:rsidR="001A2FEC" w14:paraId="229E86AC" w14:textId="77777777" w:rsidTr="00E4628E">
      <w:trPr>
        <w:trHeight w:hRule="exact" w:val="425"/>
      </w:trPr>
      <w:tc>
        <w:tcPr>
          <w:tcW w:w="990" w:type="pct"/>
          <w:vMerge/>
          <w:shd w:val="clear" w:color="auto" w:fill="auto"/>
          <w:vAlign w:val="center"/>
        </w:tcPr>
        <w:p w14:paraId="07DC16F1" w14:textId="77777777" w:rsidR="001A2FEC" w:rsidRPr="005948BF" w:rsidRDefault="001A2FEC" w:rsidP="00215C51">
          <w:pPr>
            <w:pStyle w:val="Piedepgina"/>
            <w:rPr>
              <w:noProof/>
              <w:sz w:val="22"/>
              <w:szCs w:val="22"/>
              <w:lang w:eastAsia="es-CR"/>
            </w:rPr>
          </w:pPr>
        </w:p>
      </w:tc>
      <w:tc>
        <w:tcPr>
          <w:tcW w:w="3510" w:type="pct"/>
          <w:tcBorders>
            <w:top w:val="double" w:sz="2" w:space="0" w:color="A6A6A6"/>
            <w:bottom w:val="double" w:sz="4" w:space="0" w:color="BFBFBF"/>
          </w:tcBorders>
          <w:shd w:val="clear" w:color="auto" w:fill="auto"/>
          <w:vAlign w:val="center"/>
        </w:tcPr>
        <w:p w14:paraId="2168D70C" w14:textId="4285CAB1" w:rsidR="001A2FEC" w:rsidRPr="005948BF" w:rsidRDefault="001A2FEC" w:rsidP="00215C51">
          <w:pPr>
            <w:jc w:val="center"/>
            <w:rPr>
              <w:rFonts w:ascii="Arial" w:hAnsi="Arial" w:cs="Arial"/>
              <w:sz w:val="16"/>
              <w:szCs w:val="22"/>
            </w:rPr>
          </w:pPr>
          <w:r w:rsidRPr="005948BF">
            <w:rPr>
              <w:rFonts w:ascii="Arial" w:hAnsi="Arial" w:cs="Arial"/>
              <w:sz w:val="16"/>
              <w:szCs w:val="22"/>
            </w:rPr>
            <w:t xml:space="preserve">Correo Electrónico </w:t>
          </w:r>
          <w:hyperlink r:id="rId2" w:history="1">
            <w:r>
              <w:rPr>
                <w:rStyle w:val="Hipervnculo"/>
                <w:rFonts w:ascii="Arial" w:eastAsiaTheme="minorEastAsia" w:hAnsi="Arial" w:cs="Arial"/>
                <w:sz w:val="16"/>
              </w:rPr>
              <w:t>notificaciones</w:t>
            </w:r>
            <w:r w:rsidRPr="005948BF">
              <w:rPr>
                <w:rStyle w:val="Hipervnculo"/>
                <w:rFonts w:ascii="Arial" w:eastAsiaTheme="minorEastAsia" w:hAnsi="Arial" w:cs="Arial"/>
                <w:sz w:val="16"/>
              </w:rPr>
              <w:t>.telecom@micit.go.cr</w:t>
            </w:r>
          </w:hyperlink>
          <w:r w:rsidRPr="005948BF">
            <w:rPr>
              <w:rFonts w:ascii="Arial" w:hAnsi="Arial" w:cs="Arial"/>
              <w:sz w:val="16"/>
              <w:szCs w:val="22"/>
            </w:rPr>
            <w:t xml:space="preserve"> / </w:t>
          </w:r>
          <w:hyperlink r:id="rId3" w:history="1">
            <w:r w:rsidRPr="005948BF">
              <w:rPr>
                <w:rStyle w:val="Hipervnculo"/>
                <w:rFonts w:ascii="Arial" w:eastAsiaTheme="minorEastAsia" w:hAnsi="Arial" w:cs="Arial"/>
                <w:sz w:val="16"/>
              </w:rPr>
              <w:t>www.micit.go.cr</w:t>
            </w:r>
          </w:hyperlink>
          <w:r w:rsidRPr="005948BF">
            <w:rPr>
              <w:rFonts w:ascii="Arial" w:hAnsi="Arial" w:cs="Arial"/>
              <w:sz w:val="16"/>
              <w:szCs w:val="22"/>
            </w:rPr>
            <w:t xml:space="preserve"> </w:t>
          </w:r>
        </w:p>
      </w:tc>
      <w:tc>
        <w:tcPr>
          <w:tcW w:w="500" w:type="pct"/>
          <w:vMerge/>
          <w:shd w:val="clear" w:color="auto" w:fill="auto"/>
          <w:vAlign w:val="center"/>
        </w:tcPr>
        <w:p w14:paraId="4E0EA360" w14:textId="77777777" w:rsidR="001A2FEC" w:rsidRPr="005948BF" w:rsidRDefault="001A2FEC" w:rsidP="00215C51">
          <w:pPr>
            <w:pStyle w:val="Piedepgina"/>
            <w:jc w:val="right"/>
            <w:rPr>
              <w:rStyle w:val="Nmerodepgina"/>
              <w:rFonts w:ascii="Arial" w:hAnsi="Arial" w:cs="Arial"/>
              <w:b/>
              <w:i/>
              <w:iCs/>
              <w:szCs w:val="22"/>
            </w:rPr>
          </w:pPr>
        </w:p>
      </w:tc>
    </w:tr>
  </w:tbl>
  <w:p w14:paraId="00DEA09C" w14:textId="77777777" w:rsidR="001A2FEC" w:rsidRPr="00E4628E" w:rsidRDefault="001A2FEC" w:rsidP="007022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19B7" w14:textId="77777777" w:rsidR="001A2FEC" w:rsidRDefault="001A2FEC" w:rsidP="00503371">
    <w:pPr>
      <w:pStyle w:val="Piedepgina"/>
      <w:jc w:val="center"/>
    </w:pPr>
    <w:r w:rsidRPr="001A0EB6">
      <w:t>Dirección de Tecnologías de Información y Comunicación, DTIC</w:t>
    </w:r>
    <w:r>
      <w:t xml:space="preserve">          MiniMinisterio de cunecia yMinisterio</w:t>
    </w:r>
  </w:p>
  <w:p w14:paraId="22F345BE" w14:textId="22938F02" w:rsidR="001A2FEC" w:rsidRDefault="001A2FEC" w:rsidP="00503371">
    <w:pPr>
      <w:pStyle w:val="Piedepgina"/>
      <w:jc w:val="center"/>
    </w:pPr>
    <w:r>
      <w:t xml:space="preserve">                                            </w:t>
    </w:r>
    <w:r>
      <w:rPr>
        <w:lang w:val="es-ES"/>
      </w:rPr>
      <w:t xml:space="preserve">gina </w:t>
    </w:r>
    <w:r>
      <w:rPr>
        <w:b/>
        <w:bCs/>
        <w:sz w:val="24"/>
        <w:szCs w:val="24"/>
      </w:rPr>
      <w:fldChar w:fldCharType="begin"/>
    </w:r>
    <w:r>
      <w:rPr>
        <w:b/>
        <w:bCs/>
      </w:rPr>
      <w:instrText>PAGE</w:instrText>
    </w:r>
    <w:r>
      <w:rPr>
        <w:b/>
        <w:bCs/>
        <w:sz w:val="24"/>
        <w:szCs w:val="24"/>
      </w:rPr>
      <w:fldChar w:fldCharType="separate"/>
    </w:r>
    <w:r>
      <w:rPr>
        <w:b/>
        <w:bCs/>
        <w:noProof/>
      </w:rPr>
      <w:t>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67</w:t>
    </w:r>
    <w:r>
      <w:rPr>
        <w:b/>
        <w:bCs/>
        <w:sz w:val="24"/>
        <w:szCs w:val="24"/>
      </w:rPr>
      <w:fldChar w:fldCharType="end"/>
    </w:r>
  </w:p>
  <w:p w14:paraId="69C74FB4" w14:textId="77777777" w:rsidR="001A2FEC" w:rsidRDefault="001A2F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7CAA" w14:textId="77777777" w:rsidR="001C4FC0" w:rsidRDefault="001C4FC0">
      <w:r>
        <w:separator/>
      </w:r>
    </w:p>
  </w:footnote>
  <w:footnote w:type="continuationSeparator" w:id="0">
    <w:p w14:paraId="3099DCC0" w14:textId="77777777" w:rsidR="001C4FC0" w:rsidRDefault="001C4FC0">
      <w:r>
        <w:continuationSeparator/>
      </w:r>
    </w:p>
  </w:footnote>
  <w:footnote w:id="1">
    <w:p w14:paraId="670ED615" w14:textId="4EB5B06A" w:rsidR="001A2FEC" w:rsidRPr="00F52C10" w:rsidRDefault="001A2FEC" w:rsidP="00E4628E">
      <w:pPr>
        <w:pStyle w:val="Textonotapie"/>
        <w:jc w:val="both"/>
        <w:rPr>
          <w:sz w:val="18"/>
          <w:szCs w:val="18"/>
        </w:rPr>
      </w:pPr>
      <w:r w:rsidRPr="00F52C10">
        <w:rPr>
          <w:rStyle w:val="Refdenotaalpie"/>
          <w:sz w:val="18"/>
          <w:szCs w:val="18"/>
        </w:rPr>
        <w:footnoteRef/>
      </w:r>
      <w:r w:rsidRPr="00F52C10">
        <w:rPr>
          <w:sz w:val="18"/>
          <w:szCs w:val="18"/>
        </w:rPr>
        <w:t xml:space="preserve"> BR IFIC por sus siglas en inglés refiere a “</w:t>
      </w:r>
      <w:r w:rsidRPr="00E4628E">
        <w:rPr>
          <w:i/>
          <w:sz w:val="18"/>
          <w:szCs w:val="18"/>
          <w:shd w:val="clear" w:color="auto" w:fill="FFFFFF"/>
        </w:rPr>
        <w:t>The Bureau of Radiocommunications International Frequency Information Circular (Space Services)</w:t>
      </w:r>
      <w:r w:rsidRPr="00E4628E">
        <w:rPr>
          <w:sz w:val="18"/>
          <w:szCs w:val="18"/>
          <w:shd w:val="clear" w:color="auto" w:fill="FFFFFF"/>
        </w:rPr>
        <w:t xml:space="preserve">” que traducido al español refiere a la </w:t>
      </w:r>
      <w:r w:rsidRPr="00E4628E">
        <w:rPr>
          <w:iCs/>
          <w:sz w:val="18"/>
          <w:szCs w:val="18"/>
          <w:shd w:val="clear" w:color="auto" w:fill="FFFFFF"/>
        </w:rPr>
        <w:t xml:space="preserve">Circular internacional de </w:t>
      </w:r>
      <w:r w:rsidRPr="00F52C10">
        <w:rPr>
          <w:iCs/>
          <w:sz w:val="18"/>
          <w:szCs w:val="18"/>
          <w:shd w:val="clear" w:color="auto" w:fill="FFFFFF"/>
        </w:rPr>
        <w:t>I</w:t>
      </w:r>
      <w:r w:rsidRPr="00E4628E">
        <w:rPr>
          <w:iCs/>
          <w:sz w:val="18"/>
          <w:szCs w:val="18"/>
          <w:shd w:val="clear" w:color="auto" w:fill="FFFFFF"/>
        </w:rPr>
        <w:t xml:space="preserve">nformación sobre </w:t>
      </w:r>
      <w:r w:rsidRPr="00F52C10">
        <w:rPr>
          <w:iCs/>
          <w:sz w:val="18"/>
          <w:szCs w:val="18"/>
          <w:shd w:val="clear" w:color="auto" w:fill="FFFFFF"/>
        </w:rPr>
        <w:t>F</w:t>
      </w:r>
      <w:r w:rsidRPr="00E4628E">
        <w:rPr>
          <w:iCs/>
          <w:sz w:val="18"/>
          <w:szCs w:val="18"/>
          <w:shd w:val="clear" w:color="auto" w:fill="FFFFFF"/>
        </w:rPr>
        <w:t>recuencias del Bureau de Radiocomunicaciones.  Puede consultarse en el sitio web oficial de la Unión Internacional de Telecomunicaciones en el siguiente link:  https://www.itu.int/pub/R-SP-LN/e</w:t>
      </w:r>
    </w:p>
  </w:footnote>
  <w:footnote w:id="2">
    <w:p w14:paraId="773A7431" w14:textId="576FF468" w:rsidR="001A2FEC" w:rsidRPr="00F52C10" w:rsidRDefault="001A2FEC" w:rsidP="00E4628E">
      <w:pPr>
        <w:pStyle w:val="Textonotapie"/>
        <w:jc w:val="both"/>
        <w:rPr>
          <w:sz w:val="18"/>
          <w:szCs w:val="18"/>
        </w:rPr>
      </w:pPr>
      <w:r w:rsidRPr="00F52C10">
        <w:rPr>
          <w:rStyle w:val="Refdenotaalpie"/>
          <w:sz w:val="18"/>
          <w:szCs w:val="18"/>
        </w:rPr>
        <w:footnoteRef/>
      </w:r>
      <w:r w:rsidRPr="00F52C10">
        <w:rPr>
          <w:sz w:val="18"/>
          <w:szCs w:val="18"/>
        </w:rPr>
        <w:t xml:space="preserve"> Ver Anexo N°1, Apéndice 30 B.</w:t>
      </w:r>
    </w:p>
  </w:footnote>
  <w:footnote w:id="3">
    <w:p w14:paraId="1F74ECF6" w14:textId="77D0F084" w:rsidR="001A2FEC" w:rsidRPr="00E4628E" w:rsidRDefault="001A2FEC" w:rsidP="00E4628E">
      <w:pPr>
        <w:pStyle w:val="Textonotapie"/>
        <w:jc w:val="both"/>
        <w:rPr>
          <w:sz w:val="18"/>
          <w:szCs w:val="18"/>
        </w:rPr>
      </w:pPr>
      <w:r w:rsidRPr="00E4628E">
        <w:rPr>
          <w:rStyle w:val="Refdenotaalpie"/>
          <w:sz w:val="18"/>
          <w:szCs w:val="18"/>
        </w:rPr>
        <w:footnoteRef/>
      </w:r>
      <w:r w:rsidRPr="00E4628E">
        <w:rPr>
          <w:sz w:val="18"/>
          <w:szCs w:val="18"/>
        </w:rPr>
        <w:t xml:space="preserve"> Para mayor abundamiento puede consultarse en el expediente administrativo N° DCNT-EA-003-2018.</w:t>
      </w:r>
    </w:p>
  </w:footnote>
  <w:footnote w:id="4">
    <w:p w14:paraId="1E4AB508" w14:textId="0287276F" w:rsidR="001A2FEC" w:rsidRPr="00E4628E" w:rsidRDefault="001A2FEC" w:rsidP="00E4628E">
      <w:pPr>
        <w:pStyle w:val="Textonotapie"/>
        <w:jc w:val="both"/>
        <w:rPr>
          <w:sz w:val="18"/>
          <w:szCs w:val="18"/>
        </w:rPr>
      </w:pPr>
      <w:r w:rsidRPr="00E4628E">
        <w:rPr>
          <w:rStyle w:val="Refdenotaalpie"/>
          <w:sz w:val="18"/>
          <w:szCs w:val="18"/>
        </w:rPr>
        <w:footnoteRef/>
      </w:r>
      <w:r w:rsidRPr="00E4628E">
        <w:rPr>
          <w:sz w:val="18"/>
          <w:szCs w:val="18"/>
        </w:rPr>
        <w:t xml:space="preserve"> Ídem. </w:t>
      </w:r>
    </w:p>
  </w:footnote>
  <w:footnote w:id="5">
    <w:p w14:paraId="11EA92CD" w14:textId="77777777" w:rsidR="001A2FEC" w:rsidRPr="00F52C10" w:rsidRDefault="001A2FEC" w:rsidP="00E4628E">
      <w:pPr>
        <w:pStyle w:val="Textonotapie"/>
        <w:jc w:val="both"/>
        <w:rPr>
          <w:sz w:val="18"/>
          <w:szCs w:val="18"/>
        </w:rPr>
      </w:pPr>
      <w:r w:rsidRPr="00F52C10">
        <w:rPr>
          <w:rStyle w:val="Refdenotaalpie"/>
          <w:sz w:val="18"/>
          <w:szCs w:val="18"/>
        </w:rPr>
        <w:footnoteRef/>
      </w:r>
      <w:r w:rsidRPr="00F52C10">
        <w:rPr>
          <w:sz w:val="18"/>
          <w:szCs w:val="18"/>
        </w:rPr>
        <w:t xml:space="preserve"> Ver</w:t>
      </w:r>
      <w:r w:rsidRPr="00F52C10">
        <w:rPr>
          <w:b/>
          <w:sz w:val="18"/>
          <w:szCs w:val="18"/>
        </w:rPr>
        <w:t xml:space="preserve"> (Rosado) Carlos, </w:t>
      </w:r>
      <w:r w:rsidRPr="00F52C10">
        <w:rPr>
          <w:sz w:val="18"/>
          <w:szCs w:val="18"/>
          <w:u w:val="single"/>
        </w:rPr>
        <w:t>Comunicación por Satélite</w:t>
      </w:r>
      <w:r w:rsidRPr="00F52C10">
        <w:rPr>
          <w:sz w:val="18"/>
          <w:szCs w:val="18"/>
        </w:rPr>
        <w:t>, 1999, Editorial Limusa SA de CV, Grupo Noriega Edicores, México, página 51.</w:t>
      </w:r>
    </w:p>
  </w:footnote>
  <w:footnote w:id="6">
    <w:p w14:paraId="6F0E73B3" w14:textId="6FEF935D" w:rsidR="001A2FEC" w:rsidRPr="00F52C10" w:rsidRDefault="001A2FEC" w:rsidP="00E4628E">
      <w:pPr>
        <w:pStyle w:val="Textonotapie"/>
        <w:jc w:val="both"/>
        <w:rPr>
          <w:sz w:val="18"/>
          <w:szCs w:val="18"/>
        </w:rPr>
      </w:pPr>
      <w:r w:rsidRPr="00F52C10">
        <w:rPr>
          <w:rStyle w:val="Refdenotaalpie"/>
          <w:sz w:val="18"/>
          <w:szCs w:val="18"/>
        </w:rPr>
        <w:footnoteRef/>
      </w:r>
      <w:r w:rsidRPr="00F52C10">
        <w:rPr>
          <w:sz w:val="18"/>
          <w:szCs w:val="18"/>
        </w:rPr>
        <w:t xml:space="preserve"> Ibíd, pag 63</w:t>
      </w:r>
      <w:r>
        <w:rPr>
          <w:sz w:val="18"/>
          <w:szCs w:val="18"/>
        </w:rPr>
        <w:t>.</w:t>
      </w:r>
    </w:p>
  </w:footnote>
  <w:footnote w:id="7">
    <w:p w14:paraId="187997D6" w14:textId="4BF7F0D3" w:rsidR="001A2FEC" w:rsidRPr="00F52C10" w:rsidRDefault="001A2FEC" w:rsidP="00E4628E">
      <w:pPr>
        <w:pStyle w:val="Textonotapie"/>
        <w:jc w:val="both"/>
        <w:rPr>
          <w:sz w:val="18"/>
          <w:szCs w:val="18"/>
        </w:rPr>
      </w:pPr>
      <w:r w:rsidRPr="00F52C10">
        <w:rPr>
          <w:rStyle w:val="Refdenotaalpie"/>
          <w:sz w:val="18"/>
          <w:szCs w:val="18"/>
        </w:rPr>
        <w:footnoteRef/>
      </w:r>
      <w:r w:rsidRPr="00F52C10">
        <w:rPr>
          <w:sz w:val="18"/>
          <w:szCs w:val="18"/>
        </w:rPr>
        <w:t xml:space="preserve"> Ver Adedum I del PNAF</w:t>
      </w:r>
      <w:r>
        <w:rPr>
          <w:sz w:val="18"/>
          <w:szCs w:val="18"/>
        </w:rPr>
        <w:t>.</w:t>
      </w:r>
    </w:p>
  </w:footnote>
  <w:footnote w:id="8">
    <w:p w14:paraId="4466D791" w14:textId="77777777" w:rsidR="001A2FEC" w:rsidRPr="00F52C10" w:rsidRDefault="001A2FEC">
      <w:pPr>
        <w:pStyle w:val="Textonotapie"/>
        <w:jc w:val="both"/>
        <w:rPr>
          <w:sz w:val="18"/>
          <w:szCs w:val="18"/>
        </w:rPr>
      </w:pPr>
      <w:r w:rsidRPr="00F52C10">
        <w:rPr>
          <w:rStyle w:val="Refdenotaalpie"/>
          <w:sz w:val="18"/>
          <w:szCs w:val="18"/>
        </w:rPr>
        <w:footnoteRef/>
      </w:r>
      <w:r w:rsidRPr="00F52C10">
        <w:rPr>
          <w:sz w:val="18"/>
          <w:szCs w:val="18"/>
        </w:rPr>
        <w:t xml:space="preserve"> El párrafo segundo del artículo 2 del PNAF,</w:t>
      </w:r>
      <w:r w:rsidRPr="00215C51">
        <w:rPr>
          <w:bCs/>
          <w:iCs/>
          <w:sz w:val="18"/>
          <w:szCs w:val="18"/>
        </w:rPr>
        <w:t xml:space="preserve"> establece que: “Son parte integrante del PNAF, las leyes y el resto de reglamentos sobre telecomunicaciones, las notas, referencias, resoluciones, recomendaciones y las indicaciones técnicas que surjan de la Unión Internacional de Telecomunicaciones, los alcances y recomendaciones que deriven y estén vigentes de la Convención Mundial de Telecomunicaciones, de</w:t>
      </w:r>
      <w:r w:rsidRPr="00F52C10">
        <w:rPr>
          <w:bCs/>
          <w:iCs/>
          <w:sz w:val="18"/>
          <w:szCs w:val="18"/>
        </w:rPr>
        <w:t xml:space="preserve">más reglamentos dispuestos, así como el Convenio de la Unión Internacional de Telecomunicaciones, ratificado por Costa Rica mediante la Ley No. 8100, publicada en el Alcance No. 44 de La Gaceta 114 del 14 de junio del 2002.” </w:t>
      </w:r>
    </w:p>
  </w:footnote>
  <w:footnote w:id="9">
    <w:p w14:paraId="3868BA28" w14:textId="77777777" w:rsidR="001A2FEC" w:rsidRPr="00215C51" w:rsidRDefault="001A2FEC" w:rsidP="00BC46F4">
      <w:pPr>
        <w:pStyle w:val="Textonotapie"/>
        <w:jc w:val="both"/>
        <w:rPr>
          <w:sz w:val="18"/>
          <w:szCs w:val="18"/>
        </w:rPr>
      </w:pPr>
      <w:r w:rsidRPr="00215C51">
        <w:rPr>
          <w:sz w:val="18"/>
          <w:szCs w:val="18"/>
          <w:vertAlign w:val="superscript"/>
        </w:rPr>
        <w:footnoteRef/>
      </w:r>
      <w:r w:rsidRPr="00215C51">
        <w:rPr>
          <w:sz w:val="18"/>
          <w:szCs w:val="18"/>
        </w:rPr>
        <w:t xml:space="preserve"> Reglamento de Radiocomunicaciones de la UIT. Preámbulo puntos S0.1 y S0.3.</w:t>
      </w:r>
    </w:p>
  </w:footnote>
  <w:footnote w:id="10">
    <w:p w14:paraId="24BA5A43" w14:textId="54F55A0F" w:rsidR="001A2FEC" w:rsidRPr="00215C51" w:rsidRDefault="001A2FEC" w:rsidP="00BC46F4">
      <w:pPr>
        <w:pStyle w:val="Textonotapie"/>
        <w:tabs>
          <w:tab w:val="left" w:pos="1671"/>
        </w:tabs>
        <w:jc w:val="both"/>
        <w:rPr>
          <w:sz w:val="18"/>
          <w:szCs w:val="18"/>
        </w:rPr>
      </w:pPr>
      <w:r w:rsidRPr="00215C51">
        <w:rPr>
          <w:sz w:val="18"/>
          <w:szCs w:val="18"/>
          <w:vertAlign w:val="superscript"/>
        </w:rPr>
        <w:footnoteRef/>
      </w:r>
      <w:r w:rsidRPr="00215C51">
        <w:rPr>
          <w:sz w:val="18"/>
          <w:szCs w:val="18"/>
        </w:rPr>
        <w:t xml:space="preserve"> Ídem, S0.6</w:t>
      </w:r>
      <w:r>
        <w:rPr>
          <w:sz w:val="18"/>
          <w:szCs w:val="18"/>
        </w:rPr>
        <w:t>.</w:t>
      </w:r>
      <w:r w:rsidRPr="00215C51">
        <w:rPr>
          <w:sz w:val="18"/>
          <w:szCs w:val="18"/>
        </w:rPr>
        <w:tab/>
      </w:r>
    </w:p>
  </w:footnote>
  <w:footnote w:id="11">
    <w:p w14:paraId="3D4D0FEC" w14:textId="77777777" w:rsidR="001A2FEC" w:rsidRPr="00F52C10" w:rsidRDefault="001A2FEC">
      <w:pPr>
        <w:pStyle w:val="Textonotapie"/>
        <w:jc w:val="both"/>
        <w:rPr>
          <w:sz w:val="18"/>
          <w:szCs w:val="18"/>
          <w:lang w:val="es-ES_tradnl"/>
        </w:rPr>
      </w:pPr>
      <w:r w:rsidRPr="00215C51">
        <w:rPr>
          <w:rStyle w:val="Refdenotaalpie"/>
          <w:sz w:val="18"/>
          <w:szCs w:val="18"/>
          <w:lang w:val="es-ES_tradnl"/>
        </w:rPr>
        <w:t>1</w:t>
      </w:r>
      <w:r w:rsidRPr="00215C51">
        <w:rPr>
          <w:sz w:val="18"/>
          <w:szCs w:val="18"/>
          <w:lang w:val="es-ES_tradnl"/>
        </w:rPr>
        <w:tab/>
        <w:t>De no recibirse los pagos de conformidad con lo dispuesto en el Acuerdo 482 del Consejo, modificado, relativo a la aplicación de la recuperación de costes a las notificaciones de redes de satél</w:t>
      </w:r>
      <w:r w:rsidRPr="00F52C10">
        <w:rPr>
          <w:sz w:val="18"/>
          <w:szCs w:val="18"/>
          <w:lang w:val="es-ES_tradnl"/>
        </w:rPr>
        <w:t>ites, la Oficina anulará la publicación especificada en los § 6.7 y/o 6.23 y las inscripciones correspondientes en la Lista con arreglo a los § 6.23 y/o 6.25, según proceda, y reintegrará las adjudicaciones en el Plan tras haber informado a las administraciones afectadas. La Oficina informará de tal medida a todas las administraciones y de que la red especificada en la publicación ya no se tomará en consideración por la Oficina ni las demás administraciones. La Oficina enviará un recordatorio a la administración notificante, si procede, a más tardar dos meses antes del plazo para el pago, de conformidad con el Acuerdo 482 del Consejo mencionado, de no haberse recibido ya antes. Véase también la Resolución </w:t>
      </w:r>
      <w:r w:rsidRPr="00F52C10">
        <w:rPr>
          <w:b/>
          <w:bCs/>
          <w:sz w:val="18"/>
          <w:szCs w:val="18"/>
          <w:lang w:val="es-ES_tradnl"/>
        </w:rPr>
        <w:t>905 (CMR</w:t>
      </w:r>
      <w:r w:rsidRPr="00F52C10">
        <w:rPr>
          <w:b/>
          <w:bCs/>
          <w:sz w:val="18"/>
          <w:szCs w:val="18"/>
          <w:lang w:val="es-ES_tradnl"/>
        </w:rPr>
        <w:noBreakHyphen/>
        <w:t>07)</w:t>
      </w:r>
      <w:r w:rsidRPr="00F52C10">
        <w:rPr>
          <w:sz w:val="18"/>
          <w:szCs w:val="18"/>
          <w:lang w:val="es-ES_tradnl"/>
        </w:rPr>
        <w:t>*.</w:t>
      </w:r>
    </w:p>
    <w:p w14:paraId="5068AC99" w14:textId="77777777" w:rsidR="001A2FEC" w:rsidRPr="00F52C10" w:rsidRDefault="001A2FEC" w:rsidP="00E31A0A">
      <w:pPr>
        <w:pStyle w:val="Textonotapie"/>
        <w:jc w:val="both"/>
        <w:rPr>
          <w:sz w:val="18"/>
          <w:szCs w:val="18"/>
          <w:lang w:val="es-ES_tradnl"/>
        </w:rPr>
      </w:pPr>
      <w:r w:rsidRPr="00F52C10">
        <w:rPr>
          <w:sz w:val="18"/>
          <w:szCs w:val="18"/>
          <w:lang w:val="es-ES_tradnl"/>
        </w:rPr>
        <w:tab/>
        <w:t>*   </w:t>
      </w:r>
      <w:r w:rsidRPr="00F52C10">
        <w:rPr>
          <w:i/>
          <w:iCs/>
          <w:sz w:val="18"/>
          <w:szCs w:val="18"/>
          <w:lang w:val="es-ES_tradnl"/>
        </w:rPr>
        <w:t>Nota de la Secretaría</w:t>
      </w:r>
      <w:r w:rsidRPr="00F52C10">
        <w:rPr>
          <w:sz w:val="18"/>
          <w:szCs w:val="18"/>
          <w:lang w:val="es-ES_tradnl"/>
        </w:rPr>
        <w:t>: Esta Resolución ha sido abrogada por la CMR-12.</w:t>
      </w:r>
    </w:p>
  </w:footnote>
  <w:footnote w:id="12">
    <w:p w14:paraId="5AB23795"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2</w:t>
      </w:r>
      <w:r w:rsidRPr="00F52C10">
        <w:rPr>
          <w:sz w:val="18"/>
          <w:szCs w:val="18"/>
          <w:lang w:val="es-ES_tradnl"/>
        </w:rPr>
        <w:tab/>
        <w:t xml:space="preserve">Se aplican las disposiciones de la Resolución </w:t>
      </w:r>
      <w:r w:rsidRPr="00F52C10">
        <w:rPr>
          <w:b/>
          <w:bCs/>
          <w:sz w:val="18"/>
          <w:szCs w:val="18"/>
          <w:lang w:val="es-ES_tradnl"/>
        </w:rPr>
        <w:t>49 (Rev.CMR-15)</w:t>
      </w:r>
      <w:r w:rsidRPr="00F52C10">
        <w:rPr>
          <w:sz w:val="18"/>
          <w:szCs w:val="18"/>
          <w:lang w:val="es-ES_tradnl"/>
        </w:rPr>
        <w:t>.    (CMR-15)</w:t>
      </w:r>
    </w:p>
  </w:footnote>
  <w:footnote w:id="13">
    <w:p w14:paraId="020B2C58"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3</w:t>
      </w:r>
      <w:r w:rsidRPr="00F52C10">
        <w:rPr>
          <w:sz w:val="18"/>
          <w:szCs w:val="18"/>
          <w:lang w:val="es-ES_tradnl"/>
        </w:rPr>
        <w:tab/>
        <w:t>Siempre que, en virtud del § 6.1, una administración actúe en nombre de un grupo de administraciones designadas, todos los miembros del grupo conservarán su derecho a responder en lo que respecta a sus propias adjudicaciones o asignaciones.</w:t>
      </w:r>
    </w:p>
  </w:footnote>
  <w:footnote w:id="14">
    <w:p w14:paraId="01B0DDF3" w14:textId="710F8E18" w:rsidR="001A2FEC" w:rsidRPr="00F52C10" w:rsidRDefault="001A2FEC" w:rsidP="00E31A0A">
      <w:pPr>
        <w:pStyle w:val="Textonotapie"/>
        <w:jc w:val="both"/>
        <w:rPr>
          <w:sz w:val="18"/>
          <w:szCs w:val="18"/>
          <w:lang w:val="es-ES_tradnl"/>
        </w:rPr>
      </w:pPr>
      <w:r w:rsidRPr="00F52C10">
        <w:rPr>
          <w:rStyle w:val="Refdenotaalpie"/>
          <w:sz w:val="18"/>
          <w:szCs w:val="18"/>
          <w:lang w:val="es-ES_tradnl"/>
        </w:rPr>
        <w:t>4</w:t>
      </w:r>
      <w:r w:rsidRPr="00F52C10">
        <w:rPr>
          <w:sz w:val="18"/>
          <w:szCs w:val="18"/>
          <w:lang w:val="es-ES_tradnl"/>
        </w:rPr>
        <w:tab/>
        <w:t>Las notificaciones pueden incluir la conversión de la parte de la banda 6/4 GHz o 13/10-11 GHz (para el enlace ascendente y el enlace descendente) de una adjudicación en una asignación siempre y cuando la posición orbital de la asignación sea la misma que la parte no convertida de la adjudicación.</w:t>
      </w:r>
    </w:p>
  </w:footnote>
  <w:footnote w:id="15">
    <w:p w14:paraId="793F6CAC"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5</w:t>
      </w:r>
      <w:r w:rsidRPr="00F52C10">
        <w:rPr>
          <w:sz w:val="18"/>
          <w:szCs w:val="18"/>
          <w:lang w:val="es-ES_tradnl"/>
        </w:rPr>
        <w:tab/>
        <w:t>Las notificaciones para sistemas adicionales pueden incluir la utilización de enlaces que sean exclusivamente espacio-Tierra o Tierra-espacio.</w:t>
      </w:r>
    </w:p>
  </w:footnote>
  <w:footnote w:id="16">
    <w:p w14:paraId="1138F892"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6</w:t>
      </w:r>
      <w:r w:rsidRPr="00F52C10">
        <w:rPr>
          <w:sz w:val="18"/>
          <w:szCs w:val="18"/>
          <w:lang w:val="es-ES_tradnl"/>
        </w:rPr>
        <w:tab/>
        <w:t>Las «demás disposiciones» se identificarán e incluirán en las Reglas de Procedimiento.</w:t>
      </w:r>
    </w:p>
  </w:footnote>
  <w:footnote w:id="17">
    <w:p w14:paraId="51A4AF36"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7</w:t>
      </w:r>
      <w:r w:rsidRPr="00F52C10">
        <w:rPr>
          <w:sz w:val="18"/>
          <w:szCs w:val="18"/>
          <w:lang w:val="es-ES_tradnl"/>
        </w:rPr>
        <w:tab/>
        <w:t>Las «demás disposiciones» se identificarán e incluirán en las Reglas de Procedimiento.</w:t>
      </w:r>
    </w:p>
  </w:footnote>
  <w:footnote w:id="18">
    <w:p w14:paraId="35E290F8"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8</w:t>
      </w:r>
      <w:r w:rsidRPr="00F52C10">
        <w:rPr>
          <w:sz w:val="18"/>
          <w:szCs w:val="18"/>
          <w:lang w:val="es-ES_tradnl"/>
        </w:rPr>
        <w:tab/>
        <w:t>En caso de la conversión de una adjudicación en una asignación, la parte de la adjudicación que se ha convertido se retirará del Plan y se actualizará la situación de referencia.</w:t>
      </w:r>
    </w:p>
  </w:footnote>
  <w:footnote w:id="19">
    <w:p w14:paraId="4FE05894"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w:t>
      </w:r>
      <w:r w:rsidRPr="00F52C10">
        <w:rPr>
          <w:sz w:val="18"/>
          <w:szCs w:val="18"/>
          <w:lang w:val="es-ES_tradnl"/>
        </w:rPr>
        <w:tab/>
        <w:t>Palestina podrá aplicar este procedimiento para obtener asignaciones en el Plan del Apéndice </w:t>
      </w:r>
      <w:r w:rsidRPr="00F52C10">
        <w:rPr>
          <w:b/>
          <w:bCs/>
          <w:sz w:val="18"/>
          <w:szCs w:val="18"/>
          <w:lang w:val="es-ES_tradnl"/>
        </w:rPr>
        <w:t>30B</w:t>
      </w:r>
      <w:r w:rsidRPr="00F52C10">
        <w:rPr>
          <w:sz w:val="18"/>
          <w:szCs w:val="18"/>
          <w:lang w:val="es-ES_tradnl"/>
        </w:rPr>
        <w:t>. Estas asignaciones serán para la utilización exclusiva por Palestina, de conformidad con el Acuerdo provisional entre Israel y Palestina, de 28 de septiembre de 1995, no obstante la Resolución 741 del Consejo, y con la Resolución 99 (Rev. Antalya, 2006) de la Conferencia de Plenipotenciarios, y sin perjuicio de los futuros acuerdos entre el Estado de Israel y Palestina.</w:t>
      </w:r>
    </w:p>
  </w:footnote>
  <w:footnote w:id="20">
    <w:p w14:paraId="6CB3017A" w14:textId="6587028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w:t>
      </w:r>
      <w:r w:rsidRPr="00F52C10">
        <w:rPr>
          <w:sz w:val="18"/>
          <w:szCs w:val="18"/>
          <w:lang w:val="es-ES_tradnl"/>
        </w:rPr>
        <w:t xml:space="preserve"> Palestina podrá aplicar este procedimiento para obtener asignaciones en el Plan del Apéndice </w:t>
      </w:r>
      <w:r w:rsidRPr="00F52C10">
        <w:rPr>
          <w:b/>
          <w:bCs/>
          <w:sz w:val="18"/>
          <w:szCs w:val="18"/>
          <w:lang w:val="es-ES_tradnl"/>
        </w:rPr>
        <w:t>30B</w:t>
      </w:r>
      <w:r w:rsidRPr="00F52C10">
        <w:rPr>
          <w:sz w:val="18"/>
          <w:szCs w:val="18"/>
          <w:lang w:val="es-ES_tradnl"/>
        </w:rPr>
        <w:t>. Estas asignaciones serán para la utilización exclusiva por Palestina, de conformidad con el Acuerdo provisional entre Israel y Palestina, de 28 de septiembre de 1995, no obstante la Resolución 741 del Consejo, y con la Resolución 99 (Rev. Antalya, 2006) de la Conferencia de Plenipotenciarios, y sin perjuicio de los futuros acuerdos entre el Estado de Israel y Palestina.</w:t>
      </w:r>
    </w:p>
  </w:footnote>
  <w:footnote w:id="21">
    <w:p w14:paraId="2A4C8BC0"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9</w:t>
      </w:r>
      <w:r w:rsidRPr="00F52C10">
        <w:rPr>
          <w:sz w:val="18"/>
          <w:szCs w:val="18"/>
          <w:lang w:val="es-ES_tradnl"/>
        </w:rPr>
        <w:t xml:space="preserve"> </w:t>
      </w:r>
      <w:r w:rsidRPr="00F52C10">
        <w:rPr>
          <w:sz w:val="18"/>
          <w:szCs w:val="18"/>
          <w:lang w:val="es-ES_tradnl"/>
        </w:rPr>
        <w:tab/>
        <w:t>(SUP - CMR-15)</w:t>
      </w:r>
    </w:p>
  </w:footnote>
  <w:footnote w:id="22">
    <w:p w14:paraId="559A03EA"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10</w:t>
      </w:r>
      <w:r w:rsidRPr="00F52C10">
        <w:rPr>
          <w:sz w:val="18"/>
          <w:szCs w:val="18"/>
          <w:lang w:val="es-ES_tradnl"/>
        </w:rPr>
        <w:tab/>
        <w:t>Las «otras disposiciones» se identificarán e incluirán en las Reglas de Procedimiento.</w:t>
      </w:r>
    </w:p>
  </w:footnote>
  <w:footnote w:id="23">
    <w:p w14:paraId="10950692"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11</w:t>
      </w:r>
      <w:r w:rsidRPr="00F52C10">
        <w:rPr>
          <w:sz w:val="18"/>
          <w:szCs w:val="18"/>
          <w:lang w:val="es-ES_tradnl"/>
        </w:rPr>
        <w:tab/>
        <w:t xml:space="preserve"> De no recibirse los pagos de conformidad con lo dispuesto en el Acuerdo 482 del Consejo, modificado, relativo a la aplicación de la recuperación de costes para las notificaciones de redes de satélite, la Oficina anulará la publicación especificada en § 8.5 y 8.12 y las correspondientes inscripciones en el Registro con arreglo al § 8.11, tras haber informado a la administración afectada. La Oficina informará de tal medida a todas las administraciones y de que toda notificación vuelta a presentar será considerada una notificación nueva. La Oficina enviará un recordatorio a la administración notificante, a más tardar dos meses antes del plazo para el pago de conformidad con el mencionado Acuerdo 482 del Consejo, a no ser que ya se hubiese recibido el pago. Véase también la Resolución </w:t>
      </w:r>
      <w:r w:rsidRPr="00F52C10">
        <w:rPr>
          <w:b/>
          <w:bCs/>
          <w:sz w:val="18"/>
          <w:szCs w:val="18"/>
          <w:lang w:val="es-ES_tradnl"/>
        </w:rPr>
        <w:t>905 (CMR</w:t>
      </w:r>
      <w:r w:rsidRPr="00F52C10">
        <w:rPr>
          <w:b/>
          <w:bCs/>
          <w:sz w:val="18"/>
          <w:szCs w:val="18"/>
          <w:lang w:val="es-ES_tradnl"/>
        </w:rPr>
        <w:noBreakHyphen/>
        <w:t>07)</w:t>
      </w:r>
      <w:r w:rsidRPr="00F52C10">
        <w:rPr>
          <w:sz w:val="18"/>
          <w:szCs w:val="18"/>
          <w:lang w:val="es-ES_tradnl"/>
        </w:rPr>
        <w:t>*.     (CMR</w:t>
      </w:r>
      <w:r w:rsidRPr="00F52C10">
        <w:rPr>
          <w:sz w:val="18"/>
          <w:szCs w:val="18"/>
          <w:lang w:val="es-ES_tradnl"/>
        </w:rPr>
        <w:noBreakHyphen/>
        <w:t>07)</w:t>
      </w:r>
    </w:p>
    <w:p w14:paraId="4029CB5B" w14:textId="77777777" w:rsidR="001A2FEC" w:rsidRPr="00F52C10" w:rsidRDefault="001A2FEC" w:rsidP="00E31A0A">
      <w:pPr>
        <w:pStyle w:val="Textonotapie"/>
        <w:jc w:val="both"/>
        <w:rPr>
          <w:sz w:val="18"/>
          <w:szCs w:val="18"/>
          <w:lang w:val="es-ES_tradnl"/>
        </w:rPr>
      </w:pPr>
      <w:r w:rsidRPr="00F52C10">
        <w:rPr>
          <w:sz w:val="18"/>
          <w:szCs w:val="18"/>
          <w:lang w:val="es-ES_tradnl"/>
        </w:rPr>
        <w:tab/>
        <w:t>*   </w:t>
      </w:r>
      <w:r w:rsidRPr="00F52C10">
        <w:rPr>
          <w:i/>
          <w:iCs/>
          <w:sz w:val="18"/>
          <w:szCs w:val="18"/>
          <w:lang w:val="es-ES_tradnl"/>
        </w:rPr>
        <w:t>Nota de la Secretaría</w:t>
      </w:r>
      <w:r w:rsidRPr="00F52C10">
        <w:rPr>
          <w:sz w:val="18"/>
          <w:szCs w:val="18"/>
          <w:lang w:val="es-ES_tradnl"/>
        </w:rPr>
        <w:t>: Esta Resolución ha sido abrogada por la CMR-12.</w:t>
      </w:r>
    </w:p>
  </w:footnote>
  <w:footnote w:id="24">
    <w:p w14:paraId="1E6B445E" w14:textId="77777777" w:rsidR="001A2FEC" w:rsidRPr="00F52C10" w:rsidRDefault="001A2FEC" w:rsidP="00E31A0A">
      <w:pPr>
        <w:pStyle w:val="Textonotapie"/>
        <w:jc w:val="both"/>
        <w:rPr>
          <w:sz w:val="18"/>
          <w:szCs w:val="18"/>
          <w:lang w:val="es-ES_tradnl"/>
        </w:rPr>
      </w:pPr>
      <w:r w:rsidRPr="00F52C10">
        <w:rPr>
          <w:rStyle w:val="Refdenotaalpie"/>
          <w:sz w:val="18"/>
          <w:szCs w:val="18"/>
          <w:lang w:val="es-ES_tradnl"/>
        </w:rPr>
        <w:t>12</w:t>
      </w:r>
      <w:r w:rsidRPr="00F52C10">
        <w:rPr>
          <w:sz w:val="18"/>
          <w:szCs w:val="18"/>
          <w:lang w:val="es-ES_tradnl"/>
        </w:rPr>
        <w:tab/>
        <w:t xml:space="preserve">Se aplica lo dispuesto en la Resolución </w:t>
      </w:r>
      <w:r w:rsidRPr="00F52C10">
        <w:rPr>
          <w:b/>
          <w:bCs/>
          <w:sz w:val="18"/>
          <w:szCs w:val="18"/>
          <w:lang w:val="es-ES_tradnl"/>
        </w:rPr>
        <w:t>49 (Rev.CMR-15)</w:t>
      </w:r>
      <w:r w:rsidRPr="00F52C10">
        <w:rPr>
          <w:sz w:val="18"/>
          <w:szCs w:val="18"/>
          <w:lang w:val="es-ES_tradnl"/>
        </w:rPr>
        <w:t>.     (CMR</w:t>
      </w:r>
      <w:r w:rsidRPr="00F52C10">
        <w:rPr>
          <w:sz w:val="18"/>
          <w:szCs w:val="18"/>
          <w:lang w:val="es-ES_tradnl"/>
        </w:rPr>
        <w:noBreakHyphen/>
        <w:t>15)</w:t>
      </w:r>
    </w:p>
  </w:footnote>
  <w:footnote w:id="25">
    <w:p w14:paraId="142A899E" w14:textId="77777777" w:rsidR="001A2FEC" w:rsidRPr="00215C51" w:rsidRDefault="001A2FEC" w:rsidP="00E31A0A">
      <w:pPr>
        <w:pStyle w:val="Textonotapie"/>
        <w:jc w:val="both"/>
        <w:rPr>
          <w:sz w:val="18"/>
          <w:szCs w:val="18"/>
        </w:rPr>
      </w:pPr>
      <w:r w:rsidRPr="00F52C10">
        <w:rPr>
          <w:rStyle w:val="Refdenotaalpie"/>
          <w:sz w:val="18"/>
          <w:szCs w:val="18"/>
          <w:lang w:val="es-ES_tradnl"/>
        </w:rPr>
        <w:t>13</w:t>
      </w:r>
      <w:r w:rsidRPr="00F52C10">
        <w:rPr>
          <w:sz w:val="18"/>
          <w:szCs w:val="18"/>
        </w:rPr>
        <w:tab/>
      </w:r>
      <w:r w:rsidRPr="00E31A0A">
        <w:rPr>
          <w:sz w:val="18"/>
          <w:szCs w:val="18"/>
        </w:rPr>
        <w:t>Las «demás disposiciones» se identificarán y se incluirán en las Reglas de Procedimiento. (CMR</w:t>
      </w:r>
      <w:r w:rsidRPr="00E31A0A">
        <w:rPr>
          <w:sz w:val="18"/>
          <w:szCs w:val="18"/>
        </w:rPr>
        <w:noBreakHyphen/>
        <w:t>03)</w:t>
      </w:r>
    </w:p>
  </w:footnote>
  <w:footnote w:id="26">
    <w:p w14:paraId="3EEE201B" w14:textId="77777777" w:rsidR="001A2FEC" w:rsidRPr="00F52C10" w:rsidRDefault="001A2FEC" w:rsidP="00E31A0A">
      <w:pPr>
        <w:pStyle w:val="Textonotapie"/>
        <w:jc w:val="both"/>
        <w:rPr>
          <w:sz w:val="18"/>
          <w:szCs w:val="18"/>
        </w:rPr>
      </w:pPr>
      <w:r w:rsidRPr="00215C51">
        <w:rPr>
          <w:rStyle w:val="Refdenotaalpie"/>
          <w:sz w:val="18"/>
          <w:szCs w:val="18"/>
          <w:lang w:val="es-ES_tradnl"/>
        </w:rPr>
        <w:t>14</w:t>
      </w:r>
      <w:r w:rsidRPr="00215C51">
        <w:rPr>
          <w:sz w:val="18"/>
          <w:szCs w:val="18"/>
          <w:lang w:val="es-ES_tradnl"/>
        </w:rPr>
        <w:t xml:space="preserve"> </w:t>
      </w:r>
      <w:r w:rsidRPr="00215C51">
        <w:rPr>
          <w:sz w:val="18"/>
          <w:szCs w:val="18"/>
          <w:lang w:val="es-ES_tradnl"/>
        </w:rPr>
        <w:tab/>
        <w:t>Cuando una administración notifique asignaciones con características distintas de las que figuran en la Lista mediante la aplicación satisfactoria del Artículo 6 del Apéndice </w:t>
      </w:r>
      <w:r w:rsidRPr="00F52C10">
        <w:rPr>
          <w:b/>
          <w:bCs/>
          <w:sz w:val="18"/>
          <w:szCs w:val="18"/>
          <w:lang w:val="es-ES_tradnl"/>
        </w:rPr>
        <w:t>30B</w:t>
      </w:r>
      <w:r w:rsidRPr="00F52C10">
        <w:rPr>
          <w:sz w:val="18"/>
          <w:szCs w:val="18"/>
          <w:lang w:val="es-ES_tradnl"/>
        </w:rPr>
        <w:t xml:space="preserve">, la Oficina realizará un cálculo para determinar si las nuevas características propuestas aumentan el nivel de interferencia causada a otras adjudicaciones y asignaciones del Plan y la Lista. El aumento del nivel de interferencia debido a características diferentes a las inscritas en la Lista se verificará comparando la relación </w:t>
      </w:r>
      <w:r w:rsidRPr="00F52C10">
        <w:rPr>
          <w:i/>
          <w:iCs/>
          <w:sz w:val="18"/>
          <w:szCs w:val="18"/>
          <w:lang w:val="es-ES_tradnl"/>
        </w:rPr>
        <w:t>C</w:t>
      </w:r>
      <w:r w:rsidRPr="00F52C10">
        <w:rPr>
          <w:sz w:val="18"/>
          <w:szCs w:val="18"/>
          <w:lang w:val="es-ES_tradnl"/>
        </w:rPr>
        <w:t>/</w:t>
      </w:r>
      <w:r w:rsidRPr="00F52C10">
        <w:rPr>
          <w:i/>
          <w:iCs/>
          <w:sz w:val="18"/>
          <w:szCs w:val="18"/>
          <w:lang w:val="es-ES_tradnl"/>
        </w:rPr>
        <w:t>I</w:t>
      </w:r>
      <w:r w:rsidRPr="00F52C10">
        <w:rPr>
          <w:sz w:val="18"/>
          <w:szCs w:val="18"/>
          <w:lang w:val="es-ES_tradnl"/>
        </w:rPr>
        <w:t xml:space="preserve"> de estas otras adjudicaciones y asignaciones resultante de la utilización de las nuevas características propuestas de la asignación en cuestión, por un lado, y de las características de la asignación de la Lista, por otro. Este cálculo de </w:t>
      </w:r>
      <w:r w:rsidRPr="00F52C10">
        <w:rPr>
          <w:i/>
          <w:iCs/>
          <w:sz w:val="18"/>
          <w:szCs w:val="18"/>
          <w:lang w:val="es-ES_tradnl"/>
        </w:rPr>
        <w:t>C</w:t>
      </w:r>
      <w:r w:rsidRPr="00F52C10">
        <w:rPr>
          <w:sz w:val="18"/>
          <w:szCs w:val="18"/>
          <w:lang w:val="es-ES_tradnl"/>
        </w:rPr>
        <w:t>/</w:t>
      </w:r>
      <w:r w:rsidRPr="00F52C10">
        <w:rPr>
          <w:i/>
          <w:iCs/>
          <w:sz w:val="18"/>
          <w:szCs w:val="18"/>
          <w:lang w:val="es-ES_tradnl"/>
        </w:rPr>
        <w:t xml:space="preserve">I </w:t>
      </w:r>
      <w:r w:rsidRPr="00F52C10">
        <w:rPr>
          <w:sz w:val="18"/>
          <w:szCs w:val="18"/>
          <w:lang w:val="es-ES_tradnl"/>
        </w:rPr>
        <w:t>se realiza con los mismos supuestos y condiciones técnicas.     (CMR</w:t>
      </w:r>
      <w:r w:rsidRPr="00F52C10">
        <w:rPr>
          <w:sz w:val="18"/>
          <w:szCs w:val="18"/>
          <w:lang w:val="es-ES_tradnl"/>
        </w:rPr>
        <w:noBreakHyphen/>
        <w:t>07)</w:t>
      </w:r>
    </w:p>
  </w:footnote>
  <w:footnote w:id="27">
    <w:p w14:paraId="50527E01" w14:textId="77777777" w:rsidR="001A2FEC" w:rsidRPr="00215C51" w:rsidRDefault="001A2FEC" w:rsidP="00E31A0A">
      <w:pPr>
        <w:pStyle w:val="Textonotapie"/>
        <w:jc w:val="both"/>
        <w:rPr>
          <w:sz w:val="18"/>
          <w:szCs w:val="18"/>
          <w:lang w:val="es-ES_tradnl"/>
        </w:rPr>
      </w:pPr>
      <w:r w:rsidRPr="00F52C10">
        <w:rPr>
          <w:rStyle w:val="Refdenotaalpie"/>
          <w:sz w:val="18"/>
          <w:szCs w:val="18"/>
          <w:lang w:val="es-ES_tradnl"/>
        </w:rPr>
        <w:t>14</w:t>
      </w:r>
      <w:r w:rsidRPr="00F52C10">
        <w:rPr>
          <w:rStyle w:val="Refdenotaalpie"/>
          <w:i/>
          <w:iCs/>
          <w:sz w:val="18"/>
          <w:szCs w:val="18"/>
          <w:lang w:val="es-ES_tradnl"/>
        </w:rPr>
        <w:t>bis</w:t>
      </w:r>
      <w:r w:rsidRPr="00F52C10">
        <w:rPr>
          <w:sz w:val="18"/>
          <w:szCs w:val="18"/>
          <w:lang w:val="es-ES_tradnl"/>
        </w:rPr>
        <w:t>  La fecha de reanudación del servicio de una asignación de frecuencia de una estación espacial en la órbita de los satélites geoestacionarios será el inicio del periodo de 90 días definido más adelante. Se considerará que una asignación de frecuencia de una estación espacial en la órbita de los satélites geoestacionarios ha reanudado el servicio cuando la estación espacial en la OSG, con capacidad para transmitir o recibir esa asignación de frecuencia, se ha instalado y mantenido en la posición orbital notificada durante un periodo continuo de 90 días. La administración notificante informará de ello a la Oficina en el plazo de 30 días a partir del final del periodo de 90 días</w:t>
      </w:r>
      <w:r w:rsidRPr="00F52C10">
        <w:rPr>
          <w:rFonts w:eastAsiaTheme="minorHAnsi"/>
          <w:sz w:val="18"/>
          <w:szCs w:val="18"/>
          <w:lang w:val="es-ES_tradnl"/>
        </w:rPr>
        <w:t>.</w:t>
      </w:r>
      <w:r w:rsidRPr="00F52C10">
        <w:rPr>
          <w:rStyle w:val="TextonotapieCar"/>
          <w:rFonts w:eastAsiaTheme="minorHAnsi"/>
          <w:sz w:val="18"/>
          <w:szCs w:val="18"/>
          <w:lang w:val="es-ES_tradnl"/>
        </w:rPr>
        <w:t xml:space="preserve"> Será de aplicación la Resolución</w:t>
      </w:r>
      <w:r w:rsidRPr="00F52C10">
        <w:rPr>
          <w:sz w:val="18"/>
          <w:szCs w:val="18"/>
          <w:lang w:val="es-ES_tradnl"/>
        </w:rPr>
        <w:t> </w:t>
      </w:r>
      <w:r w:rsidRPr="00F52C10">
        <w:rPr>
          <w:b/>
          <w:bCs/>
          <w:sz w:val="18"/>
          <w:szCs w:val="18"/>
          <w:lang w:val="es-ES_tradnl"/>
        </w:rPr>
        <w:t>40 (CMR</w:t>
      </w:r>
      <w:r w:rsidRPr="00F52C10">
        <w:rPr>
          <w:b/>
          <w:bCs/>
          <w:sz w:val="18"/>
          <w:szCs w:val="18"/>
          <w:lang w:val="es-ES_tradnl" w:eastAsia="en-CA"/>
        </w:rPr>
        <w:noBreakHyphen/>
      </w:r>
      <w:r w:rsidRPr="00F52C10">
        <w:rPr>
          <w:b/>
          <w:bCs/>
          <w:sz w:val="18"/>
          <w:szCs w:val="18"/>
          <w:lang w:val="es-ES_tradnl"/>
        </w:rPr>
        <w:t>15)</w:t>
      </w:r>
      <w:r w:rsidRPr="00F52C10">
        <w:rPr>
          <w:sz w:val="18"/>
          <w:szCs w:val="18"/>
          <w:lang w:val="es-ES_tradnl"/>
        </w:rPr>
        <w:t>.</w:t>
      </w:r>
      <w:r w:rsidRPr="00E31A0A">
        <w:rPr>
          <w:sz w:val="18"/>
          <w:szCs w:val="18"/>
          <w:lang w:val="es-ES_tradnl"/>
        </w:rPr>
        <w:t>     (CMR</w:t>
      </w:r>
      <w:r w:rsidRPr="00E31A0A">
        <w:rPr>
          <w:sz w:val="18"/>
          <w:szCs w:val="18"/>
          <w:lang w:val="es-ES_tradnl"/>
        </w:rPr>
        <w:noBreakHyphen/>
        <w:t>15)</w:t>
      </w:r>
    </w:p>
  </w:footnote>
  <w:footnote w:id="28">
    <w:p w14:paraId="07B8D02C" w14:textId="77777777" w:rsidR="001A2FEC" w:rsidRPr="00215C51" w:rsidRDefault="001A2FEC" w:rsidP="00E31A0A">
      <w:pPr>
        <w:pStyle w:val="Textonotapie"/>
        <w:jc w:val="both"/>
        <w:rPr>
          <w:sz w:val="18"/>
          <w:szCs w:val="18"/>
          <w:lang w:val="es-ES_tradnl"/>
        </w:rPr>
      </w:pPr>
      <w:r w:rsidRPr="00215C51">
        <w:rPr>
          <w:rStyle w:val="Refdenotaalpie"/>
          <w:sz w:val="18"/>
          <w:szCs w:val="18"/>
          <w:lang w:val="es-ES_tradnl"/>
        </w:rPr>
        <w:t>*</w:t>
      </w:r>
      <w:r w:rsidRPr="00215C51">
        <w:rPr>
          <w:sz w:val="18"/>
          <w:szCs w:val="18"/>
          <w:lang w:val="es-ES_tradnl"/>
        </w:rPr>
        <w:tab/>
      </w:r>
      <w:r w:rsidRPr="00BC46F4">
        <w:rPr>
          <w:sz w:val="18"/>
          <w:szCs w:val="18"/>
          <w:lang w:val="es-ES_tradnl"/>
        </w:rPr>
        <w:t>La Fig. 1 representa diagramas de ciertas combinaciones de</w:t>
      </w:r>
      <w:r w:rsidRPr="00BC46F4">
        <w:rPr>
          <w:i/>
          <w:sz w:val="18"/>
          <w:szCs w:val="18"/>
          <w:lang w:val="es-ES_tradnl"/>
        </w:rPr>
        <w:t xml:space="preserve"> B</w:t>
      </w:r>
      <w:r w:rsidRPr="00BC46F4">
        <w:rPr>
          <w:i/>
          <w:sz w:val="18"/>
          <w:szCs w:val="18"/>
          <w:vertAlign w:val="subscript"/>
          <w:lang w:val="es-ES_tradnl"/>
        </w:rPr>
        <w:t>mín</w:t>
      </w:r>
      <w:r w:rsidRPr="00BC46F4">
        <w:rPr>
          <w:i/>
          <w:sz w:val="18"/>
          <w:szCs w:val="18"/>
          <w:lang w:val="es-ES_tradnl"/>
        </w:rPr>
        <w:t xml:space="preserve"> </w:t>
      </w:r>
      <w:r w:rsidRPr="00BC46F4">
        <w:rPr>
          <w:sz w:val="18"/>
          <w:szCs w:val="18"/>
          <w:lang w:val="es-ES_tradnl"/>
        </w:rPr>
        <w:t>y </w:t>
      </w:r>
      <w:r w:rsidRPr="00BC46F4">
        <w:rPr>
          <w:iCs/>
          <w:sz w:val="18"/>
          <w:szCs w:val="18"/>
        </w:rPr>
        <w:sym w:font="Symbol" w:char="F06A"/>
      </w:r>
      <w:r w:rsidRPr="00BC46F4">
        <w:rPr>
          <w:iCs/>
          <w:sz w:val="18"/>
          <w:szCs w:val="18"/>
          <w:vertAlign w:val="subscript"/>
          <w:lang w:val="es-ES_tradnl"/>
        </w:rPr>
        <w:t>0</w:t>
      </w:r>
      <w:r w:rsidRPr="00BC46F4">
        <w:rPr>
          <w:iCs/>
          <w:sz w:val="18"/>
          <w:szCs w:val="18"/>
          <w:lang w:val="es-ES_tradnl"/>
        </w:rPr>
        <w:t>.</w:t>
      </w:r>
      <w:r w:rsidRPr="00BC46F4">
        <w:rPr>
          <w:sz w:val="18"/>
          <w:szCs w:val="18"/>
          <w:lang w:val="es-ES_tradnl"/>
        </w:rPr>
        <w:t>     (CMR-07)</w:t>
      </w:r>
    </w:p>
  </w:footnote>
  <w:footnote w:id="29">
    <w:p w14:paraId="5816D95C" w14:textId="77777777" w:rsidR="001A2FEC" w:rsidRPr="00215C51" w:rsidRDefault="001A2FEC" w:rsidP="00E31A0A">
      <w:pPr>
        <w:pStyle w:val="Textonotapie"/>
        <w:tabs>
          <w:tab w:val="left" w:pos="284"/>
        </w:tabs>
        <w:jc w:val="both"/>
        <w:rPr>
          <w:sz w:val="18"/>
          <w:szCs w:val="18"/>
          <w:lang w:val="es-ES_tradnl"/>
        </w:rPr>
      </w:pPr>
      <w:r w:rsidRPr="00215C51">
        <w:rPr>
          <w:rStyle w:val="Refdenotaalpie"/>
          <w:sz w:val="18"/>
          <w:szCs w:val="18"/>
          <w:lang w:val="es-ES_tradnl"/>
        </w:rPr>
        <w:t>15</w:t>
      </w:r>
      <w:r w:rsidRPr="00215C51">
        <w:rPr>
          <w:sz w:val="18"/>
          <w:szCs w:val="18"/>
          <w:lang w:val="es-ES_tradnl"/>
        </w:rPr>
        <w:tab/>
        <w:t>Estos límites no se aplicarán a las asignaciones inscritas en la Lista antes del 17 de noviembre de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1756"/>
      <w:gridCol w:w="5489"/>
      <w:gridCol w:w="157"/>
      <w:gridCol w:w="2680"/>
    </w:tblGrid>
    <w:tr w:rsidR="001A2FEC" w:rsidRPr="00E4628E" w14:paraId="499005BF" w14:textId="77777777" w:rsidTr="00E02D16">
      <w:trPr>
        <w:cantSplit/>
        <w:trHeight w:val="294"/>
      </w:trPr>
      <w:tc>
        <w:tcPr>
          <w:tcW w:w="1774" w:type="dxa"/>
          <w:vMerge w:val="restart"/>
          <w:shd w:val="clear" w:color="auto" w:fill="auto"/>
          <w:vAlign w:val="center"/>
        </w:tcPr>
        <w:p w14:paraId="11804D6B" w14:textId="77777777" w:rsidR="001A2FEC" w:rsidRPr="00E4628E" w:rsidRDefault="001A2FEC" w:rsidP="005F5FDC">
          <w:pPr>
            <w:jc w:val="center"/>
            <w:rPr>
              <w:b/>
              <w:bCs/>
              <w:sz w:val="22"/>
              <w:szCs w:val="22"/>
            </w:rPr>
          </w:pPr>
          <w:r w:rsidRPr="00E4628E">
            <w:rPr>
              <w:b/>
              <w:bCs/>
              <w:noProof/>
              <w:sz w:val="22"/>
              <w:szCs w:val="22"/>
              <w:lang w:val="es-ES_tradnl" w:eastAsia="es-ES_tradnl"/>
            </w:rPr>
            <w:drawing>
              <wp:inline distT="0" distB="0" distL="0" distR="0" wp14:anchorId="610D905F" wp14:editId="606872DD">
                <wp:extent cx="975946" cy="786442"/>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976675" cy="787030"/>
                        </a:xfrm>
                        <a:prstGeom prst="rect">
                          <a:avLst/>
                        </a:prstGeom>
                      </pic:spPr>
                    </pic:pic>
                  </a:graphicData>
                </a:graphic>
              </wp:inline>
            </w:drawing>
          </w:r>
        </w:p>
      </w:tc>
      <w:tc>
        <w:tcPr>
          <w:tcW w:w="6234" w:type="dxa"/>
          <w:shd w:val="clear" w:color="auto" w:fill="D9D9D9" w:themeFill="background1" w:themeFillShade="D9"/>
          <w:vAlign w:val="center"/>
        </w:tcPr>
        <w:p w14:paraId="0226B580" w14:textId="77777777" w:rsidR="001A2FEC" w:rsidRPr="00E4628E" w:rsidRDefault="001A2FEC" w:rsidP="005F5FDC">
          <w:pPr>
            <w:jc w:val="center"/>
            <w:rPr>
              <w:b/>
              <w:bCs/>
              <w:sz w:val="16"/>
              <w:szCs w:val="16"/>
            </w:rPr>
          </w:pPr>
          <w:r w:rsidRPr="00E4628E">
            <w:rPr>
              <w:b/>
              <w:bCs/>
              <w:sz w:val="16"/>
              <w:szCs w:val="16"/>
            </w:rPr>
            <w:t>MINISTERIO DE CIENCIA, TECNOLOGÍA Y TELECOMUNICACIONES</w:t>
          </w:r>
        </w:p>
      </w:tc>
      <w:tc>
        <w:tcPr>
          <w:tcW w:w="160" w:type="dxa"/>
          <w:vMerge w:val="restart"/>
          <w:shd w:val="clear" w:color="auto" w:fill="629DD1" w:themeFill="accent1"/>
        </w:tcPr>
        <w:p w14:paraId="220DA8BF" w14:textId="77777777" w:rsidR="001A2FEC" w:rsidRPr="00E4628E" w:rsidRDefault="001A2FEC" w:rsidP="005F5FDC">
          <w:pPr>
            <w:rPr>
              <w:sz w:val="16"/>
              <w:szCs w:val="16"/>
            </w:rPr>
          </w:pPr>
        </w:p>
      </w:tc>
      <w:tc>
        <w:tcPr>
          <w:tcW w:w="2785" w:type="dxa"/>
          <w:shd w:val="clear" w:color="auto" w:fill="D9D9D9" w:themeFill="background1" w:themeFillShade="D9"/>
          <w:vAlign w:val="center"/>
        </w:tcPr>
        <w:p w14:paraId="010F788A" w14:textId="44324AD4" w:rsidR="001A2FEC" w:rsidRPr="00E25D1A" w:rsidRDefault="001A2FEC" w:rsidP="00BF55FA">
          <w:pPr>
            <w:spacing w:line="360" w:lineRule="auto"/>
            <w:jc w:val="right"/>
            <w:rPr>
              <w:sz w:val="14"/>
              <w:szCs w:val="14"/>
              <w:lang w:val="es-CR"/>
            </w:rPr>
          </w:pPr>
          <w:r w:rsidRPr="00E25D1A">
            <w:rPr>
              <w:sz w:val="14"/>
              <w:szCs w:val="14"/>
              <w:lang w:val="es-CR"/>
            </w:rPr>
            <w:t>Código: MICITT-DCNT-INF-0</w:t>
          </w:r>
          <w:r w:rsidR="00C240FC">
            <w:rPr>
              <w:sz w:val="14"/>
              <w:szCs w:val="14"/>
              <w:lang w:val="es-CR"/>
            </w:rPr>
            <w:t>15</w:t>
          </w:r>
          <w:r w:rsidRPr="00E25D1A">
            <w:rPr>
              <w:sz w:val="14"/>
              <w:szCs w:val="14"/>
              <w:lang w:val="es-CR"/>
            </w:rPr>
            <w:t xml:space="preserve">-2018 </w:t>
          </w:r>
        </w:p>
      </w:tc>
    </w:tr>
    <w:tr w:rsidR="001A2FEC" w:rsidRPr="00F52C10" w14:paraId="4051C02A" w14:textId="77777777" w:rsidTr="00E02D16">
      <w:trPr>
        <w:cantSplit/>
        <w:trHeight w:val="294"/>
      </w:trPr>
      <w:tc>
        <w:tcPr>
          <w:tcW w:w="1774" w:type="dxa"/>
          <w:vMerge/>
          <w:shd w:val="clear" w:color="auto" w:fill="auto"/>
        </w:tcPr>
        <w:p w14:paraId="35395265" w14:textId="77777777" w:rsidR="001A2FEC" w:rsidRPr="00E25D1A" w:rsidRDefault="001A2FEC" w:rsidP="005F5FDC">
          <w:pPr>
            <w:jc w:val="center"/>
            <w:rPr>
              <w:b/>
              <w:sz w:val="22"/>
              <w:szCs w:val="22"/>
              <w:lang w:val="es-CR"/>
            </w:rPr>
          </w:pPr>
        </w:p>
      </w:tc>
      <w:tc>
        <w:tcPr>
          <w:tcW w:w="6234" w:type="dxa"/>
          <w:shd w:val="clear" w:color="auto" w:fill="D9D9D9" w:themeFill="background1" w:themeFillShade="D9"/>
        </w:tcPr>
        <w:p w14:paraId="731AC21B" w14:textId="4FC160E9" w:rsidR="001A2FEC" w:rsidRPr="00E4628E" w:rsidRDefault="001A2FEC" w:rsidP="00BF55FA">
          <w:pPr>
            <w:jc w:val="center"/>
            <w:rPr>
              <w:b/>
              <w:bCs/>
              <w:sz w:val="16"/>
              <w:szCs w:val="16"/>
            </w:rPr>
          </w:pPr>
          <w:r w:rsidRPr="00E4628E">
            <w:rPr>
              <w:b/>
              <w:bCs/>
              <w:sz w:val="16"/>
              <w:szCs w:val="16"/>
            </w:rPr>
            <w:t>DIRECCIÓN DE CONCESIONES Y NORMAS EN TELECOMUNICACIONES</w:t>
          </w:r>
        </w:p>
      </w:tc>
      <w:tc>
        <w:tcPr>
          <w:tcW w:w="160" w:type="dxa"/>
          <w:vMerge/>
          <w:shd w:val="clear" w:color="auto" w:fill="629DD1" w:themeFill="accent1"/>
          <w:vAlign w:val="center"/>
        </w:tcPr>
        <w:p w14:paraId="649588B5" w14:textId="77777777" w:rsidR="001A2FEC" w:rsidRPr="00E4628E" w:rsidRDefault="001A2FEC" w:rsidP="005F5FDC">
          <w:pPr>
            <w:rPr>
              <w:sz w:val="16"/>
              <w:szCs w:val="16"/>
            </w:rPr>
          </w:pPr>
        </w:p>
      </w:tc>
      <w:tc>
        <w:tcPr>
          <w:tcW w:w="2785" w:type="dxa"/>
          <w:shd w:val="clear" w:color="auto" w:fill="F2F2F2" w:themeFill="background1" w:themeFillShade="F2"/>
          <w:vAlign w:val="center"/>
        </w:tcPr>
        <w:p w14:paraId="57AA6E2E" w14:textId="366C27E3" w:rsidR="001A2FEC" w:rsidRPr="00E25D1A" w:rsidRDefault="001A2FEC" w:rsidP="00DD4FD0">
          <w:pPr>
            <w:jc w:val="right"/>
            <w:rPr>
              <w:sz w:val="18"/>
              <w:szCs w:val="18"/>
            </w:rPr>
          </w:pPr>
          <w:r w:rsidRPr="00E25D1A">
            <w:rPr>
              <w:sz w:val="18"/>
              <w:szCs w:val="18"/>
            </w:rPr>
            <w:t>Fecha Emisión:</w:t>
          </w:r>
          <w:r w:rsidR="00C240FC">
            <w:rPr>
              <w:sz w:val="18"/>
              <w:szCs w:val="18"/>
            </w:rPr>
            <w:t>22</w:t>
          </w:r>
          <w:r w:rsidRPr="00E25D1A">
            <w:rPr>
              <w:sz w:val="18"/>
              <w:szCs w:val="18"/>
            </w:rPr>
            <w:t>/</w:t>
          </w:r>
          <w:r>
            <w:rPr>
              <w:sz w:val="18"/>
              <w:szCs w:val="18"/>
            </w:rPr>
            <w:t>noviembre</w:t>
          </w:r>
          <w:r w:rsidRPr="00E25D1A">
            <w:rPr>
              <w:sz w:val="18"/>
              <w:szCs w:val="18"/>
            </w:rPr>
            <w:t>/2018</w:t>
          </w:r>
        </w:p>
      </w:tc>
    </w:tr>
    <w:tr w:rsidR="001A2FEC" w:rsidRPr="00F52C10" w14:paraId="44582A0A" w14:textId="77777777" w:rsidTr="00E02D16">
      <w:trPr>
        <w:cantSplit/>
        <w:trHeight w:val="294"/>
      </w:trPr>
      <w:tc>
        <w:tcPr>
          <w:tcW w:w="1774" w:type="dxa"/>
          <w:vMerge/>
          <w:shd w:val="clear" w:color="auto" w:fill="auto"/>
        </w:tcPr>
        <w:p w14:paraId="1B45E2DA" w14:textId="77777777" w:rsidR="001A2FEC" w:rsidRPr="00E4628E" w:rsidRDefault="001A2FEC" w:rsidP="005F5FDC">
          <w:pPr>
            <w:ind w:right="7"/>
            <w:jc w:val="center"/>
            <w:rPr>
              <w:b/>
              <w:sz w:val="22"/>
              <w:szCs w:val="22"/>
            </w:rPr>
          </w:pPr>
        </w:p>
      </w:tc>
      <w:tc>
        <w:tcPr>
          <w:tcW w:w="6234" w:type="dxa"/>
          <w:shd w:val="clear" w:color="auto" w:fill="D9D9D9" w:themeFill="background1" w:themeFillShade="D9"/>
          <w:vAlign w:val="center"/>
        </w:tcPr>
        <w:p w14:paraId="631C85A2" w14:textId="551FDD9E" w:rsidR="001A2FEC" w:rsidRPr="00E25D1A" w:rsidRDefault="001A2FEC" w:rsidP="00E4628E">
          <w:pPr>
            <w:pStyle w:val="Sinespaciado"/>
            <w:jc w:val="center"/>
            <w:rPr>
              <w:rFonts w:ascii="Times New Roman" w:hAnsi="Times New Roman" w:cs="Times New Roman"/>
              <w:b/>
            </w:rPr>
          </w:pPr>
          <w:r w:rsidRPr="00E25D1A">
            <w:rPr>
              <w:rFonts w:ascii="Times New Roman" w:hAnsi="Times New Roman" w:cs="Times New Roman"/>
              <w:b/>
              <w:bCs/>
              <w:sz w:val="18"/>
              <w:szCs w:val="18"/>
            </w:rPr>
            <w:t>“</w:t>
          </w:r>
          <w:r w:rsidRPr="00E25D1A">
            <w:rPr>
              <w:rFonts w:ascii="Times New Roman" w:eastAsia="Times New Roman" w:hAnsi="Times New Roman" w:cs="Times New Roman"/>
              <w:b/>
              <w:bCs/>
              <w:sz w:val="18"/>
              <w:szCs w:val="18"/>
              <w:lang w:eastAsia="es-MX"/>
            </w:rPr>
            <w:t>Informe técnico jurídico relativo la solicitud de</w:t>
          </w:r>
          <w:r>
            <w:rPr>
              <w:rFonts w:ascii="Times New Roman" w:eastAsia="Times New Roman" w:hAnsi="Times New Roman" w:cs="Times New Roman"/>
              <w:b/>
              <w:bCs/>
              <w:sz w:val="18"/>
              <w:szCs w:val="18"/>
              <w:lang w:eastAsia="es-MX"/>
            </w:rPr>
            <w:t xml:space="preserve">l Departamento de Servicios Espaciales de </w:t>
          </w:r>
          <w:r w:rsidRPr="00E25D1A">
            <w:rPr>
              <w:rFonts w:ascii="Times New Roman" w:eastAsia="Times New Roman" w:hAnsi="Times New Roman" w:cs="Times New Roman"/>
              <w:b/>
              <w:bCs/>
              <w:sz w:val="18"/>
              <w:szCs w:val="18"/>
              <w:lang w:eastAsia="es-MX"/>
            </w:rPr>
            <w:t>l</w:t>
          </w:r>
          <w:r>
            <w:rPr>
              <w:rFonts w:ascii="Times New Roman" w:eastAsia="Times New Roman" w:hAnsi="Times New Roman" w:cs="Times New Roman"/>
              <w:b/>
              <w:bCs/>
              <w:sz w:val="18"/>
              <w:szCs w:val="18"/>
              <w:lang w:eastAsia="es-MX"/>
            </w:rPr>
            <w:t>a</w:t>
          </w:r>
          <w:r w:rsidRPr="00E25D1A">
            <w:rPr>
              <w:rFonts w:ascii="Times New Roman" w:eastAsia="Times New Roman" w:hAnsi="Times New Roman" w:cs="Times New Roman"/>
              <w:b/>
              <w:bCs/>
              <w:sz w:val="18"/>
              <w:szCs w:val="18"/>
              <w:lang w:eastAsia="es-MX"/>
            </w:rPr>
            <w:t xml:space="preserve"> </w:t>
          </w:r>
          <w:r>
            <w:rPr>
              <w:rFonts w:ascii="Times New Roman" w:eastAsia="Times New Roman" w:hAnsi="Times New Roman" w:cs="Times New Roman"/>
              <w:b/>
              <w:bCs/>
              <w:sz w:val="18"/>
              <w:szCs w:val="18"/>
              <w:lang w:eastAsia="es-MX"/>
            </w:rPr>
            <w:t>Oficina de Radiocomunicaciones</w:t>
          </w:r>
          <w:r w:rsidRPr="00E25D1A">
            <w:rPr>
              <w:rFonts w:ascii="Times New Roman" w:eastAsia="Times New Roman" w:hAnsi="Times New Roman" w:cs="Times New Roman"/>
              <w:b/>
              <w:bCs/>
              <w:sz w:val="18"/>
              <w:szCs w:val="18"/>
              <w:lang w:eastAsia="es-MX"/>
            </w:rPr>
            <w:t xml:space="preserve"> de la UIT para incluir a Costa Rica en el área de servicio d</w:t>
          </w:r>
          <w:r>
            <w:rPr>
              <w:rFonts w:ascii="Times New Roman" w:eastAsia="Times New Roman" w:hAnsi="Times New Roman" w:cs="Times New Roman"/>
              <w:b/>
              <w:bCs/>
              <w:sz w:val="18"/>
              <w:szCs w:val="18"/>
              <w:lang w:eastAsia="es-MX"/>
            </w:rPr>
            <w:t xml:space="preserve">e </w:t>
          </w:r>
          <w:r w:rsidRPr="00603293">
            <w:rPr>
              <w:rFonts w:ascii="Times New Roman" w:eastAsia="Times New Roman" w:hAnsi="Times New Roman" w:cs="Times New Roman"/>
              <w:b/>
              <w:bCs/>
              <w:sz w:val="18"/>
              <w:szCs w:val="18"/>
              <w:lang w:eastAsia="es-MX"/>
            </w:rPr>
            <w:t>las Red</w:t>
          </w:r>
          <w:r w:rsidR="002C46D1">
            <w:rPr>
              <w:rFonts w:ascii="Times New Roman" w:eastAsia="Times New Roman" w:hAnsi="Times New Roman" w:cs="Times New Roman"/>
              <w:b/>
              <w:bCs/>
              <w:sz w:val="18"/>
              <w:szCs w:val="18"/>
              <w:lang w:eastAsia="es-MX"/>
            </w:rPr>
            <w:t>es</w:t>
          </w:r>
          <w:r w:rsidRPr="00603293">
            <w:rPr>
              <w:rFonts w:ascii="Times New Roman" w:eastAsia="Times New Roman" w:hAnsi="Times New Roman" w:cs="Times New Roman"/>
              <w:b/>
              <w:bCs/>
              <w:sz w:val="18"/>
              <w:szCs w:val="18"/>
              <w:lang w:eastAsia="es-MX"/>
            </w:rPr>
            <w:t xml:space="preserve"> Satelital</w:t>
          </w:r>
          <w:r w:rsidR="002C46D1">
            <w:rPr>
              <w:rFonts w:ascii="Times New Roman" w:eastAsia="Times New Roman" w:hAnsi="Times New Roman" w:cs="Times New Roman"/>
              <w:b/>
              <w:bCs/>
              <w:sz w:val="18"/>
              <w:szCs w:val="18"/>
              <w:lang w:eastAsia="es-MX"/>
            </w:rPr>
            <w:t>es</w:t>
          </w:r>
          <w:r w:rsidRPr="00603293">
            <w:rPr>
              <w:rFonts w:ascii="Times New Roman" w:eastAsia="Times New Roman" w:hAnsi="Times New Roman" w:cs="Times New Roman"/>
              <w:b/>
              <w:bCs/>
              <w:sz w:val="18"/>
              <w:szCs w:val="18"/>
              <w:lang w:eastAsia="es-MX"/>
            </w:rPr>
            <w:t xml:space="preserve"> denominada</w:t>
          </w:r>
          <w:r w:rsidR="002C46D1">
            <w:rPr>
              <w:rFonts w:ascii="Times New Roman" w:eastAsia="Times New Roman" w:hAnsi="Times New Roman" w:cs="Times New Roman"/>
              <w:b/>
              <w:bCs/>
              <w:sz w:val="18"/>
              <w:szCs w:val="18"/>
              <w:lang w:eastAsia="es-MX"/>
            </w:rPr>
            <w:t>s</w:t>
          </w:r>
          <w:r w:rsidRPr="00603293">
            <w:rPr>
              <w:rFonts w:ascii="Times New Roman" w:eastAsia="Times New Roman" w:hAnsi="Times New Roman" w:cs="Times New Roman"/>
              <w:b/>
              <w:bCs/>
              <w:sz w:val="18"/>
              <w:szCs w:val="18"/>
              <w:lang w:eastAsia="es-MX"/>
            </w:rPr>
            <w:t xml:space="preserve"> </w:t>
          </w:r>
          <w:r w:rsidR="002C46D1">
            <w:rPr>
              <w:rFonts w:ascii="Times New Roman" w:eastAsia="Times New Roman" w:hAnsi="Times New Roman" w:cs="Times New Roman"/>
              <w:b/>
              <w:bCs/>
              <w:sz w:val="18"/>
              <w:szCs w:val="18"/>
              <w:lang w:eastAsia="es-MX"/>
            </w:rPr>
            <w:t>NSS-FSS-G3 22W, NSS-FSS-137W Y NSS-FSS-105 W-2</w:t>
          </w:r>
          <w:r w:rsidRPr="00603293">
            <w:rPr>
              <w:rFonts w:ascii="Times New Roman" w:eastAsia="Times New Roman" w:hAnsi="Times New Roman" w:cs="Times New Roman"/>
              <w:b/>
              <w:bCs/>
              <w:sz w:val="18"/>
              <w:szCs w:val="18"/>
              <w:lang w:eastAsia="es-MX"/>
            </w:rPr>
            <w:t>anexa a la BR IFIC N° 28</w:t>
          </w:r>
          <w:r>
            <w:rPr>
              <w:rFonts w:ascii="Times New Roman" w:eastAsia="Times New Roman" w:hAnsi="Times New Roman" w:cs="Times New Roman"/>
              <w:b/>
              <w:bCs/>
              <w:sz w:val="18"/>
              <w:szCs w:val="18"/>
              <w:lang w:eastAsia="es-MX"/>
            </w:rPr>
            <w:t>81</w:t>
          </w:r>
          <w:r w:rsidRPr="00603293">
            <w:rPr>
              <w:rFonts w:ascii="Times New Roman" w:eastAsia="Times New Roman" w:hAnsi="Times New Roman" w:cs="Times New Roman"/>
              <w:b/>
              <w:bCs/>
              <w:sz w:val="18"/>
              <w:szCs w:val="18"/>
              <w:lang w:eastAsia="es-MX"/>
            </w:rPr>
            <w:t>”</w:t>
          </w:r>
        </w:p>
      </w:tc>
      <w:tc>
        <w:tcPr>
          <w:tcW w:w="160" w:type="dxa"/>
          <w:vMerge/>
          <w:shd w:val="clear" w:color="auto" w:fill="629DD1" w:themeFill="accent1"/>
        </w:tcPr>
        <w:p w14:paraId="583F79C8" w14:textId="77777777" w:rsidR="001A2FEC" w:rsidRPr="00F52C10" w:rsidRDefault="001A2FEC" w:rsidP="005F5FDC"/>
      </w:tc>
      <w:tc>
        <w:tcPr>
          <w:tcW w:w="2785" w:type="dxa"/>
          <w:shd w:val="clear" w:color="auto" w:fill="D9D9D9" w:themeFill="background1" w:themeFillShade="D9"/>
          <w:vAlign w:val="center"/>
        </w:tcPr>
        <w:p w14:paraId="162FD702" w14:textId="77777777" w:rsidR="001A2FEC" w:rsidRPr="00E4628E" w:rsidRDefault="001A2FEC" w:rsidP="00E804A1">
          <w:pPr>
            <w:jc w:val="right"/>
            <w:rPr>
              <w:sz w:val="18"/>
              <w:szCs w:val="18"/>
            </w:rPr>
          </w:pPr>
        </w:p>
      </w:tc>
    </w:tr>
    <w:tr w:rsidR="001A2FEC" w:rsidRPr="00F52C10" w14:paraId="075713A0" w14:textId="77777777" w:rsidTr="00DD160F">
      <w:trPr>
        <w:cantSplit/>
        <w:trHeight w:val="175"/>
      </w:trPr>
      <w:tc>
        <w:tcPr>
          <w:tcW w:w="1774" w:type="dxa"/>
          <w:vMerge/>
          <w:shd w:val="clear" w:color="auto" w:fill="auto"/>
        </w:tcPr>
        <w:p w14:paraId="055191F6" w14:textId="77777777" w:rsidR="001A2FEC" w:rsidRPr="00E4628E" w:rsidRDefault="001A2FEC" w:rsidP="005F5FDC">
          <w:pPr>
            <w:jc w:val="center"/>
            <w:rPr>
              <w:b/>
              <w:bCs/>
              <w:sz w:val="22"/>
              <w:szCs w:val="22"/>
            </w:rPr>
          </w:pPr>
        </w:p>
      </w:tc>
      <w:tc>
        <w:tcPr>
          <w:tcW w:w="6234" w:type="dxa"/>
          <w:shd w:val="clear" w:color="auto" w:fill="F2F2F2" w:themeFill="background1" w:themeFillShade="F2"/>
        </w:tcPr>
        <w:p w14:paraId="2559330E" w14:textId="77777777" w:rsidR="001A2FEC" w:rsidRPr="00E4628E" w:rsidRDefault="001A2FEC" w:rsidP="008F1768">
          <w:pPr>
            <w:jc w:val="center"/>
            <w:rPr>
              <w:sz w:val="16"/>
              <w:szCs w:val="16"/>
            </w:rPr>
          </w:pPr>
        </w:p>
      </w:tc>
      <w:tc>
        <w:tcPr>
          <w:tcW w:w="160" w:type="dxa"/>
          <w:vMerge/>
          <w:shd w:val="clear" w:color="auto" w:fill="629DD1" w:themeFill="accent1"/>
        </w:tcPr>
        <w:p w14:paraId="6A086BC3" w14:textId="77777777" w:rsidR="001A2FEC" w:rsidRPr="00E4628E" w:rsidRDefault="001A2FEC" w:rsidP="005F5FDC">
          <w:pPr>
            <w:rPr>
              <w:sz w:val="16"/>
              <w:szCs w:val="16"/>
            </w:rPr>
          </w:pPr>
        </w:p>
      </w:tc>
      <w:tc>
        <w:tcPr>
          <w:tcW w:w="2785" w:type="dxa"/>
          <w:shd w:val="clear" w:color="auto" w:fill="F2F2F2" w:themeFill="background1" w:themeFillShade="F2"/>
          <w:vAlign w:val="center"/>
        </w:tcPr>
        <w:p w14:paraId="601B0336" w14:textId="77777777" w:rsidR="001A2FEC" w:rsidRPr="00E4628E" w:rsidRDefault="001A2FEC" w:rsidP="00DD160F">
          <w:pPr>
            <w:jc w:val="right"/>
            <w:rPr>
              <w:b/>
              <w:sz w:val="18"/>
              <w:szCs w:val="18"/>
            </w:rPr>
          </w:pPr>
          <w:r w:rsidRPr="00E4628E">
            <w:rPr>
              <w:sz w:val="18"/>
              <w:szCs w:val="18"/>
            </w:rPr>
            <w:t xml:space="preserve">Versión: </w:t>
          </w:r>
          <w:r w:rsidRPr="00603293">
            <w:rPr>
              <w:sz w:val="18"/>
              <w:szCs w:val="18"/>
            </w:rPr>
            <w:t>Final</w:t>
          </w:r>
        </w:p>
      </w:tc>
    </w:tr>
  </w:tbl>
  <w:p w14:paraId="32988EE8" w14:textId="77777777" w:rsidR="001A2FEC" w:rsidRPr="00E4628E" w:rsidRDefault="001A2FEC">
    <w:pPr>
      <w:rPr>
        <w:sz w:val="16"/>
        <w:szCs w:val="16"/>
      </w:rPr>
    </w:pPr>
  </w:p>
  <w:p w14:paraId="21AF3373" w14:textId="77777777" w:rsidR="001A2FEC" w:rsidRPr="00F52C10" w:rsidRDefault="001A2F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1442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713D57"/>
    <w:multiLevelType w:val="hybridMultilevel"/>
    <w:tmpl w:val="2E12D30E"/>
    <w:lvl w:ilvl="0" w:tplc="3704ED38">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DA41809"/>
    <w:multiLevelType w:val="hybridMultilevel"/>
    <w:tmpl w:val="6E32FC8C"/>
    <w:lvl w:ilvl="0" w:tplc="140A0005">
      <w:start w:val="1"/>
      <w:numFmt w:val="bullet"/>
      <w:lvlText w:val=""/>
      <w:lvlJc w:val="left"/>
      <w:pPr>
        <w:ind w:left="1287" w:hanging="360"/>
      </w:pPr>
      <w:rPr>
        <w:rFonts w:ascii="Wingdings" w:hAnsi="Wingdings"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 w15:restartNumberingAfterBreak="0">
    <w:nsid w:val="33E755C3"/>
    <w:multiLevelType w:val="hybridMultilevel"/>
    <w:tmpl w:val="B07C25A8"/>
    <w:lvl w:ilvl="0" w:tplc="1B68E8C4">
      <w:start w:val="1"/>
      <w:numFmt w:val="upp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5E00D3C"/>
    <w:multiLevelType w:val="hybridMultilevel"/>
    <w:tmpl w:val="2640F21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7922CCA"/>
    <w:multiLevelType w:val="hybridMultilevel"/>
    <w:tmpl w:val="DF06970E"/>
    <w:lvl w:ilvl="0" w:tplc="59A8D38A">
      <w:start w:val="1"/>
      <w:numFmt w:val="decimal"/>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6" w15:restartNumberingAfterBreak="0">
    <w:nsid w:val="38096528"/>
    <w:multiLevelType w:val="hybridMultilevel"/>
    <w:tmpl w:val="C27EF7D0"/>
    <w:lvl w:ilvl="0" w:tplc="4AAABA3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955210D"/>
    <w:multiLevelType w:val="hybridMultilevel"/>
    <w:tmpl w:val="6790650A"/>
    <w:lvl w:ilvl="0" w:tplc="759EC3F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36A02A1"/>
    <w:multiLevelType w:val="hybridMultilevel"/>
    <w:tmpl w:val="206AD73C"/>
    <w:lvl w:ilvl="0" w:tplc="140A0005">
      <w:start w:val="1"/>
      <w:numFmt w:val="bullet"/>
      <w:lvlText w:val=""/>
      <w:lvlJc w:val="left"/>
      <w:pPr>
        <w:ind w:left="1350" w:hanging="360"/>
      </w:pPr>
      <w:rPr>
        <w:rFonts w:ascii="Wingdings" w:hAnsi="Wingdings" w:hint="default"/>
      </w:rPr>
    </w:lvl>
    <w:lvl w:ilvl="1" w:tplc="140A0003" w:tentative="1">
      <w:start w:val="1"/>
      <w:numFmt w:val="bullet"/>
      <w:lvlText w:val="o"/>
      <w:lvlJc w:val="left"/>
      <w:pPr>
        <w:ind w:left="2070" w:hanging="360"/>
      </w:pPr>
      <w:rPr>
        <w:rFonts w:ascii="Courier New" w:hAnsi="Courier New" w:cs="Courier New" w:hint="default"/>
      </w:rPr>
    </w:lvl>
    <w:lvl w:ilvl="2" w:tplc="140A0005" w:tentative="1">
      <w:start w:val="1"/>
      <w:numFmt w:val="bullet"/>
      <w:lvlText w:val=""/>
      <w:lvlJc w:val="left"/>
      <w:pPr>
        <w:ind w:left="2790" w:hanging="360"/>
      </w:pPr>
      <w:rPr>
        <w:rFonts w:ascii="Wingdings" w:hAnsi="Wingdings" w:hint="default"/>
      </w:rPr>
    </w:lvl>
    <w:lvl w:ilvl="3" w:tplc="140A0001" w:tentative="1">
      <w:start w:val="1"/>
      <w:numFmt w:val="bullet"/>
      <w:lvlText w:val=""/>
      <w:lvlJc w:val="left"/>
      <w:pPr>
        <w:ind w:left="3510" w:hanging="360"/>
      </w:pPr>
      <w:rPr>
        <w:rFonts w:ascii="Symbol" w:hAnsi="Symbol" w:hint="default"/>
      </w:rPr>
    </w:lvl>
    <w:lvl w:ilvl="4" w:tplc="140A0003" w:tentative="1">
      <w:start w:val="1"/>
      <w:numFmt w:val="bullet"/>
      <w:lvlText w:val="o"/>
      <w:lvlJc w:val="left"/>
      <w:pPr>
        <w:ind w:left="4230" w:hanging="360"/>
      </w:pPr>
      <w:rPr>
        <w:rFonts w:ascii="Courier New" w:hAnsi="Courier New" w:cs="Courier New" w:hint="default"/>
      </w:rPr>
    </w:lvl>
    <w:lvl w:ilvl="5" w:tplc="140A0005" w:tentative="1">
      <w:start w:val="1"/>
      <w:numFmt w:val="bullet"/>
      <w:lvlText w:val=""/>
      <w:lvlJc w:val="left"/>
      <w:pPr>
        <w:ind w:left="4950" w:hanging="360"/>
      </w:pPr>
      <w:rPr>
        <w:rFonts w:ascii="Wingdings" w:hAnsi="Wingdings" w:hint="default"/>
      </w:rPr>
    </w:lvl>
    <w:lvl w:ilvl="6" w:tplc="140A0001" w:tentative="1">
      <w:start w:val="1"/>
      <w:numFmt w:val="bullet"/>
      <w:lvlText w:val=""/>
      <w:lvlJc w:val="left"/>
      <w:pPr>
        <w:ind w:left="5670" w:hanging="360"/>
      </w:pPr>
      <w:rPr>
        <w:rFonts w:ascii="Symbol" w:hAnsi="Symbol" w:hint="default"/>
      </w:rPr>
    </w:lvl>
    <w:lvl w:ilvl="7" w:tplc="140A0003" w:tentative="1">
      <w:start w:val="1"/>
      <w:numFmt w:val="bullet"/>
      <w:lvlText w:val="o"/>
      <w:lvlJc w:val="left"/>
      <w:pPr>
        <w:ind w:left="6390" w:hanging="360"/>
      </w:pPr>
      <w:rPr>
        <w:rFonts w:ascii="Courier New" w:hAnsi="Courier New" w:cs="Courier New" w:hint="default"/>
      </w:rPr>
    </w:lvl>
    <w:lvl w:ilvl="8" w:tplc="140A0005" w:tentative="1">
      <w:start w:val="1"/>
      <w:numFmt w:val="bullet"/>
      <w:lvlText w:val=""/>
      <w:lvlJc w:val="left"/>
      <w:pPr>
        <w:ind w:left="7110" w:hanging="360"/>
      </w:pPr>
      <w:rPr>
        <w:rFonts w:ascii="Wingdings" w:hAnsi="Wingdings" w:hint="default"/>
      </w:rPr>
    </w:lvl>
  </w:abstractNum>
  <w:abstractNum w:abstractNumId="9" w15:restartNumberingAfterBreak="0">
    <w:nsid w:val="563B5AFD"/>
    <w:multiLevelType w:val="hybridMultilevel"/>
    <w:tmpl w:val="EF1EDD6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D392F9F"/>
    <w:multiLevelType w:val="hybridMultilevel"/>
    <w:tmpl w:val="6B68EF92"/>
    <w:lvl w:ilvl="0" w:tplc="66EA96B6">
      <w:start w:val="1"/>
      <w:numFmt w:val="lowerLetter"/>
      <w:lvlText w:val="%1)"/>
      <w:lvlJc w:val="left"/>
      <w:pPr>
        <w:ind w:left="3393" w:hanging="360"/>
      </w:pPr>
      <w:rPr>
        <w:rFonts w:ascii="Times New Roman" w:eastAsia="Calibri" w:hAnsi="Times New Roman" w:cs="Times New Roman" w:hint="default"/>
      </w:rPr>
    </w:lvl>
    <w:lvl w:ilvl="1" w:tplc="140A0019">
      <w:start w:val="1"/>
      <w:numFmt w:val="lowerLetter"/>
      <w:lvlText w:val="%2."/>
      <w:lvlJc w:val="left"/>
      <w:pPr>
        <w:ind w:left="4113" w:hanging="360"/>
      </w:pPr>
    </w:lvl>
    <w:lvl w:ilvl="2" w:tplc="140A001B" w:tentative="1">
      <w:start w:val="1"/>
      <w:numFmt w:val="lowerRoman"/>
      <w:lvlText w:val="%3."/>
      <w:lvlJc w:val="right"/>
      <w:pPr>
        <w:ind w:left="4833" w:hanging="180"/>
      </w:pPr>
    </w:lvl>
    <w:lvl w:ilvl="3" w:tplc="140A000F" w:tentative="1">
      <w:start w:val="1"/>
      <w:numFmt w:val="decimal"/>
      <w:lvlText w:val="%4."/>
      <w:lvlJc w:val="left"/>
      <w:pPr>
        <w:ind w:left="5553" w:hanging="360"/>
      </w:pPr>
    </w:lvl>
    <w:lvl w:ilvl="4" w:tplc="140A0019" w:tentative="1">
      <w:start w:val="1"/>
      <w:numFmt w:val="lowerLetter"/>
      <w:lvlText w:val="%5."/>
      <w:lvlJc w:val="left"/>
      <w:pPr>
        <w:ind w:left="6273" w:hanging="360"/>
      </w:pPr>
    </w:lvl>
    <w:lvl w:ilvl="5" w:tplc="140A001B" w:tentative="1">
      <w:start w:val="1"/>
      <w:numFmt w:val="lowerRoman"/>
      <w:lvlText w:val="%6."/>
      <w:lvlJc w:val="right"/>
      <w:pPr>
        <w:ind w:left="6993" w:hanging="180"/>
      </w:pPr>
    </w:lvl>
    <w:lvl w:ilvl="6" w:tplc="140A000F" w:tentative="1">
      <w:start w:val="1"/>
      <w:numFmt w:val="decimal"/>
      <w:lvlText w:val="%7."/>
      <w:lvlJc w:val="left"/>
      <w:pPr>
        <w:ind w:left="7713" w:hanging="360"/>
      </w:pPr>
    </w:lvl>
    <w:lvl w:ilvl="7" w:tplc="140A0019" w:tentative="1">
      <w:start w:val="1"/>
      <w:numFmt w:val="lowerLetter"/>
      <w:lvlText w:val="%8."/>
      <w:lvlJc w:val="left"/>
      <w:pPr>
        <w:ind w:left="8433" w:hanging="360"/>
      </w:pPr>
    </w:lvl>
    <w:lvl w:ilvl="8" w:tplc="140A001B" w:tentative="1">
      <w:start w:val="1"/>
      <w:numFmt w:val="lowerRoman"/>
      <w:lvlText w:val="%9."/>
      <w:lvlJc w:val="right"/>
      <w:pPr>
        <w:ind w:left="9153" w:hanging="180"/>
      </w:pPr>
    </w:lvl>
  </w:abstractNum>
  <w:abstractNum w:abstractNumId="11" w15:restartNumberingAfterBreak="0">
    <w:nsid w:val="5EDF644B"/>
    <w:multiLevelType w:val="hybridMultilevel"/>
    <w:tmpl w:val="B17EA888"/>
    <w:lvl w:ilvl="0" w:tplc="6BCC1400">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DF35A4E"/>
    <w:multiLevelType w:val="hybridMultilevel"/>
    <w:tmpl w:val="69CC5770"/>
    <w:lvl w:ilvl="0" w:tplc="933851B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70651C3B"/>
    <w:multiLevelType w:val="hybridMultilevel"/>
    <w:tmpl w:val="7B305E60"/>
    <w:lvl w:ilvl="0" w:tplc="726C1094">
      <w:start w:val="1"/>
      <w:numFmt w:val="decimal"/>
      <w:lvlText w:val="%1."/>
      <w:lvlJc w:val="left"/>
      <w:pPr>
        <w:ind w:left="1637" w:hanging="360"/>
      </w:pPr>
      <w:rPr>
        <w:rFonts w:hint="default"/>
      </w:rPr>
    </w:lvl>
    <w:lvl w:ilvl="1" w:tplc="140A0019" w:tentative="1">
      <w:start w:val="1"/>
      <w:numFmt w:val="lowerLetter"/>
      <w:lvlText w:val="%2."/>
      <w:lvlJc w:val="left"/>
      <w:pPr>
        <w:ind w:left="2505" w:hanging="360"/>
      </w:pPr>
    </w:lvl>
    <w:lvl w:ilvl="2" w:tplc="140A001B" w:tentative="1">
      <w:start w:val="1"/>
      <w:numFmt w:val="lowerRoman"/>
      <w:lvlText w:val="%3."/>
      <w:lvlJc w:val="right"/>
      <w:pPr>
        <w:ind w:left="3225" w:hanging="180"/>
      </w:pPr>
    </w:lvl>
    <w:lvl w:ilvl="3" w:tplc="140A000F" w:tentative="1">
      <w:start w:val="1"/>
      <w:numFmt w:val="decimal"/>
      <w:lvlText w:val="%4."/>
      <w:lvlJc w:val="left"/>
      <w:pPr>
        <w:ind w:left="3945" w:hanging="360"/>
      </w:pPr>
    </w:lvl>
    <w:lvl w:ilvl="4" w:tplc="140A0019" w:tentative="1">
      <w:start w:val="1"/>
      <w:numFmt w:val="lowerLetter"/>
      <w:lvlText w:val="%5."/>
      <w:lvlJc w:val="left"/>
      <w:pPr>
        <w:ind w:left="4665" w:hanging="360"/>
      </w:pPr>
    </w:lvl>
    <w:lvl w:ilvl="5" w:tplc="140A001B" w:tentative="1">
      <w:start w:val="1"/>
      <w:numFmt w:val="lowerRoman"/>
      <w:lvlText w:val="%6."/>
      <w:lvlJc w:val="right"/>
      <w:pPr>
        <w:ind w:left="5385" w:hanging="180"/>
      </w:pPr>
    </w:lvl>
    <w:lvl w:ilvl="6" w:tplc="140A000F" w:tentative="1">
      <w:start w:val="1"/>
      <w:numFmt w:val="decimal"/>
      <w:lvlText w:val="%7."/>
      <w:lvlJc w:val="left"/>
      <w:pPr>
        <w:ind w:left="6105" w:hanging="360"/>
      </w:pPr>
    </w:lvl>
    <w:lvl w:ilvl="7" w:tplc="140A0019" w:tentative="1">
      <w:start w:val="1"/>
      <w:numFmt w:val="lowerLetter"/>
      <w:lvlText w:val="%8."/>
      <w:lvlJc w:val="left"/>
      <w:pPr>
        <w:ind w:left="6825" w:hanging="360"/>
      </w:pPr>
    </w:lvl>
    <w:lvl w:ilvl="8" w:tplc="140A001B" w:tentative="1">
      <w:start w:val="1"/>
      <w:numFmt w:val="lowerRoman"/>
      <w:lvlText w:val="%9."/>
      <w:lvlJc w:val="right"/>
      <w:pPr>
        <w:ind w:left="7545" w:hanging="180"/>
      </w:pPr>
    </w:lvl>
  </w:abstractNum>
  <w:abstractNum w:abstractNumId="14" w15:restartNumberingAfterBreak="0">
    <w:nsid w:val="70D97A44"/>
    <w:multiLevelType w:val="hybridMultilevel"/>
    <w:tmpl w:val="DC8EF7FE"/>
    <w:lvl w:ilvl="0" w:tplc="040A0015">
      <w:start w:val="1"/>
      <w:numFmt w:val="upperLetter"/>
      <w:lvlText w:val="%1."/>
      <w:lvlJc w:val="left"/>
      <w:pPr>
        <w:ind w:left="1637" w:hanging="360"/>
      </w:pPr>
      <w:rPr>
        <w:rFonts w:hint="default"/>
      </w:rPr>
    </w:lvl>
    <w:lvl w:ilvl="1" w:tplc="140A0019" w:tentative="1">
      <w:start w:val="1"/>
      <w:numFmt w:val="lowerLetter"/>
      <w:lvlText w:val="%2."/>
      <w:lvlJc w:val="left"/>
      <w:pPr>
        <w:ind w:left="2505" w:hanging="360"/>
      </w:pPr>
    </w:lvl>
    <w:lvl w:ilvl="2" w:tplc="140A001B" w:tentative="1">
      <w:start w:val="1"/>
      <w:numFmt w:val="lowerRoman"/>
      <w:lvlText w:val="%3."/>
      <w:lvlJc w:val="right"/>
      <w:pPr>
        <w:ind w:left="3225" w:hanging="180"/>
      </w:pPr>
    </w:lvl>
    <w:lvl w:ilvl="3" w:tplc="140A000F" w:tentative="1">
      <w:start w:val="1"/>
      <w:numFmt w:val="decimal"/>
      <w:lvlText w:val="%4."/>
      <w:lvlJc w:val="left"/>
      <w:pPr>
        <w:ind w:left="3945" w:hanging="360"/>
      </w:pPr>
    </w:lvl>
    <w:lvl w:ilvl="4" w:tplc="140A0019" w:tentative="1">
      <w:start w:val="1"/>
      <w:numFmt w:val="lowerLetter"/>
      <w:lvlText w:val="%5."/>
      <w:lvlJc w:val="left"/>
      <w:pPr>
        <w:ind w:left="4665" w:hanging="360"/>
      </w:pPr>
    </w:lvl>
    <w:lvl w:ilvl="5" w:tplc="140A001B" w:tentative="1">
      <w:start w:val="1"/>
      <w:numFmt w:val="lowerRoman"/>
      <w:lvlText w:val="%6."/>
      <w:lvlJc w:val="right"/>
      <w:pPr>
        <w:ind w:left="5385" w:hanging="180"/>
      </w:pPr>
    </w:lvl>
    <w:lvl w:ilvl="6" w:tplc="140A000F" w:tentative="1">
      <w:start w:val="1"/>
      <w:numFmt w:val="decimal"/>
      <w:lvlText w:val="%7."/>
      <w:lvlJc w:val="left"/>
      <w:pPr>
        <w:ind w:left="6105" w:hanging="360"/>
      </w:pPr>
    </w:lvl>
    <w:lvl w:ilvl="7" w:tplc="140A0019" w:tentative="1">
      <w:start w:val="1"/>
      <w:numFmt w:val="lowerLetter"/>
      <w:lvlText w:val="%8."/>
      <w:lvlJc w:val="left"/>
      <w:pPr>
        <w:ind w:left="6825" w:hanging="360"/>
      </w:pPr>
    </w:lvl>
    <w:lvl w:ilvl="8" w:tplc="140A001B" w:tentative="1">
      <w:start w:val="1"/>
      <w:numFmt w:val="lowerRoman"/>
      <w:lvlText w:val="%9."/>
      <w:lvlJc w:val="right"/>
      <w:pPr>
        <w:ind w:left="7545" w:hanging="180"/>
      </w:pPr>
    </w:lvl>
  </w:abstractNum>
  <w:num w:numId="1">
    <w:abstractNumId w:val="1"/>
  </w:num>
  <w:num w:numId="2">
    <w:abstractNumId w:val="3"/>
  </w:num>
  <w:num w:numId="3">
    <w:abstractNumId w:val="9"/>
  </w:num>
  <w:num w:numId="4">
    <w:abstractNumId w:val="4"/>
  </w:num>
  <w:num w:numId="5">
    <w:abstractNumId w:val="5"/>
  </w:num>
  <w:num w:numId="6">
    <w:abstractNumId w:val="13"/>
  </w:num>
  <w:num w:numId="7">
    <w:abstractNumId w:val="10"/>
  </w:num>
  <w:num w:numId="8">
    <w:abstractNumId w:val="2"/>
  </w:num>
  <w:num w:numId="9">
    <w:abstractNumId w:val="8"/>
  </w:num>
  <w:num w:numId="10">
    <w:abstractNumId w:val="12"/>
  </w:num>
  <w:num w:numId="11">
    <w:abstractNumId w:val="14"/>
  </w:num>
  <w:num w:numId="12">
    <w:abstractNumId w:val="11"/>
  </w:num>
  <w:num w:numId="13">
    <w:abstractNumId w:val="0"/>
  </w:num>
  <w:num w:numId="14">
    <w:abstractNumId w:val="7"/>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t-BR" w:vendorID="64" w:dllVersion="6" w:nlCheck="1" w:checkStyle="0"/>
  <w:activeWritingStyle w:appName="MSWord" w:lang="en-US" w:vendorID="64" w:dllVersion="6" w:nlCheck="1" w:checkStyle="0"/>
  <w:activeWritingStyle w:appName="MSWord" w:lang="es-MX" w:vendorID="64" w:dllVersion="6" w:nlCheck="1" w:checkStyle="1"/>
  <w:activeWritingStyle w:appName="MSWord" w:lang="es-C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CR"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CA" w:vendorID="64" w:dllVersion="0" w:nlCheck="1" w:checkStyle="0"/>
  <w:trackRevisions/>
  <w:defaultTabStop w:val="709"/>
  <w:hyphenationZone w:val="425"/>
  <w:doNotHyphenateCaps/>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B5"/>
    <w:rsid w:val="00000DEC"/>
    <w:rsid w:val="00000F72"/>
    <w:rsid w:val="00001452"/>
    <w:rsid w:val="0000162C"/>
    <w:rsid w:val="000045A7"/>
    <w:rsid w:val="0000497A"/>
    <w:rsid w:val="00004CE9"/>
    <w:rsid w:val="00005062"/>
    <w:rsid w:val="00005CE5"/>
    <w:rsid w:val="000077DC"/>
    <w:rsid w:val="000111B1"/>
    <w:rsid w:val="00013E18"/>
    <w:rsid w:val="00014730"/>
    <w:rsid w:val="0001473F"/>
    <w:rsid w:val="00017AF4"/>
    <w:rsid w:val="000217FA"/>
    <w:rsid w:val="00021F46"/>
    <w:rsid w:val="00022EF6"/>
    <w:rsid w:val="00022F96"/>
    <w:rsid w:val="000241F7"/>
    <w:rsid w:val="0002423F"/>
    <w:rsid w:val="0002686E"/>
    <w:rsid w:val="00030F5A"/>
    <w:rsid w:val="00031E29"/>
    <w:rsid w:val="00031EB2"/>
    <w:rsid w:val="00032945"/>
    <w:rsid w:val="00032D10"/>
    <w:rsid w:val="00033536"/>
    <w:rsid w:val="00037119"/>
    <w:rsid w:val="0004377E"/>
    <w:rsid w:val="000479D0"/>
    <w:rsid w:val="000518ED"/>
    <w:rsid w:val="000525F1"/>
    <w:rsid w:val="000529F8"/>
    <w:rsid w:val="0005396F"/>
    <w:rsid w:val="00053A20"/>
    <w:rsid w:val="00054352"/>
    <w:rsid w:val="00054C8B"/>
    <w:rsid w:val="00056D89"/>
    <w:rsid w:val="00057867"/>
    <w:rsid w:val="0006214D"/>
    <w:rsid w:val="00062664"/>
    <w:rsid w:val="000653CC"/>
    <w:rsid w:val="00065941"/>
    <w:rsid w:val="00066041"/>
    <w:rsid w:val="00070534"/>
    <w:rsid w:val="0007253F"/>
    <w:rsid w:val="00074FA5"/>
    <w:rsid w:val="00076761"/>
    <w:rsid w:val="000779FB"/>
    <w:rsid w:val="00077A5A"/>
    <w:rsid w:val="00077EB6"/>
    <w:rsid w:val="0008206B"/>
    <w:rsid w:val="00084DE1"/>
    <w:rsid w:val="00090630"/>
    <w:rsid w:val="0009761B"/>
    <w:rsid w:val="000A0507"/>
    <w:rsid w:val="000A43E1"/>
    <w:rsid w:val="000A4A63"/>
    <w:rsid w:val="000A4EF4"/>
    <w:rsid w:val="000A5ED8"/>
    <w:rsid w:val="000A6268"/>
    <w:rsid w:val="000B0D97"/>
    <w:rsid w:val="000B1C2A"/>
    <w:rsid w:val="000B2087"/>
    <w:rsid w:val="000B37B1"/>
    <w:rsid w:val="000B3FEB"/>
    <w:rsid w:val="000B5B6A"/>
    <w:rsid w:val="000B7343"/>
    <w:rsid w:val="000C32DE"/>
    <w:rsid w:val="000C3D86"/>
    <w:rsid w:val="000C6D56"/>
    <w:rsid w:val="000C781B"/>
    <w:rsid w:val="000D01B3"/>
    <w:rsid w:val="000D07F9"/>
    <w:rsid w:val="000D2171"/>
    <w:rsid w:val="000D3D79"/>
    <w:rsid w:val="000D7441"/>
    <w:rsid w:val="000D7D5E"/>
    <w:rsid w:val="000E0793"/>
    <w:rsid w:val="000E21B2"/>
    <w:rsid w:val="000E251E"/>
    <w:rsid w:val="000E3701"/>
    <w:rsid w:val="000E3C39"/>
    <w:rsid w:val="000E3FA6"/>
    <w:rsid w:val="000E6099"/>
    <w:rsid w:val="000E78EE"/>
    <w:rsid w:val="000E7E60"/>
    <w:rsid w:val="000F3461"/>
    <w:rsid w:val="000F4E1A"/>
    <w:rsid w:val="000F6163"/>
    <w:rsid w:val="000F6498"/>
    <w:rsid w:val="000F7017"/>
    <w:rsid w:val="00100B2A"/>
    <w:rsid w:val="00102E9D"/>
    <w:rsid w:val="00103741"/>
    <w:rsid w:val="00103F3B"/>
    <w:rsid w:val="00105197"/>
    <w:rsid w:val="001107FC"/>
    <w:rsid w:val="001125E2"/>
    <w:rsid w:val="00112B9D"/>
    <w:rsid w:val="00113453"/>
    <w:rsid w:val="0011506F"/>
    <w:rsid w:val="001155D0"/>
    <w:rsid w:val="001166B9"/>
    <w:rsid w:val="00116B3B"/>
    <w:rsid w:val="001205E5"/>
    <w:rsid w:val="00121093"/>
    <w:rsid w:val="00124566"/>
    <w:rsid w:val="0012466C"/>
    <w:rsid w:val="00126A5F"/>
    <w:rsid w:val="001337E3"/>
    <w:rsid w:val="00133AC0"/>
    <w:rsid w:val="00134F9B"/>
    <w:rsid w:val="001361AB"/>
    <w:rsid w:val="00137AF3"/>
    <w:rsid w:val="00144192"/>
    <w:rsid w:val="001444EB"/>
    <w:rsid w:val="001518D1"/>
    <w:rsid w:val="001575E4"/>
    <w:rsid w:val="00157D9A"/>
    <w:rsid w:val="00164395"/>
    <w:rsid w:val="00164BB1"/>
    <w:rsid w:val="00165136"/>
    <w:rsid w:val="00165D0E"/>
    <w:rsid w:val="001662D8"/>
    <w:rsid w:val="00170E64"/>
    <w:rsid w:val="00172661"/>
    <w:rsid w:val="00174182"/>
    <w:rsid w:val="00184A2A"/>
    <w:rsid w:val="001858A2"/>
    <w:rsid w:val="001873DC"/>
    <w:rsid w:val="00187C20"/>
    <w:rsid w:val="00190D84"/>
    <w:rsid w:val="00192016"/>
    <w:rsid w:val="001921FF"/>
    <w:rsid w:val="001939FC"/>
    <w:rsid w:val="00194033"/>
    <w:rsid w:val="00194282"/>
    <w:rsid w:val="00194A24"/>
    <w:rsid w:val="001A08A8"/>
    <w:rsid w:val="001A0EB6"/>
    <w:rsid w:val="001A0EB7"/>
    <w:rsid w:val="001A126E"/>
    <w:rsid w:val="001A1FA4"/>
    <w:rsid w:val="001A21CF"/>
    <w:rsid w:val="001A2FEC"/>
    <w:rsid w:val="001A45B5"/>
    <w:rsid w:val="001A48E1"/>
    <w:rsid w:val="001A6A72"/>
    <w:rsid w:val="001A700B"/>
    <w:rsid w:val="001B043C"/>
    <w:rsid w:val="001B0510"/>
    <w:rsid w:val="001B1CD7"/>
    <w:rsid w:val="001B2C49"/>
    <w:rsid w:val="001B3F9F"/>
    <w:rsid w:val="001B6BC0"/>
    <w:rsid w:val="001C38B5"/>
    <w:rsid w:val="001C3B64"/>
    <w:rsid w:val="001C4313"/>
    <w:rsid w:val="001C47F1"/>
    <w:rsid w:val="001C4986"/>
    <w:rsid w:val="001C4E4C"/>
    <w:rsid w:val="001C4FC0"/>
    <w:rsid w:val="001C542C"/>
    <w:rsid w:val="001C585F"/>
    <w:rsid w:val="001C7D8A"/>
    <w:rsid w:val="001D1557"/>
    <w:rsid w:val="001D295E"/>
    <w:rsid w:val="001D2C02"/>
    <w:rsid w:val="001D36C1"/>
    <w:rsid w:val="001D385A"/>
    <w:rsid w:val="001D6177"/>
    <w:rsid w:val="001E047F"/>
    <w:rsid w:val="001E363D"/>
    <w:rsid w:val="001E42E6"/>
    <w:rsid w:val="001E4492"/>
    <w:rsid w:val="001E46FD"/>
    <w:rsid w:val="001E6727"/>
    <w:rsid w:val="001E7EA9"/>
    <w:rsid w:val="001F3B1E"/>
    <w:rsid w:val="001F3CF7"/>
    <w:rsid w:val="001F4193"/>
    <w:rsid w:val="001F6A3F"/>
    <w:rsid w:val="001F7290"/>
    <w:rsid w:val="001F7535"/>
    <w:rsid w:val="00200481"/>
    <w:rsid w:val="002007DC"/>
    <w:rsid w:val="00202C6A"/>
    <w:rsid w:val="002039FC"/>
    <w:rsid w:val="00204823"/>
    <w:rsid w:val="0020548E"/>
    <w:rsid w:val="00207C30"/>
    <w:rsid w:val="00211A69"/>
    <w:rsid w:val="002130A6"/>
    <w:rsid w:val="00213F04"/>
    <w:rsid w:val="00215C51"/>
    <w:rsid w:val="00215F85"/>
    <w:rsid w:val="00216733"/>
    <w:rsid w:val="002168A7"/>
    <w:rsid w:val="00216E8B"/>
    <w:rsid w:val="002200D2"/>
    <w:rsid w:val="002206DC"/>
    <w:rsid w:val="002212B7"/>
    <w:rsid w:val="00221939"/>
    <w:rsid w:val="00221A7E"/>
    <w:rsid w:val="0022766C"/>
    <w:rsid w:val="002374A0"/>
    <w:rsid w:val="002375E1"/>
    <w:rsid w:val="00237FC6"/>
    <w:rsid w:val="0024246E"/>
    <w:rsid w:val="00242753"/>
    <w:rsid w:val="00242DFB"/>
    <w:rsid w:val="0024371D"/>
    <w:rsid w:val="002455E5"/>
    <w:rsid w:val="0024626B"/>
    <w:rsid w:val="00246F13"/>
    <w:rsid w:val="00247450"/>
    <w:rsid w:val="00255F55"/>
    <w:rsid w:val="002566D8"/>
    <w:rsid w:val="00262D04"/>
    <w:rsid w:val="002630E4"/>
    <w:rsid w:val="00263BE7"/>
    <w:rsid w:val="002648B0"/>
    <w:rsid w:val="00264F9B"/>
    <w:rsid w:val="00265B55"/>
    <w:rsid w:val="00267246"/>
    <w:rsid w:val="00267B49"/>
    <w:rsid w:val="002727F1"/>
    <w:rsid w:val="00274AEC"/>
    <w:rsid w:val="0027635F"/>
    <w:rsid w:val="002764BA"/>
    <w:rsid w:val="0027748F"/>
    <w:rsid w:val="00277F3B"/>
    <w:rsid w:val="00280659"/>
    <w:rsid w:val="002817EE"/>
    <w:rsid w:val="00282B4C"/>
    <w:rsid w:val="00285496"/>
    <w:rsid w:val="002906EA"/>
    <w:rsid w:val="00291822"/>
    <w:rsid w:val="00291A4B"/>
    <w:rsid w:val="00292798"/>
    <w:rsid w:val="00293CE2"/>
    <w:rsid w:val="002941EC"/>
    <w:rsid w:val="002A2A12"/>
    <w:rsid w:val="002A2AD0"/>
    <w:rsid w:val="002A2B38"/>
    <w:rsid w:val="002A2CDA"/>
    <w:rsid w:val="002A47CF"/>
    <w:rsid w:val="002A505F"/>
    <w:rsid w:val="002B113B"/>
    <w:rsid w:val="002B30AD"/>
    <w:rsid w:val="002B3EB6"/>
    <w:rsid w:val="002B69C6"/>
    <w:rsid w:val="002B712D"/>
    <w:rsid w:val="002B7ABB"/>
    <w:rsid w:val="002C1ED9"/>
    <w:rsid w:val="002C34FF"/>
    <w:rsid w:val="002C46D1"/>
    <w:rsid w:val="002C4845"/>
    <w:rsid w:val="002C6C1A"/>
    <w:rsid w:val="002D0ABB"/>
    <w:rsid w:val="002D1387"/>
    <w:rsid w:val="002D1997"/>
    <w:rsid w:val="002D1EF5"/>
    <w:rsid w:val="002D4367"/>
    <w:rsid w:val="002D55F1"/>
    <w:rsid w:val="002D58C7"/>
    <w:rsid w:val="002D5DE6"/>
    <w:rsid w:val="002D61A6"/>
    <w:rsid w:val="002D63C8"/>
    <w:rsid w:val="002D69A0"/>
    <w:rsid w:val="002E1463"/>
    <w:rsid w:val="002F08E2"/>
    <w:rsid w:val="002F2B5F"/>
    <w:rsid w:val="002F3591"/>
    <w:rsid w:val="002F4E04"/>
    <w:rsid w:val="002F54AE"/>
    <w:rsid w:val="0030073B"/>
    <w:rsid w:val="003008B3"/>
    <w:rsid w:val="00302047"/>
    <w:rsid w:val="003034E9"/>
    <w:rsid w:val="00305D02"/>
    <w:rsid w:val="00306035"/>
    <w:rsid w:val="00310ED9"/>
    <w:rsid w:val="00312788"/>
    <w:rsid w:val="00312BF8"/>
    <w:rsid w:val="00312E1B"/>
    <w:rsid w:val="003150ED"/>
    <w:rsid w:val="00315C56"/>
    <w:rsid w:val="00316456"/>
    <w:rsid w:val="00316767"/>
    <w:rsid w:val="0032149E"/>
    <w:rsid w:val="0032393C"/>
    <w:rsid w:val="00323CB8"/>
    <w:rsid w:val="003261DE"/>
    <w:rsid w:val="00327887"/>
    <w:rsid w:val="0033003C"/>
    <w:rsid w:val="003307F4"/>
    <w:rsid w:val="00330C5E"/>
    <w:rsid w:val="00330CCF"/>
    <w:rsid w:val="00332D8C"/>
    <w:rsid w:val="003335DC"/>
    <w:rsid w:val="00334487"/>
    <w:rsid w:val="00335278"/>
    <w:rsid w:val="003356D9"/>
    <w:rsid w:val="00335EEF"/>
    <w:rsid w:val="00336027"/>
    <w:rsid w:val="003371D1"/>
    <w:rsid w:val="0034044F"/>
    <w:rsid w:val="00341380"/>
    <w:rsid w:val="00341CA6"/>
    <w:rsid w:val="0034309C"/>
    <w:rsid w:val="003451A3"/>
    <w:rsid w:val="003457E6"/>
    <w:rsid w:val="003500F4"/>
    <w:rsid w:val="00350BD1"/>
    <w:rsid w:val="00351829"/>
    <w:rsid w:val="00356AB3"/>
    <w:rsid w:val="003612D0"/>
    <w:rsid w:val="003631D0"/>
    <w:rsid w:val="003634BB"/>
    <w:rsid w:val="00363DFB"/>
    <w:rsid w:val="00365002"/>
    <w:rsid w:val="00373EAE"/>
    <w:rsid w:val="003767A7"/>
    <w:rsid w:val="003817C9"/>
    <w:rsid w:val="003825EB"/>
    <w:rsid w:val="00385886"/>
    <w:rsid w:val="0038653E"/>
    <w:rsid w:val="00387F48"/>
    <w:rsid w:val="00392A72"/>
    <w:rsid w:val="003931C1"/>
    <w:rsid w:val="00394E87"/>
    <w:rsid w:val="00395106"/>
    <w:rsid w:val="00395E62"/>
    <w:rsid w:val="0039705C"/>
    <w:rsid w:val="003A1859"/>
    <w:rsid w:val="003A36AC"/>
    <w:rsid w:val="003A4FC3"/>
    <w:rsid w:val="003A567D"/>
    <w:rsid w:val="003A61CD"/>
    <w:rsid w:val="003A678B"/>
    <w:rsid w:val="003A75DA"/>
    <w:rsid w:val="003A781D"/>
    <w:rsid w:val="003B1D57"/>
    <w:rsid w:val="003B24DA"/>
    <w:rsid w:val="003B3196"/>
    <w:rsid w:val="003B3BF5"/>
    <w:rsid w:val="003B3D90"/>
    <w:rsid w:val="003B4137"/>
    <w:rsid w:val="003B5942"/>
    <w:rsid w:val="003C1E2C"/>
    <w:rsid w:val="003C2298"/>
    <w:rsid w:val="003C2AAF"/>
    <w:rsid w:val="003C39DD"/>
    <w:rsid w:val="003C4361"/>
    <w:rsid w:val="003C514F"/>
    <w:rsid w:val="003C5223"/>
    <w:rsid w:val="003C5C52"/>
    <w:rsid w:val="003D2835"/>
    <w:rsid w:val="003D356B"/>
    <w:rsid w:val="003D5B3F"/>
    <w:rsid w:val="003D7352"/>
    <w:rsid w:val="003D751E"/>
    <w:rsid w:val="003D7EC4"/>
    <w:rsid w:val="003E1D49"/>
    <w:rsid w:val="003E29E8"/>
    <w:rsid w:val="003E5403"/>
    <w:rsid w:val="003E75AF"/>
    <w:rsid w:val="003E7ABA"/>
    <w:rsid w:val="003F0CC7"/>
    <w:rsid w:val="003F2B28"/>
    <w:rsid w:val="003F3593"/>
    <w:rsid w:val="003F35D5"/>
    <w:rsid w:val="003F36A2"/>
    <w:rsid w:val="003F4AD8"/>
    <w:rsid w:val="003F5397"/>
    <w:rsid w:val="003F6D08"/>
    <w:rsid w:val="003F6DAE"/>
    <w:rsid w:val="003F7519"/>
    <w:rsid w:val="004037EA"/>
    <w:rsid w:val="00404A52"/>
    <w:rsid w:val="00404EE8"/>
    <w:rsid w:val="004061C9"/>
    <w:rsid w:val="00406573"/>
    <w:rsid w:val="00410F54"/>
    <w:rsid w:val="00411784"/>
    <w:rsid w:val="004143BD"/>
    <w:rsid w:val="00416249"/>
    <w:rsid w:val="004167FF"/>
    <w:rsid w:val="00417993"/>
    <w:rsid w:val="004201C6"/>
    <w:rsid w:val="004229CA"/>
    <w:rsid w:val="00423E03"/>
    <w:rsid w:val="00426257"/>
    <w:rsid w:val="004262F6"/>
    <w:rsid w:val="00426DD1"/>
    <w:rsid w:val="00427AB1"/>
    <w:rsid w:val="0043040D"/>
    <w:rsid w:val="00430FDC"/>
    <w:rsid w:val="00431A57"/>
    <w:rsid w:val="0043285D"/>
    <w:rsid w:val="00434471"/>
    <w:rsid w:val="0043459E"/>
    <w:rsid w:val="00434900"/>
    <w:rsid w:val="004372D8"/>
    <w:rsid w:val="004373E1"/>
    <w:rsid w:val="0043784C"/>
    <w:rsid w:val="00440A34"/>
    <w:rsid w:val="004412BB"/>
    <w:rsid w:val="00441A3B"/>
    <w:rsid w:val="00442885"/>
    <w:rsid w:val="00442F82"/>
    <w:rsid w:val="0044443E"/>
    <w:rsid w:val="00444C52"/>
    <w:rsid w:val="004455B8"/>
    <w:rsid w:val="004458F2"/>
    <w:rsid w:val="004472AE"/>
    <w:rsid w:val="004473CA"/>
    <w:rsid w:val="00447448"/>
    <w:rsid w:val="00447D56"/>
    <w:rsid w:val="004504F7"/>
    <w:rsid w:val="004510A6"/>
    <w:rsid w:val="004512FB"/>
    <w:rsid w:val="00451DD3"/>
    <w:rsid w:val="004539A2"/>
    <w:rsid w:val="0045484B"/>
    <w:rsid w:val="00456039"/>
    <w:rsid w:val="00457A00"/>
    <w:rsid w:val="004618A0"/>
    <w:rsid w:val="00464E5D"/>
    <w:rsid w:val="00466B45"/>
    <w:rsid w:val="00466F84"/>
    <w:rsid w:val="00467374"/>
    <w:rsid w:val="00467C15"/>
    <w:rsid w:val="004720A1"/>
    <w:rsid w:val="004726B1"/>
    <w:rsid w:val="00475B22"/>
    <w:rsid w:val="004764E5"/>
    <w:rsid w:val="00483398"/>
    <w:rsid w:val="00483827"/>
    <w:rsid w:val="00485F17"/>
    <w:rsid w:val="00485F31"/>
    <w:rsid w:val="00486A1E"/>
    <w:rsid w:val="00486FFE"/>
    <w:rsid w:val="00487FEF"/>
    <w:rsid w:val="004906D6"/>
    <w:rsid w:val="00491186"/>
    <w:rsid w:val="004948AB"/>
    <w:rsid w:val="00497420"/>
    <w:rsid w:val="004A0EAB"/>
    <w:rsid w:val="004A422E"/>
    <w:rsid w:val="004A550A"/>
    <w:rsid w:val="004A5A4A"/>
    <w:rsid w:val="004A6BC7"/>
    <w:rsid w:val="004B1E55"/>
    <w:rsid w:val="004B46CA"/>
    <w:rsid w:val="004B75BB"/>
    <w:rsid w:val="004C287E"/>
    <w:rsid w:val="004C546F"/>
    <w:rsid w:val="004C5B9D"/>
    <w:rsid w:val="004C5CFC"/>
    <w:rsid w:val="004C7CA2"/>
    <w:rsid w:val="004D0C8E"/>
    <w:rsid w:val="004D1991"/>
    <w:rsid w:val="004D74DE"/>
    <w:rsid w:val="004E5B99"/>
    <w:rsid w:val="004F27F0"/>
    <w:rsid w:val="004F2FBA"/>
    <w:rsid w:val="004F3FCA"/>
    <w:rsid w:val="004F5055"/>
    <w:rsid w:val="004F6F61"/>
    <w:rsid w:val="004F7770"/>
    <w:rsid w:val="00503371"/>
    <w:rsid w:val="00503E78"/>
    <w:rsid w:val="005062F6"/>
    <w:rsid w:val="00510E6F"/>
    <w:rsid w:val="005110A4"/>
    <w:rsid w:val="0051368D"/>
    <w:rsid w:val="00513700"/>
    <w:rsid w:val="00513C95"/>
    <w:rsid w:val="0051434E"/>
    <w:rsid w:val="005145A5"/>
    <w:rsid w:val="00521034"/>
    <w:rsid w:val="00522B14"/>
    <w:rsid w:val="00522BBB"/>
    <w:rsid w:val="005231AF"/>
    <w:rsid w:val="00524227"/>
    <w:rsid w:val="0052793C"/>
    <w:rsid w:val="00527F34"/>
    <w:rsid w:val="00532CF2"/>
    <w:rsid w:val="005348DD"/>
    <w:rsid w:val="0053535A"/>
    <w:rsid w:val="00536AF2"/>
    <w:rsid w:val="00536E1D"/>
    <w:rsid w:val="00541C9C"/>
    <w:rsid w:val="00544C70"/>
    <w:rsid w:val="00550227"/>
    <w:rsid w:val="0055122C"/>
    <w:rsid w:val="00554484"/>
    <w:rsid w:val="005550A7"/>
    <w:rsid w:val="00556322"/>
    <w:rsid w:val="005567FA"/>
    <w:rsid w:val="0055681A"/>
    <w:rsid w:val="005619C0"/>
    <w:rsid w:val="0056241F"/>
    <w:rsid w:val="00567A18"/>
    <w:rsid w:val="00570954"/>
    <w:rsid w:val="005719C3"/>
    <w:rsid w:val="00571D40"/>
    <w:rsid w:val="00572C4D"/>
    <w:rsid w:val="0057381C"/>
    <w:rsid w:val="00580D27"/>
    <w:rsid w:val="005817F6"/>
    <w:rsid w:val="00584943"/>
    <w:rsid w:val="0058548C"/>
    <w:rsid w:val="005854AE"/>
    <w:rsid w:val="0058796C"/>
    <w:rsid w:val="00590326"/>
    <w:rsid w:val="00592605"/>
    <w:rsid w:val="00595810"/>
    <w:rsid w:val="005A22C4"/>
    <w:rsid w:val="005A334F"/>
    <w:rsid w:val="005B0B2B"/>
    <w:rsid w:val="005B3BE3"/>
    <w:rsid w:val="005B3C95"/>
    <w:rsid w:val="005B5833"/>
    <w:rsid w:val="005B5AA5"/>
    <w:rsid w:val="005B7EFC"/>
    <w:rsid w:val="005C1ED1"/>
    <w:rsid w:val="005C2559"/>
    <w:rsid w:val="005C29ED"/>
    <w:rsid w:val="005C2AED"/>
    <w:rsid w:val="005C2DA7"/>
    <w:rsid w:val="005C5302"/>
    <w:rsid w:val="005C6990"/>
    <w:rsid w:val="005C7526"/>
    <w:rsid w:val="005D025D"/>
    <w:rsid w:val="005D057F"/>
    <w:rsid w:val="005D1ACE"/>
    <w:rsid w:val="005D1F0E"/>
    <w:rsid w:val="005D25A5"/>
    <w:rsid w:val="005D3C6C"/>
    <w:rsid w:val="005D4AB6"/>
    <w:rsid w:val="005D58F5"/>
    <w:rsid w:val="005D5F32"/>
    <w:rsid w:val="005E08E5"/>
    <w:rsid w:val="005E1121"/>
    <w:rsid w:val="005E18B9"/>
    <w:rsid w:val="005E1BB9"/>
    <w:rsid w:val="005E2091"/>
    <w:rsid w:val="005E2E7C"/>
    <w:rsid w:val="005E506E"/>
    <w:rsid w:val="005E5500"/>
    <w:rsid w:val="005E5935"/>
    <w:rsid w:val="005F0568"/>
    <w:rsid w:val="005F21E5"/>
    <w:rsid w:val="005F521A"/>
    <w:rsid w:val="005F5FDC"/>
    <w:rsid w:val="005F620E"/>
    <w:rsid w:val="00603293"/>
    <w:rsid w:val="0060404F"/>
    <w:rsid w:val="00604339"/>
    <w:rsid w:val="006047D2"/>
    <w:rsid w:val="006053CC"/>
    <w:rsid w:val="00606810"/>
    <w:rsid w:val="00606EC3"/>
    <w:rsid w:val="00610EEA"/>
    <w:rsid w:val="006171D8"/>
    <w:rsid w:val="00617571"/>
    <w:rsid w:val="00620128"/>
    <w:rsid w:val="006214F4"/>
    <w:rsid w:val="00621C75"/>
    <w:rsid w:val="00622665"/>
    <w:rsid w:val="00623AC4"/>
    <w:rsid w:val="00624C4B"/>
    <w:rsid w:val="006255BF"/>
    <w:rsid w:val="006261EA"/>
    <w:rsid w:val="00626A48"/>
    <w:rsid w:val="00627A94"/>
    <w:rsid w:val="0064352C"/>
    <w:rsid w:val="00646544"/>
    <w:rsid w:val="006467BC"/>
    <w:rsid w:val="00646D22"/>
    <w:rsid w:val="0064773A"/>
    <w:rsid w:val="006507FB"/>
    <w:rsid w:val="00652DB2"/>
    <w:rsid w:val="00653C90"/>
    <w:rsid w:val="0065488D"/>
    <w:rsid w:val="00655460"/>
    <w:rsid w:val="0065750F"/>
    <w:rsid w:val="00661023"/>
    <w:rsid w:val="00662397"/>
    <w:rsid w:val="00662F05"/>
    <w:rsid w:val="00663849"/>
    <w:rsid w:val="00665A00"/>
    <w:rsid w:val="00666548"/>
    <w:rsid w:val="006665C0"/>
    <w:rsid w:val="00667846"/>
    <w:rsid w:val="00667FBB"/>
    <w:rsid w:val="006724F8"/>
    <w:rsid w:val="006726C4"/>
    <w:rsid w:val="00672A97"/>
    <w:rsid w:val="00672AEB"/>
    <w:rsid w:val="00680917"/>
    <w:rsid w:val="0068238B"/>
    <w:rsid w:val="006845B6"/>
    <w:rsid w:val="006855D1"/>
    <w:rsid w:val="00690166"/>
    <w:rsid w:val="00691567"/>
    <w:rsid w:val="00693EC1"/>
    <w:rsid w:val="00694BCB"/>
    <w:rsid w:val="00695E6A"/>
    <w:rsid w:val="00696371"/>
    <w:rsid w:val="00696C1B"/>
    <w:rsid w:val="006971FD"/>
    <w:rsid w:val="0069728F"/>
    <w:rsid w:val="006A084F"/>
    <w:rsid w:val="006A126D"/>
    <w:rsid w:val="006A221F"/>
    <w:rsid w:val="006A346C"/>
    <w:rsid w:val="006A3F2C"/>
    <w:rsid w:val="006A4087"/>
    <w:rsid w:val="006A5459"/>
    <w:rsid w:val="006A5C94"/>
    <w:rsid w:val="006A5ED4"/>
    <w:rsid w:val="006A6046"/>
    <w:rsid w:val="006A795B"/>
    <w:rsid w:val="006B0069"/>
    <w:rsid w:val="006B0B4D"/>
    <w:rsid w:val="006B1937"/>
    <w:rsid w:val="006B28BB"/>
    <w:rsid w:val="006B28DA"/>
    <w:rsid w:val="006B298B"/>
    <w:rsid w:val="006B35EC"/>
    <w:rsid w:val="006B3C15"/>
    <w:rsid w:val="006B4062"/>
    <w:rsid w:val="006C0768"/>
    <w:rsid w:val="006C0A11"/>
    <w:rsid w:val="006C0EF8"/>
    <w:rsid w:val="006C0F69"/>
    <w:rsid w:val="006C2F48"/>
    <w:rsid w:val="006C4E1F"/>
    <w:rsid w:val="006C689F"/>
    <w:rsid w:val="006D0437"/>
    <w:rsid w:val="006D1146"/>
    <w:rsid w:val="006D2DEA"/>
    <w:rsid w:val="006D4725"/>
    <w:rsid w:val="006D5A52"/>
    <w:rsid w:val="006D6561"/>
    <w:rsid w:val="006D70BA"/>
    <w:rsid w:val="006D73ED"/>
    <w:rsid w:val="006E137E"/>
    <w:rsid w:val="006E1DA6"/>
    <w:rsid w:val="006E21E8"/>
    <w:rsid w:val="006E56F9"/>
    <w:rsid w:val="006E6AB5"/>
    <w:rsid w:val="006E70A4"/>
    <w:rsid w:val="006F0303"/>
    <w:rsid w:val="006F113A"/>
    <w:rsid w:val="006F17DD"/>
    <w:rsid w:val="006F27BF"/>
    <w:rsid w:val="006F306A"/>
    <w:rsid w:val="006F41D2"/>
    <w:rsid w:val="006F56F7"/>
    <w:rsid w:val="006F5E2F"/>
    <w:rsid w:val="0070009F"/>
    <w:rsid w:val="00700434"/>
    <w:rsid w:val="0070225A"/>
    <w:rsid w:val="00703F14"/>
    <w:rsid w:val="00704258"/>
    <w:rsid w:val="00705BB9"/>
    <w:rsid w:val="0071196B"/>
    <w:rsid w:val="007148B2"/>
    <w:rsid w:val="007203FB"/>
    <w:rsid w:val="00721166"/>
    <w:rsid w:val="007219C8"/>
    <w:rsid w:val="007226BA"/>
    <w:rsid w:val="00722BE3"/>
    <w:rsid w:val="007246E5"/>
    <w:rsid w:val="0072635B"/>
    <w:rsid w:val="00727B78"/>
    <w:rsid w:val="00731E02"/>
    <w:rsid w:val="00732C52"/>
    <w:rsid w:val="007340FA"/>
    <w:rsid w:val="0073467F"/>
    <w:rsid w:val="00736ECD"/>
    <w:rsid w:val="00737A0D"/>
    <w:rsid w:val="00743FAB"/>
    <w:rsid w:val="00743FCF"/>
    <w:rsid w:val="0074499C"/>
    <w:rsid w:val="00744D34"/>
    <w:rsid w:val="00746A88"/>
    <w:rsid w:val="00746F4F"/>
    <w:rsid w:val="0075420F"/>
    <w:rsid w:val="00754210"/>
    <w:rsid w:val="0075545B"/>
    <w:rsid w:val="0075578E"/>
    <w:rsid w:val="00757B79"/>
    <w:rsid w:val="007621CE"/>
    <w:rsid w:val="00762B88"/>
    <w:rsid w:val="00766B69"/>
    <w:rsid w:val="00771F98"/>
    <w:rsid w:val="007733A8"/>
    <w:rsid w:val="00773B8A"/>
    <w:rsid w:val="00775405"/>
    <w:rsid w:val="00776061"/>
    <w:rsid w:val="00777753"/>
    <w:rsid w:val="007803D2"/>
    <w:rsid w:val="00782147"/>
    <w:rsid w:val="00782545"/>
    <w:rsid w:val="00783341"/>
    <w:rsid w:val="00783860"/>
    <w:rsid w:val="00784F07"/>
    <w:rsid w:val="0078718B"/>
    <w:rsid w:val="00793FD5"/>
    <w:rsid w:val="0079428A"/>
    <w:rsid w:val="007953D7"/>
    <w:rsid w:val="00795B9B"/>
    <w:rsid w:val="007964B7"/>
    <w:rsid w:val="00796566"/>
    <w:rsid w:val="0079721D"/>
    <w:rsid w:val="00797466"/>
    <w:rsid w:val="007A05F4"/>
    <w:rsid w:val="007A0E94"/>
    <w:rsid w:val="007A1D1F"/>
    <w:rsid w:val="007A552B"/>
    <w:rsid w:val="007A5738"/>
    <w:rsid w:val="007A5A58"/>
    <w:rsid w:val="007A78E2"/>
    <w:rsid w:val="007B09A0"/>
    <w:rsid w:val="007B0E07"/>
    <w:rsid w:val="007B21A9"/>
    <w:rsid w:val="007B242D"/>
    <w:rsid w:val="007B3FF1"/>
    <w:rsid w:val="007B4E4A"/>
    <w:rsid w:val="007B7337"/>
    <w:rsid w:val="007C1201"/>
    <w:rsid w:val="007C1A92"/>
    <w:rsid w:val="007C1CA4"/>
    <w:rsid w:val="007C3EE5"/>
    <w:rsid w:val="007C43D7"/>
    <w:rsid w:val="007C49CE"/>
    <w:rsid w:val="007C4D2A"/>
    <w:rsid w:val="007C6A2F"/>
    <w:rsid w:val="007C6FD5"/>
    <w:rsid w:val="007D0E96"/>
    <w:rsid w:val="007D338D"/>
    <w:rsid w:val="007D3619"/>
    <w:rsid w:val="007D44B4"/>
    <w:rsid w:val="007D6337"/>
    <w:rsid w:val="007D7876"/>
    <w:rsid w:val="007E0E62"/>
    <w:rsid w:val="007E23CE"/>
    <w:rsid w:val="007E4234"/>
    <w:rsid w:val="007E6F95"/>
    <w:rsid w:val="007E7F2D"/>
    <w:rsid w:val="007F15E9"/>
    <w:rsid w:val="007F162F"/>
    <w:rsid w:val="007F1AE7"/>
    <w:rsid w:val="007F1F6C"/>
    <w:rsid w:val="007F3710"/>
    <w:rsid w:val="007F3DC6"/>
    <w:rsid w:val="007F4F04"/>
    <w:rsid w:val="007F65F8"/>
    <w:rsid w:val="007F78D2"/>
    <w:rsid w:val="007F7FD4"/>
    <w:rsid w:val="00802418"/>
    <w:rsid w:val="0080263B"/>
    <w:rsid w:val="00807249"/>
    <w:rsid w:val="00810028"/>
    <w:rsid w:val="00812304"/>
    <w:rsid w:val="0081423A"/>
    <w:rsid w:val="00814C3E"/>
    <w:rsid w:val="00815F67"/>
    <w:rsid w:val="00816AED"/>
    <w:rsid w:val="00816DF0"/>
    <w:rsid w:val="00820B6F"/>
    <w:rsid w:val="00820D6E"/>
    <w:rsid w:val="00821B78"/>
    <w:rsid w:val="00822764"/>
    <w:rsid w:val="00822CEB"/>
    <w:rsid w:val="00823830"/>
    <w:rsid w:val="00824152"/>
    <w:rsid w:val="00824272"/>
    <w:rsid w:val="00825AD5"/>
    <w:rsid w:val="00825EBB"/>
    <w:rsid w:val="00826C0D"/>
    <w:rsid w:val="00830671"/>
    <w:rsid w:val="00831753"/>
    <w:rsid w:val="00831BE0"/>
    <w:rsid w:val="00832279"/>
    <w:rsid w:val="0083328D"/>
    <w:rsid w:val="00833B1F"/>
    <w:rsid w:val="00834FFD"/>
    <w:rsid w:val="0083679B"/>
    <w:rsid w:val="008371C1"/>
    <w:rsid w:val="00837ECF"/>
    <w:rsid w:val="0084256C"/>
    <w:rsid w:val="00844403"/>
    <w:rsid w:val="00845BBB"/>
    <w:rsid w:val="00846687"/>
    <w:rsid w:val="00846819"/>
    <w:rsid w:val="00852466"/>
    <w:rsid w:val="008543CC"/>
    <w:rsid w:val="00854440"/>
    <w:rsid w:val="00855BA5"/>
    <w:rsid w:val="00860CC9"/>
    <w:rsid w:val="00862D45"/>
    <w:rsid w:val="00863480"/>
    <w:rsid w:val="00863DC2"/>
    <w:rsid w:val="00865E91"/>
    <w:rsid w:val="00866523"/>
    <w:rsid w:val="00867B60"/>
    <w:rsid w:val="00873958"/>
    <w:rsid w:val="00874705"/>
    <w:rsid w:val="008757D7"/>
    <w:rsid w:val="0087645D"/>
    <w:rsid w:val="0087746C"/>
    <w:rsid w:val="008807F8"/>
    <w:rsid w:val="00881BDD"/>
    <w:rsid w:val="00881D4F"/>
    <w:rsid w:val="00882531"/>
    <w:rsid w:val="00883045"/>
    <w:rsid w:val="00883540"/>
    <w:rsid w:val="00883CBA"/>
    <w:rsid w:val="00884C78"/>
    <w:rsid w:val="0088555A"/>
    <w:rsid w:val="00885B0E"/>
    <w:rsid w:val="008922FE"/>
    <w:rsid w:val="00893BB8"/>
    <w:rsid w:val="00895B24"/>
    <w:rsid w:val="008A2153"/>
    <w:rsid w:val="008A51FD"/>
    <w:rsid w:val="008A7721"/>
    <w:rsid w:val="008B08E2"/>
    <w:rsid w:val="008B16FE"/>
    <w:rsid w:val="008B1717"/>
    <w:rsid w:val="008B287B"/>
    <w:rsid w:val="008B29C3"/>
    <w:rsid w:val="008B31F7"/>
    <w:rsid w:val="008B567B"/>
    <w:rsid w:val="008B65A1"/>
    <w:rsid w:val="008B72EA"/>
    <w:rsid w:val="008B7E64"/>
    <w:rsid w:val="008C121A"/>
    <w:rsid w:val="008C2EB2"/>
    <w:rsid w:val="008C4695"/>
    <w:rsid w:val="008C49B8"/>
    <w:rsid w:val="008C5E46"/>
    <w:rsid w:val="008C72E5"/>
    <w:rsid w:val="008C7AAA"/>
    <w:rsid w:val="008D0138"/>
    <w:rsid w:val="008D0D7E"/>
    <w:rsid w:val="008D0ED2"/>
    <w:rsid w:val="008D3D21"/>
    <w:rsid w:val="008D47EC"/>
    <w:rsid w:val="008D563A"/>
    <w:rsid w:val="008E042F"/>
    <w:rsid w:val="008E0AE4"/>
    <w:rsid w:val="008E1D9E"/>
    <w:rsid w:val="008E3E1B"/>
    <w:rsid w:val="008E7095"/>
    <w:rsid w:val="008F1768"/>
    <w:rsid w:val="008F50E1"/>
    <w:rsid w:val="00901AF6"/>
    <w:rsid w:val="0090207C"/>
    <w:rsid w:val="0090249E"/>
    <w:rsid w:val="00904300"/>
    <w:rsid w:val="00906206"/>
    <w:rsid w:val="00913047"/>
    <w:rsid w:val="00913BAF"/>
    <w:rsid w:val="00913C7D"/>
    <w:rsid w:val="00913F1D"/>
    <w:rsid w:val="00914F54"/>
    <w:rsid w:val="00915CB3"/>
    <w:rsid w:val="00920F11"/>
    <w:rsid w:val="00921EA9"/>
    <w:rsid w:val="009247BB"/>
    <w:rsid w:val="0092490C"/>
    <w:rsid w:val="00926AB2"/>
    <w:rsid w:val="00927B50"/>
    <w:rsid w:val="00930B72"/>
    <w:rsid w:val="009313B2"/>
    <w:rsid w:val="00936CEB"/>
    <w:rsid w:val="00942213"/>
    <w:rsid w:val="009427B9"/>
    <w:rsid w:val="009437DE"/>
    <w:rsid w:val="00944676"/>
    <w:rsid w:val="00945473"/>
    <w:rsid w:val="0094715A"/>
    <w:rsid w:val="00952AC7"/>
    <w:rsid w:val="00954768"/>
    <w:rsid w:val="00955563"/>
    <w:rsid w:val="0095698F"/>
    <w:rsid w:val="009573D1"/>
    <w:rsid w:val="00961FED"/>
    <w:rsid w:val="00962726"/>
    <w:rsid w:val="00963EF5"/>
    <w:rsid w:val="009641C2"/>
    <w:rsid w:val="009649D7"/>
    <w:rsid w:val="0096595E"/>
    <w:rsid w:val="00966A17"/>
    <w:rsid w:val="009705BF"/>
    <w:rsid w:val="00970852"/>
    <w:rsid w:val="00970A6B"/>
    <w:rsid w:val="00970CA1"/>
    <w:rsid w:val="00972725"/>
    <w:rsid w:val="009739B2"/>
    <w:rsid w:val="009744F7"/>
    <w:rsid w:val="00974DA7"/>
    <w:rsid w:val="00974F9C"/>
    <w:rsid w:val="00985872"/>
    <w:rsid w:val="009859FB"/>
    <w:rsid w:val="00985B9A"/>
    <w:rsid w:val="009872FE"/>
    <w:rsid w:val="00987852"/>
    <w:rsid w:val="00990E41"/>
    <w:rsid w:val="00991A4B"/>
    <w:rsid w:val="00994737"/>
    <w:rsid w:val="009950F3"/>
    <w:rsid w:val="00996A99"/>
    <w:rsid w:val="009A1C7A"/>
    <w:rsid w:val="009A24D6"/>
    <w:rsid w:val="009A7ACD"/>
    <w:rsid w:val="009B040F"/>
    <w:rsid w:val="009B0C39"/>
    <w:rsid w:val="009B7A1D"/>
    <w:rsid w:val="009B7A84"/>
    <w:rsid w:val="009B7DCD"/>
    <w:rsid w:val="009C35B8"/>
    <w:rsid w:val="009C4C1A"/>
    <w:rsid w:val="009C5CDB"/>
    <w:rsid w:val="009D0CE4"/>
    <w:rsid w:val="009D1149"/>
    <w:rsid w:val="009D1375"/>
    <w:rsid w:val="009D33DF"/>
    <w:rsid w:val="009D5F59"/>
    <w:rsid w:val="009D70FD"/>
    <w:rsid w:val="009E0608"/>
    <w:rsid w:val="009E2661"/>
    <w:rsid w:val="009E2F98"/>
    <w:rsid w:val="009E4041"/>
    <w:rsid w:val="009E4A0B"/>
    <w:rsid w:val="009F0FC3"/>
    <w:rsid w:val="009F11DA"/>
    <w:rsid w:val="009F24A4"/>
    <w:rsid w:val="009F3E13"/>
    <w:rsid w:val="009F429A"/>
    <w:rsid w:val="009F42D9"/>
    <w:rsid w:val="009F5C42"/>
    <w:rsid w:val="009F6565"/>
    <w:rsid w:val="00A0163F"/>
    <w:rsid w:val="00A0340A"/>
    <w:rsid w:val="00A03D52"/>
    <w:rsid w:val="00A03E07"/>
    <w:rsid w:val="00A03E4A"/>
    <w:rsid w:val="00A03EED"/>
    <w:rsid w:val="00A05689"/>
    <w:rsid w:val="00A059C7"/>
    <w:rsid w:val="00A06882"/>
    <w:rsid w:val="00A07FBD"/>
    <w:rsid w:val="00A10621"/>
    <w:rsid w:val="00A114DC"/>
    <w:rsid w:val="00A11EC8"/>
    <w:rsid w:val="00A13DB5"/>
    <w:rsid w:val="00A14110"/>
    <w:rsid w:val="00A14F18"/>
    <w:rsid w:val="00A15EDC"/>
    <w:rsid w:val="00A22907"/>
    <w:rsid w:val="00A247E3"/>
    <w:rsid w:val="00A24B39"/>
    <w:rsid w:val="00A25BC5"/>
    <w:rsid w:val="00A275A2"/>
    <w:rsid w:val="00A3082A"/>
    <w:rsid w:val="00A334BD"/>
    <w:rsid w:val="00A33752"/>
    <w:rsid w:val="00A35F05"/>
    <w:rsid w:val="00A404F8"/>
    <w:rsid w:val="00A40E4C"/>
    <w:rsid w:val="00A42140"/>
    <w:rsid w:val="00A444DD"/>
    <w:rsid w:val="00A44724"/>
    <w:rsid w:val="00A44DCE"/>
    <w:rsid w:val="00A4532F"/>
    <w:rsid w:val="00A462EC"/>
    <w:rsid w:val="00A46EF1"/>
    <w:rsid w:val="00A502FF"/>
    <w:rsid w:val="00A50671"/>
    <w:rsid w:val="00A513BE"/>
    <w:rsid w:val="00A52A98"/>
    <w:rsid w:val="00A5380A"/>
    <w:rsid w:val="00A5404E"/>
    <w:rsid w:val="00A6333C"/>
    <w:rsid w:val="00A64A88"/>
    <w:rsid w:val="00A65C7A"/>
    <w:rsid w:val="00A666ED"/>
    <w:rsid w:val="00A6680B"/>
    <w:rsid w:val="00A746BE"/>
    <w:rsid w:val="00A80FB8"/>
    <w:rsid w:val="00A818A2"/>
    <w:rsid w:val="00A826B6"/>
    <w:rsid w:val="00A82803"/>
    <w:rsid w:val="00A82ABF"/>
    <w:rsid w:val="00A853E0"/>
    <w:rsid w:val="00A86B61"/>
    <w:rsid w:val="00A8791E"/>
    <w:rsid w:val="00A91040"/>
    <w:rsid w:val="00A920E4"/>
    <w:rsid w:val="00A921DD"/>
    <w:rsid w:val="00A960BC"/>
    <w:rsid w:val="00A961CC"/>
    <w:rsid w:val="00A96681"/>
    <w:rsid w:val="00A96B86"/>
    <w:rsid w:val="00AA0E2B"/>
    <w:rsid w:val="00AA1AFB"/>
    <w:rsid w:val="00AA240B"/>
    <w:rsid w:val="00AA319F"/>
    <w:rsid w:val="00AA34F0"/>
    <w:rsid w:val="00AA3A24"/>
    <w:rsid w:val="00AA4147"/>
    <w:rsid w:val="00AA42DA"/>
    <w:rsid w:val="00AA5AEF"/>
    <w:rsid w:val="00AA5BDE"/>
    <w:rsid w:val="00AA5DD0"/>
    <w:rsid w:val="00AA6174"/>
    <w:rsid w:val="00AB065E"/>
    <w:rsid w:val="00AB0E20"/>
    <w:rsid w:val="00AB0FCB"/>
    <w:rsid w:val="00AB2684"/>
    <w:rsid w:val="00AB4172"/>
    <w:rsid w:val="00AB4710"/>
    <w:rsid w:val="00AB5155"/>
    <w:rsid w:val="00AB534B"/>
    <w:rsid w:val="00AB5816"/>
    <w:rsid w:val="00AB6D6F"/>
    <w:rsid w:val="00AB7DF8"/>
    <w:rsid w:val="00AC1E29"/>
    <w:rsid w:val="00AC3C45"/>
    <w:rsid w:val="00AC3DC2"/>
    <w:rsid w:val="00AC595A"/>
    <w:rsid w:val="00AC6CE5"/>
    <w:rsid w:val="00AC75BA"/>
    <w:rsid w:val="00AD1788"/>
    <w:rsid w:val="00AD49B2"/>
    <w:rsid w:val="00AD5C3F"/>
    <w:rsid w:val="00AD7000"/>
    <w:rsid w:val="00AD79EC"/>
    <w:rsid w:val="00AE05C6"/>
    <w:rsid w:val="00AE0B29"/>
    <w:rsid w:val="00AE37A1"/>
    <w:rsid w:val="00AE431A"/>
    <w:rsid w:val="00AE5DC0"/>
    <w:rsid w:val="00AF01E1"/>
    <w:rsid w:val="00AF0D69"/>
    <w:rsid w:val="00AF10E4"/>
    <w:rsid w:val="00AF1831"/>
    <w:rsid w:val="00AF3B0C"/>
    <w:rsid w:val="00AF6CF7"/>
    <w:rsid w:val="00B004EC"/>
    <w:rsid w:val="00B0090C"/>
    <w:rsid w:val="00B01574"/>
    <w:rsid w:val="00B02C41"/>
    <w:rsid w:val="00B02D98"/>
    <w:rsid w:val="00B033D2"/>
    <w:rsid w:val="00B03514"/>
    <w:rsid w:val="00B06AF0"/>
    <w:rsid w:val="00B13EE7"/>
    <w:rsid w:val="00B145B4"/>
    <w:rsid w:val="00B14600"/>
    <w:rsid w:val="00B15446"/>
    <w:rsid w:val="00B15A3C"/>
    <w:rsid w:val="00B17E96"/>
    <w:rsid w:val="00B21752"/>
    <w:rsid w:val="00B262D1"/>
    <w:rsid w:val="00B27675"/>
    <w:rsid w:val="00B27713"/>
    <w:rsid w:val="00B30F69"/>
    <w:rsid w:val="00B41FB4"/>
    <w:rsid w:val="00B45BC3"/>
    <w:rsid w:val="00B51B7B"/>
    <w:rsid w:val="00B53273"/>
    <w:rsid w:val="00B53C7A"/>
    <w:rsid w:val="00B55C0D"/>
    <w:rsid w:val="00B60525"/>
    <w:rsid w:val="00B60954"/>
    <w:rsid w:val="00B61119"/>
    <w:rsid w:val="00B6165F"/>
    <w:rsid w:val="00B62859"/>
    <w:rsid w:val="00B63796"/>
    <w:rsid w:val="00B646BC"/>
    <w:rsid w:val="00B661A8"/>
    <w:rsid w:val="00B717D3"/>
    <w:rsid w:val="00B71AE0"/>
    <w:rsid w:val="00B724E3"/>
    <w:rsid w:val="00B74BFD"/>
    <w:rsid w:val="00B75519"/>
    <w:rsid w:val="00B75599"/>
    <w:rsid w:val="00B77BD0"/>
    <w:rsid w:val="00B82F75"/>
    <w:rsid w:val="00B8531B"/>
    <w:rsid w:val="00B8594B"/>
    <w:rsid w:val="00B923FB"/>
    <w:rsid w:val="00B9398F"/>
    <w:rsid w:val="00B93991"/>
    <w:rsid w:val="00B95D9A"/>
    <w:rsid w:val="00B96F1D"/>
    <w:rsid w:val="00B97010"/>
    <w:rsid w:val="00B97095"/>
    <w:rsid w:val="00B9761B"/>
    <w:rsid w:val="00BA2BEB"/>
    <w:rsid w:val="00BA4CDF"/>
    <w:rsid w:val="00BA70E4"/>
    <w:rsid w:val="00BA7792"/>
    <w:rsid w:val="00BB1671"/>
    <w:rsid w:val="00BB2211"/>
    <w:rsid w:val="00BB2AA5"/>
    <w:rsid w:val="00BB3904"/>
    <w:rsid w:val="00BB4952"/>
    <w:rsid w:val="00BB6442"/>
    <w:rsid w:val="00BC2BF0"/>
    <w:rsid w:val="00BC36EB"/>
    <w:rsid w:val="00BC399B"/>
    <w:rsid w:val="00BC46B7"/>
    <w:rsid w:val="00BC46F4"/>
    <w:rsid w:val="00BC4A88"/>
    <w:rsid w:val="00BD2057"/>
    <w:rsid w:val="00BD28B5"/>
    <w:rsid w:val="00BD2AEB"/>
    <w:rsid w:val="00BD34CC"/>
    <w:rsid w:val="00BD4085"/>
    <w:rsid w:val="00BD475D"/>
    <w:rsid w:val="00BD4994"/>
    <w:rsid w:val="00BD500F"/>
    <w:rsid w:val="00BD53F0"/>
    <w:rsid w:val="00BD5CB8"/>
    <w:rsid w:val="00BE03DF"/>
    <w:rsid w:val="00BE25CC"/>
    <w:rsid w:val="00BE3CCC"/>
    <w:rsid w:val="00BE3EA0"/>
    <w:rsid w:val="00BE4B8F"/>
    <w:rsid w:val="00BE73C7"/>
    <w:rsid w:val="00BF23F7"/>
    <w:rsid w:val="00BF404A"/>
    <w:rsid w:val="00BF4B20"/>
    <w:rsid w:val="00BF55FA"/>
    <w:rsid w:val="00BF5C1B"/>
    <w:rsid w:val="00BF6AB8"/>
    <w:rsid w:val="00BF717C"/>
    <w:rsid w:val="00C00A7D"/>
    <w:rsid w:val="00C026B8"/>
    <w:rsid w:val="00C0393E"/>
    <w:rsid w:val="00C05D03"/>
    <w:rsid w:val="00C0623B"/>
    <w:rsid w:val="00C06CBD"/>
    <w:rsid w:val="00C11326"/>
    <w:rsid w:val="00C11685"/>
    <w:rsid w:val="00C13B9B"/>
    <w:rsid w:val="00C146A4"/>
    <w:rsid w:val="00C16E82"/>
    <w:rsid w:val="00C177FA"/>
    <w:rsid w:val="00C178B0"/>
    <w:rsid w:val="00C20E06"/>
    <w:rsid w:val="00C227B1"/>
    <w:rsid w:val="00C23B93"/>
    <w:rsid w:val="00C240FC"/>
    <w:rsid w:val="00C26826"/>
    <w:rsid w:val="00C27687"/>
    <w:rsid w:val="00C30320"/>
    <w:rsid w:val="00C3334A"/>
    <w:rsid w:val="00C340BC"/>
    <w:rsid w:val="00C3415C"/>
    <w:rsid w:val="00C35DFC"/>
    <w:rsid w:val="00C36607"/>
    <w:rsid w:val="00C426EB"/>
    <w:rsid w:val="00C42738"/>
    <w:rsid w:val="00C44255"/>
    <w:rsid w:val="00C44894"/>
    <w:rsid w:val="00C46E53"/>
    <w:rsid w:val="00C470F4"/>
    <w:rsid w:val="00C50628"/>
    <w:rsid w:val="00C50B01"/>
    <w:rsid w:val="00C5241B"/>
    <w:rsid w:val="00C527ED"/>
    <w:rsid w:val="00C52F17"/>
    <w:rsid w:val="00C53453"/>
    <w:rsid w:val="00C53BBE"/>
    <w:rsid w:val="00C54379"/>
    <w:rsid w:val="00C54410"/>
    <w:rsid w:val="00C54578"/>
    <w:rsid w:val="00C54DF0"/>
    <w:rsid w:val="00C553F8"/>
    <w:rsid w:val="00C554EF"/>
    <w:rsid w:val="00C61072"/>
    <w:rsid w:val="00C647D3"/>
    <w:rsid w:val="00C648C3"/>
    <w:rsid w:val="00C6504B"/>
    <w:rsid w:val="00C650D8"/>
    <w:rsid w:val="00C674D8"/>
    <w:rsid w:val="00C70EEC"/>
    <w:rsid w:val="00C71166"/>
    <w:rsid w:val="00C72186"/>
    <w:rsid w:val="00C74C04"/>
    <w:rsid w:val="00C74F99"/>
    <w:rsid w:val="00C763D5"/>
    <w:rsid w:val="00C80CBC"/>
    <w:rsid w:val="00C84565"/>
    <w:rsid w:val="00C84668"/>
    <w:rsid w:val="00C84FE6"/>
    <w:rsid w:val="00C85773"/>
    <w:rsid w:val="00C86F81"/>
    <w:rsid w:val="00C91440"/>
    <w:rsid w:val="00C91A01"/>
    <w:rsid w:val="00C92784"/>
    <w:rsid w:val="00C93171"/>
    <w:rsid w:val="00C934BD"/>
    <w:rsid w:val="00C95C28"/>
    <w:rsid w:val="00C96EAB"/>
    <w:rsid w:val="00CA13D0"/>
    <w:rsid w:val="00CA201B"/>
    <w:rsid w:val="00CA4310"/>
    <w:rsid w:val="00CA4CBC"/>
    <w:rsid w:val="00CA5CDF"/>
    <w:rsid w:val="00CA71BD"/>
    <w:rsid w:val="00CA7BC3"/>
    <w:rsid w:val="00CB0DD8"/>
    <w:rsid w:val="00CB2555"/>
    <w:rsid w:val="00CB287C"/>
    <w:rsid w:val="00CB46C7"/>
    <w:rsid w:val="00CB5A29"/>
    <w:rsid w:val="00CB6079"/>
    <w:rsid w:val="00CB772F"/>
    <w:rsid w:val="00CC3421"/>
    <w:rsid w:val="00CC3B76"/>
    <w:rsid w:val="00CC5533"/>
    <w:rsid w:val="00CC5EC0"/>
    <w:rsid w:val="00CC6D77"/>
    <w:rsid w:val="00CC7E08"/>
    <w:rsid w:val="00CD125A"/>
    <w:rsid w:val="00CD355A"/>
    <w:rsid w:val="00CD69F5"/>
    <w:rsid w:val="00CD6EE5"/>
    <w:rsid w:val="00CE07F8"/>
    <w:rsid w:val="00CE2AAD"/>
    <w:rsid w:val="00CE320D"/>
    <w:rsid w:val="00CE3761"/>
    <w:rsid w:val="00CE46E9"/>
    <w:rsid w:val="00CE4B59"/>
    <w:rsid w:val="00CE5188"/>
    <w:rsid w:val="00CF14CF"/>
    <w:rsid w:val="00CF1722"/>
    <w:rsid w:val="00CF3974"/>
    <w:rsid w:val="00CF5900"/>
    <w:rsid w:val="00CF5CB6"/>
    <w:rsid w:val="00CF65C0"/>
    <w:rsid w:val="00D016D4"/>
    <w:rsid w:val="00D0236A"/>
    <w:rsid w:val="00D032B8"/>
    <w:rsid w:val="00D047E5"/>
    <w:rsid w:val="00D0622A"/>
    <w:rsid w:val="00D1022C"/>
    <w:rsid w:val="00D10938"/>
    <w:rsid w:val="00D12659"/>
    <w:rsid w:val="00D17414"/>
    <w:rsid w:val="00D17F0D"/>
    <w:rsid w:val="00D22645"/>
    <w:rsid w:val="00D24C1B"/>
    <w:rsid w:val="00D271BB"/>
    <w:rsid w:val="00D27CCC"/>
    <w:rsid w:val="00D30B66"/>
    <w:rsid w:val="00D31928"/>
    <w:rsid w:val="00D33633"/>
    <w:rsid w:val="00D3481E"/>
    <w:rsid w:val="00D37952"/>
    <w:rsid w:val="00D408D5"/>
    <w:rsid w:val="00D42375"/>
    <w:rsid w:val="00D45D4E"/>
    <w:rsid w:val="00D500CF"/>
    <w:rsid w:val="00D533E0"/>
    <w:rsid w:val="00D53743"/>
    <w:rsid w:val="00D54120"/>
    <w:rsid w:val="00D5482E"/>
    <w:rsid w:val="00D57498"/>
    <w:rsid w:val="00D6313B"/>
    <w:rsid w:val="00D63D91"/>
    <w:rsid w:val="00D64C46"/>
    <w:rsid w:val="00D651D4"/>
    <w:rsid w:val="00D6690A"/>
    <w:rsid w:val="00D67CB5"/>
    <w:rsid w:val="00D71E77"/>
    <w:rsid w:val="00D72415"/>
    <w:rsid w:val="00D74392"/>
    <w:rsid w:val="00D74772"/>
    <w:rsid w:val="00D76388"/>
    <w:rsid w:val="00D76EB4"/>
    <w:rsid w:val="00D77205"/>
    <w:rsid w:val="00D82AAA"/>
    <w:rsid w:val="00D84DFD"/>
    <w:rsid w:val="00D85932"/>
    <w:rsid w:val="00D8680C"/>
    <w:rsid w:val="00D86A51"/>
    <w:rsid w:val="00D9069B"/>
    <w:rsid w:val="00D90F73"/>
    <w:rsid w:val="00D9102E"/>
    <w:rsid w:val="00D914FE"/>
    <w:rsid w:val="00D9176D"/>
    <w:rsid w:val="00D923AC"/>
    <w:rsid w:val="00D92F46"/>
    <w:rsid w:val="00D94E7B"/>
    <w:rsid w:val="00D97F6C"/>
    <w:rsid w:val="00DA0E24"/>
    <w:rsid w:val="00DA0FB2"/>
    <w:rsid w:val="00DA6AA9"/>
    <w:rsid w:val="00DA6B87"/>
    <w:rsid w:val="00DB1C25"/>
    <w:rsid w:val="00DB43FF"/>
    <w:rsid w:val="00DB553C"/>
    <w:rsid w:val="00DB7160"/>
    <w:rsid w:val="00DC089C"/>
    <w:rsid w:val="00DC2ABF"/>
    <w:rsid w:val="00DC2FCA"/>
    <w:rsid w:val="00DC6ADB"/>
    <w:rsid w:val="00DC6D0B"/>
    <w:rsid w:val="00DD01D6"/>
    <w:rsid w:val="00DD11F7"/>
    <w:rsid w:val="00DD160F"/>
    <w:rsid w:val="00DD4049"/>
    <w:rsid w:val="00DD4FD0"/>
    <w:rsid w:val="00DD66BB"/>
    <w:rsid w:val="00DE0A7D"/>
    <w:rsid w:val="00DE593A"/>
    <w:rsid w:val="00DE71AC"/>
    <w:rsid w:val="00DF2253"/>
    <w:rsid w:val="00DF4EE1"/>
    <w:rsid w:val="00E002C8"/>
    <w:rsid w:val="00E01417"/>
    <w:rsid w:val="00E02D16"/>
    <w:rsid w:val="00E03C7A"/>
    <w:rsid w:val="00E11163"/>
    <w:rsid w:val="00E13297"/>
    <w:rsid w:val="00E14D71"/>
    <w:rsid w:val="00E16925"/>
    <w:rsid w:val="00E206E9"/>
    <w:rsid w:val="00E21911"/>
    <w:rsid w:val="00E2206F"/>
    <w:rsid w:val="00E22ABF"/>
    <w:rsid w:val="00E22ADB"/>
    <w:rsid w:val="00E241DF"/>
    <w:rsid w:val="00E25D1A"/>
    <w:rsid w:val="00E26330"/>
    <w:rsid w:val="00E26A64"/>
    <w:rsid w:val="00E30D7D"/>
    <w:rsid w:val="00E31A0A"/>
    <w:rsid w:val="00E34500"/>
    <w:rsid w:val="00E36E90"/>
    <w:rsid w:val="00E40C8F"/>
    <w:rsid w:val="00E42EA9"/>
    <w:rsid w:val="00E42F43"/>
    <w:rsid w:val="00E43465"/>
    <w:rsid w:val="00E43A2E"/>
    <w:rsid w:val="00E4628E"/>
    <w:rsid w:val="00E505C2"/>
    <w:rsid w:val="00E50609"/>
    <w:rsid w:val="00E506DC"/>
    <w:rsid w:val="00E50A19"/>
    <w:rsid w:val="00E5323A"/>
    <w:rsid w:val="00E53617"/>
    <w:rsid w:val="00E550B1"/>
    <w:rsid w:val="00E55BF2"/>
    <w:rsid w:val="00E55EA4"/>
    <w:rsid w:val="00E610F3"/>
    <w:rsid w:val="00E628C9"/>
    <w:rsid w:val="00E62B5E"/>
    <w:rsid w:val="00E63626"/>
    <w:rsid w:val="00E669A5"/>
    <w:rsid w:val="00E71389"/>
    <w:rsid w:val="00E7194D"/>
    <w:rsid w:val="00E72C3D"/>
    <w:rsid w:val="00E738C5"/>
    <w:rsid w:val="00E74990"/>
    <w:rsid w:val="00E75E67"/>
    <w:rsid w:val="00E804A1"/>
    <w:rsid w:val="00E81AC7"/>
    <w:rsid w:val="00E8343B"/>
    <w:rsid w:val="00E85E1D"/>
    <w:rsid w:val="00E873DD"/>
    <w:rsid w:val="00E946E3"/>
    <w:rsid w:val="00E94EA7"/>
    <w:rsid w:val="00E95314"/>
    <w:rsid w:val="00E964C2"/>
    <w:rsid w:val="00E9692F"/>
    <w:rsid w:val="00E97016"/>
    <w:rsid w:val="00E977F7"/>
    <w:rsid w:val="00EA02C9"/>
    <w:rsid w:val="00EA0C41"/>
    <w:rsid w:val="00EA2CD1"/>
    <w:rsid w:val="00EA3592"/>
    <w:rsid w:val="00EA3CA5"/>
    <w:rsid w:val="00EA5F7F"/>
    <w:rsid w:val="00EA64C4"/>
    <w:rsid w:val="00EA6BAB"/>
    <w:rsid w:val="00EB3488"/>
    <w:rsid w:val="00EB3E30"/>
    <w:rsid w:val="00EB53DD"/>
    <w:rsid w:val="00EB6690"/>
    <w:rsid w:val="00EB7A6A"/>
    <w:rsid w:val="00EB7CDB"/>
    <w:rsid w:val="00EC1AC7"/>
    <w:rsid w:val="00EC5427"/>
    <w:rsid w:val="00ED5912"/>
    <w:rsid w:val="00ED6AEA"/>
    <w:rsid w:val="00EE0F23"/>
    <w:rsid w:val="00EE2216"/>
    <w:rsid w:val="00EE26DC"/>
    <w:rsid w:val="00EE2C9B"/>
    <w:rsid w:val="00EE38CE"/>
    <w:rsid w:val="00EE4ACC"/>
    <w:rsid w:val="00EE5C50"/>
    <w:rsid w:val="00EF0D22"/>
    <w:rsid w:val="00EF1E4F"/>
    <w:rsid w:val="00EF58CE"/>
    <w:rsid w:val="00EF6925"/>
    <w:rsid w:val="00EF7199"/>
    <w:rsid w:val="00F0091D"/>
    <w:rsid w:val="00F00A7C"/>
    <w:rsid w:val="00F01571"/>
    <w:rsid w:val="00F016CD"/>
    <w:rsid w:val="00F028B1"/>
    <w:rsid w:val="00F051E0"/>
    <w:rsid w:val="00F0658F"/>
    <w:rsid w:val="00F12835"/>
    <w:rsid w:val="00F13432"/>
    <w:rsid w:val="00F142EB"/>
    <w:rsid w:val="00F14C1E"/>
    <w:rsid w:val="00F1534E"/>
    <w:rsid w:val="00F2259F"/>
    <w:rsid w:val="00F22916"/>
    <w:rsid w:val="00F2468F"/>
    <w:rsid w:val="00F24963"/>
    <w:rsid w:val="00F25975"/>
    <w:rsid w:val="00F25E59"/>
    <w:rsid w:val="00F310BE"/>
    <w:rsid w:val="00F31E27"/>
    <w:rsid w:val="00F3202C"/>
    <w:rsid w:val="00F325D2"/>
    <w:rsid w:val="00F32EEC"/>
    <w:rsid w:val="00F342C0"/>
    <w:rsid w:val="00F35AA3"/>
    <w:rsid w:val="00F364E5"/>
    <w:rsid w:val="00F36D24"/>
    <w:rsid w:val="00F37AA5"/>
    <w:rsid w:val="00F40F8A"/>
    <w:rsid w:val="00F41F59"/>
    <w:rsid w:val="00F42264"/>
    <w:rsid w:val="00F42773"/>
    <w:rsid w:val="00F44958"/>
    <w:rsid w:val="00F452B3"/>
    <w:rsid w:val="00F51D20"/>
    <w:rsid w:val="00F52C10"/>
    <w:rsid w:val="00F547CF"/>
    <w:rsid w:val="00F5480E"/>
    <w:rsid w:val="00F54F14"/>
    <w:rsid w:val="00F56FDD"/>
    <w:rsid w:val="00F5707B"/>
    <w:rsid w:val="00F57452"/>
    <w:rsid w:val="00F57B08"/>
    <w:rsid w:val="00F61320"/>
    <w:rsid w:val="00F613B4"/>
    <w:rsid w:val="00F61868"/>
    <w:rsid w:val="00F63256"/>
    <w:rsid w:val="00F661EC"/>
    <w:rsid w:val="00F7024D"/>
    <w:rsid w:val="00F71034"/>
    <w:rsid w:val="00F73DEA"/>
    <w:rsid w:val="00F74A9E"/>
    <w:rsid w:val="00F75CF0"/>
    <w:rsid w:val="00F820B7"/>
    <w:rsid w:val="00F823D6"/>
    <w:rsid w:val="00F83502"/>
    <w:rsid w:val="00F86FB6"/>
    <w:rsid w:val="00F90188"/>
    <w:rsid w:val="00F91111"/>
    <w:rsid w:val="00F92C69"/>
    <w:rsid w:val="00F933E8"/>
    <w:rsid w:val="00F94C6A"/>
    <w:rsid w:val="00F950FE"/>
    <w:rsid w:val="00F97853"/>
    <w:rsid w:val="00FA1C74"/>
    <w:rsid w:val="00FA355A"/>
    <w:rsid w:val="00FA422E"/>
    <w:rsid w:val="00FA6585"/>
    <w:rsid w:val="00FA65DE"/>
    <w:rsid w:val="00FA71EA"/>
    <w:rsid w:val="00FA7B73"/>
    <w:rsid w:val="00FB1250"/>
    <w:rsid w:val="00FB1330"/>
    <w:rsid w:val="00FB16BA"/>
    <w:rsid w:val="00FB27D4"/>
    <w:rsid w:val="00FB2903"/>
    <w:rsid w:val="00FB3CB4"/>
    <w:rsid w:val="00FB4094"/>
    <w:rsid w:val="00FB7CB2"/>
    <w:rsid w:val="00FC0156"/>
    <w:rsid w:val="00FC08D1"/>
    <w:rsid w:val="00FC105D"/>
    <w:rsid w:val="00FC1B53"/>
    <w:rsid w:val="00FC257F"/>
    <w:rsid w:val="00FC3CBD"/>
    <w:rsid w:val="00FC3FF5"/>
    <w:rsid w:val="00FC4727"/>
    <w:rsid w:val="00FC47EF"/>
    <w:rsid w:val="00FC49DD"/>
    <w:rsid w:val="00FC54C6"/>
    <w:rsid w:val="00FC77C6"/>
    <w:rsid w:val="00FD04C8"/>
    <w:rsid w:val="00FD085D"/>
    <w:rsid w:val="00FD0FCD"/>
    <w:rsid w:val="00FD4FFF"/>
    <w:rsid w:val="00FD52DC"/>
    <w:rsid w:val="00FD75AE"/>
    <w:rsid w:val="00FE447A"/>
    <w:rsid w:val="00FE4C6C"/>
    <w:rsid w:val="00FE5B8D"/>
    <w:rsid w:val="00FE6161"/>
    <w:rsid w:val="00FE66E2"/>
    <w:rsid w:val="00FE7312"/>
    <w:rsid w:val="00FE77FB"/>
    <w:rsid w:val="00FF0B71"/>
    <w:rsid w:val="00FF4C32"/>
    <w:rsid w:val="00FF5637"/>
    <w:rsid w:val="00FF6561"/>
    <w:rsid w:val="00FF7530"/>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299B0"/>
  <w15:docId w15:val="{7BA0D0CE-9013-4DF2-8EFD-2E872787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A29"/>
    <w:pPr>
      <w:autoSpaceDE w:val="0"/>
      <w:autoSpaceDN w:val="0"/>
    </w:pPr>
    <w:rPr>
      <w:lang w:val="es-MX" w:eastAsia="es-MX"/>
    </w:rPr>
  </w:style>
  <w:style w:type="paragraph" w:styleId="Ttulo1">
    <w:name w:val="heading 1"/>
    <w:aliases w:val="H1-TS,h1,1st level,H1,h11,h12,h13,h14,h15,h16,h17,h111,h121,h131,h141,h151,h161,h18,h112,h122,h132,h142,h152,h162,h19,h113,h123,h133,h143,h153,h163,NMP Heading 1,Section of paper,título 1,l1,level 1,Titre Chapitre,Titre 1P,Titre1P,1H"/>
    <w:basedOn w:val="Normal"/>
    <w:next w:val="Normal"/>
    <w:link w:val="Ttulo1Car"/>
    <w:qFormat/>
    <w:rsid w:val="00B27675"/>
    <w:pPr>
      <w:keepNext/>
      <w:ind w:left="709" w:right="283" w:hanging="567"/>
      <w:jc w:val="both"/>
      <w:outlineLvl w:val="0"/>
    </w:pPr>
    <w:rPr>
      <w:sz w:val="24"/>
      <w:szCs w:val="24"/>
    </w:rPr>
  </w:style>
  <w:style w:type="paragraph" w:styleId="Ttulo2">
    <w:name w:val="heading 2"/>
    <w:aliases w:val="l2,h2,título 2,H2,h21,Heading Two,R2,Sub-section,Annex2,UNDERRUBRIK 1-2,2,level 2,Titre 2P,Titre2P,2nd level,Header 2,2H"/>
    <w:basedOn w:val="Normal"/>
    <w:next w:val="Normal"/>
    <w:link w:val="Ttulo2Car"/>
    <w:qFormat/>
    <w:rsid w:val="00B27675"/>
    <w:pPr>
      <w:keepNext/>
      <w:outlineLvl w:val="1"/>
    </w:pPr>
    <w:rPr>
      <w:b/>
      <w:bCs/>
      <w:sz w:val="24"/>
      <w:szCs w:val="24"/>
    </w:rPr>
  </w:style>
  <w:style w:type="paragraph" w:styleId="Ttulo3">
    <w:name w:val="heading 3"/>
    <w:aliases w:val="3,Titre 3,1,heading 3,31,Titre 31,?? 3,h3,??? 3,l3,título 3,sub 2,Memo Heading 3,H3,h31"/>
    <w:basedOn w:val="Normal"/>
    <w:next w:val="Normal"/>
    <w:link w:val="Ttulo3Car"/>
    <w:qFormat/>
    <w:rsid w:val="00B27675"/>
    <w:pPr>
      <w:keepNext/>
      <w:ind w:left="851" w:right="618"/>
      <w:jc w:val="both"/>
      <w:outlineLvl w:val="2"/>
    </w:pPr>
    <w:rPr>
      <w:sz w:val="24"/>
      <w:szCs w:val="24"/>
    </w:rPr>
  </w:style>
  <w:style w:type="paragraph" w:styleId="Ttulo4">
    <w:name w:val="heading 4"/>
    <w:aliases w:val="H4,h4,H41,h41,H42,h42,H43,h43,H411,h411,H421,h421,H44,h44,H412,h412,H422,h422,H431,h431,H45,h45,H413,h413,H423,h423,H432,h432,H46,h46,H47,h47,Memo Heading 4,Heading 14,Heading 141,Heading 142,4"/>
    <w:basedOn w:val="Normal"/>
    <w:next w:val="Normal"/>
    <w:link w:val="Ttulo4Car"/>
    <w:qFormat/>
    <w:rsid w:val="00B27675"/>
    <w:pPr>
      <w:keepNext/>
      <w:spacing w:line="240" w:lineRule="atLeast"/>
      <w:ind w:right="-70"/>
      <w:jc w:val="center"/>
      <w:outlineLvl w:val="3"/>
    </w:pPr>
    <w:rPr>
      <w:b/>
      <w:bCs/>
    </w:rPr>
  </w:style>
  <w:style w:type="paragraph" w:styleId="Ttulo5">
    <w:name w:val="heading 5"/>
    <w:aliases w:val="H5"/>
    <w:basedOn w:val="Ttulo4"/>
    <w:next w:val="Normal"/>
    <w:link w:val="Ttulo5Car"/>
    <w:qFormat/>
    <w:rsid w:val="00B82F75"/>
    <w:pPr>
      <w:keepLines/>
      <w:tabs>
        <w:tab w:val="left" w:pos="1871"/>
        <w:tab w:val="left" w:pos="2268"/>
      </w:tabs>
      <w:overflowPunct w:val="0"/>
      <w:adjustRightInd w:val="0"/>
      <w:spacing w:before="200" w:line="240" w:lineRule="auto"/>
      <w:ind w:left="1134" w:right="0" w:hanging="1134"/>
      <w:jc w:val="both"/>
      <w:textAlignment w:val="baseline"/>
      <w:outlineLvl w:val="4"/>
    </w:pPr>
    <w:rPr>
      <w:bCs w:val="0"/>
      <w:sz w:val="24"/>
      <w:lang w:val="fr-FR" w:eastAsia="en-US"/>
    </w:rPr>
  </w:style>
  <w:style w:type="paragraph" w:styleId="Ttulo6">
    <w:name w:val="heading 6"/>
    <w:basedOn w:val="Ttulo4"/>
    <w:next w:val="Normal"/>
    <w:link w:val="Ttulo6Car"/>
    <w:qFormat/>
    <w:rsid w:val="00B82F75"/>
    <w:pPr>
      <w:keepLines/>
      <w:tabs>
        <w:tab w:val="left" w:pos="1871"/>
        <w:tab w:val="left" w:pos="2268"/>
      </w:tabs>
      <w:overflowPunct w:val="0"/>
      <w:adjustRightInd w:val="0"/>
      <w:spacing w:before="200" w:line="240" w:lineRule="auto"/>
      <w:ind w:left="1134" w:right="0" w:hanging="1134"/>
      <w:jc w:val="both"/>
      <w:textAlignment w:val="baseline"/>
      <w:outlineLvl w:val="5"/>
    </w:pPr>
    <w:rPr>
      <w:bCs w:val="0"/>
      <w:sz w:val="24"/>
      <w:lang w:val="fr-FR" w:eastAsia="en-US"/>
    </w:rPr>
  </w:style>
  <w:style w:type="paragraph" w:styleId="Ttulo7">
    <w:name w:val="heading 7"/>
    <w:basedOn w:val="Ttulo6"/>
    <w:next w:val="Normal"/>
    <w:link w:val="Ttulo7Car"/>
    <w:qFormat/>
    <w:rsid w:val="00B82F75"/>
    <w:pPr>
      <w:outlineLvl w:val="6"/>
    </w:pPr>
  </w:style>
  <w:style w:type="paragraph" w:styleId="Ttulo8">
    <w:name w:val="heading 8"/>
    <w:basedOn w:val="Ttulo6"/>
    <w:next w:val="Normal"/>
    <w:link w:val="Ttulo8Car"/>
    <w:qFormat/>
    <w:rsid w:val="00B82F75"/>
    <w:pPr>
      <w:outlineLvl w:val="7"/>
    </w:pPr>
  </w:style>
  <w:style w:type="paragraph" w:styleId="Ttulo9">
    <w:name w:val="heading 9"/>
    <w:aliases w:val="Topic,table,t,9,Heading 9.table,Titre 9,heading 9"/>
    <w:basedOn w:val="Ttulo6"/>
    <w:next w:val="Normal"/>
    <w:link w:val="Ttulo9Car"/>
    <w:qFormat/>
    <w:rsid w:val="00B82F75"/>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e,header odd,header odd1,header odd2,header,h,Header/Footer,Page No"/>
    <w:basedOn w:val="Normal"/>
    <w:link w:val="EncabezadoCar"/>
    <w:rsid w:val="00B27675"/>
    <w:pPr>
      <w:tabs>
        <w:tab w:val="center" w:pos="4419"/>
        <w:tab w:val="right" w:pos="8838"/>
      </w:tabs>
    </w:pPr>
  </w:style>
  <w:style w:type="paragraph" w:styleId="Piedepgina">
    <w:name w:val="footer"/>
    <w:aliases w:val="footer odd,footer,pie de página,pie de p·gina"/>
    <w:basedOn w:val="Normal"/>
    <w:link w:val="PiedepginaCar"/>
    <w:uiPriority w:val="99"/>
    <w:rsid w:val="00B27675"/>
    <w:pPr>
      <w:tabs>
        <w:tab w:val="center" w:pos="4419"/>
        <w:tab w:val="right" w:pos="8838"/>
      </w:tabs>
    </w:pPr>
  </w:style>
  <w:style w:type="character" w:styleId="Nmerodepgina">
    <w:name w:val="page number"/>
    <w:basedOn w:val="Fuentedeprrafopredeter"/>
    <w:uiPriority w:val="99"/>
    <w:rsid w:val="00B27675"/>
  </w:style>
  <w:style w:type="paragraph" w:styleId="Textodebloque">
    <w:name w:val="Block Text"/>
    <w:basedOn w:val="Normal"/>
    <w:rsid w:val="00B27675"/>
    <w:pPr>
      <w:ind w:left="709" w:right="283" w:hanging="567"/>
      <w:jc w:val="both"/>
    </w:pPr>
    <w:rPr>
      <w:sz w:val="24"/>
      <w:szCs w:val="24"/>
    </w:rPr>
  </w:style>
  <w:style w:type="paragraph" w:styleId="Textoindependiente">
    <w:name w:val="Body Text"/>
    <w:basedOn w:val="Normal"/>
    <w:link w:val="TextoindependienteCar"/>
    <w:rsid w:val="00B27675"/>
    <w:pPr>
      <w:ind w:right="618"/>
      <w:jc w:val="both"/>
    </w:pPr>
    <w:rPr>
      <w:sz w:val="24"/>
      <w:szCs w:val="24"/>
    </w:rPr>
  </w:style>
  <w:style w:type="paragraph" w:customStyle="1" w:styleId="Textodeglobo1">
    <w:name w:val="Texto de globo1"/>
    <w:basedOn w:val="Normal"/>
    <w:semiHidden/>
    <w:rsid w:val="00B27675"/>
    <w:rPr>
      <w:rFonts w:ascii="Tahoma" w:hAnsi="Tahoma" w:cs="Tahoma"/>
      <w:sz w:val="16"/>
      <w:szCs w:val="16"/>
    </w:rPr>
  </w:style>
  <w:style w:type="character" w:customStyle="1" w:styleId="PiedepginaCar">
    <w:name w:val="Pie de página Car"/>
    <w:aliases w:val="footer odd Car,footer Car,pie de página Car,pie de p·gina Car"/>
    <w:link w:val="Piedepgina"/>
    <w:uiPriority w:val="99"/>
    <w:rsid w:val="001A0EB6"/>
    <w:rPr>
      <w:lang w:val="es-MX" w:eastAsia="es-MX"/>
    </w:rPr>
  </w:style>
  <w:style w:type="paragraph" w:styleId="NormalWeb">
    <w:name w:val="Normal (Web)"/>
    <w:basedOn w:val="Normal"/>
    <w:uiPriority w:val="99"/>
    <w:unhideWhenUsed/>
    <w:rsid w:val="00330C5E"/>
    <w:pPr>
      <w:autoSpaceDE/>
      <w:autoSpaceDN/>
      <w:spacing w:before="100" w:beforeAutospacing="1" w:after="100" w:afterAutospacing="1"/>
    </w:pPr>
    <w:rPr>
      <w:sz w:val="24"/>
      <w:szCs w:val="24"/>
      <w:lang w:val="es-CR" w:eastAsia="es-CR"/>
    </w:rPr>
  </w:style>
  <w:style w:type="character" w:customStyle="1" w:styleId="negrita">
    <w:name w:val="negrita"/>
    <w:rsid w:val="00330C5E"/>
  </w:style>
  <w:style w:type="character" w:customStyle="1" w:styleId="italica">
    <w:name w:val="italica"/>
    <w:rsid w:val="00330C5E"/>
  </w:style>
  <w:style w:type="paragraph" w:styleId="Firmadecorreoelectrnico">
    <w:name w:val="E-mail Signature"/>
    <w:basedOn w:val="Normal"/>
    <w:link w:val="FirmadecorreoelectrnicoCar"/>
    <w:semiHidden/>
    <w:unhideWhenUsed/>
    <w:rsid w:val="002D0ABB"/>
    <w:pPr>
      <w:autoSpaceDE/>
      <w:autoSpaceDN/>
    </w:pPr>
    <w:rPr>
      <w:rFonts w:ascii="Calibri" w:hAnsi="Calibri"/>
      <w:sz w:val="22"/>
      <w:szCs w:val="22"/>
      <w:lang w:val="es-CR" w:eastAsia="es-CR"/>
    </w:rPr>
  </w:style>
  <w:style w:type="character" w:customStyle="1" w:styleId="FirmadecorreoelectrnicoCar">
    <w:name w:val="Firma de correo electrónico Car"/>
    <w:link w:val="Firmadecorreoelectrnico"/>
    <w:semiHidden/>
    <w:rsid w:val="002D0ABB"/>
    <w:rPr>
      <w:rFonts w:ascii="Calibri" w:hAnsi="Calibri"/>
      <w:sz w:val="22"/>
      <w:szCs w:val="22"/>
    </w:rPr>
  </w:style>
  <w:style w:type="character" w:styleId="Hipervnculo">
    <w:name w:val="Hyperlink"/>
    <w:uiPriority w:val="99"/>
    <w:unhideWhenUsed/>
    <w:rsid w:val="00E75E67"/>
    <w:rPr>
      <w:color w:val="0000FF"/>
      <w:u w:val="single"/>
    </w:rPr>
  </w:style>
  <w:style w:type="character" w:styleId="nfasis">
    <w:name w:val="Emphasis"/>
    <w:uiPriority w:val="20"/>
    <w:qFormat/>
    <w:rsid w:val="00CA7BC3"/>
    <w:rPr>
      <w:i/>
      <w:iCs/>
    </w:rPr>
  </w:style>
  <w:style w:type="paragraph" w:styleId="Sangradetextonormal">
    <w:name w:val="Body Text Indent"/>
    <w:basedOn w:val="Normal"/>
    <w:link w:val="SangradetextonormalCar"/>
    <w:unhideWhenUsed/>
    <w:rsid w:val="003612D0"/>
    <w:pPr>
      <w:spacing w:after="120"/>
      <w:ind w:left="283"/>
    </w:pPr>
  </w:style>
  <w:style w:type="character" w:customStyle="1" w:styleId="SangradetextonormalCar">
    <w:name w:val="Sangría de texto normal Car"/>
    <w:link w:val="Sangradetextonormal"/>
    <w:rsid w:val="003612D0"/>
    <w:rPr>
      <w:lang w:val="es-MX" w:eastAsia="es-MX"/>
    </w:rPr>
  </w:style>
  <w:style w:type="paragraph" w:styleId="Sangra2detindependiente">
    <w:name w:val="Body Text Indent 2"/>
    <w:basedOn w:val="Normal"/>
    <w:link w:val="Sangra2detindependienteCar"/>
    <w:uiPriority w:val="99"/>
    <w:semiHidden/>
    <w:unhideWhenUsed/>
    <w:rsid w:val="003612D0"/>
    <w:pPr>
      <w:spacing w:after="120" w:line="480" w:lineRule="auto"/>
      <w:ind w:left="283"/>
    </w:pPr>
  </w:style>
  <w:style w:type="character" w:customStyle="1" w:styleId="Sangra2detindependienteCar">
    <w:name w:val="Sangría 2 de t. independiente Car"/>
    <w:link w:val="Sangra2detindependiente"/>
    <w:uiPriority w:val="99"/>
    <w:semiHidden/>
    <w:rsid w:val="003612D0"/>
    <w:rPr>
      <w:lang w:val="es-MX" w:eastAsia="es-MX"/>
    </w:rPr>
  </w:style>
  <w:style w:type="paragraph" w:styleId="Sangra3detindependiente">
    <w:name w:val="Body Text Indent 3"/>
    <w:basedOn w:val="Normal"/>
    <w:link w:val="Sangra3detindependienteCar"/>
    <w:uiPriority w:val="99"/>
    <w:semiHidden/>
    <w:unhideWhenUsed/>
    <w:rsid w:val="003612D0"/>
    <w:pPr>
      <w:spacing w:after="120"/>
      <w:ind w:left="283"/>
    </w:pPr>
    <w:rPr>
      <w:sz w:val="16"/>
      <w:szCs w:val="16"/>
    </w:rPr>
  </w:style>
  <w:style w:type="character" w:customStyle="1" w:styleId="Sangra3detindependienteCar">
    <w:name w:val="Sangría 3 de t. independiente Car"/>
    <w:link w:val="Sangra3detindependiente"/>
    <w:uiPriority w:val="99"/>
    <w:semiHidden/>
    <w:rsid w:val="003612D0"/>
    <w:rPr>
      <w:sz w:val="16"/>
      <w:szCs w:val="16"/>
      <w:lang w:val="es-MX" w:eastAsia="es-MX"/>
    </w:rPr>
  </w:style>
  <w:style w:type="paragraph" w:styleId="Prrafodelista">
    <w:name w:val="List Paragraph"/>
    <w:basedOn w:val="Normal"/>
    <w:uiPriority w:val="34"/>
    <w:qFormat/>
    <w:rsid w:val="000F3461"/>
    <w:pPr>
      <w:ind w:left="708"/>
    </w:pPr>
  </w:style>
  <w:style w:type="table" w:styleId="Tablaconcuadrcula">
    <w:name w:val="Table Grid"/>
    <w:basedOn w:val="Tablanormal"/>
    <w:rsid w:val="00CE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05CE5"/>
  </w:style>
  <w:style w:type="paragraph" w:styleId="Textodeglobo">
    <w:name w:val="Balloon Text"/>
    <w:basedOn w:val="Normal"/>
    <w:link w:val="TextodegloboCar"/>
    <w:unhideWhenUsed/>
    <w:rsid w:val="00A65C7A"/>
    <w:rPr>
      <w:rFonts w:ascii="Tahoma" w:hAnsi="Tahoma" w:cs="Tahoma"/>
      <w:sz w:val="16"/>
      <w:szCs w:val="16"/>
    </w:rPr>
  </w:style>
  <w:style w:type="character" w:customStyle="1" w:styleId="TextodegloboCar">
    <w:name w:val="Texto de globo Car"/>
    <w:basedOn w:val="Fuentedeprrafopredeter"/>
    <w:link w:val="Textodeglobo"/>
    <w:rsid w:val="00A65C7A"/>
    <w:rPr>
      <w:rFonts w:ascii="Tahoma" w:hAnsi="Tahoma" w:cs="Tahoma"/>
      <w:sz w:val="16"/>
      <w:szCs w:val="16"/>
      <w:lang w:val="es-MX" w:eastAsia="es-MX"/>
    </w:rPr>
  </w:style>
  <w:style w:type="character" w:customStyle="1" w:styleId="a">
    <w:name w:val="a"/>
    <w:basedOn w:val="Fuentedeprrafopredeter"/>
    <w:rsid w:val="00AC6CE5"/>
  </w:style>
  <w:style w:type="character" w:customStyle="1" w:styleId="l">
    <w:name w:val="l"/>
    <w:basedOn w:val="Fuentedeprrafopredeter"/>
    <w:rsid w:val="00AC6CE5"/>
  </w:style>
  <w:style w:type="character" w:customStyle="1" w:styleId="l11">
    <w:name w:val="l11"/>
    <w:basedOn w:val="Fuentedeprrafopredeter"/>
    <w:rsid w:val="00AC6CE5"/>
  </w:style>
  <w:style w:type="character" w:customStyle="1" w:styleId="l8">
    <w:name w:val="l8"/>
    <w:basedOn w:val="Fuentedeprrafopredeter"/>
    <w:rsid w:val="00AC6CE5"/>
  </w:style>
  <w:style w:type="character" w:customStyle="1" w:styleId="l7">
    <w:name w:val="l7"/>
    <w:basedOn w:val="Fuentedeprrafopredeter"/>
    <w:rsid w:val="00AC6CE5"/>
  </w:style>
  <w:style w:type="character" w:customStyle="1" w:styleId="l9">
    <w:name w:val="l9"/>
    <w:basedOn w:val="Fuentedeprrafopredeter"/>
    <w:rsid w:val="00AC6CE5"/>
  </w:style>
  <w:style w:type="character" w:customStyle="1" w:styleId="l10">
    <w:name w:val="l10"/>
    <w:basedOn w:val="Fuentedeprrafopredeter"/>
    <w:rsid w:val="00AC6CE5"/>
  </w:style>
  <w:style w:type="character" w:customStyle="1" w:styleId="l6">
    <w:name w:val="l6"/>
    <w:basedOn w:val="Fuentedeprrafopredeter"/>
    <w:rsid w:val="00AC6CE5"/>
  </w:style>
  <w:style w:type="paragraph" w:styleId="Sinespaciado">
    <w:name w:val="No Spacing"/>
    <w:link w:val="SinespaciadoCar"/>
    <w:qFormat/>
    <w:rsid w:val="00A82803"/>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82803"/>
    <w:rPr>
      <w:rFonts w:asciiTheme="minorHAnsi" w:eastAsiaTheme="minorEastAsia" w:hAnsiTheme="minorHAnsi" w:cstheme="minorBidi"/>
      <w:sz w:val="22"/>
      <w:szCs w:val="22"/>
    </w:rPr>
  </w:style>
  <w:style w:type="paragraph" w:styleId="TtuloTDC">
    <w:name w:val="TOC Heading"/>
    <w:basedOn w:val="Ttulo1"/>
    <w:next w:val="Normal"/>
    <w:uiPriority w:val="39"/>
    <w:semiHidden/>
    <w:unhideWhenUsed/>
    <w:qFormat/>
    <w:rsid w:val="003F36A2"/>
    <w:pPr>
      <w:keepLines/>
      <w:autoSpaceDE/>
      <w:autoSpaceDN/>
      <w:spacing w:before="480" w:line="276" w:lineRule="auto"/>
      <w:ind w:left="0" w:right="0" w:firstLine="0"/>
      <w:jc w:val="left"/>
      <w:outlineLvl w:val="9"/>
    </w:pPr>
    <w:rPr>
      <w:rFonts w:asciiTheme="majorHAnsi" w:eastAsiaTheme="majorEastAsia" w:hAnsiTheme="majorHAnsi" w:cstheme="majorBidi"/>
      <w:b/>
      <w:bCs/>
      <w:color w:val="3476B1" w:themeColor="accent1" w:themeShade="BF"/>
      <w:sz w:val="28"/>
      <w:szCs w:val="28"/>
      <w:lang w:val="es-CR" w:eastAsia="es-CR"/>
    </w:rPr>
  </w:style>
  <w:style w:type="paragraph" w:styleId="TDC1">
    <w:name w:val="toc 1"/>
    <w:basedOn w:val="Normal"/>
    <w:next w:val="Normal"/>
    <w:autoRedefine/>
    <w:uiPriority w:val="39"/>
    <w:unhideWhenUsed/>
    <w:rsid w:val="003F36A2"/>
    <w:pPr>
      <w:spacing w:after="100"/>
    </w:pPr>
  </w:style>
  <w:style w:type="character" w:styleId="Refdecomentario">
    <w:name w:val="annotation reference"/>
    <w:basedOn w:val="Fuentedeprrafopredeter"/>
    <w:unhideWhenUsed/>
    <w:rsid w:val="00A513BE"/>
    <w:rPr>
      <w:sz w:val="18"/>
      <w:szCs w:val="18"/>
    </w:rPr>
  </w:style>
  <w:style w:type="paragraph" w:styleId="Textocomentario">
    <w:name w:val="annotation text"/>
    <w:basedOn w:val="Normal"/>
    <w:link w:val="TextocomentarioCar"/>
    <w:unhideWhenUsed/>
    <w:rsid w:val="00A513BE"/>
    <w:rPr>
      <w:sz w:val="24"/>
      <w:szCs w:val="24"/>
    </w:rPr>
  </w:style>
  <w:style w:type="character" w:customStyle="1" w:styleId="TextocomentarioCar">
    <w:name w:val="Texto comentario Car"/>
    <w:basedOn w:val="Fuentedeprrafopredeter"/>
    <w:link w:val="Textocomentario"/>
    <w:rsid w:val="00A513BE"/>
    <w:rPr>
      <w:sz w:val="24"/>
      <w:szCs w:val="24"/>
      <w:lang w:val="es-MX" w:eastAsia="es-MX"/>
    </w:rPr>
  </w:style>
  <w:style w:type="paragraph" w:styleId="Asuntodelcomentario">
    <w:name w:val="annotation subject"/>
    <w:basedOn w:val="Textocomentario"/>
    <w:next w:val="Textocomentario"/>
    <w:link w:val="AsuntodelcomentarioCar"/>
    <w:unhideWhenUsed/>
    <w:rsid w:val="00A513BE"/>
    <w:rPr>
      <w:b/>
      <w:bCs/>
      <w:sz w:val="20"/>
      <w:szCs w:val="20"/>
    </w:rPr>
  </w:style>
  <w:style w:type="character" w:customStyle="1" w:styleId="AsuntodelcomentarioCar">
    <w:name w:val="Asunto del comentario Car"/>
    <w:basedOn w:val="TextocomentarioCar"/>
    <w:link w:val="Asuntodelcomentario"/>
    <w:rsid w:val="00A513BE"/>
    <w:rPr>
      <w:b/>
      <w:bCs/>
      <w:sz w:val="24"/>
      <w:szCs w:val="24"/>
      <w:lang w:val="es-MX" w:eastAsia="es-MX"/>
    </w:rPr>
  </w:style>
  <w:style w:type="character" w:customStyle="1" w:styleId="EncabezadoCar">
    <w:name w:val="Encabezado Car"/>
    <w:aliases w:val="encabezado Car,he Car,header odd Car,header odd1 Car,header odd2 Car,header Car,h Car,Header/Footer Car,Page No Car"/>
    <w:basedOn w:val="Fuentedeprrafopredeter"/>
    <w:link w:val="Encabezado"/>
    <w:rsid w:val="00246F13"/>
    <w:rPr>
      <w:lang w:val="es-MX" w:eastAsia="es-MX"/>
    </w:rPr>
  </w:style>
  <w:style w:type="character" w:styleId="Textodelmarcadordeposicin">
    <w:name w:val="Placeholder Text"/>
    <w:basedOn w:val="Fuentedeprrafopredeter"/>
    <w:uiPriority w:val="99"/>
    <w:semiHidden/>
    <w:rsid w:val="001B3F9F"/>
    <w:rPr>
      <w:color w:val="808080"/>
    </w:rPr>
  </w:style>
  <w:style w:type="paragraph" w:customStyle="1" w:styleId="Predeterminado">
    <w:name w:val="Predeterminado"/>
    <w:rsid w:val="000C781B"/>
    <w:pPr>
      <w:autoSpaceDE w:val="0"/>
      <w:autoSpaceDN w:val="0"/>
      <w:adjustRightInd w:val="0"/>
      <w:spacing w:after="200" w:line="276" w:lineRule="auto"/>
    </w:pPr>
    <w:rPr>
      <w:rFonts w:ascii="Calibri" w:hAnsi="Calibri" w:cs="Calibri"/>
      <w:kern w:val="1"/>
      <w:sz w:val="22"/>
      <w:szCs w:val="22"/>
      <w:lang w:val="en-US" w:eastAsia="en-US"/>
    </w:rPr>
  </w:style>
  <w:style w:type="paragraph" w:customStyle="1" w:styleId="Body1">
    <w:name w:val="Body 1"/>
    <w:rsid w:val="000C781B"/>
    <w:pPr>
      <w:autoSpaceDE w:val="0"/>
      <w:autoSpaceDN w:val="0"/>
      <w:adjustRightInd w:val="0"/>
      <w:spacing w:after="200" w:line="276" w:lineRule="auto"/>
    </w:pPr>
    <w:rPr>
      <w:rFonts w:ascii="Helvetica" w:hAnsi="?????? Pro W3" w:cs="Helvetica"/>
      <w:color w:val="000000"/>
      <w:kern w:val="1"/>
      <w:sz w:val="22"/>
      <w:szCs w:val="22"/>
      <w:lang w:val="en-US"/>
    </w:rPr>
  </w:style>
  <w:style w:type="paragraph" w:customStyle="1" w:styleId="Normal1">
    <w:name w:val="Normal+1"/>
    <w:basedOn w:val="Normal"/>
    <w:next w:val="Normal"/>
    <w:uiPriority w:val="99"/>
    <w:rsid w:val="00855BA5"/>
    <w:pPr>
      <w:adjustRightInd w:val="0"/>
    </w:pPr>
    <w:rPr>
      <w:rFonts w:eastAsiaTheme="minorHAnsi"/>
      <w:sz w:val="24"/>
      <w:szCs w:val="24"/>
      <w:lang w:val="es-CR" w:eastAsia="en-US"/>
    </w:rPr>
  </w:style>
  <w:style w:type="paragraph" w:customStyle="1" w:styleId="Default">
    <w:name w:val="Default"/>
    <w:rsid w:val="0058548C"/>
    <w:pPr>
      <w:autoSpaceDE w:val="0"/>
      <w:autoSpaceDN w:val="0"/>
      <w:adjustRightInd w:val="0"/>
    </w:pPr>
    <w:rPr>
      <w:rFonts w:ascii="Calibri" w:hAnsi="Calibri" w:cs="Calibri"/>
      <w:color w:val="000000"/>
      <w:sz w:val="24"/>
      <w:szCs w:val="24"/>
      <w:lang w:val="es-ES"/>
    </w:rPr>
  </w:style>
  <w:style w:type="paragraph" w:customStyle="1" w:styleId="TableText">
    <w:name w:val="Table_Text"/>
    <w:basedOn w:val="Normal"/>
    <w:link w:val="TableTextChar"/>
    <w:rsid w:val="008E1D9E"/>
    <w:pPr>
      <w:overflowPunct w:val="0"/>
      <w:adjustRightInd w:val="0"/>
      <w:spacing w:before="57" w:after="57"/>
      <w:textAlignment w:val="baseline"/>
    </w:pPr>
    <w:rPr>
      <w:sz w:val="22"/>
      <w:szCs w:val="24"/>
      <w:lang w:val="es-ES_tradnl" w:eastAsia="es-ES"/>
    </w:rPr>
  </w:style>
  <w:style w:type="paragraph" w:styleId="Textonotapie">
    <w:name w:val="footnote text"/>
    <w:aliases w:val="Footnote Text Char Char Char12,Footnote Text Char1 Char Char Char Char12,Footnote Text Char1 Char Char Char12,ALTS FOOTNOTE3,Footnote Text Char13 Char,Footnote Text Char13,Footnote Text Char3,Footnote Text Char2 Char,ALTS FOOTNOTE,fn,Fußn"/>
    <w:basedOn w:val="Normal"/>
    <w:link w:val="TextonotapieCar"/>
    <w:qFormat/>
    <w:rsid w:val="008E1D9E"/>
    <w:pPr>
      <w:overflowPunct w:val="0"/>
      <w:adjustRightInd w:val="0"/>
      <w:textAlignment w:val="baseline"/>
    </w:pPr>
    <w:rPr>
      <w:szCs w:val="24"/>
      <w:lang w:val="es-ES" w:eastAsia="es-ES"/>
    </w:rPr>
  </w:style>
  <w:style w:type="character" w:customStyle="1" w:styleId="TextonotapieCar">
    <w:name w:val="Texto nota pie Car"/>
    <w:aliases w:val="Footnote Text Char Char Char12 Car,Footnote Text Char1 Char Char Char Char12 Car,Footnote Text Char1 Char Char Char12 Car,ALTS FOOTNOTE3 Car,Footnote Text Char13 Char Car,Footnote Text Char13 Car,Footnote Text Char3 Car,fn Car"/>
    <w:basedOn w:val="Fuentedeprrafopredeter"/>
    <w:link w:val="Textonotapie"/>
    <w:rsid w:val="008E1D9E"/>
    <w:rPr>
      <w:szCs w:val="24"/>
      <w:lang w:val="es-ES" w:eastAsia="es-ES"/>
    </w:rPr>
  </w:style>
  <w:style w:type="character" w:customStyle="1" w:styleId="Artref">
    <w:name w:val="Art_ref"/>
    <w:basedOn w:val="Fuentedeprrafopredeter"/>
    <w:rsid w:val="008E1D9E"/>
    <w:rPr>
      <w:color w:val="3366FF"/>
    </w:rPr>
  </w:style>
  <w:style w:type="paragraph" w:customStyle="1" w:styleId="TableTextS5">
    <w:name w:val="Table_TextS5"/>
    <w:basedOn w:val="Normal"/>
    <w:link w:val="TableTextS5Char"/>
    <w:rsid w:val="008E1D9E"/>
    <w:pPr>
      <w:tabs>
        <w:tab w:val="left" w:pos="170"/>
        <w:tab w:val="left" w:pos="567"/>
        <w:tab w:val="left" w:pos="737"/>
        <w:tab w:val="left" w:pos="2977"/>
        <w:tab w:val="left" w:pos="3266"/>
      </w:tabs>
      <w:overflowPunct w:val="0"/>
      <w:adjustRightInd w:val="0"/>
      <w:spacing w:before="40" w:after="40"/>
      <w:textAlignment w:val="baseline"/>
    </w:pPr>
    <w:rPr>
      <w:szCs w:val="24"/>
      <w:lang w:val="fr-FR" w:eastAsia="en-US"/>
    </w:rPr>
  </w:style>
  <w:style w:type="paragraph" w:customStyle="1" w:styleId="Note">
    <w:name w:val="Note"/>
    <w:basedOn w:val="Normal"/>
    <w:link w:val="NoteChar"/>
    <w:rsid w:val="00A5404E"/>
    <w:pPr>
      <w:tabs>
        <w:tab w:val="left" w:pos="851"/>
        <w:tab w:val="left" w:pos="1134"/>
        <w:tab w:val="left" w:pos="1701"/>
        <w:tab w:val="left" w:pos="2268"/>
        <w:tab w:val="left" w:pos="2835"/>
      </w:tabs>
      <w:overflowPunct w:val="0"/>
      <w:adjustRightInd w:val="0"/>
      <w:spacing w:before="136"/>
      <w:textAlignment w:val="baseline"/>
    </w:pPr>
    <w:rPr>
      <w:sz w:val="24"/>
      <w:szCs w:val="24"/>
      <w:lang w:val="es-ES_tradnl" w:eastAsia="es-CR"/>
    </w:rPr>
  </w:style>
  <w:style w:type="character" w:customStyle="1" w:styleId="Artdef">
    <w:name w:val="Art_def"/>
    <w:basedOn w:val="Fuentedeprrafopredeter"/>
    <w:rsid w:val="00A5404E"/>
    <w:rPr>
      <w:b/>
      <w:color w:val="FFCC00"/>
    </w:rPr>
  </w:style>
  <w:style w:type="paragraph" w:styleId="Bibliografa">
    <w:name w:val="Bibliography"/>
    <w:basedOn w:val="Normal"/>
    <w:next w:val="Normal"/>
    <w:uiPriority w:val="37"/>
    <w:unhideWhenUsed/>
    <w:rsid w:val="0020548E"/>
    <w:pPr>
      <w:autoSpaceDE/>
      <w:autoSpaceDN/>
      <w:spacing w:after="200" w:line="276" w:lineRule="auto"/>
    </w:pPr>
    <w:rPr>
      <w:rFonts w:asciiTheme="minorHAnsi" w:eastAsiaTheme="minorHAnsi" w:hAnsiTheme="minorHAnsi" w:cstheme="minorBidi"/>
      <w:sz w:val="22"/>
      <w:szCs w:val="22"/>
      <w:lang w:val="es-CR" w:eastAsia="en-US"/>
    </w:rPr>
  </w:style>
  <w:style w:type="table" w:customStyle="1" w:styleId="LightShading1">
    <w:name w:val="Light Shading1"/>
    <w:basedOn w:val="Tablanormal"/>
    <w:uiPriority w:val="60"/>
    <w:rsid w:val="007F1AE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4">
    <w:name w:val="Light Shading Accent 4"/>
    <w:basedOn w:val="Tablanormal"/>
    <w:uiPriority w:val="60"/>
    <w:rsid w:val="007F1AE7"/>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character" w:styleId="Refdenotaalpie">
    <w:name w:val="footnote reference"/>
    <w:aliases w:val="Footnote symbol,Footnote,Appel note de bas de p,Appel note de bas de p + (Asian) Batang,Black,Footnote Reference Superscript,Ref,de nota al pie,fr,o,Style 6,Footnote Reference/"/>
    <w:basedOn w:val="Fuentedeprrafopredeter"/>
    <w:unhideWhenUsed/>
    <w:rsid w:val="00D31928"/>
    <w:rPr>
      <w:vertAlign w:val="superscript"/>
    </w:rPr>
  </w:style>
  <w:style w:type="paragraph" w:customStyle="1" w:styleId="noparagraphstyle">
    <w:name w:val="noparagraphstyle"/>
    <w:basedOn w:val="Normal"/>
    <w:rsid w:val="00AB0FCB"/>
    <w:pPr>
      <w:autoSpaceDE/>
      <w:autoSpaceDN/>
      <w:spacing w:before="100" w:beforeAutospacing="1" w:after="100" w:afterAutospacing="1"/>
    </w:pPr>
    <w:rPr>
      <w:sz w:val="24"/>
      <w:szCs w:val="24"/>
      <w:lang w:val="es-ES" w:eastAsia="es-ES"/>
    </w:rPr>
  </w:style>
  <w:style w:type="character" w:styleId="Textoennegrita">
    <w:name w:val="Strong"/>
    <w:qFormat/>
    <w:rsid w:val="00AB5816"/>
    <w:rPr>
      <w:b/>
      <w:bCs/>
    </w:rPr>
  </w:style>
  <w:style w:type="character" w:customStyle="1" w:styleId="hps">
    <w:name w:val="hps"/>
    <w:basedOn w:val="Fuentedeprrafopredeter"/>
    <w:rsid w:val="00373EAE"/>
  </w:style>
  <w:style w:type="character" w:customStyle="1" w:styleId="tl8wme">
    <w:name w:val="tl8wme"/>
    <w:basedOn w:val="Fuentedeprrafopredeter"/>
    <w:rsid w:val="00DA0E24"/>
  </w:style>
  <w:style w:type="paragraph" w:styleId="TDC2">
    <w:name w:val="toc 2"/>
    <w:basedOn w:val="Normal"/>
    <w:next w:val="Normal"/>
    <w:autoRedefine/>
    <w:uiPriority w:val="39"/>
    <w:unhideWhenUsed/>
    <w:qFormat/>
    <w:rsid w:val="00B82F75"/>
    <w:pPr>
      <w:spacing w:after="100"/>
      <w:ind w:left="200"/>
    </w:pPr>
  </w:style>
  <w:style w:type="character" w:customStyle="1" w:styleId="Ttulo5Car">
    <w:name w:val="Título 5 Car"/>
    <w:aliases w:val="H5 Car"/>
    <w:basedOn w:val="Fuentedeprrafopredeter"/>
    <w:link w:val="Ttulo5"/>
    <w:rsid w:val="00B82F75"/>
    <w:rPr>
      <w:b/>
      <w:sz w:val="24"/>
      <w:lang w:val="fr-FR" w:eastAsia="en-US"/>
    </w:rPr>
  </w:style>
  <w:style w:type="character" w:customStyle="1" w:styleId="Ttulo6Car">
    <w:name w:val="Título 6 Car"/>
    <w:basedOn w:val="Fuentedeprrafopredeter"/>
    <w:link w:val="Ttulo6"/>
    <w:rsid w:val="00B82F75"/>
    <w:rPr>
      <w:b/>
      <w:sz w:val="24"/>
      <w:lang w:val="fr-FR" w:eastAsia="en-US"/>
    </w:rPr>
  </w:style>
  <w:style w:type="character" w:customStyle="1" w:styleId="Ttulo7Car">
    <w:name w:val="Título 7 Car"/>
    <w:basedOn w:val="Fuentedeprrafopredeter"/>
    <w:link w:val="Ttulo7"/>
    <w:rsid w:val="00B82F75"/>
    <w:rPr>
      <w:b/>
      <w:sz w:val="24"/>
      <w:lang w:val="fr-FR" w:eastAsia="en-US"/>
    </w:rPr>
  </w:style>
  <w:style w:type="character" w:customStyle="1" w:styleId="Ttulo8Car">
    <w:name w:val="Título 8 Car"/>
    <w:basedOn w:val="Fuentedeprrafopredeter"/>
    <w:link w:val="Ttulo8"/>
    <w:rsid w:val="00B82F75"/>
    <w:rPr>
      <w:b/>
      <w:sz w:val="24"/>
      <w:lang w:val="fr-FR" w:eastAsia="en-US"/>
    </w:rPr>
  </w:style>
  <w:style w:type="character" w:customStyle="1" w:styleId="Ttulo9Car">
    <w:name w:val="Título 9 Car"/>
    <w:aliases w:val="Topic Car,table Car,t Car,9 Car,Heading 9.table Car,Titre 9 Car,heading 9 Car"/>
    <w:basedOn w:val="Fuentedeprrafopredeter"/>
    <w:link w:val="Ttulo9"/>
    <w:rsid w:val="00B82F75"/>
    <w:rPr>
      <w:b/>
      <w:sz w:val="24"/>
      <w:lang w:val="fr-FR" w:eastAsia="en-US"/>
    </w:rPr>
  </w:style>
  <w:style w:type="paragraph" w:customStyle="1" w:styleId="AnnexNo">
    <w:name w:val="Annex_No"/>
    <w:basedOn w:val="Normal"/>
    <w:next w:val="Annexref"/>
    <w:link w:val="AnnexNoCar"/>
    <w:rsid w:val="00B82F75"/>
    <w:pPr>
      <w:keepNext/>
      <w:keepLines/>
      <w:tabs>
        <w:tab w:val="left" w:pos="1134"/>
        <w:tab w:val="left" w:pos="1871"/>
        <w:tab w:val="left" w:pos="2268"/>
      </w:tabs>
      <w:overflowPunct w:val="0"/>
      <w:adjustRightInd w:val="0"/>
      <w:spacing w:before="480" w:after="80"/>
      <w:jc w:val="center"/>
      <w:textAlignment w:val="baseline"/>
    </w:pPr>
    <w:rPr>
      <w:caps/>
      <w:sz w:val="28"/>
      <w:lang w:val="fr-FR" w:eastAsia="en-US"/>
    </w:rPr>
  </w:style>
  <w:style w:type="paragraph" w:customStyle="1" w:styleId="Annexref">
    <w:name w:val="Annex_ref"/>
    <w:basedOn w:val="Normal"/>
    <w:next w:val="Annextitle"/>
    <w:rsid w:val="00B82F75"/>
    <w:pPr>
      <w:keepNext/>
      <w:keepLines/>
      <w:tabs>
        <w:tab w:val="left" w:pos="1134"/>
        <w:tab w:val="left" w:pos="1871"/>
        <w:tab w:val="left" w:pos="2268"/>
      </w:tabs>
      <w:overflowPunct w:val="0"/>
      <w:adjustRightInd w:val="0"/>
      <w:spacing w:before="120" w:after="280"/>
      <w:jc w:val="center"/>
      <w:textAlignment w:val="baseline"/>
    </w:pPr>
    <w:rPr>
      <w:sz w:val="24"/>
      <w:lang w:val="fr-FR" w:eastAsia="en-US"/>
    </w:rPr>
  </w:style>
  <w:style w:type="paragraph" w:customStyle="1" w:styleId="Annextitle">
    <w:name w:val="Annex_title"/>
    <w:basedOn w:val="Normal"/>
    <w:next w:val="Normalaftertitle"/>
    <w:link w:val="AnnextitleChar"/>
    <w:rsid w:val="00B82F75"/>
    <w:pPr>
      <w:keepNext/>
      <w:keepLines/>
      <w:tabs>
        <w:tab w:val="left" w:pos="1134"/>
        <w:tab w:val="left" w:pos="1871"/>
        <w:tab w:val="left" w:pos="2268"/>
      </w:tabs>
      <w:overflowPunct w:val="0"/>
      <w:adjustRightInd w:val="0"/>
      <w:spacing w:before="240" w:after="280"/>
      <w:jc w:val="center"/>
      <w:textAlignment w:val="baseline"/>
    </w:pPr>
    <w:rPr>
      <w:rFonts w:ascii="Times New Roman Bold" w:hAnsi="Times New Roman Bold"/>
      <w:b/>
      <w:sz w:val="28"/>
      <w:lang w:val="fr-FR" w:eastAsia="en-US"/>
    </w:rPr>
  </w:style>
  <w:style w:type="paragraph" w:customStyle="1" w:styleId="AppendixNo">
    <w:name w:val="Appendix_No"/>
    <w:basedOn w:val="AnnexNo"/>
    <w:next w:val="Annexref"/>
    <w:link w:val="AppendixNoChar"/>
    <w:rsid w:val="00B82F75"/>
  </w:style>
  <w:style w:type="paragraph" w:customStyle="1" w:styleId="Appendixref">
    <w:name w:val="Appendix_ref"/>
    <w:basedOn w:val="Annexref"/>
    <w:next w:val="Annextitle"/>
    <w:rsid w:val="00B82F75"/>
  </w:style>
  <w:style w:type="paragraph" w:customStyle="1" w:styleId="Appendixtitle">
    <w:name w:val="Appendix_title"/>
    <w:basedOn w:val="Annextitle"/>
    <w:next w:val="Normalaftertitle"/>
    <w:link w:val="AppendixtitleChar"/>
    <w:rsid w:val="00B82F75"/>
  </w:style>
  <w:style w:type="paragraph" w:customStyle="1" w:styleId="Artheading">
    <w:name w:val="Art_heading"/>
    <w:basedOn w:val="Normal"/>
    <w:next w:val="Normalaftertitle"/>
    <w:rsid w:val="00B82F75"/>
    <w:pPr>
      <w:tabs>
        <w:tab w:val="left" w:pos="1134"/>
        <w:tab w:val="left" w:pos="1871"/>
        <w:tab w:val="left" w:pos="2268"/>
      </w:tabs>
      <w:overflowPunct w:val="0"/>
      <w:adjustRightInd w:val="0"/>
      <w:spacing w:before="480"/>
      <w:jc w:val="center"/>
      <w:textAlignment w:val="baseline"/>
    </w:pPr>
    <w:rPr>
      <w:rFonts w:ascii="Times New Roman Bold" w:hAnsi="Times New Roman Bold"/>
      <w:b/>
      <w:sz w:val="28"/>
      <w:lang w:val="fr-FR" w:eastAsia="en-US"/>
    </w:rPr>
  </w:style>
  <w:style w:type="paragraph" w:customStyle="1" w:styleId="ArtNo">
    <w:name w:val="Art_No"/>
    <w:basedOn w:val="Normal"/>
    <w:next w:val="Arttitle"/>
    <w:link w:val="ArtNoChar"/>
    <w:rsid w:val="00B82F75"/>
    <w:pPr>
      <w:keepNext/>
      <w:keepLines/>
      <w:tabs>
        <w:tab w:val="left" w:pos="1134"/>
        <w:tab w:val="left" w:pos="1871"/>
        <w:tab w:val="left" w:pos="2268"/>
      </w:tabs>
      <w:overflowPunct w:val="0"/>
      <w:adjustRightInd w:val="0"/>
      <w:spacing w:before="480"/>
      <w:jc w:val="center"/>
      <w:textAlignment w:val="baseline"/>
    </w:pPr>
    <w:rPr>
      <w:caps/>
      <w:sz w:val="28"/>
      <w:lang w:val="fr-FR" w:eastAsia="en-US"/>
    </w:rPr>
  </w:style>
  <w:style w:type="paragraph" w:customStyle="1" w:styleId="Arttitle">
    <w:name w:val="Art_title"/>
    <w:basedOn w:val="Normal"/>
    <w:next w:val="Normalaftertitle"/>
    <w:link w:val="ArttitleCar"/>
    <w:rsid w:val="00B82F75"/>
    <w:pPr>
      <w:keepNext/>
      <w:keepLines/>
      <w:tabs>
        <w:tab w:val="left" w:pos="1134"/>
        <w:tab w:val="left" w:pos="1871"/>
        <w:tab w:val="left" w:pos="2268"/>
      </w:tabs>
      <w:overflowPunct w:val="0"/>
      <w:adjustRightInd w:val="0"/>
      <w:spacing w:before="240"/>
      <w:jc w:val="center"/>
      <w:textAlignment w:val="baseline"/>
    </w:pPr>
    <w:rPr>
      <w:b/>
      <w:sz w:val="28"/>
      <w:lang w:val="fr-FR" w:eastAsia="en-US"/>
    </w:rPr>
  </w:style>
  <w:style w:type="paragraph" w:customStyle="1" w:styleId="Call">
    <w:name w:val="Call"/>
    <w:basedOn w:val="Normal"/>
    <w:next w:val="Normal"/>
    <w:link w:val="CallChar"/>
    <w:rsid w:val="00B82F75"/>
    <w:pPr>
      <w:keepNext/>
      <w:keepLines/>
      <w:tabs>
        <w:tab w:val="left" w:pos="1134"/>
        <w:tab w:val="left" w:pos="1871"/>
        <w:tab w:val="left" w:pos="2268"/>
      </w:tabs>
      <w:overflowPunct w:val="0"/>
      <w:adjustRightInd w:val="0"/>
      <w:spacing w:before="160"/>
      <w:ind w:left="1134"/>
      <w:jc w:val="both"/>
      <w:textAlignment w:val="baseline"/>
    </w:pPr>
    <w:rPr>
      <w:i/>
      <w:sz w:val="24"/>
      <w:lang w:val="fr-FR" w:eastAsia="en-US"/>
    </w:rPr>
  </w:style>
  <w:style w:type="paragraph" w:customStyle="1" w:styleId="ChapNo">
    <w:name w:val="Chap_No"/>
    <w:basedOn w:val="ArtNo"/>
    <w:next w:val="Chaptitle"/>
    <w:rsid w:val="00B82F75"/>
    <w:rPr>
      <w:rFonts w:ascii="Times New Roman Bold" w:hAnsi="Times New Roman Bold"/>
      <w:b/>
    </w:rPr>
  </w:style>
  <w:style w:type="paragraph" w:customStyle="1" w:styleId="Chaptitle">
    <w:name w:val="Chap_title"/>
    <w:basedOn w:val="Arttitle"/>
    <w:next w:val="Normalaftertitle"/>
    <w:link w:val="ChaptitleChar"/>
    <w:rsid w:val="00B82F75"/>
  </w:style>
  <w:style w:type="paragraph" w:customStyle="1" w:styleId="ddate">
    <w:name w:val="ddate"/>
    <w:basedOn w:val="Normal"/>
    <w:rsid w:val="00B82F75"/>
    <w:pPr>
      <w:framePr w:hSpace="181" w:wrap="around" w:vAnchor="page" w:hAnchor="margin" w:y="852"/>
      <w:shd w:val="solid" w:color="FFFFFF" w:fill="FFFFFF"/>
      <w:tabs>
        <w:tab w:val="left" w:pos="1134"/>
        <w:tab w:val="left" w:pos="1871"/>
        <w:tab w:val="left" w:pos="2268"/>
      </w:tabs>
      <w:overflowPunct w:val="0"/>
      <w:adjustRightInd w:val="0"/>
      <w:jc w:val="both"/>
      <w:textAlignment w:val="baseline"/>
    </w:pPr>
    <w:rPr>
      <w:b/>
      <w:bCs/>
      <w:sz w:val="24"/>
      <w:lang w:val="fr-FR" w:eastAsia="en-US"/>
    </w:rPr>
  </w:style>
  <w:style w:type="paragraph" w:customStyle="1" w:styleId="dnum">
    <w:name w:val="dnum"/>
    <w:basedOn w:val="Normal"/>
    <w:rsid w:val="00B82F75"/>
    <w:pPr>
      <w:framePr w:hSpace="181" w:wrap="around" w:vAnchor="page" w:hAnchor="margin" w:y="852"/>
      <w:shd w:val="solid" w:color="FFFFFF" w:fill="FFFFFF"/>
      <w:tabs>
        <w:tab w:val="left" w:pos="1134"/>
        <w:tab w:val="left" w:pos="1871"/>
        <w:tab w:val="left" w:pos="2268"/>
      </w:tabs>
      <w:overflowPunct w:val="0"/>
      <w:adjustRightInd w:val="0"/>
      <w:spacing w:before="120"/>
      <w:jc w:val="both"/>
      <w:textAlignment w:val="baseline"/>
    </w:pPr>
    <w:rPr>
      <w:b/>
      <w:bCs/>
      <w:sz w:val="24"/>
      <w:lang w:val="fr-FR" w:eastAsia="en-US"/>
    </w:rPr>
  </w:style>
  <w:style w:type="paragraph" w:customStyle="1" w:styleId="dorlang">
    <w:name w:val="dorlang"/>
    <w:basedOn w:val="Normal"/>
    <w:rsid w:val="00B82F75"/>
    <w:pPr>
      <w:framePr w:hSpace="181" w:wrap="around" w:vAnchor="page" w:hAnchor="margin" w:y="852"/>
      <w:shd w:val="solid" w:color="FFFFFF" w:fill="FFFFFF"/>
      <w:tabs>
        <w:tab w:val="left" w:pos="1134"/>
        <w:tab w:val="left" w:pos="1871"/>
        <w:tab w:val="left" w:pos="2268"/>
      </w:tabs>
      <w:overflowPunct w:val="0"/>
      <w:adjustRightInd w:val="0"/>
      <w:jc w:val="both"/>
      <w:textAlignment w:val="baseline"/>
    </w:pPr>
    <w:rPr>
      <w:b/>
      <w:bCs/>
      <w:sz w:val="24"/>
      <w:lang w:val="fr-FR" w:eastAsia="en-US"/>
    </w:rPr>
  </w:style>
  <w:style w:type="character" w:styleId="Refdenotaalfinal">
    <w:name w:val="endnote reference"/>
    <w:rsid w:val="00B82F75"/>
    <w:rPr>
      <w:vertAlign w:val="superscript"/>
    </w:rPr>
  </w:style>
  <w:style w:type="paragraph" w:customStyle="1" w:styleId="enumlev1">
    <w:name w:val="enumlev1"/>
    <w:basedOn w:val="Normal"/>
    <w:link w:val="enumlev1Char"/>
    <w:rsid w:val="00B82F75"/>
    <w:pPr>
      <w:tabs>
        <w:tab w:val="left" w:pos="1134"/>
        <w:tab w:val="left" w:pos="1871"/>
        <w:tab w:val="left" w:pos="2608"/>
        <w:tab w:val="left" w:pos="3345"/>
      </w:tabs>
      <w:overflowPunct w:val="0"/>
      <w:adjustRightInd w:val="0"/>
      <w:spacing w:before="80"/>
      <w:ind w:left="1134" w:hanging="1134"/>
      <w:jc w:val="both"/>
      <w:textAlignment w:val="baseline"/>
    </w:pPr>
    <w:rPr>
      <w:sz w:val="24"/>
      <w:lang w:val="fr-FR" w:eastAsia="en-US"/>
    </w:rPr>
  </w:style>
  <w:style w:type="paragraph" w:customStyle="1" w:styleId="enumlev2">
    <w:name w:val="enumlev2"/>
    <w:basedOn w:val="enumlev1"/>
    <w:link w:val="enumlev2Char"/>
    <w:rsid w:val="00B82F75"/>
    <w:pPr>
      <w:ind w:left="1871" w:hanging="737"/>
    </w:pPr>
  </w:style>
  <w:style w:type="paragraph" w:customStyle="1" w:styleId="enumlev3">
    <w:name w:val="enumlev3"/>
    <w:basedOn w:val="enumlev2"/>
    <w:rsid w:val="00B82F75"/>
    <w:pPr>
      <w:ind w:left="2268" w:hanging="397"/>
    </w:pPr>
  </w:style>
  <w:style w:type="paragraph" w:customStyle="1" w:styleId="Equation">
    <w:name w:val="Equation"/>
    <w:basedOn w:val="Normal"/>
    <w:link w:val="EquationChar"/>
    <w:rsid w:val="00B82F75"/>
    <w:pPr>
      <w:tabs>
        <w:tab w:val="left" w:pos="1134"/>
        <w:tab w:val="center" w:pos="4820"/>
        <w:tab w:val="right" w:pos="9639"/>
      </w:tabs>
      <w:overflowPunct w:val="0"/>
      <w:adjustRightInd w:val="0"/>
      <w:spacing w:before="120"/>
      <w:jc w:val="both"/>
      <w:textAlignment w:val="baseline"/>
    </w:pPr>
    <w:rPr>
      <w:sz w:val="24"/>
      <w:lang w:val="fr-FR" w:eastAsia="en-US"/>
    </w:rPr>
  </w:style>
  <w:style w:type="paragraph" w:styleId="Sangranormal">
    <w:name w:val="Normal Indent"/>
    <w:basedOn w:val="Normal"/>
    <w:rsid w:val="00B82F75"/>
    <w:pPr>
      <w:tabs>
        <w:tab w:val="left" w:pos="1134"/>
        <w:tab w:val="left" w:pos="1871"/>
        <w:tab w:val="left" w:pos="2268"/>
      </w:tabs>
      <w:overflowPunct w:val="0"/>
      <w:adjustRightInd w:val="0"/>
      <w:spacing w:before="120"/>
      <w:ind w:left="1134"/>
      <w:jc w:val="both"/>
      <w:textAlignment w:val="baseline"/>
    </w:pPr>
    <w:rPr>
      <w:sz w:val="24"/>
      <w:lang w:val="fr-FR" w:eastAsia="en-US"/>
    </w:rPr>
  </w:style>
  <w:style w:type="paragraph" w:customStyle="1" w:styleId="Equationlegend">
    <w:name w:val="Equation_legend"/>
    <w:basedOn w:val="Sangranormal"/>
    <w:rsid w:val="00B82F75"/>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82F75"/>
    <w:pPr>
      <w:keepNext/>
      <w:keepLines/>
      <w:tabs>
        <w:tab w:val="left" w:pos="1134"/>
        <w:tab w:val="left" w:pos="1871"/>
        <w:tab w:val="left" w:pos="2268"/>
      </w:tabs>
      <w:overflowPunct w:val="0"/>
      <w:adjustRightInd w:val="0"/>
      <w:spacing w:before="20" w:after="20"/>
      <w:jc w:val="both"/>
      <w:textAlignment w:val="baseline"/>
    </w:pPr>
    <w:rPr>
      <w:sz w:val="18"/>
      <w:lang w:val="fr-FR" w:eastAsia="en-US"/>
    </w:rPr>
  </w:style>
  <w:style w:type="paragraph" w:customStyle="1" w:styleId="FigureNo">
    <w:name w:val="Figure_No"/>
    <w:basedOn w:val="Normal"/>
    <w:next w:val="Figuretitle"/>
    <w:link w:val="FigureNoChar"/>
    <w:rsid w:val="00B82F75"/>
    <w:pPr>
      <w:keepNext/>
      <w:keepLines/>
      <w:tabs>
        <w:tab w:val="left" w:pos="1134"/>
        <w:tab w:val="left" w:pos="1871"/>
        <w:tab w:val="left" w:pos="2268"/>
      </w:tabs>
      <w:overflowPunct w:val="0"/>
      <w:adjustRightInd w:val="0"/>
      <w:spacing w:before="480" w:after="120"/>
      <w:jc w:val="center"/>
      <w:textAlignment w:val="baseline"/>
    </w:pPr>
    <w:rPr>
      <w:caps/>
      <w:lang w:val="fr-FR" w:eastAsia="en-US"/>
    </w:rPr>
  </w:style>
  <w:style w:type="paragraph" w:customStyle="1" w:styleId="Figuretitle">
    <w:name w:val="Figure_title"/>
    <w:basedOn w:val="Normal"/>
    <w:next w:val="Normal"/>
    <w:link w:val="FiguretitleChar"/>
    <w:rsid w:val="00B82F75"/>
    <w:pPr>
      <w:keepNext/>
      <w:keepLines/>
      <w:tabs>
        <w:tab w:val="left" w:pos="1134"/>
        <w:tab w:val="left" w:pos="1871"/>
        <w:tab w:val="left" w:pos="2268"/>
      </w:tabs>
      <w:overflowPunct w:val="0"/>
      <w:adjustRightInd w:val="0"/>
      <w:spacing w:after="480"/>
      <w:jc w:val="center"/>
      <w:textAlignment w:val="baseline"/>
    </w:pPr>
    <w:rPr>
      <w:rFonts w:ascii="Times New Roman Bold" w:hAnsi="Times New Roman Bold" w:cs="Times New Roman Bold"/>
      <w:b/>
      <w:lang w:val="fr-FR" w:eastAsia="en-US"/>
    </w:rPr>
  </w:style>
  <w:style w:type="paragraph" w:customStyle="1" w:styleId="Figurewithouttitle">
    <w:name w:val="Figure_without_title"/>
    <w:basedOn w:val="FigureNo"/>
    <w:next w:val="Normal"/>
    <w:rsid w:val="00B82F75"/>
    <w:pPr>
      <w:keepNext w:val="0"/>
    </w:pPr>
  </w:style>
  <w:style w:type="paragraph" w:customStyle="1" w:styleId="FirstFooter">
    <w:name w:val="FirstFooter"/>
    <w:basedOn w:val="Piedepgina"/>
    <w:rsid w:val="00B82F75"/>
    <w:pPr>
      <w:tabs>
        <w:tab w:val="clear" w:pos="4419"/>
        <w:tab w:val="clear" w:pos="8838"/>
      </w:tabs>
      <w:autoSpaceDE/>
      <w:autoSpaceDN/>
      <w:spacing w:before="40"/>
      <w:jc w:val="both"/>
    </w:pPr>
    <w:rPr>
      <w:sz w:val="16"/>
      <w:lang w:val="fr-FR" w:eastAsia="en-US"/>
    </w:rPr>
  </w:style>
  <w:style w:type="paragraph" w:customStyle="1" w:styleId="Headingb">
    <w:name w:val="Heading_b"/>
    <w:basedOn w:val="Normal"/>
    <w:next w:val="Normal"/>
    <w:link w:val="HeadingbChar"/>
    <w:qFormat/>
    <w:rsid w:val="00B82F75"/>
    <w:pPr>
      <w:keepNext/>
      <w:tabs>
        <w:tab w:val="left" w:pos="1134"/>
        <w:tab w:val="left" w:pos="1871"/>
        <w:tab w:val="left" w:pos="2268"/>
      </w:tabs>
      <w:overflowPunct w:val="0"/>
      <w:adjustRightInd w:val="0"/>
      <w:spacing w:before="160"/>
      <w:jc w:val="both"/>
      <w:textAlignment w:val="baseline"/>
    </w:pPr>
    <w:rPr>
      <w:b/>
      <w:sz w:val="24"/>
      <w:lang w:val="fr-FR" w:eastAsia="en-US"/>
    </w:rPr>
  </w:style>
  <w:style w:type="paragraph" w:customStyle="1" w:styleId="Headingi">
    <w:name w:val="Heading_i"/>
    <w:basedOn w:val="Normal"/>
    <w:next w:val="Normal"/>
    <w:qFormat/>
    <w:rsid w:val="00B82F75"/>
    <w:pPr>
      <w:keepNext/>
      <w:tabs>
        <w:tab w:val="left" w:pos="1134"/>
        <w:tab w:val="left" w:pos="1871"/>
        <w:tab w:val="left" w:pos="2268"/>
      </w:tabs>
      <w:overflowPunct w:val="0"/>
      <w:adjustRightInd w:val="0"/>
      <w:spacing w:before="160"/>
      <w:jc w:val="both"/>
      <w:textAlignment w:val="baseline"/>
    </w:pPr>
    <w:rPr>
      <w:rFonts w:ascii="Times" w:hAnsi="Times"/>
      <w:i/>
      <w:sz w:val="24"/>
      <w:lang w:val="fr-FR" w:eastAsia="en-US"/>
    </w:rPr>
  </w:style>
  <w:style w:type="paragraph" w:styleId="ndice1">
    <w:name w:val="index 1"/>
    <w:basedOn w:val="Normal"/>
    <w:next w:val="Normal"/>
    <w:rsid w:val="00B82F75"/>
    <w:pPr>
      <w:tabs>
        <w:tab w:val="left" w:pos="1134"/>
        <w:tab w:val="left" w:pos="1871"/>
        <w:tab w:val="left" w:pos="2268"/>
      </w:tabs>
      <w:overflowPunct w:val="0"/>
      <w:adjustRightInd w:val="0"/>
      <w:spacing w:before="120"/>
      <w:jc w:val="both"/>
      <w:textAlignment w:val="baseline"/>
    </w:pPr>
    <w:rPr>
      <w:sz w:val="24"/>
      <w:lang w:val="fr-FR" w:eastAsia="en-US"/>
    </w:rPr>
  </w:style>
  <w:style w:type="paragraph" w:styleId="ndice2">
    <w:name w:val="index 2"/>
    <w:basedOn w:val="Normal"/>
    <w:next w:val="Normal"/>
    <w:rsid w:val="00B82F75"/>
    <w:pPr>
      <w:tabs>
        <w:tab w:val="left" w:pos="1134"/>
        <w:tab w:val="left" w:pos="1871"/>
        <w:tab w:val="left" w:pos="2268"/>
      </w:tabs>
      <w:overflowPunct w:val="0"/>
      <w:adjustRightInd w:val="0"/>
      <w:spacing w:before="120"/>
      <w:ind w:left="283"/>
      <w:jc w:val="both"/>
      <w:textAlignment w:val="baseline"/>
    </w:pPr>
    <w:rPr>
      <w:sz w:val="24"/>
      <w:lang w:val="fr-FR" w:eastAsia="en-US"/>
    </w:rPr>
  </w:style>
  <w:style w:type="paragraph" w:styleId="ndice3">
    <w:name w:val="index 3"/>
    <w:basedOn w:val="Normal"/>
    <w:next w:val="Normal"/>
    <w:rsid w:val="00B82F75"/>
    <w:pPr>
      <w:tabs>
        <w:tab w:val="left" w:pos="1134"/>
        <w:tab w:val="left" w:pos="1871"/>
        <w:tab w:val="left" w:pos="2268"/>
      </w:tabs>
      <w:overflowPunct w:val="0"/>
      <w:adjustRightInd w:val="0"/>
      <w:spacing w:before="120"/>
      <w:ind w:left="566"/>
      <w:jc w:val="both"/>
      <w:textAlignment w:val="baseline"/>
    </w:pPr>
    <w:rPr>
      <w:sz w:val="24"/>
      <w:lang w:val="fr-FR" w:eastAsia="en-US"/>
    </w:rPr>
  </w:style>
  <w:style w:type="paragraph" w:styleId="ndice4">
    <w:name w:val="index 4"/>
    <w:basedOn w:val="Normal"/>
    <w:next w:val="Normal"/>
    <w:rsid w:val="00B82F75"/>
    <w:pPr>
      <w:tabs>
        <w:tab w:val="left" w:pos="1134"/>
        <w:tab w:val="left" w:pos="1871"/>
        <w:tab w:val="left" w:pos="2268"/>
      </w:tabs>
      <w:overflowPunct w:val="0"/>
      <w:adjustRightInd w:val="0"/>
      <w:spacing w:before="120"/>
      <w:ind w:left="849"/>
      <w:jc w:val="both"/>
      <w:textAlignment w:val="baseline"/>
    </w:pPr>
    <w:rPr>
      <w:sz w:val="24"/>
      <w:lang w:val="fr-FR" w:eastAsia="en-US"/>
    </w:rPr>
  </w:style>
  <w:style w:type="paragraph" w:styleId="ndice5">
    <w:name w:val="index 5"/>
    <w:basedOn w:val="Normal"/>
    <w:next w:val="Normal"/>
    <w:rsid w:val="00B82F75"/>
    <w:pPr>
      <w:tabs>
        <w:tab w:val="left" w:pos="1134"/>
        <w:tab w:val="left" w:pos="1871"/>
        <w:tab w:val="left" w:pos="2268"/>
      </w:tabs>
      <w:overflowPunct w:val="0"/>
      <w:adjustRightInd w:val="0"/>
      <w:spacing w:before="120"/>
      <w:ind w:left="1132"/>
      <w:jc w:val="both"/>
      <w:textAlignment w:val="baseline"/>
    </w:pPr>
    <w:rPr>
      <w:sz w:val="24"/>
      <w:lang w:val="fr-FR" w:eastAsia="en-US"/>
    </w:rPr>
  </w:style>
  <w:style w:type="paragraph" w:styleId="ndice6">
    <w:name w:val="index 6"/>
    <w:basedOn w:val="Normal"/>
    <w:next w:val="Normal"/>
    <w:rsid w:val="00B82F75"/>
    <w:pPr>
      <w:tabs>
        <w:tab w:val="left" w:pos="1134"/>
        <w:tab w:val="left" w:pos="1871"/>
        <w:tab w:val="left" w:pos="2268"/>
      </w:tabs>
      <w:overflowPunct w:val="0"/>
      <w:adjustRightInd w:val="0"/>
      <w:spacing w:before="120"/>
      <w:ind w:left="1415"/>
      <w:jc w:val="both"/>
      <w:textAlignment w:val="baseline"/>
    </w:pPr>
    <w:rPr>
      <w:sz w:val="24"/>
      <w:lang w:val="fr-FR" w:eastAsia="en-US"/>
    </w:rPr>
  </w:style>
  <w:style w:type="paragraph" w:styleId="ndice7">
    <w:name w:val="index 7"/>
    <w:basedOn w:val="Normal"/>
    <w:next w:val="Normal"/>
    <w:rsid w:val="00B82F75"/>
    <w:pPr>
      <w:tabs>
        <w:tab w:val="left" w:pos="1134"/>
        <w:tab w:val="left" w:pos="1871"/>
        <w:tab w:val="left" w:pos="2268"/>
      </w:tabs>
      <w:overflowPunct w:val="0"/>
      <w:adjustRightInd w:val="0"/>
      <w:spacing w:before="120"/>
      <w:ind w:left="1698"/>
      <w:jc w:val="both"/>
      <w:textAlignment w:val="baseline"/>
    </w:pPr>
    <w:rPr>
      <w:sz w:val="24"/>
      <w:lang w:val="fr-FR" w:eastAsia="en-US"/>
    </w:rPr>
  </w:style>
  <w:style w:type="paragraph" w:styleId="Ttulodendice">
    <w:name w:val="index heading"/>
    <w:basedOn w:val="Normal"/>
    <w:next w:val="ndice1"/>
    <w:rsid w:val="00B82F75"/>
    <w:pPr>
      <w:tabs>
        <w:tab w:val="left" w:pos="1134"/>
        <w:tab w:val="left" w:pos="1871"/>
        <w:tab w:val="left" w:pos="2268"/>
      </w:tabs>
      <w:overflowPunct w:val="0"/>
      <w:adjustRightInd w:val="0"/>
      <w:spacing w:before="120"/>
      <w:jc w:val="both"/>
      <w:textAlignment w:val="baseline"/>
    </w:pPr>
    <w:rPr>
      <w:sz w:val="24"/>
      <w:lang w:val="fr-FR" w:eastAsia="en-US"/>
    </w:rPr>
  </w:style>
  <w:style w:type="character" w:styleId="Nmerodelnea">
    <w:name w:val="line number"/>
    <w:basedOn w:val="Fuentedeprrafopredeter"/>
    <w:rsid w:val="00B82F75"/>
  </w:style>
  <w:style w:type="paragraph" w:customStyle="1" w:styleId="Normalaftertitle">
    <w:name w:val="Normal after title"/>
    <w:basedOn w:val="Normal"/>
    <w:next w:val="Normal"/>
    <w:link w:val="NormalaftertitleChar"/>
    <w:rsid w:val="00B82F75"/>
    <w:pPr>
      <w:tabs>
        <w:tab w:val="left" w:pos="1134"/>
        <w:tab w:val="left" w:pos="1871"/>
        <w:tab w:val="left" w:pos="2268"/>
      </w:tabs>
      <w:overflowPunct w:val="0"/>
      <w:adjustRightInd w:val="0"/>
      <w:spacing w:before="280"/>
      <w:jc w:val="both"/>
      <w:textAlignment w:val="baseline"/>
    </w:pPr>
    <w:rPr>
      <w:sz w:val="24"/>
      <w:lang w:val="fr-FR" w:eastAsia="en-US"/>
    </w:rPr>
  </w:style>
  <w:style w:type="character" w:customStyle="1" w:styleId="Appdef">
    <w:name w:val="App_def"/>
    <w:rsid w:val="00B82F75"/>
    <w:rPr>
      <w:rFonts w:ascii="Times New Roman" w:hAnsi="Times New Roman"/>
      <w:b/>
    </w:rPr>
  </w:style>
  <w:style w:type="character" w:customStyle="1" w:styleId="Appref">
    <w:name w:val="App_ref"/>
    <w:basedOn w:val="Fuentedeprrafopredeter"/>
    <w:rsid w:val="00B82F75"/>
  </w:style>
  <w:style w:type="paragraph" w:customStyle="1" w:styleId="Border">
    <w:name w:val="Border"/>
    <w:basedOn w:val="Normal"/>
    <w:rsid w:val="00B82F75"/>
    <w:pPr>
      <w:pBdr>
        <w:bottom w:val="single" w:sz="6" w:space="0" w:color="auto"/>
      </w:pBdr>
      <w:tabs>
        <w:tab w:val="left" w:pos="170"/>
        <w:tab w:val="left" w:pos="737"/>
        <w:tab w:val="left" w:pos="1871"/>
        <w:tab w:val="left" w:pos="2977"/>
        <w:tab w:val="left" w:pos="3266"/>
      </w:tabs>
      <w:overflowPunct w:val="0"/>
      <w:adjustRightInd w:val="0"/>
      <w:spacing w:line="10" w:lineRule="exact"/>
      <w:ind w:left="28" w:right="28"/>
      <w:jc w:val="center"/>
      <w:textAlignment w:val="baseline"/>
    </w:pPr>
    <w:rPr>
      <w:b/>
      <w:noProof/>
      <w:sz w:val="24"/>
      <w:lang w:val="fr-FR" w:eastAsia="en-US"/>
    </w:rPr>
  </w:style>
  <w:style w:type="paragraph" w:customStyle="1" w:styleId="Figure">
    <w:name w:val="Figure"/>
    <w:basedOn w:val="Normal"/>
    <w:next w:val="Figuretitle"/>
    <w:rsid w:val="00B82F75"/>
    <w:pPr>
      <w:keepNext/>
      <w:keepLines/>
      <w:tabs>
        <w:tab w:val="left" w:pos="1134"/>
        <w:tab w:val="left" w:pos="1871"/>
        <w:tab w:val="left" w:pos="2268"/>
      </w:tabs>
      <w:overflowPunct w:val="0"/>
      <w:adjustRightInd w:val="0"/>
      <w:spacing w:before="120"/>
      <w:jc w:val="center"/>
      <w:textAlignment w:val="baseline"/>
    </w:pPr>
    <w:rPr>
      <w:sz w:val="24"/>
      <w:lang w:val="fr-FR" w:eastAsia="en-US"/>
    </w:rPr>
  </w:style>
  <w:style w:type="paragraph" w:customStyle="1" w:styleId="Agendaitem">
    <w:name w:val="Agenda_item"/>
    <w:basedOn w:val="Normal"/>
    <w:next w:val="Normalaftertitle"/>
    <w:qFormat/>
    <w:rsid w:val="00B82F75"/>
    <w:pPr>
      <w:tabs>
        <w:tab w:val="left" w:pos="1134"/>
        <w:tab w:val="left" w:pos="1871"/>
        <w:tab w:val="left" w:pos="2268"/>
      </w:tabs>
      <w:autoSpaceDE/>
      <w:autoSpaceDN/>
      <w:spacing w:before="240"/>
      <w:jc w:val="center"/>
    </w:pPr>
    <w:rPr>
      <w:sz w:val="28"/>
      <w:lang w:val="fr-CH" w:eastAsia="en-US"/>
    </w:rPr>
  </w:style>
  <w:style w:type="paragraph" w:customStyle="1" w:styleId="Normalend">
    <w:name w:val="Normal_end"/>
    <w:basedOn w:val="Normal"/>
    <w:qFormat/>
    <w:rsid w:val="00B82F75"/>
    <w:pPr>
      <w:tabs>
        <w:tab w:val="left" w:pos="1134"/>
        <w:tab w:val="left" w:pos="1871"/>
        <w:tab w:val="left" w:pos="2268"/>
      </w:tabs>
      <w:overflowPunct w:val="0"/>
      <w:adjustRightInd w:val="0"/>
      <w:spacing w:before="120"/>
      <w:jc w:val="both"/>
      <w:textAlignment w:val="baseline"/>
    </w:pPr>
    <w:rPr>
      <w:sz w:val="24"/>
      <w:lang w:val="fr-FR" w:eastAsia="en-US"/>
    </w:rPr>
  </w:style>
  <w:style w:type="paragraph" w:customStyle="1" w:styleId="ApptoAnnex">
    <w:name w:val="App_to_Annex"/>
    <w:basedOn w:val="AppendixNo"/>
    <w:qFormat/>
    <w:rsid w:val="00B82F75"/>
  </w:style>
  <w:style w:type="paragraph" w:customStyle="1" w:styleId="Proposal">
    <w:name w:val="Proposal"/>
    <w:basedOn w:val="Normal"/>
    <w:next w:val="Normal"/>
    <w:link w:val="ProposalChar"/>
    <w:rsid w:val="00B82F75"/>
    <w:pPr>
      <w:keepNext/>
      <w:tabs>
        <w:tab w:val="left" w:pos="1134"/>
        <w:tab w:val="left" w:pos="1871"/>
        <w:tab w:val="left" w:pos="2268"/>
      </w:tabs>
      <w:overflowPunct w:val="0"/>
      <w:adjustRightInd w:val="0"/>
      <w:spacing w:before="240"/>
      <w:jc w:val="both"/>
      <w:textAlignment w:val="baseline"/>
    </w:pPr>
    <w:rPr>
      <w:rFonts w:hAnsi="Times New Roman Bold"/>
      <w:sz w:val="24"/>
      <w:lang w:val="fr-FR" w:eastAsia="en-US"/>
    </w:rPr>
  </w:style>
  <w:style w:type="paragraph" w:customStyle="1" w:styleId="Part1">
    <w:name w:val="Part_1"/>
    <w:basedOn w:val="Normal"/>
    <w:next w:val="Normal"/>
    <w:qFormat/>
    <w:rsid w:val="00B82F75"/>
    <w:pPr>
      <w:tabs>
        <w:tab w:val="center" w:pos="4820"/>
      </w:tabs>
      <w:overflowPunct w:val="0"/>
      <w:adjustRightInd w:val="0"/>
      <w:spacing w:before="360"/>
      <w:jc w:val="center"/>
      <w:textAlignment w:val="baseline"/>
    </w:pPr>
    <w:rPr>
      <w:b/>
      <w:sz w:val="24"/>
      <w:lang w:val="fr-FR" w:eastAsia="en-US"/>
    </w:rPr>
  </w:style>
  <w:style w:type="paragraph" w:customStyle="1" w:styleId="PartNo">
    <w:name w:val="Part_No"/>
    <w:basedOn w:val="AnnexNo"/>
    <w:next w:val="Normal"/>
    <w:rsid w:val="00B82F75"/>
  </w:style>
  <w:style w:type="paragraph" w:customStyle="1" w:styleId="Parttitle">
    <w:name w:val="Part_title"/>
    <w:basedOn w:val="Annextitle"/>
    <w:next w:val="Normalaftertitle"/>
    <w:rsid w:val="00B82F75"/>
  </w:style>
  <w:style w:type="paragraph" w:styleId="TDC3">
    <w:name w:val="toc 3"/>
    <w:basedOn w:val="TDC2"/>
    <w:uiPriority w:val="39"/>
    <w:rsid w:val="00B82F75"/>
    <w:pPr>
      <w:keepLines/>
      <w:tabs>
        <w:tab w:val="left" w:pos="567"/>
        <w:tab w:val="left" w:leader="dot" w:pos="7938"/>
        <w:tab w:val="center" w:pos="9526"/>
      </w:tabs>
      <w:overflowPunct w:val="0"/>
      <w:adjustRightInd w:val="0"/>
      <w:spacing w:before="120" w:after="0"/>
      <w:ind w:left="567" w:hanging="567"/>
      <w:jc w:val="both"/>
      <w:textAlignment w:val="baseline"/>
    </w:pPr>
    <w:rPr>
      <w:sz w:val="24"/>
      <w:lang w:val="fr-FR" w:eastAsia="en-US"/>
    </w:rPr>
  </w:style>
  <w:style w:type="paragraph" w:styleId="TDC4">
    <w:name w:val="toc 4"/>
    <w:basedOn w:val="TDC3"/>
    <w:uiPriority w:val="39"/>
    <w:rsid w:val="00B82F75"/>
  </w:style>
  <w:style w:type="paragraph" w:styleId="TDC5">
    <w:name w:val="toc 5"/>
    <w:basedOn w:val="TDC4"/>
    <w:uiPriority w:val="39"/>
    <w:rsid w:val="00B82F75"/>
  </w:style>
  <w:style w:type="paragraph" w:styleId="TDC6">
    <w:name w:val="toc 6"/>
    <w:basedOn w:val="TDC4"/>
    <w:uiPriority w:val="39"/>
    <w:rsid w:val="00B82F75"/>
  </w:style>
  <w:style w:type="paragraph" w:styleId="TDC7">
    <w:name w:val="toc 7"/>
    <w:basedOn w:val="TDC4"/>
    <w:uiPriority w:val="39"/>
    <w:rsid w:val="00B82F75"/>
  </w:style>
  <w:style w:type="paragraph" w:styleId="TDC8">
    <w:name w:val="toc 8"/>
    <w:basedOn w:val="TDC4"/>
    <w:uiPriority w:val="39"/>
    <w:rsid w:val="00B82F75"/>
  </w:style>
  <w:style w:type="paragraph" w:customStyle="1" w:styleId="Title1">
    <w:name w:val="Title 1"/>
    <w:basedOn w:val="Normal"/>
    <w:next w:val="Normal"/>
    <w:link w:val="Title1Char"/>
    <w:rsid w:val="00B82F75"/>
    <w:pPr>
      <w:tabs>
        <w:tab w:val="left" w:pos="567"/>
        <w:tab w:val="left" w:pos="1134"/>
        <w:tab w:val="left" w:pos="1701"/>
        <w:tab w:val="left" w:pos="1871"/>
        <w:tab w:val="left" w:pos="2268"/>
        <w:tab w:val="left" w:pos="2835"/>
      </w:tabs>
      <w:overflowPunct w:val="0"/>
      <w:adjustRightInd w:val="0"/>
      <w:spacing w:before="240"/>
      <w:jc w:val="center"/>
      <w:textAlignment w:val="baseline"/>
    </w:pPr>
    <w:rPr>
      <w:caps/>
      <w:sz w:val="28"/>
      <w:lang w:val="fr-FR" w:eastAsia="en-US"/>
    </w:rPr>
  </w:style>
  <w:style w:type="paragraph" w:customStyle="1" w:styleId="Title2">
    <w:name w:val="Title 2"/>
    <w:basedOn w:val="Normal"/>
    <w:next w:val="Normal"/>
    <w:rsid w:val="00B82F75"/>
    <w:pPr>
      <w:tabs>
        <w:tab w:val="left" w:pos="1134"/>
        <w:tab w:val="left" w:pos="1871"/>
        <w:tab w:val="left" w:pos="2268"/>
      </w:tabs>
      <w:autoSpaceDE/>
      <w:autoSpaceDN/>
      <w:spacing w:before="480"/>
      <w:jc w:val="center"/>
    </w:pPr>
    <w:rPr>
      <w:caps/>
      <w:sz w:val="28"/>
      <w:lang w:val="fr-FR" w:eastAsia="en-US"/>
    </w:rPr>
  </w:style>
  <w:style w:type="paragraph" w:customStyle="1" w:styleId="Title3">
    <w:name w:val="Title 3"/>
    <w:basedOn w:val="Title2"/>
    <w:next w:val="Normal"/>
    <w:rsid w:val="00B82F75"/>
    <w:pPr>
      <w:spacing w:before="240"/>
    </w:pPr>
    <w:rPr>
      <w:caps w:val="0"/>
    </w:rPr>
  </w:style>
  <w:style w:type="paragraph" w:customStyle="1" w:styleId="Title4">
    <w:name w:val="Title 4"/>
    <w:basedOn w:val="Title3"/>
    <w:next w:val="Ttulo1"/>
    <w:rsid w:val="00B82F75"/>
    <w:rPr>
      <w:b/>
    </w:rPr>
  </w:style>
  <w:style w:type="paragraph" w:customStyle="1" w:styleId="toc0">
    <w:name w:val="toc 0"/>
    <w:basedOn w:val="Normal"/>
    <w:next w:val="TDC1"/>
    <w:rsid w:val="00B82F75"/>
    <w:pPr>
      <w:tabs>
        <w:tab w:val="right" w:pos="9781"/>
      </w:tabs>
      <w:overflowPunct w:val="0"/>
      <w:adjustRightInd w:val="0"/>
      <w:spacing w:before="120"/>
      <w:jc w:val="both"/>
      <w:textAlignment w:val="baseline"/>
    </w:pPr>
    <w:rPr>
      <w:b/>
      <w:sz w:val="24"/>
      <w:lang w:val="fr-FR" w:eastAsia="en-US"/>
    </w:rPr>
  </w:style>
  <w:style w:type="paragraph" w:customStyle="1" w:styleId="RecNo">
    <w:name w:val="Rec_No"/>
    <w:basedOn w:val="Normal"/>
    <w:next w:val="Normal"/>
    <w:link w:val="RecNoChar"/>
    <w:rsid w:val="00B82F75"/>
    <w:pPr>
      <w:keepNext/>
      <w:keepLines/>
      <w:tabs>
        <w:tab w:val="left" w:pos="1134"/>
        <w:tab w:val="left" w:pos="1871"/>
        <w:tab w:val="left" w:pos="2268"/>
      </w:tabs>
      <w:overflowPunct w:val="0"/>
      <w:adjustRightInd w:val="0"/>
      <w:spacing w:before="480"/>
      <w:jc w:val="center"/>
      <w:textAlignment w:val="baseline"/>
    </w:pPr>
    <w:rPr>
      <w:caps/>
      <w:sz w:val="28"/>
      <w:lang w:val="fr-FR" w:eastAsia="en-US"/>
    </w:rPr>
  </w:style>
  <w:style w:type="paragraph" w:customStyle="1" w:styleId="Rectitle">
    <w:name w:val="Rec_title"/>
    <w:basedOn w:val="RecNo"/>
    <w:next w:val="Normal"/>
    <w:rsid w:val="00B82F75"/>
    <w:pPr>
      <w:spacing w:before="240"/>
    </w:pPr>
    <w:rPr>
      <w:rFonts w:ascii="Times New Roman Bold" w:hAnsi="Times New Roman Bold"/>
      <w:b/>
      <w:caps w:val="0"/>
    </w:rPr>
  </w:style>
  <w:style w:type="paragraph" w:customStyle="1" w:styleId="Recdate">
    <w:name w:val="Rec_date"/>
    <w:basedOn w:val="Normal"/>
    <w:next w:val="Normalaftertitle"/>
    <w:rsid w:val="00B82F75"/>
    <w:pPr>
      <w:keepNext/>
      <w:keepLines/>
      <w:tabs>
        <w:tab w:val="left" w:pos="1134"/>
        <w:tab w:val="left" w:pos="1871"/>
        <w:tab w:val="left" w:pos="2268"/>
      </w:tabs>
      <w:overflowPunct w:val="0"/>
      <w:adjustRightInd w:val="0"/>
      <w:spacing w:before="120"/>
      <w:jc w:val="right"/>
      <w:textAlignment w:val="baseline"/>
    </w:pPr>
    <w:rPr>
      <w:sz w:val="22"/>
      <w:lang w:val="fr-FR" w:eastAsia="en-US"/>
    </w:rPr>
  </w:style>
  <w:style w:type="paragraph" w:customStyle="1" w:styleId="Questiondate">
    <w:name w:val="Question_date"/>
    <w:basedOn w:val="Recdate"/>
    <w:next w:val="Normalaftertitle"/>
    <w:rsid w:val="00B82F75"/>
  </w:style>
  <w:style w:type="paragraph" w:customStyle="1" w:styleId="QuestionNo">
    <w:name w:val="Question_No"/>
    <w:basedOn w:val="RecNo"/>
    <w:next w:val="Normal"/>
    <w:rsid w:val="00B82F75"/>
  </w:style>
  <w:style w:type="paragraph" w:customStyle="1" w:styleId="Questiontitle">
    <w:name w:val="Question_title"/>
    <w:basedOn w:val="Rectitle"/>
    <w:next w:val="Normal"/>
    <w:rsid w:val="00B82F75"/>
  </w:style>
  <w:style w:type="paragraph" w:customStyle="1" w:styleId="Reasons">
    <w:name w:val="Reasons"/>
    <w:basedOn w:val="Normal"/>
    <w:link w:val="ReasonsChar"/>
    <w:qFormat/>
    <w:rsid w:val="00B82F75"/>
    <w:pPr>
      <w:tabs>
        <w:tab w:val="left" w:pos="1134"/>
        <w:tab w:val="left" w:pos="1588"/>
        <w:tab w:val="left" w:pos="1985"/>
      </w:tabs>
      <w:overflowPunct w:val="0"/>
      <w:adjustRightInd w:val="0"/>
      <w:spacing w:before="120"/>
      <w:jc w:val="both"/>
      <w:textAlignment w:val="baseline"/>
    </w:pPr>
    <w:rPr>
      <w:sz w:val="24"/>
      <w:lang w:val="fr-FR" w:eastAsia="en-US"/>
    </w:rPr>
  </w:style>
  <w:style w:type="character" w:customStyle="1" w:styleId="Recdef">
    <w:name w:val="Rec_def"/>
    <w:rsid w:val="00B82F75"/>
    <w:rPr>
      <w:b/>
    </w:rPr>
  </w:style>
  <w:style w:type="paragraph" w:customStyle="1" w:styleId="Reftext">
    <w:name w:val="Ref_text"/>
    <w:basedOn w:val="Normal"/>
    <w:rsid w:val="00B82F75"/>
    <w:pPr>
      <w:tabs>
        <w:tab w:val="left" w:pos="1134"/>
        <w:tab w:val="left" w:pos="1871"/>
        <w:tab w:val="left" w:pos="2268"/>
      </w:tabs>
      <w:overflowPunct w:val="0"/>
      <w:adjustRightInd w:val="0"/>
      <w:spacing w:before="120"/>
      <w:ind w:left="1134" w:hanging="1134"/>
      <w:jc w:val="both"/>
      <w:textAlignment w:val="baseline"/>
    </w:pPr>
    <w:rPr>
      <w:sz w:val="24"/>
      <w:lang w:val="fr-FR" w:eastAsia="en-US"/>
    </w:rPr>
  </w:style>
  <w:style w:type="paragraph" w:customStyle="1" w:styleId="Reftitle">
    <w:name w:val="Ref_title"/>
    <w:basedOn w:val="Normal"/>
    <w:next w:val="Reftext"/>
    <w:rsid w:val="00B82F75"/>
    <w:pPr>
      <w:tabs>
        <w:tab w:val="left" w:pos="1134"/>
        <w:tab w:val="left" w:pos="1871"/>
        <w:tab w:val="left" w:pos="2268"/>
      </w:tabs>
      <w:overflowPunct w:val="0"/>
      <w:adjustRightInd w:val="0"/>
      <w:spacing w:before="480"/>
      <w:jc w:val="center"/>
      <w:textAlignment w:val="baseline"/>
    </w:pPr>
    <w:rPr>
      <w:caps/>
      <w:sz w:val="24"/>
      <w:lang w:val="fr-FR" w:eastAsia="en-US"/>
    </w:rPr>
  </w:style>
  <w:style w:type="paragraph" w:customStyle="1" w:styleId="Repdate">
    <w:name w:val="Rep_date"/>
    <w:basedOn w:val="Recdate"/>
    <w:next w:val="Normalaftertitle"/>
    <w:rsid w:val="00B82F75"/>
  </w:style>
  <w:style w:type="paragraph" w:customStyle="1" w:styleId="RepNo">
    <w:name w:val="Rep_No"/>
    <w:basedOn w:val="RecNo"/>
    <w:next w:val="Normal"/>
    <w:rsid w:val="00B82F75"/>
  </w:style>
  <w:style w:type="paragraph" w:customStyle="1" w:styleId="Repref">
    <w:name w:val="Rep_ref"/>
    <w:basedOn w:val="Normal"/>
    <w:next w:val="Repdate"/>
    <w:rsid w:val="00B82F75"/>
    <w:pPr>
      <w:keepNext/>
      <w:keepLines/>
      <w:tabs>
        <w:tab w:val="left" w:pos="1134"/>
        <w:tab w:val="left" w:pos="1871"/>
        <w:tab w:val="left" w:pos="2268"/>
      </w:tabs>
      <w:overflowPunct w:val="0"/>
      <w:adjustRightInd w:val="0"/>
      <w:spacing w:before="120"/>
      <w:jc w:val="center"/>
      <w:textAlignment w:val="baseline"/>
    </w:pPr>
    <w:rPr>
      <w:sz w:val="24"/>
      <w:lang w:val="fr-FR" w:eastAsia="en-US"/>
    </w:rPr>
  </w:style>
  <w:style w:type="paragraph" w:customStyle="1" w:styleId="Reptitle">
    <w:name w:val="Rep_title"/>
    <w:basedOn w:val="Rectitle"/>
    <w:next w:val="Repref"/>
    <w:rsid w:val="00B82F75"/>
  </w:style>
  <w:style w:type="paragraph" w:customStyle="1" w:styleId="Resdate">
    <w:name w:val="Res_date"/>
    <w:basedOn w:val="Recdate"/>
    <w:next w:val="Normalaftertitle"/>
    <w:rsid w:val="00B82F75"/>
  </w:style>
  <w:style w:type="character" w:customStyle="1" w:styleId="Resdef">
    <w:name w:val="Res_def"/>
    <w:rsid w:val="00B82F75"/>
    <w:rPr>
      <w:rFonts w:ascii="Times New Roman" w:hAnsi="Times New Roman"/>
      <w:b/>
    </w:rPr>
  </w:style>
  <w:style w:type="paragraph" w:customStyle="1" w:styleId="ResNo">
    <w:name w:val="Res_No"/>
    <w:basedOn w:val="RecNo"/>
    <w:next w:val="Normal"/>
    <w:link w:val="ResNoChar"/>
    <w:rsid w:val="00B82F75"/>
  </w:style>
  <w:style w:type="paragraph" w:customStyle="1" w:styleId="Restitle">
    <w:name w:val="Res_title"/>
    <w:basedOn w:val="Rectitle"/>
    <w:next w:val="Normal"/>
    <w:link w:val="RestitleChar"/>
    <w:rsid w:val="00B82F75"/>
  </w:style>
  <w:style w:type="paragraph" w:customStyle="1" w:styleId="Section1">
    <w:name w:val="Section_1"/>
    <w:basedOn w:val="Normal"/>
    <w:link w:val="Section1Char"/>
    <w:rsid w:val="00B82F75"/>
    <w:pPr>
      <w:tabs>
        <w:tab w:val="center" w:pos="4820"/>
      </w:tabs>
      <w:overflowPunct w:val="0"/>
      <w:adjustRightInd w:val="0"/>
      <w:spacing w:before="360"/>
      <w:jc w:val="center"/>
      <w:textAlignment w:val="baseline"/>
    </w:pPr>
    <w:rPr>
      <w:b/>
      <w:sz w:val="24"/>
      <w:lang w:val="fr-FR" w:eastAsia="en-US"/>
    </w:rPr>
  </w:style>
  <w:style w:type="paragraph" w:customStyle="1" w:styleId="Section2">
    <w:name w:val="Section_2"/>
    <w:basedOn w:val="Section1"/>
    <w:link w:val="Section2Char"/>
    <w:rsid w:val="00B82F75"/>
    <w:rPr>
      <w:b w:val="0"/>
      <w:i/>
    </w:rPr>
  </w:style>
  <w:style w:type="paragraph" w:customStyle="1" w:styleId="Section3">
    <w:name w:val="Section_3"/>
    <w:basedOn w:val="Section1"/>
    <w:link w:val="Section3Char"/>
    <w:rsid w:val="00B82F75"/>
    <w:rPr>
      <w:b w:val="0"/>
    </w:rPr>
  </w:style>
  <w:style w:type="paragraph" w:customStyle="1" w:styleId="SectionNo">
    <w:name w:val="Section_No"/>
    <w:basedOn w:val="AnnexNo"/>
    <w:next w:val="Normal"/>
    <w:rsid w:val="00B82F75"/>
  </w:style>
  <w:style w:type="paragraph" w:customStyle="1" w:styleId="Sectiontitle">
    <w:name w:val="Section_title"/>
    <w:basedOn w:val="Annextitle"/>
    <w:next w:val="Normalaftertitle"/>
    <w:rsid w:val="00B82F75"/>
  </w:style>
  <w:style w:type="paragraph" w:customStyle="1" w:styleId="Source">
    <w:name w:val="Source"/>
    <w:basedOn w:val="Normal"/>
    <w:next w:val="Normal"/>
    <w:link w:val="SourceChar"/>
    <w:rsid w:val="00B82F75"/>
    <w:pPr>
      <w:tabs>
        <w:tab w:val="left" w:pos="1134"/>
        <w:tab w:val="left" w:pos="1871"/>
        <w:tab w:val="left" w:pos="2268"/>
      </w:tabs>
      <w:overflowPunct w:val="0"/>
      <w:adjustRightInd w:val="0"/>
      <w:spacing w:before="840"/>
      <w:jc w:val="center"/>
      <w:textAlignment w:val="baseline"/>
    </w:pPr>
    <w:rPr>
      <w:b/>
      <w:sz w:val="28"/>
      <w:lang w:val="fr-FR" w:eastAsia="en-US"/>
    </w:rPr>
  </w:style>
  <w:style w:type="paragraph" w:customStyle="1" w:styleId="SpecialFooter">
    <w:name w:val="Special Footer"/>
    <w:basedOn w:val="Piedepgina"/>
    <w:rsid w:val="00B82F75"/>
    <w:pPr>
      <w:tabs>
        <w:tab w:val="clear" w:pos="4419"/>
        <w:tab w:val="clear" w:pos="8838"/>
        <w:tab w:val="left" w:pos="567"/>
        <w:tab w:val="left" w:pos="1134"/>
        <w:tab w:val="left" w:pos="1701"/>
        <w:tab w:val="left" w:pos="2268"/>
        <w:tab w:val="left" w:pos="2835"/>
        <w:tab w:val="left" w:pos="5954"/>
        <w:tab w:val="right" w:pos="9639"/>
      </w:tabs>
      <w:overflowPunct w:val="0"/>
      <w:adjustRightInd w:val="0"/>
      <w:jc w:val="both"/>
      <w:textAlignment w:val="baseline"/>
    </w:pPr>
    <w:rPr>
      <w:sz w:val="16"/>
      <w:lang w:val="fr-FR" w:eastAsia="en-US"/>
    </w:rPr>
  </w:style>
  <w:style w:type="paragraph" w:customStyle="1" w:styleId="Subsection1">
    <w:name w:val="Subsection_1"/>
    <w:basedOn w:val="Section1"/>
    <w:next w:val="Normalaftertitle"/>
    <w:qFormat/>
    <w:rsid w:val="00B82F75"/>
  </w:style>
  <w:style w:type="character" w:customStyle="1" w:styleId="Tablefreq">
    <w:name w:val="Table_freq"/>
    <w:rsid w:val="00B82F75"/>
    <w:rPr>
      <w:b/>
      <w:color w:val="auto"/>
      <w:sz w:val="20"/>
    </w:rPr>
  </w:style>
  <w:style w:type="paragraph" w:customStyle="1" w:styleId="Tabletext0">
    <w:name w:val="Table_text"/>
    <w:basedOn w:val="Normal"/>
    <w:link w:val="TabletextChar0"/>
    <w:rsid w:val="00B82F7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pPr>
    <w:rPr>
      <w:lang w:val="fr-FR" w:eastAsia="en-US"/>
    </w:rPr>
  </w:style>
  <w:style w:type="paragraph" w:customStyle="1" w:styleId="Tablehead">
    <w:name w:val="Table_head"/>
    <w:basedOn w:val="Tabletext0"/>
    <w:next w:val="Tabletext0"/>
    <w:link w:val="TableheadChar"/>
    <w:rsid w:val="00B82F75"/>
    <w:pPr>
      <w:keepNext/>
      <w:spacing w:before="80" w:after="80"/>
      <w:jc w:val="center"/>
    </w:pPr>
    <w:rPr>
      <w:b/>
    </w:rPr>
  </w:style>
  <w:style w:type="paragraph" w:customStyle="1" w:styleId="Tablelegend">
    <w:name w:val="Table_legend"/>
    <w:basedOn w:val="Tabletext0"/>
    <w:link w:val="TablelegendChar"/>
    <w:rsid w:val="00B82F75"/>
    <w:pPr>
      <w:tabs>
        <w:tab w:val="clear" w:pos="284"/>
      </w:tabs>
      <w:spacing w:before="120"/>
    </w:pPr>
  </w:style>
  <w:style w:type="paragraph" w:customStyle="1" w:styleId="TableNo">
    <w:name w:val="Table_No"/>
    <w:basedOn w:val="Normal"/>
    <w:next w:val="Normal"/>
    <w:link w:val="TableNoChar"/>
    <w:rsid w:val="00B82F75"/>
    <w:pPr>
      <w:keepNext/>
      <w:tabs>
        <w:tab w:val="left" w:pos="1134"/>
        <w:tab w:val="left" w:pos="1871"/>
        <w:tab w:val="left" w:pos="2268"/>
      </w:tabs>
      <w:overflowPunct w:val="0"/>
      <w:adjustRightInd w:val="0"/>
      <w:spacing w:before="560" w:after="120"/>
      <w:jc w:val="center"/>
      <w:textAlignment w:val="baseline"/>
    </w:pPr>
    <w:rPr>
      <w:caps/>
      <w:lang w:val="fr-FR" w:eastAsia="en-US"/>
    </w:rPr>
  </w:style>
  <w:style w:type="paragraph" w:customStyle="1" w:styleId="Tabletitle">
    <w:name w:val="Table_title"/>
    <w:basedOn w:val="Normal"/>
    <w:next w:val="Tabletext0"/>
    <w:link w:val="TabletitleChar"/>
    <w:rsid w:val="00B82F75"/>
    <w:pPr>
      <w:keepNext/>
      <w:keepLines/>
      <w:tabs>
        <w:tab w:val="left" w:pos="1134"/>
        <w:tab w:val="left" w:pos="1871"/>
        <w:tab w:val="left" w:pos="2268"/>
      </w:tabs>
      <w:overflowPunct w:val="0"/>
      <w:adjustRightInd w:val="0"/>
      <w:spacing w:after="120"/>
      <w:jc w:val="center"/>
      <w:textAlignment w:val="baseline"/>
    </w:pPr>
    <w:rPr>
      <w:rFonts w:ascii="Times New Roman Bold" w:hAnsi="Times New Roman Bold"/>
      <w:b/>
      <w:lang w:val="fr-FR" w:eastAsia="en-US"/>
    </w:rPr>
  </w:style>
  <w:style w:type="paragraph" w:customStyle="1" w:styleId="AppArttitle">
    <w:name w:val="App_Art_title"/>
    <w:basedOn w:val="Arttitle"/>
    <w:next w:val="Normalaftertitle"/>
    <w:qFormat/>
    <w:rsid w:val="00B82F75"/>
    <w:rPr>
      <w:lang w:val="fr-CH"/>
    </w:rPr>
  </w:style>
  <w:style w:type="paragraph" w:customStyle="1" w:styleId="AppArtNo">
    <w:name w:val="App_Art_No"/>
    <w:basedOn w:val="ArtNo"/>
    <w:next w:val="AppArttitle"/>
    <w:qFormat/>
    <w:rsid w:val="00B82F75"/>
  </w:style>
  <w:style w:type="paragraph" w:customStyle="1" w:styleId="Volumetitle">
    <w:name w:val="Volume_title"/>
    <w:basedOn w:val="ArtNo"/>
    <w:qFormat/>
    <w:rsid w:val="00B82F75"/>
    <w:rPr>
      <w:lang w:val="fr-CH"/>
    </w:rPr>
  </w:style>
  <w:style w:type="paragraph" w:customStyle="1" w:styleId="Committee">
    <w:name w:val="Committee"/>
    <w:basedOn w:val="Normal"/>
    <w:qFormat/>
    <w:rsid w:val="00B82F75"/>
    <w:pPr>
      <w:framePr w:hSpace="180" w:wrap="around" w:hAnchor="margin" w:y="-675"/>
      <w:tabs>
        <w:tab w:val="left" w:pos="851"/>
        <w:tab w:val="left" w:pos="1134"/>
        <w:tab w:val="left" w:pos="1871"/>
        <w:tab w:val="left" w:pos="2268"/>
      </w:tabs>
      <w:overflowPunct w:val="0"/>
      <w:adjustRightInd w:val="0"/>
      <w:spacing w:line="240" w:lineRule="atLeast"/>
      <w:jc w:val="both"/>
      <w:textAlignment w:val="baseline"/>
    </w:pPr>
    <w:rPr>
      <w:rFonts w:asciiTheme="minorHAnsi" w:hAnsiTheme="minorHAnsi" w:cstheme="minorHAnsi"/>
      <w:b/>
      <w:sz w:val="24"/>
      <w:szCs w:val="24"/>
      <w:lang w:val="en-GB" w:eastAsia="en-US"/>
    </w:rPr>
  </w:style>
  <w:style w:type="character" w:customStyle="1" w:styleId="href">
    <w:name w:val="href"/>
    <w:basedOn w:val="Fuentedeprrafopredeter"/>
    <w:rsid w:val="00B82F75"/>
  </w:style>
  <w:style w:type="paragraph" w:customStyle="1" w:styleId="TableLegend0">
    <w:name w:val="Table_Legend"/>
    <w:basedOn w:val="TableText"/>
    <w:next w:val="Normal"/>
    <w:rsid w:val="00B82F75"/>
    <w:pPr>
      <w:keepNext/>
      <w:tabs>
        <w:tab w:val="left" w:pos="284"/>
        <w:tab w:val="left" w:pos="567"/>
        <w:tab w:val="left" w:pos="851"/>
        <w:tab w:val="left" w:pos="1134"/>
      </w:tabs>
      <w:spacing w:before="120" w:after="0"/>
      <w:jc w:val="both"/>
    </w:pPr>
    <w:rPr>
      <w:noProof/>
      <w:sz w:val="20"/>
      <w:szCs w:val="20"/>
      <w:lang w:val="en-US" w:eastAsia="en-US"/>
    </w:rPr>
  </w:style>
  <w:style w:type="paragraph" w:customStyle="1" w:styleId="TableHead0">
    <w:name w:val="Table_Head"/>
    <w:basedOn w:val="TableText"/>
    <w:next w:val="TableText"/>
    <w:rsid w:val="00B82F75"/>
    <w:pPr>
      <w:spacing w:before="80" w:after="80"/>
      <w:jc w:val="center"/>
    </w:pPr>
    <w:rPr>
      <w:b/>
      <w:noProof/>
      <w:sz w:val="20"/>
      <w:szCs w:val="20"/>
      <w:lang w:val="en-US" w:eastAsia="en-US"/>
    </w:rPr>
  </w:style>
  <w:style w:type="character" w:customStyle="1" w:styleId="EquationChar">
    <w:name w:val="Equation Char"/>
    <w:basedOn w:val="Fuentedeprrafopredeter"/>
    <w:link w:val="Equation"/>
    <w:locked/>
    <w:rsid w:val="00B82F75"/>
    <w:rPr>
      <w:sz w:val="24"/>
      <w:lang w:val="fr-FR" w:eastAsia="en-US"/>
    </w:rPr>
  </w:style>
  <w:style w:type="paragraph" w:customStyle="1" w:styleId="Normalaftertitle0">
    <w:name w:val="Normal_after_title"/>
    <w:basedOn w:val="Normal"/>
    <w:next w:val="Normal"/>
    <w:link w:val="NormalaftertitleChar0"/>
    <w:rsid w:val="00B82F75"/>
    <w:pPr>
      <w:tabs>
        <w:tab w:val="left" w:pos="1134"/>
        <w:tab w:val="left" w:pos="1871"/>
        <w:tab w:val="left" w:pos="2268"/>
      </w:tabs>
      <w:overflowPunct w:val="0"/>
      <w:adjustRightInd w:val="0"/>
      <w:spacing w:before="360"/>
      <w:jc w:val="both"/>
      <w:textAlignment w:val="baseline"/>
    </w:pPr>
    <w:rPr>
      <w:sz w:val="24"/>
      <w:lang w:val="fr-FR" w:eastAsia="en-US"/>
    </w:rPr>
  </w:style>
  <w:style w:type="paragraph" w:customStyle="1" w:styleId="Tablefin">
    <w:name w:val="Table_fin"/>
    <w:basedOn w:val="Normal"/>
    <w:rsid w:val="00B82F75"/>
    <w:pPr>
      <w:tabs>
        <w:tab w:val="left" w:pos="1871"/>
        <w:tab w:val="left" w:pos="2268"/>
      </w:tabs>
      <w:overflowPunct w:val="0"/>
      <w:adjustRightInd w:val="0"/>
      <w:jc w:val="both"/>
      <w:textAlignment w:val="baseline"/>
    </w:pPr>
    <w:rPr>
      <w:sz w:val="12"/>
      <w:lang w:val="fr-FR" w:eastAsia="en-US"/>
    </w:rPr>
  </w:style>
  <w:style w:type="character" w:customStyle="1" w:styleId="MODRef">
    <w:name w:val="MODRef"/>
    <w:basedOn w:val="Fuentedeprrafopredeter"/>
    <w:rsid w:val="00B82F75"/>
    <w:rPr>
      <w:b/>
      <w:sz w:val="24"/>
      <w:lang w:val="fr-FR"/>
    </w:rPr>
  </w:style>
  <w:style w:type="paragraph" w:customStyle="1" w:styleId="TableTitle0">
    <w:name w:val="Table_Title"/>
    <w:basedOn w:val="Normal"/>
    <w:next w:val="TableText"/>
    <w:rsid w:val="00B82F75"/>
    <w:pPr>
      <w:keepNext/>
      <w:overflowPunct w:val="0"/>
      <w:adjustRightInd w:val="0"/>
      <w:spacing w:after="120"/>
      <w:jc w:val="center"/>
      <w:textAlignment w:val="baseline"/>
    </w:pPr>
    <w:rPr>
      <w:b/>
      <w:bCs/>
      <w:noProof/>
      <w:lang w:val="en-US" w:eastAsia="en-US"/>
    </w:rPr>
  </w:style>
  <w:style w:type="paragraph" w:customStyle="1" w:styleId="Blanc">
    <w:name w:val="Blanc"/>
    <w:basedOn w:val="Normal"/>
    <w:rsid w:val="00B82F75"/>
    <w:pPr>
      <w:keepNext/>
      <w:tabs>
        <w:tab w:val="left" w:pos="737"/>
        <w:tab w:val="left" w:pos="1134"/>
        <w:tab w:val="left" w:pos="1644"/>
      </w:tabs>
      <w:overflowPunct w:val="0"/>
      <w:adjustRightInd w:val="0"/>
      <w:spacing w:line="86" w:lineRule="exact"/>
      <w:jc w:val="center"/>
      <w:textAlignment w:val="baseline"/>
    </w:pPr>
    <w:rPr>
      <w:rFonts w:ascii="Times" w:hAnsi="Times"/>
      <w:sz w:val="8"/>
      <w:lang w:val="en-GB" w:eastAsia="en-US"/>
    </w:rPr>
  </w:style>
  <w:style w:type="paragraph" w:customStyle="1" w:styleId="TableFin0">
    <w:name w:val="Table_Fin"/>
    <w:basedOn w:val="Normal"/>
    <w:rsid w:val="00B82F75"/>
    <w:pPr>
      <w:tabs>
        <w:tab w:val="left" w:pos="1871"/>
        <w:tab w:val="left" w:pos="2268"/>
      </w:tabs>
      <w:overflowPunct w:val="0"/>
      <w:adjustRightInd w:val="0"/>
      <w:jc w:val="both"/>
      <w:textAlignment w:val="baseline"/>
    </w:pPr>
    <w:rPr>
      <w:noProof/>
      <w:sz w:val="12"/>
      <w:lang w:val="en-US" w:eastAsia="en-US"/>
    </w:rPr>
  </w:style>
  <w:style w:type="paragraph" w:customStyle="1" w:styleId="VolumeTitle0">
    <w:name w:val="VolumeTitle"/>
    <w:basedOn w:val="Normal"/>
    <w:qFormat/>
    <w:rsid w:val="00B82F75"/>
    <w:pPr>
      <w:autoSpaceDE/>
      <w:autoSpaceDN/>
      <w:jc w:val="center"/>
    </w:pPr>
    <w:rPr>
      <w:sz w:val="36"/>
      <w:szCs w:val="36"/>
      <w:lang w:val="fr-FR" w:eastAsia="en-US"/>
    </w:rPr>
  </w:style>
  <w:style w:type="character" w:customStyle="1" w:styleId="FootnoteText1">
    <w:name w:val="Footnote Text1"/>
    <w:basedOn w:val="Fuentedeprrafopredeter"/>
    <w:rsid w:val="00B82F75"/>
    <w:rPr>
      <w:sz w:val="20"/>
      <w:lang w:val="en-GB" w:eastAsia="en-US" w:bidi="ar-SA"/>
    </w:rPr>
  </w:style>
  <w:style w:type="character" w:customStyle="1" w:styleId="Artref0">
    <w:name w:val="Art#_ref"/>
    <w:basedOn w:val="Fuentedeprrafopredeter"/>
    <w:rsid w:val="00B82F75"/>
  </w:style>
  <w:style w:type="paragraph" w:customStyle="1" w:styleId="AnnexNoTitle">
    <w:name w:val="Annex_NoTitle"/>
    <w:basedOn w:val="Normal"/>
    <w:next w:val="Normal"/>
    <w:link w:val="AnnexNoTitleChar"/>
    <w:rsid w:val="00B82F75"/>
    <w:pPr>
      <w:keepNext/>
      <w:keepLines/>
      <w:tabs>
        <w:tab w:val="left" w:pos="794"/>
        <w:tab w:val="left" w:pos="1191"/>
        <w:tab w:val="left" w:pos="1588"/>
        <w:tab w:val="left" w:pos="1985"/>
      </w:tabs>
      <w:overflowPunct w:val="0"/>
      <w:adjustRightInd w:val="0"/>
      <w:spacing w:before="480"/>
      <w:jc w:val="center"/>
      <w:textAlignment w:val="baseline"/>
    </w:pPr>
    <w:rPr>
      <w:b/>
      <w:sz w:val="28"/>
      <w:lang w:val="en-GB" w:eastAsia="en-US"/>
    </w:rPr>
  </w:style>
  <w:style w:type="character" w:customStyle="1" w:styleId="Normal10">
    <w:name w:val="Normal1"/>
    <w:basedOn w:val="Fuentedeprrafopredeter"/>
    <w:rsid w:val="00B82F75"/>
    <w:rPr>
      <w:rFonts w:ascii="Times New Roman" w:hAnsi="Times New Roman"/>
      <w:noProof w:val="0"/>
      <w:sz w:val="24"/>
      <w:lang w:val="en-US"/>
    </w:rPr>
  </w:style>
  <w:style w:type="character" w:customStyle="1" w:styleId="AppendixNoChar">
    <w:name w:val="Appendix_No Char"/>
    <w:basedOn w:val="Fuentedeprrafopredeter"/>
    <w:link w:val="AppendixNo"/>
    <w:locked/>
    <w:rsid w:val="00B82F75"/>
    <w:rPr>
      <w:caps/>
      <w:sz w:val="28"/>
      <w:lang w:val="fr-FR" w:eastAsia="en-US"/>
    </w:rPr>
  </w:style>
  <w:style w:type="character" w:customStyle="1" w:styleId="enumlev1Char">
    <w:name w:val="enumlev1 Char"/>
    <w:basedOn w:val="Fuentedeprrafopredeter"/>
    <w:link w:val="enumlev1"/>
    <w:locked/>
    <w:rsid w:val="00B82F75"/>
    <w:rPr>
      <w:sz w:val="24"/>
      <w:lang w:val="fr-FR" w:eastAsia="en-US"/>
    </w:rPr>
  </w:style>
  <w:style w:type="character" w:customStyle="1" w:styleId="NormalaftertitleChar">
    <w:name w:val="Normal after title Char"/>
    <w:basedOn w:val="Fuentedeprrafopredeter"/>
    <w:link w:val="Normalaftertitle"/>
    <w:rsid w:val="00B82F75"/>
    <w:rPr>
      <w:sz w:val="24"/>
      <w:lang w:val="fr-FR" w:eastAsia="en-US"/>
    </w:rPr>
  </w:style>
  <w:style w:type="paragraph" w:customStyle="1" w:styleId="MainTitle">
    <w:name w:val="Main_Title"/>
    <w:basedOn w:val="Encabezado"/>
    <w:rsid w:val="00B82F75"/>
    <w:pPr>
      <w:tabs>
        <w:tab w:val="clear" w:pos="4419"/>
        <w:tab w:val="clear" w:pos="8838"/>
        <w:tab w:val="right" w:pos="9639"/>
      </w:tabs>
      <w:autoSpaceDE/>
      <w:autoSpaceDN/>
      <w:spacing w:before="500" w:line="540" w:lineRule="exact"/>
      <w:jc w:val="center"/>
    </w:pPr>
    <w:rPr>
      <w:rFonts w:ascii="Times New Roman Bold" w:eastAsia="'宋体" w:hAnsi="Times New Roman Bold"/>
      <w:b/>
      <w:bCs/>
      <w:smallCaps/>
      <w:sz w:val="36"/>
      <w:szCs w:val="36"/>
      <w:lang w:val="en-GB" w:eastAsia="zh-CN"/>
    </w:rPr>
  </w:style>
  <w:style w:type="paragraph" w:styleId="Textoindependiente2">
    <w:name w:val="Body Text 2"/>
    <w:basedOn w:val="Normal"/>
    <w:link w:val="Textoindependiente2Car"/>
    <w:rsid w:val="00B82F75"/>
    <w:pPr>
      <w:tabs>
        <w:tab w:val="left" w:pos="794"/>
        <w:tab w:val="left" w:pos="1191"/>
        <w:tab w:val="left" w:pos="1588"/>
        <w:tab w:val="left" w:pos="1985"/>
      </w:tabs>
      <w:autoSpaceDE/>
      <w:autoSpaceDN/>
      <w:spacing w:before="120"/>
      <w:jc w:val="center"/>
    </w:pPr>
    <w:rPr>
      <w:color w:val="003399"/>
      <w:sz w:val="48"/>
      <w:szCs w:val="44"/>
      <w:lang w:val="en-US" w:eastAsia="en-US"/>
    </w:rPr>
  </w:style>
  <w:style w:type="character" w:customStyle="1" w:styleId="Textoindependiente2Car">
    <w:name w:val="Texto independiente 2 Car"/>
    <w:basedOn w:val="Fuentedeprrafopredeter"/>
    <w:link w:val="Textoindependiente2"/>
    <w:rsid w:val="00B82F75"/>
    <w:rPr>
      <w:color w:val="003399"/>
      <w:sz w:val="48"/>
      <w:szCs w:val="44"/>
      <w:lang w:val="en-US" w:eastAsia="en-US"/>
    </w:rPr>
  </w:style>
  <w:style w:type="character" w:customStyle="1" w:styleId="ChaptitleChar">
    <w:name w:val="Chap_title Char"/>
    <w:basedOn w:val="Fuentedeprrafopredeter"/>
    <w:link w:val="Chaptitle"/>
    <w:locked/>
    <w:rsid w:val="00B82F75"/>
    <w:rPr>
      <w:b/>
      <w:sz w:val="28"/>
      <w:lang w:val="fr-FR" w:eastAsia="en-US"/>
    </w:rPr>
  </w:style>
  <w:style w:type="character" w:customStyle="1" w:styleId="Ttulo1Car">
    <w:name w:val="Título 1 Car"/>
    <w:aliases w:val="H1-TS Car,h1 Car,1st level Car,H1 Car,h11 Car,h12 Car,h13 Car,h14 Car,h15 Car,h16 Car,h17 Car,h111 Car,h121 Car,h131 Car,h141 Car,h151 Car,h161 Car,h18 Car,h112 Car,h122 Car,h132 Car,h142 Car,h152 Car,h162 Car,h19 Car,h113 Car,h123 Car"/>
    <w:basedOn w:val="Fuentedeprrafopredeter"/>
    <w:link w:val="Ttulo1"/>
    <w:rsid w:val="00B82F75"/>
    <w:rPr>
      <w:sz w:val="24"/>
      <w:szCs w:val="24"/>
      <w:lang w:val="es-MX" w:eastAsia="es-MX"/>
    </w:rPr>
  </w:style>
  <w:style w:type="character" w:customStyle="1" w:styleId="TabletextChar0">
    <w:name w:val="Table_text Char"/>
    <w:basedOn w:val="Fuentedeprrafopredeter"/>
    <w:link w:val="Tabletext0"/>
    <w:locked/>
    <w:rsid w:val="00B82F75"/>
    <w:rPr>
      <w:lang w:val="fr-FR" w:eastAsia="en-US"/>
    </w:rPr>
  </w:style>
  <w:style w:type="character" w:customStyle="1" w:styleId="Ttulo4Car">
    <w:name w:val="Título 4 Car"/>
    <w:aliases w:val="H4 Car,h4 Car,H41 Car,h41 Car,H42 Car,h42 Car,H43 Car,h43 Car,H411 Car,h411 Car,H421 Car,h421 Car,H44 Car,h44 Car,H412 Car,h412 Car,H422 Car,h422 Car,H431 Car,h431 Car,H45 Car,h45 Car,H413 Car,h413 Car,H423 Car,h423 Car,H432 Car,h432 Car"/>
    <w:basedOn w:val="Fuentedeprrafopredeter"/>
    <w:link w:val="Ttulo4"/>
    <w:rsid w:val="00B82F75"/>
    <w:rPr>
      <w:b/>
      <w:bCs/>
      <w:lang w:val="es-MX" w:eastAsia="es-MX"/>
    </w:rPr>
  </w:style>
  <w:style w:type="character" w:customStyle="1" w:styleId="NoteChar">
    <w:name w:val="Note Char"/>
    <w:basedOn w:val="Fuentedeprrafopredeter"/>
    <w:link w:val="Note"/>
    <w:rsid w:val="00B82F75"/>
    <w:rPr>
      <w:sz w:val="24"/>
      <w:szCs w:val="24"/>
      <w:lang w:val="es-ES_tradnl"/>
    </w:rPr>
  </w:style>
  <w:style w:type="character" w:customStyle="1" w:styleId="ReasonsChar">
    <w:name w:val="Reasons Char"/>
    <w:basedOn w:val="Fuentedeprrafopredeter"/>
    <w:link w:val="Reasons"/>
    <w:rsid w:val="00B82F75"/>
    <w:rPr>
      <w:sz w:val="24"/>
      <w:lang w:val="fr-FR" w:eastAsia="en-US"/>
    </w:rPr>
  </w:style>
  <w:style w:type="paragraph" w:customStyle="1" w:styleId="MEP">
    <w:name w:val="MEP"/>
    <w:basedOn w:val="Normal"/>
    <w:rsid w:val="00B82F75"/>
    <w:pPr>
      <w:tabs>
        <w:tab w:val="left" w:pos="1134"/>
        <w:tab w:val="left" w:pos="1871"/>
        <w:tab w:val="left" w:pos="2268"/>
      </w:tabs>
      <w:overflowPunct w:val="0"/>
      <w:adjustRightInd w:val="0"/>
      <w:spacing w:before="240"/>
      <w:jc w:val="both"/>
      <w:textAlignment w:val="baseline"/>
    </w:pPr>
    <w:rPr>
      <w:sz w:val="24"/>
      <w:lang w:val="fr-FR" w:eastAsia="en-US"/>
    </w:rPr>
  </w:style>
  <w:style w:type="character" w:customStyle="1" w:styleId="Ttulo2Car">
    <w:name w:val="Título 2 Car"/>
    <w:aliases w:val="l2 Car,h2 Car,título 2 Car,H2 Car,h21 Car,Heading Two Car,R2 Car,Sub-section Car,Annex2 Car,UNDERRUBRIK 1-2 Car,2 Car,level 2 Car,Titre 2P Car,Titre2P Car,2nd level Car,Header 2 Car,2H Car"/>
    <w:basedOn w:val="Fuentedeprrafopredeter"/>
    <w:link w:val="Ttulo2"/>
    <w:rsid w:val="00B82F75"/>
    <w:rPr>
      <w:b/>
      <w:bCs/>
      <w:sz w:val="24"/>
      <w:szCs w:val="24"/>
      <w:lang w:val="es-MX" w:eastAsia="es-MX"/>
    </w:rPr>
  </w:style>
  <w:style w:type="character" w:customStyle="1" w:styleId="Ttulo3Car">
    <w:name w:val="Título 3 Car"/>
    <w:aliases w:val="3 Car,Titre 3 Car,1 Car,heading 3 Car,31 Car,Titre 31 Car,?? 3 Car,h3 Car,??? 3 Car,l3 Car,título 3 Car,sub 2 Car,Memo Heading 3 Car,H3 Car,h31 Car"/>
    <w:basedOn w:val="Fuentedeprrafopredeter"/>
    <w:link w:val="Ttulo3"/>
    <w:rsid w:val="00B82F75"/>
    <w:rPr>
      <w:sz w:val="24"/>
      <w:szCs w:val="24"/>
      <w:lang w:val="es-MX" w:eastAsia="es-MX"/>
    </w:rPr>
  </w:style>
  <w:style w:type="character" w:styleId="Hipervnculovisitado">
    <w:name w:val="FollowedHyperlink"/>
    <w:basedOn w:val="Fuentedeprrafopredeter"/>
    <w:uiPriority w:val="99"/>
    <w:unhideWhenUsed/>
    <w:rsid w:val="00B82F75"/>
    <w:rPr>
      <w:color w:val="3EBBF0" w:themeColor="followedHyperlink"/>
      <w:u w:val="single"/>
    </w:rPr>
  </w:style>
  <w:style w:type="character" w:customStyle="1" w:styleId="Heading3Char1">
    <w:name w:val="Heading 3 Char1"/>
    <w:aliases w:val="3 Char1,Titre 3 Char1,1 Char1,heading 3 Char1,31 Char1,Titre 31 Char1,?? 3 Char1"/>
    <w:basedOn w:val="Fuentedeprrafopredeter"/>
    <w:semiHidden/>
    <w:rsid w:val="00B82F75"/>
    <w:rPr>
      <w:rFonts w:asciiTheme="majorHAnsi" w:eastAsiaTheme="majorEastAsia" w:hAnsiTheme="majorHAnsi" w:cstheme="majorBidi"/>
      <w:b/>
      <w:bCs/>
      <w:color w:val="629DD1" w:themeColor="accent1"/>
      <w:sz w:val="24"/>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Fuentedeprrafopredeter"/>
    <w:semiHidden/>
    <w:rsid w:val="00B82F75"/>
    <w:rPr>
      <w:rFonts w:asciiTheme="majorHAnsi" w:eastAsiaTheme="majorEastAsia" w:hAnsiTheme="majorHAnsi" w:cstheme="majorBidi"/>
      <w:b/>
      <w:bCs/>
      <w:i/>
      <w:iCs/>
      <w:color w:val="629DD1" w:themeColor="accent1"/>
      <w:sz w:val="24"/>
      <w:lang w:val="en-GB" w:eastAsia="en-US"/>
    </w:rPr>
  </w:style>
  <w:style w:type="character" w:customStyle="1" w:styleId="Heading5Char1">
    <w:name w:val="Heading 5 Char1"/>
    <w:aliases w:val="H5 Char1"/>
    <w:basedOn w:val="Fuentedeprrafopredeter"/>
    <w:semiHidden/>
    <w:rsid w:val="00B82F75"/>
    <w:rPr>
      <w:rFonts w:asciiTheme="majorHAnsi" w:eastAsiaTheme="majorEastAsia" w:hAnsiTheme="majorHAnsi" w:cstheme="majorBidi"/>
      <w:color w:val="224E76" w:themeColor="accent1" w:themeShade="7F"/>
      <w:sz w:val="24"/>
      <w:lang w:val="en-GB" w:eastAsia="en-US"/>
    </w:rPr>
  </w:style>
  <w:style w:type="character" w:styleId="MquinadeescribirHTML">
    <w:name w:val="HTML Typewriter"/>
    <w:basedOn w:val="Fuentedeprrafopredeter"/>
    <w:unhideWhenUsed/>
    <w:rsid w:val="00B82F75"/>
    <w:rPr>
      <w:rFonts w:ascii="Courier New" w:eastAsia="Times New Roman" w:hAnsi="Courier New" w:cs="Courier New" w:hint="default"/>
      <w:sz w:val="20"/>
      <w:szCs w:val="20"/>
    </w:rPr>
  </w:style>
  <w:style w:type="character" w:customStyle="1" w:styleId="Heading9Char1">
    <w:name w:val="Heading 9 Char1"/>
    <w:aliases w:val="Topic Char1,table Char1,t Char1,9 Char1,Heading 9.table Char1,Titre 9 Char1,heading 9 Char1"/>
    <w:basedOn w:val="Fuentedeprrafopredeter"/>
    <w:semiHidden/>
    <w:rsid w:val="00B82F75"/>
    <w:rPr>
      <w:rFonts w:asciiTheme="majorHAnsi" w:eastAsiaTheme="majorEastAsia" w:hAnsiTheme="majorHAnsi" w:cstheme="majorBidi"/>
      <w:i/>
      <w:iCs/>
      <w:color w:val="404040" w:themeColor="text1" w:themeTint="BF"/>
      <w:lang w:val="en-GB" w:eastAsia="en-US"/>
    </w:rPr>
  </w:style>
  <w:style w:type="paragraph" w:styleId="TDC9">
    <w:name w:val="toc 9"/>
    <w:basedOn w:val="Normal"/>
    <w:next w:val="Normal"/>
    <w:autoRedefine/>
    <w:uiPriority w:val="39"/>
    <w:unhideWhenUsed/>
    <w:rsid w:val="00B82F75"/>
    <w:pPr>
      <w:tabs>
        <w:tab w:val="right" w:leader="dot" w:pos="9355"/>
      </w:tabs>
      <w:overflowPunct w:val="0"/>
      <w:adjustRightInd w:val="0"/>
      <w:spacing w:before="240"/>
      <w:ind w:left="1920"/>
      <w:jc w:val="both"/>
    </w:pPr>
    <w:rPr>
      <w:sz w:val="24"/>
      <w:lang w:val="fr-FR" w:eastAsia="en-US"/>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basedOn w:val="Fuentedeprrafopredeter"/>
    <w:rsid w:val="00B82F75"/>
    <w:rPr>
      <w:sz w:val="24"/>
      <w:lang w:val="en-GB" w:eastAsia="en-US" w:bidi="ar-SA"/>
    </w:rPr>
  </w:style>
  <w:style w:type="character" w:customStyle="1" w:styleId="HeaderChar1">
    <w:name w:val="Header Char1"/>
    <w:aliases w:val="encabezado Char1,he Char1,header odd Char1,header odd1 Char1,header odd2 Char1,header Char1,h Char1,Header/Footer Char1,Page No Char1"/>
    <w:basedOn w:val="Fuentedeprrafopredeter"/>
    <w:uiPriority w:val="99"/>
    <w:semiHidden/>
    <w:rsid w:val="00B82F75"/>
    <w:rPr>
      <w:rFonts w:ascii="Times New Roman" w:hAnsi="Times New Roman"/>
      <w:sz w:val="24"/>
      <w:lang w:val="en-GB" w:eastAsia="en-US"/>
    </w:rPr>
  </w:style>
  <w:style w:type="character" w:customStyle="1" w:styleId="FooterChar1">
    <w:name w:val="Footer Char1"/>
    <w:aliases w:val="footer odd Char1,footer Char1,pie de página Char1,pie de p·gina Char1"/>
    <w:basedOn w:val="Fuentedeprrafopredeter"/>
    <w:semiHidden/>
    <w:rsid w:val="00B82F75"/>
    <w:rPr>
      <w:rFonts w:ascii="Times New Roman" w:hAnsi="Times New Roman"/>
      <w:sz w:val="24"/>
      <w:lang w:val="en-GB" w:eastAsia="en-US"/>
    </w:rPr>
  </w:style>
  <w:style w:type="paragraph" w:styleId="Listaconvietas">
    <w:name w:val="List Bullet"/>
    <w:basedOn w:val="Normal"/>
    <w:unhideWhenUsed/>
    <w:rsid w:val="00B82F75"/>
    <w:pPr>
      <w:numPr>
        <w:numId w:val="13"/>
      </w:numPr>
      <w:tabs>
        <w:tab w:val="left" w:pos="1134"/>
        <w:tab w:val="left" w:pos="1871"/>
        <w:tab w:val="left" w:pos="2268"/>
      </w:tabs>
      <w:overflowPunct w:val="0"/>
      <w:adjustRightInd w:val="0"/>
      <w:spacing w:before="240"/>
      <w:jc w:val="both"/>
    </w:pPr>
    <w:rPr>
      <w:sz w:val="24"/>
      <w:lang w:val="fr-FR" w:eastAsia="en-US"/>
    </w:rPr>
  </w:style>
  <w:style w:type="character" w:customStyle="1" w:styleId="TextoindependienteCar">
    <w:name w:val="Texto independiente Car"/>
    <w:basedOn w:val="Fuentedeprrafopredeter"/>
    <w:link w:val="Textoindependiente"/>
    <w:rsid w:val="00B82F75"/>
    <w:rPr>
      <w:sz w:val="24"/>
      <w:szCs w:val="24"/>
      <w:lang w:val="es-MX" w:eastAsia="es-MX"/>
    </w:rPr>
  </w:style>
  <w:style w:type="paragraph" w:styleId="Fecha">
    <w:name w:val="Date"/>
    <w:basedOn w:val="Normal"/>
    <w:next w:val="Normal"/>
    <w:link w:val="FechaCar"/>
    <w:unhideWhenUsed/>
    <w:rsid w:val="00B82F75"/>
    <w:pPr>
      <w:tabs>
        <w:tab w:val="left" w:pos="1134"/>
        <w:tab w:val="left" w:pos="1871"/>
        <w:tab w:val="left" w:pos="2268"/>
      </w:tabs>
      <w:overflowPunct w:val="0"/>
      <w:adjustRightInd w:val="0"/>
      <w:spacing w:before="120"/>
      <w:jc w:val="both"/>
    </w:pPr>
    <w:rPr>
      <w:noProof/>
      <w:sz w:val="24"/>
      <w:lang w:val="en-CA" w:eastAsia="en-US"/>
    </w:rPr>
  </w:style>
  <w:style w:type="character" w:customStyle="1" w:styleId="FechaCar">
    <w:name w:val="Fecha Car"/>
    <w:basedOn w:val="Fuentedeprrafopredeter"/>
    <w:link w:val="Fecha"/>
    <w:rsid w:val="00B82F75"/>
    <w:rPr>
      <w:noProof/>
      <w:sz w:val="24"/>
      <w:lang w:val="en-CA" w:eastAsia="en-US"/>
    </w:rPr>
  </w:style>
  <w:style w:type="paragraph" w:styleId="Textosinformato">
    <w:name w:val="Plain Text"/>
    <w:basedOn w:val="Normal"/>
    <w:link w:val="TextosinformatoCar"/>
    <w:unhideWhenUsed/>
    <w:rsid w:val="00B82F75"/>
    <w:pPr>
      <w:autoSpaceDE/>
      <w:autoSpaceDN/>
      <w:jc w:val="both"/>
    </w:pPr>
    <w:rPr>
      <w:rFonts w:ascii="Courier New" w:eastAsia="SimSun" w:hAnsi="Courier New" w:cs="Courier New"/>
      <w:noProof/>
      <w:lang w:val="en-US" w:eastAsia="zh-CN"/>
    </w:rPr>
  </w:style>
  <w:style w:type="character" w:customStyle="1" w:styleId="TextosinformatoCar">
    <w:name w:val="Texto sin formato Car"/>
    <w:basedOn w:val="Fuentedeprrafopredeter"/>
    <w:link w:val="Textosinformato"/>
    <w:rsid w:val="00B82F75"/>
    <w:rPr>
      <w:rFonts w:ascii="Courier New" w:eastAsia="SimSun" w:hAnsi="Courier New" w:cs="Courier New"/>
      <w:noProof/>
      <w:lang w:val="en-US" w:eastAsia="zh-CN"/>
    </w:rPr>
  </w:style>
  <w:style w:type="character" w:customStyle="1" w:styleId="AnnexNoCar">
    <w:name w:val="Annex_No Car"/>
    <w:basedOn w:val="Fuentedeprrafopredeter"/>
    <w:link w:val="AnnexNo"/>
    <w:locked/>
    <w:rsid w:val="00B82F75"/>
    <w:rPr>
      <w:caps/>
      <w:sz w:val="28"/>
      <w:lang w:val="fr-FR" w:eastAsia="en-US"/>
    </w:rPr>
  </w:style>
  <w:style w:type="character" w:customStyle="1" w:styleId="AnnextitleChar">
    <w:name w:val="Annex_title Char"/>
    <w:basedOn w:val="Fuentedeprrafopredeter"/>
    <w:link w:val="Annextitle"/>
    <w:locked/>
    <w:rsid w:val="00B82F75"/>
    <w:rPr>
      <w:rFonts w:ascii="Times New Roman Bold" w:hAnsi="Times New Roman Bold"/>
      <w:b/>
      <w:sz w:val="28"/>
      <w:lang w:val="fr-FR" w:eastAsia="en-US"/>
    </w:rPr>
  </w:style>
  <w:style w:type="character" w:customStyle="1" w:styleId="AppendixtitleChar">
    <w:name w:val="Appendix_title Char"/>
    <w:basedOn w:val="AnnextitleChar"/>
    <w:link w:val="Appendixtitle"/>
    <w:locked/>
    <w:rsid w:val="00B82F75"/>
    <w:rPr>
      <w:rFonts w:ascii="Times New Roman Bold" w:hAnsi="Times New Roman Bold"/>
      <w:b/>
      <w:sz w:val="28"/>
      <w:lang w:val="fr-FR" w:eastAsia="en-US"/>
    </w:rPr>
  </w:style>
  <w:style w:type="character" w:customStyle="1" w:styleId="ArtNoChar">
    <w:name w:val="Art_No Char"/>
    <w:basedOn w:val="Fuentedeprrafopredeter"/>
    <w:link w:val="ArtNo"/>
    <w:locked/>
    <w:rsid w:val="00B82F75"/>
    <w:rPr>
      <w:caps/>
      <w:sz w:val="28"/>
      <w:lang w:val="fr-FR" w:eastAsia="en-US"/>
    </w:rPr>
  </w:style>
  <w:style w:type="character" w:customStyle="1" w:styleId="ArttitleCar">
    <w:name w:val="Art_title Car"/>
    <w:basedOn w:val="Fuentedeprrafopredeter"/>
    <w:link w:val="Arttitle"/>
    <w:locked/>
    <w:rsid w:val="00B82F75"/>
    <w:rPr>
      <w:b/>
      <w:sz w:val="28"/>
      <w:lang w:val="fr-FR" w:eastAsia="en-US"/>
    </w:rPr>
  </w:style>
  <w:style w:type="character" w:customStyle="1" w:styleId="CallChar">
    <w:name w:val="Call Char"/>
    <w:basedOn w:val="Fuentedeprrafopredeter"/>
    <w:link w:val="Call"/>
    <w:locked/>
    <w:rsid w:val="00B82F75"/>
    <w:rPr>
      <w:i/>
      <w:sz w:val="24"/>
      <w:lang w:val="fr-FR" w:eastAsia="en-US"/>
    </w:rPr>
  </w:style>
  <w:style w:type="character" w:customStyle="1" w:styleId="enumlev2Char">
    <w:name w:val="enumlev2 Char"/>
    <w:basedOn w:val="Fuentedeprrafopredeter"/>
    <w:link w:val="enumlev2"/>
    <w:locked/>
    <w:rsid w:val="00B82F75"/>
    <w:rPr>
      <w:sz w:val="24"/>
      <w:lang w:val="fr-FR" w:eastAsia="en-US"/>
    </w:rPr>
  </w:style>
  <w:style w:type="character" w:customStyle="1" w:styleId="FigureNoChar">
    <w:name w:val="Figure_No Char"/>
    <w:basedOn w:val="Fuentedeprrafopredeter"/>
    <w:link w:val="FigureNo"/>
    <w:locked/>
    <w:rsid w:val="00B82F75"/>
    <w:rPr>
      <w:caps/>
      <w:lang w:val="fr-FR" w:eastAsia="en-US"/>
    </w:rPr>
  </w:style>
  <w:style w:type="character" w:customStyle="1" w:styleId="FiguretitleChar">
    <w:name w:val="Figure_title Char"/>
    <w:basedOn w:val="Fuentedeprrafopredeter"/>
    <w:link w:val="Figuretitle"/>
    <w:locked/>
    <w:rsid w:val="00B82F75"/>
    <w:rPr>
      <w:rFonts w:ascii="Times New Roman Bold" w:hAnsi="Times New Roman Bold" w:cs="Times New Roman Bold"/>
      <w:b/>
      <w:lang w:val="fr-FR" w:eastAsia="en-US"/>
    </w:rPr>
  </w:style>
  <w:style w:type="character" w:customStyle="1" w:styleId="Section1Char">
    <w:name w:val="Section_1 Char"/>
    <w:basedOn w:val="Fuentedeprrafopredeter"/>
    <w:link w:val="Section1"/>
    <w:locked/>
    <w:rsid w:val="00B82F75"/>
    <w:rPr>
      <w:b/>
      <w:sz w:val="24"/>
      <w:lang w:val="fr-FR" w:eastAsia="en-US"/>
    </w:rPr>
  </w:style>
  <w:style w:type="character" w:customStyle="1" w:styleId="Section2Char">
    <w:name w:val="Section_2 Char"/>
    <w:basedOn w:val="Section1Char"/>
    <w:link w:val="Section2"/>
    <w:locked/>
    <w:rsid w:val="00B82F75"/>
    <w:rPr>
      <w:b w:val="0"/>
      <w:i/>
      <w:sz w:val="24"/>
      <w:lang w:val="fr-FR" w:eastAsia="en-US"/>
    </w:rPr>
  </w:style>
  <w:style w:type="character" w:customStyle="1" w:styleId="Section3Char">
    <w:name w:val="Section_3 Char"/>
    <w:basedOn w:val="Section1Char"/>
    <w:link w:val="Section3"/>
    <w:locked/>
    <w:rsid w:val="00B82F75"/>
    <w:rPr>
      <w:b w:val="0"/>
      <w:sz w:val="24"/>
      <w:lang w:val="fr-FR" w:eastAsia="en-US"/>
    </w:rPr>
  </w:style>
  <w:style w:type="character" w:customStyle="1" w:styleId="SourceChar">
    <w:name w:val="Source Char"/>
    <w:basedOn w:val="Fuentedeprrafopredeter"/>
    <w:link w:val="Source"/>
    <w:locked/>
    <w:rsid w:val="00B82F75"/>
    <w:rPr>
      <w:b/>
      <w:sz w:val="28"/>
      <w:lang w:val="fr-FR" w:eastAsia="en-US"/>
    </w:rPr>
  </w:style>
  <w:style w:type="character" w:customStyle="1" w:styleId="TableheadChar">
    <w:name w:val="Table_head Char"/>
    <w:basedOn w:val="Fuentedeprrafopredeter"/>
    <w:link w:val="Tablehead"/>
    <w:locked/>
    <w:rsid w:val="00B82F75"/>
    <w:rPr>
      <w:b/>
      <w:lang w:val="fr-FR" w:eastAsia="en-US"/>
    </w:rPr>
  </w:style>
  <w:style w:type="character" w:customStyle="1" w:styleId="TablelegendChar">
    <w:name w:val="Table_legend Char"/>
    <w:basedOn w:val="TabletextChar0"/>
    <w:link w:val="Tablelegend"/>
    <w:locked/>
    <w:rsid w:val="00B82F75"/>
    <w:rPr>
      <w:lang w:val="fr-FR" w:eastAsia="en-US"/>
    </w:rPr>
  </w:style>
  <w:style w:type="character" w:customStyle="1" w:styleId="TableNoChar">
    <w:name w:val="Table_No Char"/>
    <w:basedOn w:val="Fuentedeprrafopredeter"/>
    <w:link w:val="TableNo"/>
    <w:locked/>
    <w:rsid w:val="00B82F75"/>
    <w:rPr>
      <w:caps/>
      <w:lang w:val="fr-FR" w:eastAsia="en-US"/>
    </w:rPr>
  </w:style>
  <w:style w:type="paragraph" w:customStyle="1" w:styleId="Tableref">
    <w:name w:val="Table_ref"/>
    <w:basedOn w:val="Normal"/>
    <w:next w:val="Normal"/>
    <w:rsid w:val="00B82F75"/>
    <w:pPr>
      <w:keepNext/>
      <w:tabs>
        <w:tab w:val="left" w:pos="1134"/>
        <w:tab w:val="left" w:pos="1871"/>
        <w:tab w:val="left" w:pos="2268"/>
      </w:tabs>
      <w:overflowPunct w:val="0"/>
      <w:adjustRightInd w:val="0"/>
      <w:spacing w:before="560"/>
      <w:jc w:val="center"/>
    </w:pPr>
    <w:rPr>
      <w:lang w:val="en-GB" w:eastAsia="en-US"/>
    </w:rPr>
  </w:style>
  <w:style w:type="character" w:customStyle="1" w:styleId="ProposalChar">
    <w:name w:val="Proposal Char"/>
    <w:basedOn w:val="Fuentedeprrafopredeter"/>
    <w:link w:val="Proposal"/>
    <w:locked/>
    <w:rsid w:val="00B82F75"/>
    <w:rPr>
      <w:rFonts w:hAnsi="Times New Roman Bold"/>
      <w:sz w:val="24"/>
      <w:lang w:val="fr-FR" w:eastAsia="en-US"/>
    </w:rPr>
  </w:style>
  <w:style w:type="character" w:customStyle="1" w:styleId="Title1Char">
    <w:name w:val="Title 1 Char"/>
    <w:basedOn w:val="Fuentedeprrafopredeter"/>
    <w:link w:val="Title1"/>
    <w:locked/>
    <w:rsid w:val="00B82F75"/>
    <w:rPr>
      <w:caps/>
      <w:sz w:val="28"/>
      <w:lang w:val="fr-FR" w:eastAsia="en-US"/>
    </w:rPr>
  </w:style>
  <w:style w:type="character" w:customStyle="1" w:styleId="TableTextS5Char">
    <w:name w:val="Table_TextS5 Char"/>
    <w:basedOn w:val="Fuentedeprrafopredeter"/>
    <w:link w:val="TableTextS5"/>
    <w:locked/>
    <w:rsid w:val="00B82F75"/>
    <w:rPr>
      <w:szCs w:val="24"/>
      <w:lang w:val="fr-FR" w:eastAsia="en-US"/>
    </w:rPr>
  </w:style>
  <w:style w:type="character" w:customStyle="1" w:styleId="TabletitleChar">
    <w:name w:val="Table_title Char"/>
    <w:basedOn w:val="Fuentedeprrafopredeter"/>
    <w:link w:val="Tabletitle"/>
    <w:locked/>
    <w:rsid w:val="00B82F75"/>
    <w:rPr>
      <w:rFonts w:ascii="Times New Roman Bold" w:hAnsi="Times New Roman Bold"/>
      <w:b/>
      <w:lang w:val="fr-FR" w:eastAsia="en-US"/>
    </w:rPr>
  </w:style>
  <w:style w:type="character" w:customStyle="1" w:styleId="HeadingbChar">
    <w:name w:val="Heading_b Char"/>
    <w:basedOn w:val="Fuentedeprrafopredeter"/>
    <w:link w:val="Headingb"/>
    <w:locked/>
    <w:rsid w:val="00B82F75"/>
    <w:rPr>
      <w:b/>
      <w:sz w:val="24"/>
      <w:lang w:val="fr-FR" w:eastAsia="en-US"/>
    </w:rPr>
  </w:style>
  <w:style w:type="paragraph" w:customStyle="1" w:styleId="Partref">
    <w:name w:val="Part_ref"/>
    <w:basedOn w:val="Annexref"/>
    <w:next w:val="Normal"/>
    <w:rsid w:val="00B82F75"/>
    <w:pPr>
      <w:textAlignment w:val="auto"/>
    </w:pPr>
    <w:rPr>
      <w:lang w:val="en-GB"/>
    </w:rPr>
  </w:style>
  <w:style w:type="character" w:customStyle="1" w:styleId="RecNoChar">
    <w:name w:val="Rec_No Char"/>
    <w:basedOn w:val="Fuentedeprrafopredeter"/>
    <w:link w:val="RecNo"/>
    <w:locked/>
    <w:rsid w:val="00B82F75"/>
    <w:rPr>
      <w:caps/>
      <w:sz w:val="28"/>
      <w:lang w:val="fr-FR" w:eastAsia="en-US"/>
    </w:rPr>
  </w:style>
  <w:style w:type="character" w:customStyle="1" w:styleId="ResNoChar">
    <w:name w:val="Res_No Char"/>
    <w:basedOn w:val="Fuentedeprrafopredeter"/>
    <w:link w:val="ResNo"/>
    <w:locked/>
    <w:rsid w:val="00B82F75"/>
    <w:rPr>
      <w:caps/>
      <w:sz w:val="28"/>
      <w:lang w:val="fr-FR" w:eastAsia="en-US"/>
    </w:rPr>
  </w:style>
  <w:style w:type="character" w:customStyle="1" w:styleId="RestitleChar">
    <w:name w:val="Res_title Char"/>
    <w:basedOn w:val="Fuentedeprrafopredeter"/>
    <w:link w:val="Restitle"/>
    <w:locked/>
    <w:rsid w:val="00B82F75"/>
    <w:rPr>
      <w:rFonts w:ascii="Times New Roman Bold" w:hAnsi="Times New Roman Bold"/>
      <w:b/>
      <w:sz w:val="28"/>
      <w:lang w:val="fr-FR" w:eastAsia="en-US"/>
    </w:rPr>
  </w:style>
  <w:style w:type="paragraph" w:customStyle="1" w:styleId="SubSection10">
    <w:name w:val="SubSection_1"/>
    <w:basedOn w:val="Section1"/>
    <w:qFormat/>
    <w:rsid w:val="00B82F75"/>
    <w:pPr>
      <w:textAlignment w:val="auto"/>
    </w:pPr>
    <w:rPr>
      <w:lang w:val="en-GB"/>
    </w:rPr>
  </w:style>
  <w:style w:type="paragraph" w:customStyle="1" w:styleId="TabletextHanging0">
    <w:name w:val="Table_text + Hanging:  0"/>
    <w:aliases w:val="5 cm"/>
    <w:basedOn w:val="Tabletext0"/>
    <w:rsid w:val="00B82F75"/>
    <w:pPr>
      <w:ind w:left="284" w:hanging="284"/>
      <w:textAlignment w:val="auto"/>
    </w:pPr>
    <w:rPr>
      <w:lang w:val="en-US"/>
    </w:rPr>
  </w:style>
  <w:style w:type="character" w:customStyle="1" w:styleId="NormalaftertitleChar0">
    <w:name w:val="Normal_after_title Char"/>
    <w:basedOn w:val="Fuentedeprrafopredeter"/>
    <w:link w:val="Normalaftertitle0"/>
    <w:locked/>
    <w:rsid w:val="00B82F75"/>
    <w:rPr>
      <w:sz w:val="24"/>
      <w:lang w:val="fr-FR" w:eastAsia="en-US"/>
    </w:rPr>
  </w:style>
  <w:style w:type="paragraph" w:customStyle="1" w:styleId="StyleAnnextitleBlack">
    <w:name w:val="Style Annex_title + Black"/>
    <w:basedOn w:val="Annextitle"/>
    <w:rsid w:val="00B82F75"/>
    <w:pPr>
      <w:textAlignment w:val="auto"/>
    </w:pPr>
    <w:rPr>
      <w:rFonts w:cs="Times New Roman Bold"/>
    </w:rPr>
  </w:style>
  <w:style w:type="character" w:customStyle="1" w:styleId="TableTextChar">
    <w:name w:val="Table_Text Char"/>
    <w:basedOn w:val="Fuentedeprrafopredeter"/>
    <w:link w:val="TableText"/>
    <w:locked/>
    <w:rsid w:val="00B82F75"/>
    <w:rPr>
      <w:sz w:val="22"/>
      <w:szCs w:val="24"/>
      <w:lang w:val="es-ES_tradnl" w:eastAsia="es-ES"/>
    </w:rPr>
  </w:style>
  <w:style w:type="paragraph" w:customStyle="1" w:styleId="headfoot">
    <w:name w:val="head_foot"/>
    <w:basedOn w:val="Normal"/>
    <w:next w:val="Normalaftertitle"/>
    <w:rsid w:val="00B82F75"/>
    <w:pPr>
      <w:tabs>
        <w:tab w:val="left" w:pos="1134"/>
        <w:tab w:val="left" w:pos="1871"/>
        <w:tab w:val="left" w:pos="2268"/>
      </w:tabs>
      <w:overflowPunct w:val="0"/>
      <w:adjustRightInd w:val="0"/>
      <w:jc w:val="both"/>
    </w:pPr>
    <w:rPr>
      <w:color w:val="0000FF"/>
      <w:lang w:val="fr-FR" w:eastAsia="en-US"/>
    </w:rPr>
  </w:style>
  <w:style w:type="paragraph" w:customStyle="1" w:styleId="listitem">
    <w:name w:val="listitem"/>
    <w:basedOn w:val="Normal"/>
    <w:rsid w:val="00B82F75"/>
    <w:pPr>
      <w:keepLines/>
      <w:tabs>
        <w:tab w:val="left" w:pos="1134"/>
        <w:tab w:val="left" w:pos="1871"/>
        <w:tab w:val="left" w:pos="2268"/>
      </w:tabs>
      <w:overflowPunct w:val="0"/>
      <w:adjustRightInd w:val="0"/>
      <w:jc w:val="both"/>
    </w:pPr>
    <w:rPr>
      <w:sz w:val="24"/>
      <w:lang w:val="fr-FR" w:eastAsia="en-US"/>
    </w:rPr>
  </w:style>
  <w:style w:type="paragraph" w:customStyle="1" w:styleId="Signpart">
    <w:name w:val="Sign_part"/>
    <w:basedOn w:val="Signcountry"/>
    <w:rsid w:val="00B82F75"/>
    <w:pPr>
      <w:keepNext w:val="0"/>
      <w:keepLines w:val="0"/>
      <w:spacing w:before="0"/>
      <w:ind w:left="284"/>
    </w:pPr>
    <w:rPr>
      <w:b w:val="0"/>
      <w:smallCaps/>
    </w:rPr>
  </w:style>
  <w:style w:type="paragraph" w:customStyle="1" w:styleId="Signcountry">
    <w:name w:val="Sign_country"/>
    <w:basedOn w:val="Normal"/>
    <w:next w:val="Signpart"/>
    <w:rsid w:val="00B82F75"/>
    <w:pPr>
      <w:keepNext/>
      <w:keepLines/>
      <w:tabs>
        <w:tab w:val="left" w:pos="1134"/>
        <w:tab w:val="left" w:pos="1871"/>
        <w:tab w:val="left" w:pos="2268"/>
      </w:tabs>
      <w:overflowPunct w:val="0"/>
      <w:adjustRightInd w:val="0"/>
      <w:spacing w:before="240" w:after="57"/>
      <w:jc w:val="both"/>
    </w:pPr>
    <w:rPr>
      <w:b/>
      <w:sz w:val="24"/>
      <w:lang w:val="fr-FR" w:eastAsia="en-US"/>
    </w:rPr>
  </w:style>
  <w:style w:type="paragraph" w:customStyle="1" w:styleId="Protfin">
    <w:name w:val="Prot_fin"/>
    <w:basedOn w:val="Normal"/>
    <w:next w:val="Normalaftertitle"/>
    <w:rsid w:val="00B82F75"/>
    <w:pPr>
      <w:pageBreakBefore/>
      <w:tabs>
        <w:tab w:val="left" w:pos="1134"/>
        <w:tab w:val="left" w:pos="1871"/>
        <w:tab w:val="left" w:pos="2268"/>
      </w:tabs>
      <w:overflowPunct w:val="0"/>
      <w:adjustRightInd w:val="0"/>
      <w:spacing w:before="720" w:after="240"/>
      <w:jc w:val="center"/>
    </w:pPr>
    <w:rPr>
      <w:b/>
      <w:sz w:val="24"/>
      <w:lang w:val="fr-FR" w:eastAsia="en-US"/>
    </w:rPr>
  </w:style>
  <w:style w:type="paragraph" w:customStyle="1" w:styleId="Protlang">
    <w:name w:val="Prot_lang"/>
    <w:basedOn w:val="Normal"/>
    <w:rsid w:val="00B82F75"/>
    <w:pPr>
      <w:tabs>
        <w:tab w:val="left" w:pos="1134"/>
        <w:tab w:val="left" w:pos="1871"/>
        <w:tab w:val="left" w:pos="2268"/>
      </w:tabs>
      <w:overflowPunct w:val="0"/>
      <w:adjustRightInd w:val="0"/>
      <w:spacing w:before="120"/>
      <w:jc w:val="both"/>
    </w:pPr>
    <w:rPr>
      <w:sz w:val="24"/>
      <w:lang w:val="en-GB" w:eastAsia="en-US"/>
    </w:rPr>
  </w:style>
  <w:style w:type="paragraph" w:customStyle="1" w:styleId="ProtNo">
    <w:name w:val="Prot_No"/>
    <w:basedOn w:val="Normal"/>
    <w:next w:val="Protlang"/>
    <w:rsid w:val="00B82F75"/>
    <w:pPr>
      <w:keepNext/>
      <w:tabs>
        <w:tab w:val="left" w:pos="1134"/>
        <w:tab w:val="left" w:pos="1871"/>
        <w:tab w:val="left" w:pos="2268"/>
      </w:tabs>
      <w:overflowPunct w:val="0"/>
      <w:adjustRightInd w:val="0"/>
      <w:spacing w:before="240"/>
      <w:jc w:val="center"/>
    </w:pPr>
    <w:rPr>
      <w:sz w:val="24"/>
      <w:lang w:val="fr-FR" w:eastAsia="en-US"/>
    </w:rPr>
  </w:style>
  <w:style w:type="paragraph" w:customStyle="1" w:styleId="Protpays">
    <w:name w:val="Prot_pays"/>
    <w:basedOn w:val="Protlang"/>
    <w:next w:val="headfoot"/>
    <w:rsid w:val="00B82F75"/>
    <w:pPr>
      <w:keepNext/>
      <w:keepLines/>
      <w:framePr w:hSpace="181" w:vSpace="181" w:wrap="auto" w:hAnchor="text" w:xAlign="right"/>
      <w:spacing w:before="113" w:line="199" w:lineRule="exact"/>
      <w:jc w:val="left"/>
    </w:pPr>
    <w:rPr>
      <w:i/>
      <w:sz w:val="18"/>
      <w:lang w:val="fr-FR"/>
    </w:rPr>
  </w:style>
  <w:style w:type="paragraph" w:customStyle="1" w:styleId="Prottexte">
    <w:name w:val="Prot_texte"/>
    <w:basedOn w:val="Protlang"/>
    <w:rsid w:val="00B82F75"/>
    <w:pPr>
      <w:framePr w:hSpace="181" w:vSpace="181" w:wrap="auto" w:hAnchor="text" w:xAlign="right"/>
      <w:spacing w:before="113" w:line="199" w:lineRule="exact"/>
    </w:pPr>
    <w:rPr>
      <w:sz w:val="18"/>
      <w:lang w:val="fr-FR"/>
    </w:rPr>
  </w:style>
  <w:style w:type="paragraph" w:customStyle="1" w:styleId="Protcall">
    <w:name w:val="Prot_call"/>
    <w:basedOn w:val="Prottexte"/>
    <w:next w:val="Prottexte"/>
    <w:rsid w:val="00B82F75"/>
    <w:pPr>
      <w:keepNext/>
      <w:keepLines/>
      <w:framePr w:hSpace="0" w:vSpace="0" w:wrap="auto" w:xAlign="left"/>
      <w:spacing w:before="170"/>
      <w:ind w:left="794"/>
      <w:jc w:val="left"/>
    </w:pPr>
    <w:rPr>
      <w:i/>
    </w:rPr>
  </w:style>
  <w:style w:type="paragraph" w:customStyle="1" w:styleId="TableNote">
    <w:name w:val="TableNote"/>
    <w:basedOn w:val="Tabletext0"/>
    <w:rsid w:val="00B82F75"/>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textAlignment w:val="auto"/>
    </w:pPr>
    <w:rPr>
      <w:color w:val="000000"/>
    </w:rPr>
  </w:style>
  <w:style w:type="paragraph" w:customStyle="1" w:styleId="StyleTOC3Complex14pt">
    <w:name w:val="Style TOC 3 + (Complex) 14 pt"/>
    <w:basedOn w:val="TDC3"/>
    <w:rsid w:val="00B82F75"/>
    <w:pPr>
      <w:tabs>
        <w:tab w:val="clear" w:pos="567"/>
        <w:tab w:val="clear" w:pos="7938"/>
        <w:tab w:val="clear" w:pos="9526"/>
        <w:tab w:val="left" w:pos="2126"/>
        <w:tab w:val="right" w:leader="dot" w:pos="8505"/>
        <w:tab w:val="right" w:pos="9355"/>
      </w:tabs>
      <w:spacing w:before="160"/>
      <w:ind w:left="2126" w:right="851" w:hanging="2126"/>
      <w:textAlignment w:val="auto"/>
    </w:pPr>
    <w:rPr>
      <w:szCs w:val="28"/>
    </w:rPr>
  </w:style>
  <w:style w:type="paragraph" w:customStyle="1" w:styleId="headingb0">
    <w:name w:val="heading_b"/>
    <w:basedOn w:val="Ttulo3"/>
    <w:next w:val="Normal"/>
    <w:rsid w:val="00B82F75"/>
    <w:pPr>
      <w:keepLines/>
      <w:tabs>
        <w:tab w:val="left" w:pos="794"/>
        <w:tab w:val="left" w:pos="2127"/>
        <w:tab w:val="left" w:pos="2410"/>
        <w:tab w:val="left" w:pos="2921"/>
        <w:tab w:val="left" w:pos="3261"/>
      </w:tabs>
      <w:autoSpaceDE/>
      <w:autoSpaceDN/>
      <w:spacing w:before="160"/>
      <w:ind w:left="0" w:right="0"/>
      <w:outlineLvl w:val="9"/>
    </w:pPr>
    <w:rPr>
      <w:b/>
      <w:szCs w:val="20"/>
      <w:lang w:val="en-GB" w:eastAsia="fr-FR"/>
    </w:rPr>
  </w:style>
  <w:style w:type="paragraph" w:customStyle="1" w:styleId="AnnexTitle0">
    <w:name w:val="Annex_Title"/>
    <w:basedOn w:val="Arttitle"/>
    <w:next w:val="Normal"/>
    <w:rsid w:val="00B82F75"/>
    <w:pPr>
      <w:tabs>
        <w:tab w:val="clear" w:pos="1134"/>
        <w:tab w:val="clear" w:pos="1871"/>
        <w:tab w:val="clear" w:pos="2268"/>
      </w:tabs>
      <w:spacing w:before="160"/>
      <w:textAlignment w:val="auto"/>
    </w:pPr>
    <w:rPr>
      <w:bCs/>
      <w:noProof/>
      <w:szCs w:val="28"/>
      <w:lang w:val="en-US"/>
    </w:rPr>
  </w:style>
  <w:style w:type="paragraph" w:customStyle="1" w:styleId="headingb1">
    <w:name w:val="heading b"/>
    <w:basedOn w:val="Headingb"/>
    <w:rsid w:val="00B82F75"/>
    <w:pPr>
      <w:keepLines/>
      <w:tabs>
        <w:tab w:val="clear" w:pos="2268"/>
      </w:tabs>
      <w:spacing w:before="400"/>
      <w:textAlignment w:val="auto"/>
    </w:pPr>
    <w:rPr>
      <w:bCs/>
      <w:szCs w:val="24"/>
      <w:lang w:val="es-ES_tradnl"/>
    </w:rPr>
  </w:style>
  <w:style w:type="paragraph" w:customStyle="1" w:styleId="Table">
    <w:name w:val="Table_#"/>
    <w:basedOn w:val="Normal"/>
    <w:next w:val="TableTitle0"/>
    <w:rsid w:val="00B82F75"/>
    <w:pPr>
      <w:keepNext/>
      <w:overflowPunct w:val="0"/>
      <w:adjustRightInd w:val="0"/>
      <w:spacing w:before="360" w:after="120"/>
      <w:jc w:val="center"/>
    </w:pPr>
    <w:rPr>
      <w:noProof/>
      <w:lang w:val="en-US" w:eastAsia="en-US"/>
    </w:rPr>
  </w:style>
  <w:style w:type="character" w:customStyle="1" w:styleId="Style2notboldChar">
    <w:name w:val="Style2 (not bold) Char"/>
    <w:basedOn w:val="Fuentedeprrafopredeter"/>
    <w:link w:val="Style2notbold"/>
    <w:locked/>
    <w:rsid w:val="00B82F75"/>
    <w:rPr>
      <w:noProof/>
      <w:color w:val="000000"/>
      <w:sz w:val="16"/>
      <w:szCs w:val="16"/>
      <w:lang w:eastAsia="en-US"/>
    </w:rPr>
  </w:style>
  <w:style w:type="paragraph" w:customStyle="1" w:styleId="Style2notbold">
    <w:name w:val="Style2 (not bold)"/>
    <w:basedOn w:val="Normal"/>
    <w:link w:val="Style2notboldChar"/>
    <w:rsid w:val="00B82F75"/>
    <w:pPr>
      <w:tabs>
        <w:tab w:val="left" w:pos="794"/>
        <w:tab w:val="left" w:pos="1191"/>
        <w:tab w:val="left" w:pos="1588"/>
        <w:tab w:val="left" w:pos="1985"/>
      </w:tabs>
      <w:overflowPunct w:val="0"/>
      <w:adjustRightInd w:val="0"/>
      <w:spacing w:before="40"/>
      <w:ind w:left="227"/>
      <w:jc w:val="both"/>
    </w:pPr>
    <w:rPr>
      <w:noProof/>
      <w:color w:val="000000"/>
      <w:sz w:val="16"/>
      <w:szCs w:val="16"/>
      <w:lang w:val="es-CR" w:eastAsia="en-US"/>
    </w:rPr>
  </w:style>
  <w:style w:type="character" w:customStyle="1" w:styleId="AnnexNoTitleChar">
    <w:name w:val="Annex_NoTitle Char"/>
    <w:basedOn w:val="Fuentedeprrafopredeter"/>
    <w:link w:val="AnnexNoTitle"/>
    <w:locked/>
    <w:rsid w:val="00B82F75"/>
    <w:rPr>
      <w:b/>
      <w:sz w:val="28"/>
      <w:lang w:val="en-GB" w:eastAsia="en-US"/>
    </w:rPr>
  </w:style>
  <w:style w:type="character" w:customStyle="1" w:styleId="Style0CharChar">
    <w:name w:val="Style0 Char Char"/>
    <w:basedOn w:val="Fuentedeprrafopredeter"/>
    <w:link w:val="Style0"/>
    <w:locked/>
    <w:rsid w:val="00B82F75"/>
    <w:rPr>
      <w:b/>
      <w:bCs/>
      <w:noProof/>
      <w:color w:val="000000"/>
      <w:sz w:val="16"/>
      <w:szCs w:val="16"/>
      <w:lang w:val="en-CA" w:eastAsia="en-US"/>
    </w:rPr>
  </w:style>
  <w:style w:type="paragraph" w:customStyle="1" w:styleId="Style0">
    <w:name w:val="Style0"/>
    <w:basedOn w:val="Normal"/>
    <w:link w:val="Style0CharChar"/>
    <w:rsid w:val="00B82F75"/>
    <w:pPr>
      <w:tabs>
        <w:tab w:val="left" w:pos="794"/>
        <w:tab w:val="left" w:pos="1191"/>
        <w:tab w:val="left" w:pos="1588"/>
        <w:tab w:val="left" w:pos="1985"/>
      </w:tabs>
      <w:overflowPunct w:val="0"/>
      <w:adjustRightInd w:val="0"/>
      <w:spacing w:before="40"/>
      <w:jc w:val="both"/>
    </w:pPr>
    <w:rPr>
      <w:b/>
      <w:bCs/>
      <w:noProof/>
      <w:color w:val="000000"/>
      <w:sz w:val="16"/>
      <w:szCs w:val="16"/>
      <w:lang w:val="en-CA" w:eastAsia="en-US"/>
    </w:rPr>
  </w:style>
  <w:style w:type="character" w:customStyle="1" w:styleId="Style1notBoldChar">
    <w:name w:val="Style1(not Bold) Char"/>
    <w:basedOn w:val="Fuentedeprrafopredeter"/>
    <w:link w:val="Style1notBold"/>
    <w:locked/>
    <w:rsid w:val="00B82F75"/>
    <w:rPr>
      <w:noProof/>
      <w:color w:val="000000"/>
      <w:sz w:val="16"/>
      <w:szCs w:val="16"/>
      <w:lang w:eastAsia="en-US"/>
    </w:rPr>
  </w:style>
  <w:style w:type="paragraph" w:customStyle="1" w:styleId="Style1notBold">
    <w:name w:val="Style1(not Bold)"/>
    <w:basedOn w:val="Normal"/>
    <w:link w:val="Style1notBoldChar"/>
    <w:rsid w:val="00B82F75"/>
    <w:pPr>
      <w:tabs>
        <w:tab w:val="left" w:pos="794"/>
        <w:tab w:val="left" w:pos="1191"/>
        <w:tab w:val="left" w:pos="1588"/>
        <w:tab w:val="left" w:pos="1985"/>
      </w:tabs>
      <w:overflowPunct w:val="0"/>
      <w:adjustRightInd w:val="0"/>
      <w:spacing w:before="40"/>
      <w:ind w:left="57"/>
      <w:jc w:val="both"/>
    </w:pPr>
    <w:rPr>
      <w:noProof/>
      <w:color w:val="000000"/>
      <w:sz w:val="16"/>
      <w:szCs w:val="16"/>
      <w:lang w:val="es-CR" w:eastAsia="en-US"/>
    </w:rPr>
  </w:style>
  <w:style w:type="character" w:customStyle="1" w:styleId="Style3notboldChar">
    <w:name w:val="Style3 (not bold) Char"/>
    <w:basedOn w:val="Fuentedeprrafopredeter"/>
    <w:link w:val="Style3notbold"/>
    <w:locked/>
    <w:rsid w:val="00B82F75"/>
    <w:rPr>
      <w:noProof/>
      <w:sz w:val="16"/>
      <w:lang w:val="en-CA" w:eastAsia="en-US"/>
    </w:rPr>
  </w:style>
  <w:style w:type="paragraph" w:customStyle="1" w:styleId="Style3notbold">
    <w:name w:val="Style3 (not bold)"/>
    <w:basedOn w:val="Normal"/>
    <w:link w:val="Style3notboldChar"/>
    <w:rsid w:val="00B82F75"/>
    <w:pPr>
      <w:tabs>
        <w:tab w:val="left" w:pos="794"/>
        <w:tab w:val="left" w:pos="1191"/>
        <w:tab w:val="left" w:pos="1588"/>
        <w:tab w:val="left" w:pos="1985"/>
      </w:tabs>
      <w:overflowPunct w:val="0"/>
      <w:adjustRightInd w:val="0"/>
      <w:spacing w:before="40"/>
      <w:ind w:left="397"/>
      <w:jc w:val="both"/>
    </w:pPr>
    <w:rPr>
      <w:noProof/>
      <w:sz w:val="16"/>
      <w:lang w:val="en-CA" w:eastAsia="en-US"/>
    </w:rPr>
  </w:style>
  <w:style w:type="character" w:customStyle="1" w:styleId="Style4notboldChar">
    <w:name w:val="Style4 (not bold) Char"/>
    <w:basedOn w:val="Style3notboldChar"/>
    <w:link w:val="Style4notbold"/>
    <w:locked/>
    <w:rsid w:val="00B82F75"/>
    <w:rPr>
      <w:noProof/>
      <w:sz w:val="16"/>
      <w:lang w:val="en-CA" w:eastAsia="en-US"/>
    </w:rPr>
  </w:style>
  <w:style w:type="paragraph" w:customStyle="1" w:styleId="Style4notbold">
    <w:name w:val="Style4 (not bold)"/>
    <w:basedOn w:val="Style3notbold"/>
    <w:link w:val="Style4notboldChar"/>
    <w:rsid w:val="00B82F75"/>
    <w:pPr>
      <w:ind w:left="567"/>
    </w:pPr>
  </w:style>
  <w:style w:type="character" w:customStyle="1" w:styleId="Style1Char">
    <w:name w:val="Style1 Char"/>
    <w:basedOn w:val="Style0CharChar"/>
    <w:link w:val="Style1"/>
    <w:locked/>
    <w:rsid w:val="00B82F75"/>
    <w:rPr>
      <w:rFonts w:ascii="Times New Roman Bold" w:hAnsi="Times New Roman Bold" w:cs="Times New Roman Bold"/>
      <w:b/>
      <w:bCs/>
      <w:noProof/>
      <w:color w:val="000000"/>
      <w:sz w:val="16"/>
      <w:szCs w:val="16"/>
      <w:lang w:val="en-CA" w:eastAsia="en-US"/>
    </w:rPr>
  </w:style>
  <w:style w:type="paragraph" w:customStyle="1" w:styleId="Style1">
    <w:name w:val="Style1"/>
    <w:basedOn w:val="Style0"/>
    <w:link w:val="Style1Char"/>
    <w:rsid w:val="00B82F75"/>
    <w:rPr>
      <w:rFonts w:ascii="Times New Roman Bold" w:hAnsi="Times New Roman Bold" w:cs="Times New Roman Bold"/>
    </w:rPr>
  </w:style>
  <w:style w:type="paragraph" w:customStyle="1" w:styleId="ASN1">
    <w:name w:val="ASN.1"/>
    <w:basedOn w:val="Normal"/>
    <w:rsid w:val="00B82F75"/>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djustRightInd w:val="0"/>
      <w:jc w:val="both"/>
    </w:pPr>
    <w:rPr>
      <w:rFonts w:ascii="Times New Roman Bold" w:hAnsi="Times New Roman Bold"/>
      <w:b/>
      <w:noProof/>
      <w:lang w:val="en-CA" w:eastAsia="en-US"/>
    </w:rPr>
  </w:style>
  <w:style w:type="paragraph" w:customStyle="1" w:styleId="Questionref">
    <w:name w:val="Question_ref"/>
    <w:next w:val="Questiondate"/>
    <w:rsid w:val="00B82F75"/>
    <w:pPr>
      <w:keepNext/>
      <w:keepLines/>
      <w:spacing w:after="120"/>
      <w:jc w:val="center"/>
    </w:pPr>
    <w:rPr>
      <w:rFonts w:ascii="Times" w:hAnsi="Times"/>
      <w:noProof/>
      <w:lang w:val="en-US" w:eastAsia="zh-CN"/>
    </w:rPr>
  </w:style>
  <w:style w:type="paragraph" w:customStyle="1" w:styleId="ResNoBR">
    <w:name w:val="Res_No_BR"/>
    <w:basedOn w:val="Normal"/>
    <w:next w:val="Restitle"/>
    <w:rsid w:val="00B82F75"/>
    <w:pPr>
      <w:keepNext/>
      <w:keepLines/>
      <w:tabs>
        <w:tab w:val="left" w:pos="794"/>
        <w:tab w:val="left" w:pos="1191"/>
        <w:tab w:val="left" w:pos="1588"/>
        <w:tab w:val="left" w:pos="1985"/>
      </w:tabs>
      <w:overflowPunct w:val="0"/>
      <w:adjustRightInd w:val="0"/>
      <w:spacing w:before="480"/>
      <w:jc w:val="center"/>
    </w:pPr>
    <w:rPr>
      <w:rFonts w:cs="Angsana New"/>
      <w:caps/>
      <w:noProof/>
      <w:sz w:val="28"/>
      <w:lang w:val="en-CA" w:eastAsia="en-US"/>
    </w:rPr>
  </w:style>
  <w:style w:type="paragraph" w:customStyle="1" w:styleId="Art">
    <w:name w:val="Art_#"/>
    <w:basedOn w:val="Normal"/>
    <w:next w:val="Arttitle"/>
    <w:rsid w:val="00B82F75"/>
    <w:pPr>
      <w:keepNext/>
      <w:keepLines/>
      <w:tabs>
        <w:tab w:val="left" w:pos="1134"/>
        <w:tab w:val="left" w:pos="1871"/>
        <w:tab w:val="left" w:pos="2268"/>
      </w:tabs>
      <w:overflowPunct w:val="0"/>
      <w:adjustRightInd w:val="0"/>
      <w:spacing w:before="720"/>
      <w:jc w:val="center"/>
    </w:pPr>
    <w:rPr>
      <w:noProof/>
      <w:sz w:val="28"/>
      <w:lang w:val="en-US" w:eastAsia="en-US"/>
    </w:rPr>
  </w:style>
  <w:style w:type="paragraph" w:customStyle="1" w:styleId="Style2bold">
    <w:name w:val="Style2 (bold)"/>
    <w:basedOn w:val="Normal"/>
    <w:rsid w:val="00B82F75"/>
    <w:pPr>
      <w:tabs>
        <w:tab w:val="left" w:pos="794"/>
        <w:tab w:val="left" w:pos="1191"/>
        <w:tab w:val="left" w:pos="1588"/>
        <w:tab w:val="left" w:pos="1985"/>
      </w:tabs>
      <w:overflowPunct w:val="0"/>
      <w:adjustRightInd w:val="0"/>
      <w:spacing w:before="40"/>
      <w:ind w:left="57"/>
      <w:jc w:val="both"/>
    </w:pPr>
    <w:rPr>
      <w:b/>
      <w:bCs/>
      <w:noProof/>
      <w:color w:val="000000"/>
      <w:sz w:val="16"/>
      <w:szCs w:val="16"/>
      <w:lang w:val="en-CA" w:eastAsia="en-US"/>
    </w:rPr>
  </w:style>
  <w:style w:type="paragraph" w:customStyle="1" w:styleId="Style3">
    <w:name w:val="Style3"/>
    <w:basedOn w:val="Style2bold"/>
    <w:rsid w:val="00B82F75"/>
    <w:pPr>
      <w:ind w:left="227"/>
    </w:pPr>
  </w:style>
  <w:style w:type="paragraph" w:customStyle="1" w:styleId="Car">
    <w:name w:val="Car"/>
    <w:basedOn w:val="Normal"/>
    <w:rsid w:val="00B82F75"/>
    <w:pPr>
      <w:tabs>
        <w:tab w:val="left" w:pos="540"/>
        <w:tab w:val="left" w:pos="1260"/>
        <w:tab w:val="left" w:pos="1800"/>
      </w:tabs>
      <w:autoSpaceDE/>
      <w:autoSpaceDN/>
      <w:spacing w:before="240" w:after="160" w:line="240" w:lineRule="exact"/>
      <w:jc w:val="both"/>
    </w:pPr>
    <w:rPr>
      <w:rFonts w:ascii="Verdana" w:hAnsi="Verdana"/>
      <w:noProof/>
      <w:sz w:val="24"/>
      <w:lang w:val="en-US" w:eastAsia="en-US"/>
    </w:rPr>
  </w:style>
  <w:style w:type="paragraph" w:customStyle="1" w:styleId="Formal">
    <w:name w:val="Formal"/>
    <w:basedOn w:val="Normal"/>
    <w:rsid w:val="00B82F75"/>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djustRightInd w:val="0"/>
      <w:jc w:val="both"/>
    </w:pPr>
    <w:rPr>
      <w:rFonts w:ascii="Times New Roman Bold" w:eastAsia="SimSun" w:hAnsi="Times New Roman Bold"/>
      <w:noProof/>
      <w:lang w:val="en-GB" w:eastAsia="en-US"/>
    </w:rPr>
  </w:style>
  <w:style w:type="paragraph" w:customStyle="1" w:styleId="FooterQP">
    <w:name w:val="Footer_QP"/>
    <w:basedOn w:val="Normal"/>
    <w:rsid w:val="00B82F75"/>
    <w:pPr>
      <w:tabs>
        <w:tab w:val="left" w:pos="907"/>
        <w:tab w:val="left" w:pos="1134"/>
        <w:tab w:val="left" w:pos="1871"/>
        <w:tab w:val="left" w:pos="2268"/>
        <w:tab w:val="right" w:pos="8789"/>
        <w:tab w:val="right" w:pos="9639"/>
      </w:tabs>
      <w:overflowPunct w:val="0"/>
      <w:adjustRightInd w:val="0"/>
      <w:jc w:val="both"/>
    </w:pPr>
    <w:rPr>
      <w:rFonts w:eastAsia="SimSun"/>
      <w:b/>
      <w:sz w:val="22"/>
      <w:lang w:val="en-GB" w:eastAsia="en-US"/>
    </w:rPr>
  </w:style>
  <w:style w:type="paragraph" w:customStyle="1" w:styleId="TABLECAPS">
    <w:name w:val="TABLECAPS"/>
    <w:basedOn w:val="TableTextS5"/>
    <w:rsid w:val="00B82F75"/>
    <w:pPr>
      <w:tabs>
        <w:tab w:val="clear" w:pos="170"/>
        <w:tab w:val="clear" w:pos="567"/>
        <w:tab w:val="clear" w:pos="737"/>
        <w:tab w:val="clear" w:pos="2977"/>
        <w:tab w:val="clear" w:pos="3266"/>
        <w:tab w:val="left" w:pos="431"/>
        <w:tab w:val="left" w:pos="3119"/>
      </w:tabs>
      <w:jc w:val="both"/>
      <w:textAlignment w:val="auto"/>
    </w:pPr>
    <w:rPr>
      <w:rFonts w:ascii="Times New Roman Bold" w:eastAsia="SimHei" w:hAnsi="Times New Roman Bold" w:cs="Times New Roman Bold"/>
      <w:b/>
      <w:szCs w:val="20"/>
      <w:lang w:val="en-US"/>
    </w:rPr>
  </w:style>
  <w:style w:type="paragraph" w:customStyle="1" w:styleId="NormalCH">
    <w:name w:val="NormalCH"/>
    <w:basedOn w:val="Normal"/>
    <w:next w:val="Normal"/>
    <w:qFormat/>
    <w:rsid w:val="00B82F75"/>
    <w:pPr>
      <w:tabs>
        <w:tab w:val="left" w:pos="567"/>
        <w:tab w:val="left" w:pos="1134"/>
        <w:tab w:val="left" w:pos="1701"/>
        <w:tab w:val="left" w:pos="2268"/>
        <w:tab w:val="left" w:pos="2835"/>
      </w:tabs>
      <w:overflowPunct w:val="0"/>
      <w:adjustRightInd w:val="0"/>
      <w:spacing w:before="120"/>
      <w:ind w:firstLineChars="200" w:firstLine="200"/>
      <w:jc w:val="both"/>
    </w:pPr>
    <w:rPr>
      <w:rFonts w:eastAsia="SimSun"/>
      <w:sz w:val="24"/>
      <w:lang w:val="en-US" w:eastAsia="en-US"/>
    </w:rPr>
  </w:style>
  <w:style w:type="paragraph" w:customStyle="1" w:styleId="Heading8a">
    <w:name w:val="Heading 8a"/>
    <w:basedOn w:val="Ttulo8"/>
    <w:next w:val="Normal"/>
    <w:rsid w:val="00B82F75"/>
    <w:pPr>
      <w:tabs>
        <w:tab w:val="clear" w:pos="1871"/>
        <w:tab w:val="clear" w:pos="2268"/>
        <w:tab w:val="left" w:pos="1418"/>
      </w:tabs>
      <w:ind w:left="1418" w:hanging="1418"/>
      <w:textAlignment w:val="auto"/>
    </w:pPr>
    <w:rPr>
      <w:rFonts w:eastAsia="SimSun"/>
      <w:lang w:val="en-GB"/>
    </w:rPr>
  </w:style>
  <w:style w:type="paragraph" w:customStyle="1" w:styleId="Heading9a">
    <w:name w:val="Heading 9a"/>
    <w:basedOn w:val="Ttulo9"/>
    <w:next w:val="Normal"/>
    <w:rsid w:val="00B82F75"/>
    <w:pPr>
      <w:tabs>
        <w:tab w:val="clear" w:pos="1871"/>
        <w:tab w:val="clear" w:pos="2268"/>
        <w:tab w:val="left" w:pos="1559"/>
      </w:tabs>
      <w:ind w:left="1559" w:hanging="1559"/>
      <w:textAlignment w:val="auto"/>
    </w:pPr>
    <w:rPr>
      <w:rFonts w:eastAsia="SimSun"/>
      <w:lang w:val="en-GB"/>
    </w:rPr>
  </w:style>
  <w:style w:type="paragraph" w:customStyle="1" w:styleId="a0">
    <w:name w:val="表头"/>
    <w:basedOn w:val="Normal"/>
    <w:rsid w:val="00B82F75"/>
    <w:pPr>
      <w:widowControl w:val="0"/>
      <w:tabs>
        <w:tab w:val="left" w:pos="1134"/>
        <w:tab w:val="left" w:pos="1871"/>
        <w:tab w:val="left" w:pos="2268"/>
      </w:tabs>
      <w:autoSpaceDE/>
      <w:autoSpaceDN/>
      <w:spacing w:before="120"/>
      <w:jc w:val="center"/>
    </w:pPr>
    <w:rPr>
      <w:rFonts w:ascii="Times New Roman MT Extra Bold" w:eastAsia="SimHei" w:hAnsi="Times New Roman MT Extra Bold"/>
      <w:sz w:val="18"/>
      <w:szCs w:val="18"/>
      <w:lang w:val="en-GB" w:eastAsia="en-US"/>
    </w:rPr>
  </w:style>
  <w:style w:type="paragraph" w:customStyle="1" w:styleId="TOC2">
    <w:name w:val="TOC2"/>
    <w:basedOn w:val="Normal"/>
    <w:next w:val="TDC2"/>
    <w:rsid w:val="00B82F75"/>
    <w:pPr>
      <w:widowControl w:val="0"/>
      <w:tabs>
        <w:tab w:val="left" w:pos="1134"/>
        <w:tab w:val="left" w:leader="dot" w:pos="8222"/>
        <w:tab w:val="right" w:pos="9356"/>
      </w:tabs>
      <w:autoSpaceDE/>
      <w:autoSpaceDN/>
      <w:spacing w:before="240"/>
      <w:ind w:left="1134" w:right="1134" w:hanging="1134"/>
      <w:jc w:val="both"/>
    </w:pPr>
    <w:rPr>
      <w:rFonts w:eastAsia="SimSun"/>
      <w:sz w:val="24"/>
      <w:szCs w:val="21"/>
      <w:lang w:val="en-GB" w:eastAsia="en-US"/>
    </w:rPr>
  </w:style>
  <w:style w:type="paragraph" w:customStyle="1" w:styleId="a1">
    <w:name w:val="表文"/>
    <w:basedOn w:val="Normal"/>
    <w:rsid w:val="00B82F75"/>
    <w:pPr>
      <w:tabs>
        <w:tab w:val="left" w:pos="1134"/>
        <w:tab w:val="left" w:pos="1871"/>
        <w:tab w:val="left" w:pos="2268"/>
      </w:tabs>
      <w:overflowPunct w:val="0"/>
      <w:spacing w:before="120"/>
      <w:jc w:val="both"/>
    </w:pPr>
    <w:rPr>
      <w:rFonts w:eastAsia="SimSun"/>
      <w:sz w:val="18"/>
      <w:szCs w:val="24"/>
      <w:lang w:val="en-GB" w:eastAsia="en-US"/>
    </w:rPr>
  </w:style>
  <w:style w:type="paragraph" w:customStyle="1" w:styleId="1">
    <w:name w:val="正文 1"/>
    <w:basedOn w:val="Normal"/>
    <w:rsid w:val="00B82F75"/>
    <w:pPr>
      <w:widowControl w:val="0"/>
      <w:topLinePunct/>
      <w:autoSpaceDE/>
      <w:autoSpaceDN/>
      <w:spacing w:before="240"/>
      <w:ind w:firstLine="425"/>
      <w:jc w:val="both"/>
    </w:pPr>
    <w:rPr>
      <w:rFonts w:eastAsia="SimSun"/>
      <w:sz w:val="21"/>
      <w:szCs w:val="24"/>
      <w:lang w:val="en-GB" w:eastAsia="zh-CN"/>
    </w:rPr>
  </w:style>
  <w:style w:type="paragraph" w:customStyle="1" w:styleId="4">
    <w:name w:val="正文 4"/>
    <w:basedOn w:val="Normal"/>
    <w:rsid w:val="00B82F75"/>
    <w:pPr>
      <w:widowControl w:val="0"/>
      <w:tabs>
        <w:tab w:val="left" w:pos="993"/>
        <w:tab w:val="left" w:pos="1638"/>
      </w:tabs>
      <w:topLinePunct/>
      <w:autoSpaceDE/>
      <w:autoSpaceDN/>
      <w:spacing w:before="240"/>
      <w:jc w:val="both"/>
    </w:pPr>
    <w:rPr>
      <w:rFonts w:eastAsia="SimSun"/>
      <w:color w:val="000000"/>
      <w:sz w:val="21"/>
      <w:szCs w:val="18"/>
      <w:lang w:val="en-AU" w:eastAsia="zh-CN"/>
    </w:rPr>
  </w:style>
  <w:style w:type="paragraph" w:customStyle="1" w:styleId="TableText2">
    <w:name w:val="Table_Text2"/>
    <w:basedOn w:val="TableText"/>
    <w:qFormat/>
    <w:rsid w:val="00B82F75"/>
    <w:pPr>
      <w:tabs>
        <w:tab w:val="left" w:pos="567"/>
        <w:tab w:val="left" w:pos="851"/>
      </w:tabs>
      <w:spacing w:before="40" w:after="40"/>
      <w:ind w:left="1418" w:hanging="851"/>
      <w:jc w:val="both"/>
      <w:textAlignment w:val="auto"/>
    </w:pPr>
    <w:rPr>
      <w:noProof/>
      <w:sz w:val="20"/>
      <w:szCs w:val="20"/>
      <w:lang w:val="en-US" w:eastAsia="zh-CN"/>
    </w:rPr>
  </w:style>
  <w:style w:type="paragraph" w:customStyle="1" w:styleId="Booktitle">
    <w:name w:val="Book_title"/>
    <w:basedOn w:val="Normal"/>
    <w:qFormat/>
    <w:rsid w:val="00B82F75"/>
    <w:pPr>
      <w:tabs>
        <w:tab w:val="left" w:pos="1134"/>
        <w:tab w:val="left" w:pos="1871"/>
        <w:tab w:val="left" w:pos="2268"/>
      </w:tabs>
      <w:overflowPunct w:val="0"/>
      <w:adjustRightInd w:val="0"/>
      <w:spacing w:before="120"/>
      <w:jc w:val="center"/>
    </w:pPr>
    <w:rPr>
      <w:b/>
      <w:bCs/>
      <w:sz w:val="26"/>
      <w:szCs w:val="28"/>
      <w:lang w:val="en-GB" w:eastAsia="en-US"/>
    </w:rPr>
  </w:style>
  <w:style w:type="paragraph" w:customStyle="1" w:styleId="Normalaftertitle2">
    <w:name w:val="Normal after title2"/>
    <w:basedOn w:val="Normal"/>
    <w:next w:val="Normal"/>
    <w:rsid w:val="00B82F75"/>
    <w:pPr>
      <w:tabs>
        <w:tab w:val="left" w:pos="1134"/>
        <w:tab w:val="left" w:pos="1871"/>
        <w:tab w:val="left" w:pos="2268"/>
      </w:tabs>
      <w:overflowPunct w:val="0"/>
      <w:adjustRightInd w:val="0"/>
      <w:spacing w:before="280"/>
      <w:jc w:val="both"/>
    </w:pPr>
    <w:rPr>
      <w:sz w:val="22"/>
      <w:lang w:val="ru-RU" w:eastAsia="en-US"/>
    </w:rPr>
  </w:style>
  <w:style w:type="paragraph" w:customStyle="1" w:styleId="Normalaftertitle1">
    <w:name w:val="Normal after title1"/>
    <w:basedOn w:val="Normal"/>
    <w:next w:val="Normal"/>
    <w:rsid w:val="00B82F75"/>
    <w:pPr>
      <w:tabs>
        <w:tab w:val="left" w:pos="1134"/>
        <w:tab w:val="left" w:pos="1871"/>
        <w:tab w:val="left" w:pos="2268"/>
      </w:tabs>
      <w:overflowPunct w:val="0"/>
      <w:adjustRightInd w:val="0"/>
      <w:spacing w:before="280"/>
      <w:jc w:val="both"/>
    </w:pPr>
    <w:rPr>
      <w:sz w:val="22"/>
      <w:lang w:val="ru-RU" w:eastAsia="en-US"/>
    </w:rPr>
  </w:style>
  <w:style w:type="paragraph" w:customStyle="1" w:styleId="Section10">
    <w:name w:val="Section 1"/>
    <w:basedOn w:val="Normal"/>
    <w:next w:val="Normal"/>
    <w:rsid w:val="00B82F75"/>
    <w:pPr>
      <w:overflowPunct w:val="0"/>
      <w:adjustRightInd w:val="0"/>
      <w:spacing w:before="624"/>
      <w:jc w:val="center"/>
    </w:pPr>
    <w:rPr>
      <w:b/>
      <w:sz w:val="22"/>
      <w:lang w:val="en-GB" w:eastAsia="en-US"/>
    </w:rPr>
  </w:style>
  <w:style w:type="paragraph" w:customStyle="1" w:styleId="a2">
    <w:name w:val="Весь текст"/>
    <w:basedOn w:val="Normal"/>
    <w:rsid w:val="00B82F75"/>
    <w:pPr>
      <w:tabs>
        <w:tab w:val="left" w:pos="454"/>
        <w:tab w:val="left" w:pos="1134"/>
        <w:tab w:val="left" w:pos="1871"/>
        <w:tab w:val="left" w:pos="2268"/>
        <w:tab w:val="center" w:pos="4678"/>
        <w:tab w:val="right" w:pos="9356"/>
      </w:tabs>
      <w:adjustRightInd w:val="0"/>
      <w:spacing w:before="240" w:line="270" w:lineRule="exact"/>
      <w:jc w:val="both"/>
    </w:pPr>
    <w:rPr>
      <w:sz w:val="23"/>
      <w:szCs w:val="16"/>
      <w:lang w:val="ru-RU" w:eastAsia="ru-RU"/>
    </w:rPr>
  </w:style>
  <w:style w:type="character" w:customStyle="1" w:styleId="ArtrefBold">
    <w:name w:val="Art_ref + Bold"/>
    <w:basedOn w:val="Artref"/>
    <w:rsid w:val="00B82F75"/>
    <w:rPr>
      <w:b/>
      <w:bCs/>
      <w:color w:val="auto"/>
    </w:rPr>
  </w:style>
  <w:style w:type="character" w:customStyle="1" w:styleId="FootnoteCharacters">
    <w:name w:val="Footnote Characters"/>
    <w:rsid w:val="00B82F75"/>
    <w:rPr>
      <w:vertAlign w:val="superscript"/>
    </w:rPr>
  </w:style>
  <w:style w:type="character" w:customStyle="1" w:styleId="ApprefBold">
    <w:name w:val="App_ref + Bold"/>
    <w:basedOn w:val="Appref"/>
    <w:qFormat/>
    <w:rsid w:val="00B82F75"/>
    <w:rPr>
      <w:b/>
      <w:bCs w:val="0"/>
      <w:color w:val="000000"/>
    </w:rPr>
  </w:style>
  <w:style w:type="character" w:customStyle="1" w:styleId="Recref">
    <w:name w:val="Rec_ref"/>
    <w:basedOn w:val="Fuentedeprrafopredeter"/>
    <w:rsid w:val="00B82F75"/>
    <w:rPr>
      <w:color w:val="3366FF"/>
    </w:rPr>
  </w:style>
  <w:style w:type="character" w:customStyle="1" w:styleId="Resref">
    <w:name w:val="Res_ref"/>
    <w:basedOn w:val="Fuentedeprrafopredeter"/>
    <w:rsid w:val="00B82F75"/>
    <w:rPr>
      <w:color w:val="3366FF"/>
    </w:rPr>
  </w:style>
  <w:style w:type="character" w:customStyle="1" w:styleId="Resref0">
    <w:name w:val="Res#_ref"/>
    <w:basedOn w:val="Fuentedeprrafopredeter"/>
    <w:rsid w:val="00B82F75"/>
  </w:style>
  <w:style w:type="character" w:customStyle="1" w:styleId="Appref0">
    <w:name w:val="App#_ref"/>
    <w:basedOn w:val="Fuentedeprrafopredeter"/>
    <w:rsid w:val="00B82F75"/>
  </w:style>
  <w:style w:type="character" w:customStyle="1" w:styleId="Recref0">
    <w:name w:val="Rec#_ref"/>
    <w:basedOn w:val="Fuentedeprrafopredeter"/>
    <w:rsid w:val="00B82F75"/>
  </w:style>
  <w:style w:type="character" w:customStyle="1" w:styleId="Artdef0">
    <w:name w:val="Art#_def"/>
    <w:basedOn w:val="Fuentedeprrafopredeter"/>
    <w:rsid w:val="00B82F75"/>
    <w:rPr>
      <w:rFonts w:ascii="Times New Roman" w:hAnsi="Times New Roman" w:cs="Times New Roman" w:hint="default"/>
      <w:b/>
      <w:bCs w:val="0"/>
    </w:rPr>
  </w:style>
  <w:style w:type="character" w:customStyle="1" w:styleId="StyleBold">
    <w:name w:val="Style Bold"/>
    <w:basedOn w:val="Fuentedeprrafopredeter"/>
    <w:rsid w:val="00B82F75"/>
    <w:rPr>
      <w:b/>
      <w:bCs/>
    </w:rPr>
  </w:style>
  <w:style w:type="character" w:customStyle="1" w:styleId="Tabledef">
    <w:name w:val="Table_def"/>
    <w:basedOn w:val="Fuentedeprrafopredeter"/>
    <w:rsid w:val="00B82F75"/>
    <w:rPr>
      <w:b/>
      <w:bCs w:val="0"/>
      <w:color w:val="FFCC00"/>
      <w:lang w:val="en-GB"/>
    </w:rPr>
  </w:style>
  <w:style w:type="character" w:customStyle="1" w:styleId="AppendixNoCar">
    <w:name w:val="Appendix_No Car"/>
    <w:basedOn w:val="Fuentedeprrafopredeter"/>
    <w:locked/>
    <w:rsid w:val="00B82F75"/>
    <w:rPr>
      <w:caps/>
      <w:sz w:val="28"/>
      <w:lang w:val="en-GB" w:eastAsia="en-US" w:bidi="ar-SA"/>
    </w:rPr>
  </w:style>
  <w:style w:type="character" w:customStyle="1" w:styleId="StyleArtdefBlack">
    <w:name w:val="Style Art_def + Black"/>
    <w:basedOn w:val="Artdef"/>
    <w:rsid w:val="00B82F75"/>
    <w:rPr>
      <w:rFonts w:ascii="Times New Roman" w:hAnsi="Times New Roman" w:cs="Times New Roman" w:hint="default"/>
      <w:b/>
      <w:bCs/>
      <w:color w:val="000000"/>
    </w:rPr>
  </w:style>
  <w:style w:type="character" w:customStyle="1" w:styleId="WW-DefaultParagraphFont">
    <w:name w:val="WW-Default Paragraph Font"/>
    <w:rsid w:val="00B82F75"/>
  </w:style>
  <w:style w:type="character" w:customStyle="1" w:styleId="AnnexNoChar">
    <w:name w:val="Annex_No Char"/>
    <w:basedOn w:val="Fuentedeprrafopredeter"/>
    <w:rsid w:val="00B82F75"/>
    <w:rPr>
      <w:caps/>
      <w:sz w:val="28"/>
      <w:lang w:val="en-GB" w:eastAsia="en-US" w:bidi="ar-SA"/>
    </w:rPr>
  </w:style>
  <w:style w:type="character" w:customStyle="1" w:styleId="StyleAppref10ptBold">
    <w:name w:val="Style App_ref + 10 pt Bold"/>
    <w:basedOn w:val="Appref"/>
    <w:rsid w:val="00B82F75"/>
    <w:rPr>
      <w:b/>
      <w:bCs/>
      <w:color w:val="auto"/>
      <w:sz w:val="20"/>
    </w:rPr>
  </w:style>
  <w:style w:type="character" w:customStyle="1" w:styleId="Styleenumlev1ItalicChar">
    <w:name w:val="Style enumlev1 + Italic Char"/>
    <w:basedOn w:val="Fuentedeprrafopredeter"/>
    <w:rsid w:val="00B82F75"/>
    <w:rPr>
      <w:rFonts w:ascii="Times New Roman" w:hAnsi="Times New Roman" w:cs="Times New Roman" w:hint="default"/>
      <w:i/>
      <w:iCs/>
      <w:sz w:val="24"/>
      <w:szCs w:val="21"/>
    </w:rPr>
  </w:style>
  <w:style w:type="character" w:customStyle="1" w:styleId="AnnextitleChar1">
    <w:name w:val="Annex_title Char1"/>
    <w:basedOn w:val="Fuentedeprrafopredeter"/>
    <w:locked/>
    <w:rsid w:val="00B82F75"/>
    <w:rPr>
      <w:rFonts w:ascii="Times New Roman Bold" w:hAnsi="Times New Roman Bold" w:cs="Times New Roman Bold" w:hint="default"/>
      <w:b/>
      <w:bCs w:val="0"/>
      <w:sz w:val="26"/>
      <w:lang w:val="ru-RU" w:eastAsia="en-US"/>
    </w:rPr>
  </w:style>
  <w:style w:type="table" w:customStyle="1" w:styleId="TableGrid1">
    <w:name w:val="Table Grid1"/>
    <w:basedOn w:val="Tablanormal"/>
    <w:rsid w:val="00B82F75"/>
    <w:pPr>
      <w:tabs>
        <w:tab w:val="left" w:pos="1134"/>
        <w:tab w:val="left" w:pos="1871"/>
        <w:tab w:val="left" w:pos="2268"/>
      </w:tabs>
      <w:overflowPunct w:val="0"/>
      <w:autoSpaceDE w:val="0"/>
      <w:autoSpaceDN w:val="0"/>
      <w:adjustRightInd w:val="0"/>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rsid w:val="00B82F75"/>
    <w:pPr>
      <w:tabs>
        <w:tab w:val="left" w:pos="1134"/>
        <w:tab w:val="left" w:pos="1871"/>
        <w:tab w:val="left" w:pos="2268"/>
      </w:tabs>
      <w:overflowPunct w:val="0"/>
      <w:autoSpaceDE w:val="0"/>
      <w:autoSpaceDN w:val="0"/>
      <w:adjustRightInd w:val="0"/>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nimoHTML">
    <w:name w:val="HTML Acronym"/>
    <w:basedOn w:val="Fuentedeprrafopredeter"/>
    <w:rsid w:val="00B82F75"/>
  </w:style>
  <w:style w:type="numbering" w:customStyle="1" w:styleId="NoList1">
    <w:name w:val="No List1"/>
    <w:next w:val="Sinlista"/>
    <w:uiPriority w:val="99"/>
    <w:semiHidden/>
    <w:unhideWhenUsed/>
    <w:rsid w:val="00B82F75"/>
  </w:style>
  <w:style w:type="numbering" w:customStyle="1" w:styleId="NoList2">
    <w:name w:val="No List2"/>
    <w:next w:val="Sinlista"/>
    <w:uiPriority w:val="99"/>
    <w:semiHidden/>
    <w:unhideWhenUsed/>
    <w:rsid w:val="00B82F75"/>
  </w:style>
  <w:style w:type="numbering" w:customStyle="1" w:styleId="NoList3">
    <w:name w:val="No List3"/>
    <w:next w:val="Sinlista"/>
    <w:uiPriority w:val="99"/>
    <w:semiHidden/>
    <w:unhideWhenUsed/>
    <w:rsid w:val="00B82F75"/>
  </w:style>
  <w:style w:type="paragraph" w:customStyle="1" w:styleId="StyleProposalLatinBold">
    <w:name w:val="Style Proposal + (Latin) Bold"/>
    <w:basedOn w:val="Proposal"/>
    <w:rsid w:val="00B82F75"/>
    <w:rPr>
      <w:rFonts w:ascii="Times New Roman Bold" w:cs="Times New Roman Bold"/>
      <w:b/>
      <w:bCs/>
      <w:lang w:val="en-GB"/>
    </w:rPr>
  </w:style>
  <w:style w:type="character" w:customStyle="1" w:styleId="ArtrefBold0">
    <w:name w:val="Art_ref +  Bold"/>
    <w:basedOn w:val="Artref"/>
    <w:rsid w:val="00B82F75"/>
    <w:rPr>
      <w:b/>
      <w:color w:val="auto"/>
    </w:rPr>
  </w:style>
  <w:style w:type="character" w:customStyle="1" w:styleId="Tabledefbold">
    <w:name w:val="Table_def + bold"/>
    <w:basedOn w:val="Fuentedeprrafopredeter"/>
    <w:rsid w:val="00B82F75"/>
    <w:rPr>
      <w:b/>
      <w:bCs w:val="0"/>
      <w:color w:val="auto"/>
      <w:lang w:val="en-GB"/>
    </w:rPr>
  </w:style>
  <w:style w:type="paragraph" w:customStyle="1" w:styleId="ResTitle0">
    <w:name w:val="Res_Title"/>
    <w:basedOn w:val="Rectitle"/>
    <w:next w:val="Normal"/>
    <w:rsid w:val="00B82F75"/>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lang w:val="en-GB"/>
    </w:rPr>
  </w:style>
  <w:style w:type="paragraph" w:customStyle="1" w:styleId="prottxt">
    <w:name w:val="prot_txt"/>
    <w:basedOn w:val="Normal"/>
    <w:rsid w:val="00B82F75"/>
    <w:pPr>
      <w:tabs>
        <w:tab w:val="left" w:pos="1134"/>
        <w:tab w:val="left" w:pos="1871"/>
        <w:tab w:val="left" w:pos="2268"/>
      </w:tabs>
      <w:overflowPunct w:val="0"/>
      <w:adjustRightInd w:val="0"/>
      <w:spacing w:before="200"/>
      <w:jc w:val="both"/>
      <w:textAlignment w:val="baseline"/>
    </w:pPr>
    <w:rPr>
      <w:noProof/>
      <w:sz w:val="24"/>
      <w:lang w:val="fr-FR" w:eastAsia="en-US"/>
    </w:rPr>
  </w:style>
  <w:style w:type="paragraph" w:customStyle="1" w:styleId="Prottexte0">
    <w:name w:val="Prot texte"/>
    <w:basedOn w:val="Protlang0"/>
    <w:rsid w:val="00B82F75"/>
    <w:pPr>
      <w:keepNext w:val="0"/>
      <w:keepLines w:val="0"/>
      <w:framePr w:wrap="around"/>
      <w:spacing w:before="240"/>
      <w:jc w:val="both"/>
    </w:pPr>
    <w:rPr>
      <w:i w:val="0"/>
    </w:rPr>
  </w:style>
  <w:style w:type="paragraph" w:customStyle="1" w:styleId="Protlang0">
    <w:name w:val="Prot lang"/>
    <w:basedOn w:val="Normal"/>
    <w:next w:val="Protpays0"/>
    <w:rsid w:val="00B82F75"/>
    <w:pPr>
      <w:keepNext/>
      <w:keepLines/>
      <w:framePr w:hSpace="181" w:wrap="around" w:vAnchor="page" w:hAnchor="margin" w:y="852"/>
      <w:tabs>
        <w:tab w:val="left" w:pos="1134"/>
        <w:tab w:val="left" w:pos="1871"/>
        <w:tab w:val="left" w:pos="2268"/>
      </w:tabs>
      <w:overflowPunct w:val="0"/>
      <w:adjustRightInd w:val="0"/>
      <w:jc w:val="right"/>
      <w:textAlignment w:val="baseline"/>
    </w:pPr>
    <w:rPr>
      <w:i/>
      <w:noProof/>
      <w:sz w:val="22"/>
      <w:lang w:val="en-US" w:eastAsia="en-US"/>
    </w:rPr>
  </w:style>
  <w:style w:type="paragraph" w:customStyle="1" w:styleId="Protpays0">
    <w:name w:val="Prot pays"/>
    <w:basedOn w:val="Protlang0"/>
    <w:next w:val="Normal"/>
    <w:rsid w:val="00B82F75"/>
    <w:pPr>
      <w:framePr w:hSpace="0" w:wrap="auto" w:vAnchor="margin" w:hAnchor="text" w:yAlign="inline"/>
      <w:jc w:val="both"/>
    </w:pPr>
  </w:style>
  <w:style w:type="paragraph" w:customStyle="1" w:styleId="Prottexteafter">
    <w:name w:val="Prot_texte_after"/>
    <w:basedOn w:val="Normal"/>
    <w:rsid w:val="00B82F75"/>
    <w:pPr>
      <w:tabs>
        <w:tab w:val="left" w:pos="1134"/>
        <w:tab w:val="left" w:pos="1871"/>
        <w:tab w:val="left" w:pos="2268"/>
      </w:tabs>
      <w:overflowPunct w:val="0"/>
      <w:adjustRightInd w:val="0"/>
      <w:spacing w:before="600"/>
      <w:jc w:val="both"/>
      <w:textAlignment w:val="baseline"/>
    </w:pPr>
    <w:rPr>
      <w:i/>
      <w:iCs/>
      <w:sz w:val="22"/>
      <w:lang w:val="fr-CH" w:eastAsia="en-US"/>
    </w:rPr>
  </w:style>
  <w:style w:type="paragraph" w:customStyle="1" w:styleId="Prot">
    <w:name w:val="Prot_#"/>
    <w:basedOn w:val="Normal"/>
    <w:next w:val="Normal"/>
    <w:rsid w:val="00B82F75"/>
    <w:pPr>
      <w:keepNext/>
      <w:tabs>
        <w:tab w:val="left" w:pos="1134"/>
        <w:tab w:val="left" w:pos="1871"/>
        <w:tab w:val="left" w:pos="2268"/>
      </w:tabs>
      <w:overflowPunct w:val="0"/>
      <w:adjustRightInd w:val="0"/>
      <w:spacing w:before="480"/>
      <w:jc w:val="center"/>
      <w:textAlignment w:val="baseline"/>
    </w:pPr>
    <w:rPr>
      <w:b/>
      <w:bCs/>
      <w:noProof/>
      <w:sz w:val="24"/>
      <w:lang w:val="en-US" w:eastAsia="en-US"/>
    </w:rPr>
  </w:style>
  <w:style w:type="paragraph" w:customStyle="1" w:styleId="protenum">
    <w:name w:val="prot_enum"/>
    <w:basedOn w:val="Normal"/>
    <w:rsid w:val="00B82F75"/>
    <w:pPr>
      <w:tabs>
        <w:tab w:val="left" w:pos="1134"/>
        <w:tab w:val="left" w:pos="1871"/>
        <w:tab w:val="left" w:pos="2608"/>
        <w:tab w:val="left" w:pos="3345"/>
      </w:tabs>
      <w:overflowPunct w:val="0"/>
      <w:adjustRightInd w:val="0"/>
      <w:spacing w:before="120"/>
      <w:ind w:left="454" w:hanging="454"/>
      <w:jc w:val="both"/>
      <w:textAlignment w:val="baseline"/>
    </w:pPr>
    <w:rPr>
      <w:noProof/>
      <w:sz w:val="22"/>
      <w:lang w:val="en-US" w:eastAsia="en-US"/>
    </w:rPr>
  </w:style>
  <w:style w:type="paragraph" w:customStyle="1" w:styleId="StyleTableTextS5LatinBoldBlack">
    <w:name w:val="Style Table_TextS5 + (Latin) Bold Black"/>
    <w:basedOn w:val="TableTextS5"/>
    <w:rsid w:val="00B82F75"/>
    <w:pPr>
      <w:jc w:val="both"/>
    </w:pPr>
    <w:rPr>
      <w:b/>
      <w:color w:val="000000"/>
      <w:szCs w:val="20"/>
      <w:lang w:val="en-GB"/>
    </w:rPr>
  </w:style>
  <w:style w:type="paragraph" w:customStyle="1" w:styleId="xl65">
    <w:name w:val="xl65"/>
    <w:basedOn w:val="Normal"/>
    <w:rsid w:val="00B82F75"/>
    <w:pPr>
      <w:autoSpaceDE/>
      <w:autoSpaceDN/>
      <w:spacing w:before="100" w:beforeAutospacing="1" w:after="100" w:afterAutospacing="1"/>
      <w:jc w:val="both"/>
    </w:pPr>
    <w:rPr>
      <w:rFonts w:ascii="Arial Narrow" w:hAnsi="Arial Narrow"/>
      <w:sz w:val="24"/>
      <w:szCs w:val="24"/>
      <w:lang w:val="en-US" w:eastAsia="zh-CN"/>
    </w:rPr>
  </w:style>
  <w:style w:type="paragraph" w:customStyle="1" w:styleId="xl66">
    <w:name w:val="xl66"/>
    <w:basedOn w:val="Normal"/>
    <w:rsid w:val="00B82F75"/>
    <w:pPr>
      <w:autoSpaceDE/>
      <w:autoSpaceDN/>
      <w:spacing w:before="100" w:beforeAutospacing="1" w:after="100" w:afterAutospacing="1"/>
      <w:jc w:val="both"/>
    </w:pPr>
    <w:rPr>
      <w:rFonts w:ascii="Arial Narrow" w:hAnsi="Arial Narrow"/>
      <w:sz w:val="24"/>
      <w:szCs w:val="24"/>
      <w:lang w:val="en-US" w:eastAsia="zh-CN"/>
    </w:rPr>
  </w:style>
  <w:style w:type="paragraph" w:customStyle="1" w:styleId="xl67">
    <w:name w:val="xl67"/>
    <w:basedOn w:val="Normal"/>
    <w:rsid w:val="00B82F75"/>
    <w:pPr>
      <w:autoSpaceDE/>
      <w:autoSpaceDN/>
      <w:spacing w:before="100" w:beforeAutospacing="1" w:after="100" w:afterAutospacing="1"/>
      <w:jc w:val="both"/>
    </w:pPr>
    <w:rPr>
      <w:rFonts w:ascii="Arial Narrow" w:hAnsi="Arial Narrow"/>
      <w:b/>
      <w:bCs/>
      <w:sz w:val="24"/>
      <w:szCs w:val="24"/>
      <w:lang w:val="en-US" w:eastAsia="zh-CN"/>
    </w:rPr>
  </w:style>
  <w:style w:type="paragraph" w:customStyle="1" w:styleId="xl68">
    <w:name w:val="xl68"/>
    <w:basedOn w:val="Normal"/>
    <w:rsid w:val="00B82F75"/>
    <w:pPr>
      <w:autoSpaceDE/>
      <w:autoSpaceDN/>
      <w:spacing w:before="100" w:beforeAutospacing="1" w:after="100" w:afterAutospacing="1"/>
      <w:jc w:val="both"/>
    </w:pPr>
    <w:rPr>
      <w:rFonts w:ascii="Arial Narrow" w:hAnsi="Arial Narrow"/>
      <w:b/>
      <w:bCs/>
      <w:sz w:val="24"/>
      <w:szCs w:val="24"/>
      <w:lang w:val="en-US" w:eastAsia="zh-CN"/>
    </w:rPr>
  </w:style>
  <w:style w:type="paragraph" w:customStyle="1" w:styleId="xl69">
    <w:name w:val="xl69"/>
    <w:basedOn w:val="Normal"/>
    <w:rsid w:val="00B82F75"/>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both"/>
      <w:textAlignment w:val="top"/>
    </w:pPr>
    <w:rPr>
      <w:b/>
      <w:bCs/>
      <w:sz w:val="24"/>
      <w:szCs w:val="24"/>
      <w:lang w:val="en-US" w:eastAsia="zh-CN"/>
    </w:rPr>
  </w:style>
  <w:style w:type="paragraph" w:customStyle="1" w:styleId="xl70">
    <w:name w:val="xl70"/>
    <w:basedOn w:val="Normal"/>
    <w:rsid w:val="00B82F75"/>
    <w:pPr>
      <w:pBdr>
        <w:left w:val="single" w:sz="8" w:space="0" w:color="auto"/>
        <w:bottom w:val="single" w:sz="8" w:space="0" w:color="auto"/>
        <w:right w:val="single" w:sz="8" w:space="0" w:color="auto"/>
      </w:pBdr>
      <w:autoSpaceDE/>
      <w:autoSpaceDN/>
      <w:spacing w:before="100" w:beforeAutospacing="1" w:after="100" w:afterAutospacing="1"/>
      <w:jc w:val="both"/>
      <w:textAlignment w:val="top"/>
    </w:pPr>
    <w:rPr>
      <w:sz w:val="24"/>
      <w:szCs w:val="24"/>
      <w:lang w:val="en-US" w:eastAsia="zh-CN"/>
    </w:rPr>
  </w:style>
  <w:style w:type="paragraph" w:styleId="Revisin">
    <w:name w:val="Revision"/>
    <w:hidden/>
    <w:uiPriority w:val="99"/>
    <w:semiHidden/>
    <w:rsid w:val="00B82F75"/>
    <w:rPr>
      <w:sz w:val="24"/>
      <w:lang w:val="fr-FR" w:eastAsia="en-US"/>
    </w:rPr>
  </w:style>
  <w:style w:type="paragraph" w:customStyle="1" w:styleId="TabletextAsianMSPGothic">
    <w:name w:val="Table_text + (Asian) MS PGothic"/>
    <w:aliases w:val="Centere"/>
    <w:basedOn w:val="Tabletext0"/>
    <w:rsid w:val="00B82F75"/>
    <w:pPr>
      <w:jc w:val="center"/>
    </w:pPr>
    <w:rPr>
      <w:rFonts w:eastAsia="MS PGothic"/>
      <w:lang w:val="en-GB"/>
    </w:rPr>
  </w:style>
  <w:style w:type="paragraph" w:customStyle="1" w:styleId="EquationLegend0">
    <w:name w:val="Equation_Legend"/>
    <w:basedOn w:val="Sangranormal"/>
    <w:rsid w:val="00B82F75"/>
  </w:style>
  <w:style w:type="paragraph" w:customStyle="1" w:styleId="SubSection11">
    <w:name w:val="SubSection_11"/>
    <w:basedOn w:val="Section1"/>
    <w:qFormat/>
    <w:rsid w:val="00B82F75"/>
    <w:rPr>
      <w:lang w:val="en-GB"/>
    </w:rPr>
  </w:style>
  <w:style w:type="numbering" w:customStyle="1" w:styleId="NoList11">
    <w:name w:val="No List11"/>
    <w:next w:val="Sinlista"/>
    <w:uiPriority w:val="99"/>
    <w:semiHidden/>
    <w:unhideWhenUsed/>
    <w:rsid w:val="00B82F75"/>
  </w:style>
  <w:style w:type="paragraph" w:styleId="Textonotaalfinal">
    <w:name w:val="endnote text"/>
    <w:basedOn w:val="Normal"/>
    <w:link w:val="TextonotaalfinalCar"/>
    <w:rsid w:val="00B82F75"/>
    <w:pPr>
      <w:tabs>
        <w:tab w:val="left" w:pos="1134"/>
        <w:tab w:val="left" w:pos="1871"/>
        <w:tab w:val="left" w:pos="2268"/>
      </w:tabs>
      <w:overflowPunct w:val="0"/>
      <w:adjustRightInd w:val="0"/>
      <w:jc w:val="both"/>
      <w:textAlignment w:val="baseline"/>
    </w:pPr>
    <w:rPr>
      <w:lang w:val="en-GB" w:eastAsia="en-US"/>
    </w:rPr>
  </w:style>
  <w:style w:type="character" w:customStyle="1" w:styleId="TextonotaalfinalCar">
    <w:name w:val="Texto nota al final Car"/>
    <w:basedOn w:val="Fuentedeprrafopredeter"/>
    <w:link w:val="Textonotaalfinal"/>
    <w:rsid w:val="00B82F75"/>
    <w:rPr>
      <w:lang w:val="en-GB" w:eastAsia="en-US"/>
    </w:rPr>
  </w:style>
  <w:style w:type="paragraph" w:customStyle="1" w:styleId="enumlev24pt">
    <w:name w:val="enumlev2 + 4 pt"/>
    <w:aliases w:val="Lowered by  2 pt"/>
    <w:basedOn w:val="enumlev1"/>
    <w:rsid w:val="00B82F75"/>
    <w:pPr>
      <w:tabs>
        <w:tab w:val="left" w:pos="2552"/>
      </w:tabs>
      <w:ind w:left="2552" w:hanging="1418"/>
      <w:jc w:val="left"/>
    </w:pPr>
    <w:rPr>
      <w:color w:val="000000"/>
      <w:lang w:val="es-ES_tradnl"/>
    </w:rPr>
  </w:style>
  <w:style w:type="paragraph" w:customStyle="1" w:styleId="TablelegendRaisedby3pt">
    <w:name w:val="Table_legend + Raised by  3 pt"/>
    <w:basedOn w:val="Tablelegend"/>
    <w:rsid w:val="00B82F75"/>
    <w:pPr>
      <w:jc w:val="left"/>
    </w:pPr>
    <w:rPr>
      <w:lang w:val="es-ES_tradnl"/>
    </w:rPr>
  </w:style>
  <w:style w:type="paragraph" w:customStyle="1" w:styleId="Equationlegend10pt">
    <w:name w:val="Equation_legend + 10 pt"/>
    <w:basedOn w:val="Normal"/>
    <w:rsid w:val="00B82F75"/>
    <w:pPr>
      <w:tabs>
        <w:tab w:val="left" w:pos="284"/>
        <w:tab w:val="left" w:pos="1134"/>
        <w:tab w:val="left" w:pos="1871"/>
        <w:tab w:val="left" w:pos="2041"/>
        <w:tab w:val="left" w:pos="2268"/>
      </w:tabs>
      <w:overflowPunct w:val="0"/>
      <w:adjustRightInd w:val="0"/>
      <w:spacing w:before="80"/>
      <w:ind w:left="2041" w:hanging="2041"/>
      <w:textAlignment w:val="baseline"/>
    </w:pPr>
    <w:rPr>
      <w:sz w:val="24"/>
      <w:lang w:val="es-ES_tradnl" w:eastAsia="en-US"/>
    </w:rPr>
  </w:style>
  <w:style w:type="paragraph" w:customStyle="1" w:styleId="Note10pt">
    <w:name w:val="Note + 10 pt"/>
    <w:basedOn w:val="Note"/>
    <w:rsid w:val="00B82F75"/>
    <w:pPr>
      <w:tabs>
        <w:tab w:val="clear" w:pos="851"/>
        <w:tab w:val="clear" w:pos="1701"/>
        <w:tab w:val="clear" w:pos="2835"/>
        <w:tab w:val="left" w:pos="284"/>
        <w:tab w:val="left" w:pos="1871"/>
      </w:tabs>
      <w:spacing w:before="80"/>
    </w:pPr>
    <w:rPr>
      <w:color w:val="000000"/>
      <w:szCs w:val="20"/>
      <w:lang w:eastAsia="en-US"/>
    </w:rPr>
  </w:style>
  <w:style w:type="paragraph" w:customStyle="1" w:styleId="Ff">
    <w:name w:val="Ff"/>
    <w:basedOn w:val="Normalend"/>
    <w:rsid w:val="00B82F75"/>
    <w:pPr>
      <w:jc w:val="left"/>
    </w:pPr>
    <w:rPr>
      <w:lang w:val="es-ES_tradnl"/>
    </w:rPr>
  </w:style>
  <w:style w:type="paragraph" w:customStyle="1" w:styleId="Art0">
    <w:name w:val="Art"/>
    <w:basedOn w:val="Normal"/>
    <w:rsid w:val="00B82F75"/>
    <w:pPr>
      <w:autoSpaceDE/>
      <w:autoSpaceDN/>
      <w:jc w:val="both"/>
    </w:pPr>
    <w:rPr>
      <w:bCs/>
      <w:sz w:val="24"/>
      <w:szCs w:val="24"/>
      <w:lang w:val="es-ES" w:eastAsia="en-US"/>
    </w:rPr>
  </w:style>
  <w:style w:type="paragraph" w:customStyle="1" w:styleId="CharCharCharCharCharChar">
    <w:name w:val="Char Char Char Char Char Char"/>
    <w:basedOn w:val="Normal"/>
    <w:rsid w:val="00B82F75"/>
    <w:pPr>
      <w:tabs>
        <w:tab w:val="left" w:pos="540"/>
        <w:tab w:val="left" w:pos="1260"/>
        <w:tab w:val="left" w:pos="1800"/>
      </w:tabs>
      <w:autoSpaceDE/>
      <w:autoSpaceDN/>
      <w:spacing w:before="240" w:after="160" w:line="240" w:lineRule="exact"/>
      <w:jc w:val="both"/>
    </w:pPr>
    <w:rPr>
      <w:rFonts w:ascii="Verdana" w:eastAsia="SimSun" w:hAnsi="Verdana"/>
      <w:sz w:val="24"/>
      <w:lang w:val="en-US" w:eastAsia="en-US"/>
    </w:rPr>
  </w:style>
  <w:style w:type="character" w:customStyle="1" w:styleId="CharChar">
    <w:name w:val="Char Char"/>
    <w:basedOn w:val="Fuentedeprrafopredeter"/>
    <w:rsid w:val="00B82F75"/>
    <w:rPr>
      <w:b/>
      <w:sz w:val="28"/>
      <w:lang w:val="en-GB" w:eastAsia="en-US" w:bidi="ar-SA"/>
    </w:rPr>
  </w:style>
  <w:style w:type="character" w:customStyle="1" w:styleId="CharChar3">
    <w:name w:val="Char Char3"/>
    <w:basedOn w:val="Fuentedeprrafopredeter"/>
    <w:rsid w:val="00B82F75"/>
    <w:rPr>
      <w:b/>
      <w:sz w:val="24"/>
      <w:lang w:val="en-GB" w:eastAsia="en-US" w:bidi="ar-SA"/>
    </w:rPr>
  </w:style>
  <w:style w:type="character" w:customStyle="1" w:styleId="CharChar2">
    <w:name w:val="Char Char2"/>
    <w:basedOn w:val="Fuentedeprrafopredeter"/>
    <w:rsid w:val="00B82F75"/>
    <w:rPr>
      <w:b/>
      <w:sz w:val="24"/>
      <w:lang w:val="en-GB" w:eastAsia="en-US" w:bidi="ar-SA"/>
    </w:rPr>
  </w:style>
  <w:style w:type="character" w:customStyle="1" w:styleId="CharChar1">
    <w:name w:val="Char Char1"/>
    <w:basedOn w:val="Fuentedeprrafopredeter"/>
    <w:rsid w:val="00B82F75"/>
    <w:rPr>
      <w:b/>
      <w:sz w:val="24"/>
      <w:lang w:val="en-GB" w:eastAsia="en-US" w:bidi="ar-SA"/>
    </w:rPr>
  </w:style>
  <w:style w:type="paragraph" w:customStyle="1" w:styleId="CharCharCharCharCharChar1">
    <w:name w:val="Char Char Char Char Char Char1"/>
    <w:basedOn w:val="Normal"/>
    <w:rsid w:val="00B82F75"/>
    <w:pPr>
      <w:tabs>
        <w:tab w:val="left" w:pos="540"/>
        <w:tab w:val="left" w:pos="1260"/>
        <w:tab w:val="left" w:pos="1800"/>
      </w:tabs>
      <w:autoSpaceDE/>
      <w:autoSpaceDN/>
      <w:spacing w:before="240" w:after="160" w:line="240" w:lineRule="exact"/>
    </w:pPr>
    <w:rPr>
      <w:rFonts w:ascii="Verdana" w:eastAsia="SimSun" w:hAnsi="Verdana"/>
      <w:noProof/>
      <w:sz w:val="24"/>
      <w:lang w:val="en-US" w:eastAsia="en-US"/>
    </w:rPr>
  </w:style>
  <w:style w:type="paragraph" w:customStyle="1" w:styleId="AnnexRef0">
    <w:name w:val="Annex_Ref"/>
    <w:basedOn w:val="Normal"/>
    <w:rsid w:val="00B82F75"/>
    <w:pPr>
      <w:tabs>
        <w:tab w:val="left" w:pos="1134"/>
        <w:tab w:val="left" w:pos="1871"/>
        <w:tab w:val="left" w:pos="2268"/>
      </w:tabs>
      <w:overflowPunct w:val="0"/>
      <w:adjustRightInd w:val="0"/>
      <w:spacing w:before="240"/>
      <w:jc w:val="center"/>
      <w:textAlignment w:val="baseline"/>
    </w:pPr>
    <w:rPr>
      <w:rFonts w:eastAsia="SimSun"/>
      <w:noProof/>
      <w:sz w:val="24"/>
      <w:lang w:val="en-US" w:eastAsia="en-US"/>
    </w:rPr>
  </w:style>
  <w:style w:type="character" w:customStyle="1" w:styleId="enumlev10">
    <w:name w:val="enumlev1 Знак"/>
    <w:basedOn w:val="Fuentedeprrafopredeter"/>
    <w:rsid w:val="00B82F75"/>
    <w:rPr>
      <w:rFonts w:eastAsia="MS Mincho"/>
      <w:color w:val="000000"/>
      <w:sz w:val="24"/>
      <w:lang w:val="fr-FR" w:eastAsia="en-US" w:bidi="ar-SA"/>
    </w:rPr>
  </w:style>
  <w:style w:type="paragraph" w:customStyle="1" w:styleId="Heading1">
    <w:name w:val="Heading1"/>
    <w:basedOn w:val="FigureNo"/>
    <w:rsid w:val="00B82F75"/>
    <w:rPr>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5645">
      <w:bodyDiv w:val="1"/>
      <w:marLeft w:val="0"/>
      <w:marRight w:val="0"/>
      <w:marTop w:val="0"/>
      <w:marBottom w:val="0"/>
      <w:divBdr>
        <w:top w:val="none" w:sz="0" w:space="0" w:color="auto"/>
        <w:left w:val="none" w:sz="0" w:space="0" w:color="auto"/>
        <w:bottom w:val="none" w:sz="0" w:space="0" w:color="auto"/>
        <w:right w:val="none" w:sz="0" w:space="0" w:color="auto"/>
      </w:divBdr>
    </w:div>
    <w:div w:id="372970278">
      <w:bodyDiv w:val="1"/>
      <w:marLeft w:val="0"/>
      <w:marRight w:val="0"/>
      <w:marTop w:val="0"/>
      <w:marBottom w:val="0"/>
      <w:divBdr>
        <w:top w:val="none" w:sz="0" w:space="0" w:color="auto"/>
        <w:left w:val="none" w:sz="0" w:space="0" w:color="auto"/>
        <w:bottom w:val="none" w:sz="0" w:space="0" w:color="auto"/>
        <w:right w:val="none" w:sz="0" w:space="0" w:color="auto"/>
      </w:divBdr>
    </w:div>
    <w:div w:id="418986829">
      <w:bodyDiv w:val="1"/>
      <w:marLeft w:val="0"/>
      <w:marRight w:val="0"/>
      <w:marTop w:val="0"/>
      <w:marBottom w:val="0"/>
      <w:divBdr>
        <w:top w:val="none" w:sz="0" w:space="0" w:color="auto"/>
        <w:left w:val="none" w:sz="0" w:space="0" w:color="auto"/>
        <w:bottom w:val="none" w:sz="0" w:space="0" w:color="auto"/>
        <w:right w:val="none" w:sz="0" w:space="0" w:color="auto"/>
      </w:divBdr>
    </w:div>
    <w:div w:id="433865054">
      <w:bodyDiv w:val="1"/>
      <w:marLeft w:val="0"/>
      <w:marRight w:val="0"/>
      <w:marTop w:val="0"/>
      <w:marBottom w:val="0"/>
      <w:divBdr>
        <w:top w:val="none" w:sz="0" w:space="0" w:color="auto"/>
        <w:left w:val="none" w:sz="0" w:space="0" w:color="auto"/>
        <w:bottom w:val="none" w:sz="0" w:space="0" w:color="auto"/>
        <w:right w:val="none" w:sz="0" w:space="0" w:color="auto"/>
      </w:divBdr>
      <w:divsChild>
        <w:div w:id="118689123">
          <w:marLeft w:val="0"/>
          <w:marRight w:val="0"/>
          <w:marTop w:val="0"/>
          <w:marBottom w:val="0"/>
          <w:divBdr>
            <w:top w:val="none" w:sz="0" w:space="0" w:color="auto"/>
            <w:left w:val="none" w:sz="0" w:space="0" w:color="auto"/>
            <w:bottom w:val="none" w:sz="0" w:space="0" w:color="auto"/>
            <w:right w:val="none" w:sz="0" w:space="0" w:color="auto"/>
          </w:divBdr>
          <w:divsChild>
            <w:div w:id="1664503727">
              <w:marLeft w:val="0"/>
              <w:marRight w:val="0"/>
              <w:marTop w:val="0"/>
              <w:marBottom w:val="0"/>
              <w:divBdr>
                <w:top w:val="none" w:sz="0" w:space="0" w:color="auto"/>
                <w:left w:val="none" w:sz="0" w:space="0" w:color="auto"/>
                <w:bottom w:val="none" w:sz="0" w:space="0" w:color="auto"/>
                <w:right w:val="none" w:sz="0" w:space="0" w:color="auto"/>
              </w:divBdr>
              <w:divsChild>
                <w:div w:id="2051297231">
                  <w:marLeft w:val="0"/>
                  <w:marRight w:val="0"/>
                  <w:marTop w:val="0"/>
                  <w:marBottom w:val="0"/>
                  <w:divBdr>
                    <w:top w:val="none" w:sz="0" w:space="0" w:color="auto"/>
                    <w:left w:val="none" w:sz="0" w:space="0" w:color="auto"/>
                    <w:bottom w:val="none" w:sz="0" w:space="0" w:color="auto"/>
                    <w:right w:val="none" w:sz="0" w:space="0" w:color="auto"/>
                  </w:divBdr>
                  <w:divsChild>
                    <w:div w:id="1975483938">
                      <w:marLeft w:val="0"/>
                      <w:marRight w:val="0"/>
                      <w:marTop w:val="0"/>
                      <w:marBottom w:val="0"/>
                      <w:divBdr>
                        <w:top w:val="none" w:sz="0" w:space="0" w:color="auto"/>
                        <w:left w:val="none" w:sz="0" w:space="0" w:color="auto"/>
                        <w:bottom w:val="none" w:sz="0" w:space="0" w:color="auto"/>
                        <w:right w:val="none" w:sz="0" w:space="0" w:color="auto"/>
                      </w:divBdr>
                      <w:divsChild>
                        <w:div w:id="1534734592">
                          <w:marLeft w:val="0"/>
                          <w:marRight w:val="0"/>
                          <w:marTop w:val="0"/>
                          <w:marBottom w:val="0"/>
                          <w:divBdr>
                            <w:top w:val="none" w:sz="0" w:space="0" w:color="auto"/>
                            <w:left w:val="none" w:sz="0" w:space="0" w:color="auto"/>
                            <w:bottom w:val="none" w:sz="0" w:space="0" w:color="auto"/>
                            <w:right w:val="none" w:sz="0" w:space="0" w:color="auto"/>
                          </w:divBdr>
                          <w:divsChild>
                            <w:div w:id="1975211243">
                              <w:marLeft w:val="0"/>
                              <w:marRight w:val="0"/>
                              <w:marTop w:val="0"/>
                              <w:marBottom w:val="0"/>
                              <w:divBdr>
                                <w:top w:val="none" w:sz="0" w:space="0" w:color="auto"/>
                                <w:left w:val="none" w:sz="0" w:space="0" w:color="auto"/>
                                <w:bottom w:val="none" w:sz="0" w:space="0" w:color="auto"/>
                                <w:right w:val="none" w:sz="0" w:space="0" w:color="auto"/>
                              </w:divBdr>
                              <w:divsChild>
                                <w:div w:id="721057483">
                                  <w:marLeft w:val="0"/>
                                  <w:marRight w:val="0"/>
                                  <w:marTop w:val="0"/>
                                  <w:marBottom w:val="0"/>
                                  <w:divBdr>
                                    <w:top w:val="none" w:sz="0" w:space="0" w:color="auto"/>
                                    <w:left w:val="none" w:sz="0" w:space="0" w:color="auto"/>
                                    <w:bottom w:val="none" w:sz="0" w:space="0" w:color="auto"/>
                                    <w:right w:val="none" w:sz="0" w:space="0" w:color="auto"/>
                                  </w:divBdr>
                                  <w:divsChild>
                                    <w:div w:id="221914402">
                                      <w:marLeft w:val="0"/>
                                      <w:marRight w:val="0"/>
                                      <w:marTop w:val="0"/>
                                      <w:marBottom w:val="0"/>
                                      <w:divBdr>
                                        <w:top w:val="none" w:sz="0" w:space="0" w:color="auto"/>
                                        <w:left w:val="none" w:sz="0" w:space="0" w:color="auto"/>
                                        <w:bottom w:val="none" w:sz="0" w:space="0" w:color="auto"/>
                                        <w:right w:val="none" w:sz="0" w:space="0" w:color="auto"/>
                                      </w:divBdr>
                                      <w:divsChild>
                                        <w:div w:id="1528908048">
                                          <w:marLeft w:val="0"/>
                                          <w:marRight w:val="0"/>
                                          <w:marTop w:val="0"/>
                                          <w:marBottom w:val="0"/>
                                          <w:divBdr>
                                            <w:top w:val="none" w:sz="0" w:space="0" w:color="auto"/>
                                            <w:left w:val="none" w:sz="0" w:space="0" w:color="auto"/>
                                            <w:bottom w:val="none" w:sz="0" w:space="0" w:color="auto"/>
                                            <w:right w:val="none" w:sz="0" w:space="0" w:color="auto"/>
                                          </w:divBdr>
                                          <w:divsChild>
                                            <w:div w:id="1790392490">
                                              <w:marLeft w:val="0"/>
                                              <w:marRight w:val="0"/>
                                              <w:marTop w:val="0"/>
                                              <w:marBottom w:val="0"/>
                                              <w:divBdr>
                                                <w:top w:val="none" w:sz="0" w:space="0" w:color="auto"/>
                                                <w:left w:val="none" w:sz="0" w:space="0" w:color="auto"/>
                                                <w:bottom w:val="none" w:sz="0" w:space="0" w:color="auto"/>
                                                <w:right w:val="none" w:sz="0" w:space="0" w:color="auto"/>
                                              </w:divBdr>
                                              <w:divsChild>
                                                <w:div w:id="369309472">
                                                  <w:marLeft w:val="0"/>
                                                  <w:marRight w:val="0"/>
                                                  <w:marTop w:val="0"/>
                                                  <w:marBottom w:val="0"/>
                                                  <w:divBdr>
                                                    <w:top w:val="none" w:sz="0" w:space="0" w:color="auto"/>
                                                    <w:left w:val="none" w:sz="0" w:space="0" w:color="auto"/>
                                                    <w:bottom w:val="none" w:sz="0" w:space="0" w:color="auto"/>
                                                    <w:right w:val="none" w:sz="0" w:space="0" w:color="auto"/>
                                                  </w:divBdr>
                                                  <w:divsChild>
                                                    <w:div w:id="1148398502">
                                                      <w:marLeft w:val="0"/>
                                                      <w:marRight w:val="0"/>
                                                      <w:marTop w:val="0"/>
                                                      <w:marBottom w:val="0"/>
                                                      <w:divBdr>
                                                        <w:top w:val="none" w:sz="0" w:space="0" w:color="auto"/>
                                                        <w:left w:val="none" w:sz="0" w:space="0" w:color="auto"/>
                                                        <w:bottom w:val="none" w:sz="0" w:space="0" w:color="auto"/>
                                                        <w:right w:val="none" w:sz="0" w:space="0" w:color="auto"/>
                                                      </w:divBdr>
                                                      <w:divsChild>
                                                        <w:div w:id="454712495">
                                                          <w:marLeft w:val="0"/>
                                                          <w:marRight w:val="0"/>
                                                          <w:marTop w:val="0"/>
                                                          <w:marBottom w:val="0"/>
                                                          <w:divBdr>
                                                            <w:top w:val="none" w:sz="0" w:space="0" w:color="auto"/>
                                                            <w:left w:val="none" w:sz="0" w:space="0" w:color="auto"/>
                                                            <w:bottom w:val="none" w:sz="0" w:space="0" w:color="auto"/>
                                                            <w:right w:val="none" w:sz="0" w:space="0" w:color="auto"/>
                                                          </w:divBdr>
                                                          <w:divsChild>
                                                            <w:div w:id="116149377">
                                                              <w:marLeft w:val="0"/>
                                                              <w:marRight w:val="0"/>
                                                              <w:marTop w:val="0"/>
                                                              <w:marBottom w:val="0"/>
                                                              <w:divBdr>
                                                                <w:top w:val="none" w:sz="0" w:space="0" w:color="auto"/>
                                                                <w:left w:val="none" w:sz="0" w:space="0" w:color="auto"/>
                                                                <w:bottom w:val="none" w:sz="0" w:space="0" w:color="auto"/>
                                                                <w:right w:val="none" w:sz="0" w:space="0" w:color="auto"/>
                                                              </w:divBdr>
                                                              <w:divsChild>
                                                                <w:div w:id="1943492501">
                                                                  <w:marLeft w:val="0"/>
                                                                  <w:marRight w:val="0"/>
                                                                  <w:marTop w:val="0"/>
                                                                  <w:marBottom w:val="0"/>
                                                                  <w:divBdr>
                                                                    <w:top w:val="none" w:sz="0" w:space="0" w:color="auto"/>
                                                                    <w:left w:val="none" w:sz="0" w:space="0" w:color="auto"/>
                                                                    <w:bottom w:val="none" w:sz="0" w:space="0" w:color="auto"/>
                                                                    <w:right w:val="none" w:sz="0" w:space="0" w:color="auto"/>
                                                                  </w:divBdr>
                                                                  <w:divsChild>
                                                                    <w:div w:id="554051419">
                                                                      <w:marLeft w:val="0"/>
                                                                      <w:marRight w:val="0"/>
                                                                      <w:marTop w:val="0"/>
                                                                      <w:marBottom w:val="0"/>
                                                                      <w:divBdr>
                                                                        <w:top w:val="none" w:sz="0" w:space="0" w:color="auto"/>
                                                                        <w:left w:val="none" w:sz="0" w:space="0" w:color="auto"/>
                                                                        <w:bottom w:val="none" w:sz="0" w:space="0" w:color="auto"/>
                                                                        <w:right w:val="none" w:sz="0" w:space="0" w:color="auto"/>
                                                                      </w:divBdr>
                                                                      <w:divsChild>
                                                                        <w:div w:id="1605191415">
                                                                          <w:marLeft w:val="0"/>
                                                                          <w:marRight w:val="0"/>
                                                                          <w:marTop w:val="0"/>
                                                                          <w:marBottom w:val="0"/>
                                                                          <w:divBdr>
                                                                            <w:top w:val="none" w:sz="0" w:space="0" w:color="auto"/>
                                                                            <w:left w:val="none" w:sz="0" w:space="0" w:color="auto"/>
                                                                            <w:bottom w:val="none" w:sz="0" w:space="0" w:color="auto"/>
                                                                            <w:right w:val="none" w:sz="0" w:space="0" w:color="auto"/>
                                                                          </w:divBdr>
                                                                          <w:divsChild>
                                                                            <w:div w:id="1613395081">
                                                                              <w:marLeft w:val="0"/>
                                                                              <w:marRight w:val="0"/>
                                                                              <w:marTop w:val="0"/>
                                                                              <w:marBottom w:val="0"/>
                                                                              <w:divBdr>
                                                                                <w:top w:val="none" w:sz="0" w:space="0" w:color="auto"/>
                                                                                <w:left w:val="none" w:sz="0" w:space="0" w:color="auto"/>
                                                                                <w:bottom w:val="none" w:sz="0" w:space="0" w:color="auto"/>
                                                                                <w:right w:val="none" w:sz="0" w:space="0" w:color="auto"/>
                                                                              </w:divBdr>
                                                                              <w:divsChild>
                                                                                <w:div w:id="1651977909">
                                                                                  <w:marLeft w:val="0"/>
                                                                                  <w:marRight w:val="0"/>
                                                                                  <w:marTop w:val="0"/>
                                                                                  <w:marBottom w:val="0"/>
                                                                                  <w:divBdr>
                                                                                    <w:top w:val="none" w:sz="0" w:space="0" w:color="auto"/>
                                                                                    <w:left w:val="none" w:sz="0" w:space="0" w:color="auto"/>
                                                                                    <w:bottom w:val="none" w:sz="0" w:space="0" w:color="auto"/>
                                                                                    <w:right w:val="none" w:sz="0" w:space="0" w:color="auto"/>
                                                                                  </w:divBdr>
                                                                                  <w:divsChild>
                                                                                    <w:div w:id="910189014">
                                                                                      <w:marLeft w:val="0"/>
                                                                                      <w:marRight w:val="0"/>
                                                                                      <w:marTop w:val="0"/>
                                                                                      <w:marBottom w:val="0"/>
                                                                                      <w:divBdr>
                                                                                        <w:top w:val="none" w:sz="0" w:space="0" w:color="auto"/>
                                                                                        <w:left w:val="none" w:sz="0" w:space="0" w:color="auto"/>
                                                                                        <w:bottom w:val="none" w:sz="0" w:space="0" w:color="auto"/>
                                                                                        <w:right w:val="none" w:sz="0" w:space="0" w:color="auto"/>
                                                                                      </w:divBdr>
                                                                                      <w:divsChild>
                                                                                        <w:div w:id="537814655">
                                                                                          <w:marLeft w:val="0"/>
                                                                                          <w:marRight w:val="0"/>
                                                                                          <w:marTop w:val="0"/>
                                                                                          <w:marBottom w:val="0"/>
                                                                                          <w:divBdr>
                                                                                            <w:top w:val="none" w:sz="0" w:space="0" w:color="auto"/>
                                                                                            <w:left w:val="none" w:sz="0" w:space="0" w:color="auto"/>
                                                                                            <w:bottom w:val="none" w:sz="0" w:space="0" w:color="auto"/>
                                                                                            <w:right w:val="none" w:sz="0" w:space="0" w:color="auto"/>
                                                                                          </w:divBdr>
                                                                                          <w:divsChild>
                                                                                            <w:div w:id="1579634884">
                                                                                              <w:marLeft w:val="0"/>
                                                                                              <w:marRight w:val="0"/>
                                                                                              <w:marTop w:val="0"/>
                                                                                              <w:marBottom w:val="0"/>
                                                                                              <w:divBdr>
                                                                                                <w:top w:val="none" w:sz="0" w:space="0" w:color="auto"/>
                                                                                                <w:left w:val="none" w:sz="0" w:space="0" w:color="auto"/>
                                                                                                <w:bottom w:val="none" w:sz="0" w:space="0" w:color="auto"/>
                                                                                                <w:right w:val="none" w:sz="0" w:space="0" w:color="auto"/>
                                                                                              </w:divBdr>
                                                                                              <w:divsChild>
                                                                                                <w:div w:id="1409692408">
                                                                                                  <w:marLeft w:val="0"/>
                                                                                                  <w:marRight w:val="0"/>
                                                                                                  <w:marTop w:val="0"/>
                                                                                                  <w:marBottom w:val="0"/>
                                                                                                  <w:divBdr>
                                                                                                    <w:top w:val="none" w:sz="0" w:space="0" w:color="auto"/>
                                                                                                    <w:left w:val="none" w:sz="0" w:space="0" w:color="auto"/>
                                                                                                    <w:bottom w:val="none" w:sz="0" w:space="0" w:color="auto"/>
                                                                                                    <w:right w:val="none" w:sz="0" w:space="0" w:color="auto"/>
                                                                                                  </w:divBdr>
                                                                                                  <w:divsChild>
                                                                                                    <w:div w:id="1549144791">
                                                                                                      <w:marLeft w:val="0"/>
                                                                                                      <w:marRight w:val="0"/>
                                                                                                      <w:marTop w:val="0"/>
                                                                                                      <w:marBottom w:val="0"/>
                                                                                                      <w:divBdr>
                                                                                                        <w:top w:val="none" w:sz="0" w:space="0" w:color="auto"/>
                                                                                                        <w:left w:val="none" w:sz="0" w:space="0" w:color="auto"/>
                                                                                                        <w:bottom w:val="none" w:sz="0" w:space="0" w:color="auto"/>
                                                                                                        <w:right w:val="none" w:sz="0" w:space="0" w:color="auto"/>
                                                                                                      </w:divBdr>
                                                                                                      <w:divsChild>
                                                                                                        <w:div w:id="705443739">
                                                                                                          <w:marLeft w:val="0"/>
                                                                                                          <w:marRight w:val="0"/>
                                                                                                          <w:marTop w:val="0"/>
                                                                                                          <w:marBottom w:val="0"/>
                                                                                                          <w:divBdr>
                                                                                                            <w:top w:val="none" w:sz="0" w:space="0" w:color="auto"/>
                                                                                                            <w:left w:val="none" w:sz="0" w:space="0" w:color="auto"/>
                                                                                                            <w:bottom w:val="none" w:sz="0" w:space="0" w:color="auto"/>
                                                                                                            <w:right w:val="none" w:sz="0" w:space="0" w:color="auto"/>
                                                                                                          </w:divBdr>
                                                                                                          <w:divsChild>
                                                                                                            <w:div w:id="1307933322">
                                                                                                              <w:marLeft w:val="0"/>
                                                                                                              <w:marRight w:val="0"/>
                                                                                                              <w:marTop w:val="0"/>
                                                                                                              <w:marBottom w:val="0"/>
                                                                                                              <w:divBdr>
                                                                                                                <w:top w:val="none" w:sz="0" w:space="0" w:color="auto"/>
                                                                                                                <w:left w:val="none" w:sz="0" w:space="0" w:color="auto"/>
                                                                                                                <w:bottom w:val="none" w:sz="0" w:space="0" w:color="auto"/>
                                                                                                                <w:right w:val="none" w:sz="0" w:space="0" w:color="auto"/>
                                                                                                              </w:divBdr>
                                                                                                              <w:divsChild>
                                                                                                                <w:div w:id="1723286475">
                                                                                                                  <w:marLeft w:val="0"/>
                                                                                                                  <w:marRight w:val="0"/>
                                                                                                                  <w:marTop w:val="0"/>
                                                                                                                  <w:marBottom w:val="0"/>
                                                                                                                  <w:divBdr>
                                                                                                                    <w:top w:val="none" w:sz="0" w:space="0" w:color="auto"/>
                                                                                                                    <w:left w:val="none" w:sz="0" w:space="0" w:color="auto"/>
                                                                                                                    <w:bottom w:val="none" w:sz="0" w:space="0" w:color="auto"/>
                                                                                                                    <w:right w:val="none" w:sz="0" w:space="0" w:color="auto"/>
                                                                                                                  </w:divBdr>
                                                                                                                  <w:divsChild>
                                                                                                                    <w:div w:id="594020252">
                                                                                                                      <w:marLeft w:val="0"/>
                                                                                                                      <w:marRight w:val="0"/>
                                                                                                                      <w:marTop w:val="0"/>
                                                                                                                      <w:marBottom w:val="0"/>
                                                                                                                      <w:divBdr>
                                                                                                                        <w:top w:val="none" w:sz="0" w:space="0" w:color="auto"/>
                                                                                                                        <w:left w:val="none" w:sz="0" w:space="0" w:color="auto"/>
                                                                                                                        <w:bottom w:val="none" w:sz="0" w:space="0" w:color="auto"/>
                                                                                                                        <w:right w:val="none" w:sz="0" w:space="0" w:color="auto"/>
                                                                                                                      </w:divBdr>
                                                                                                                      <w:divsChild>
                                                                                                                        <w:div w:id="543638817">
                                                                                                                          <w:marLeft w:val="0"/>
                                                                                                                          <w:marRight w:val="0"/>
                                                                                                                          <w:marTop w:val="0"/>
                                                                                                                          <w:marBottom w:val="0"/>
                                                                                                                          <w:divBdr>
                                                                                                                            <w:top w:val="none" w:sz="0" w:space="0" w:color="auto"/>
                                                                                                                            <w:left w:val="none" w:sz="0" w:space="0" w:color="auto"/>
                                                                                                                            <w:bottom w:val="none" w:sz="0" w:space="0" w:color="auto"/>
                                                                                                                            <w:right w:val="none" w:sz="0" w:space="0" w:color="auto"/>
                                                                                                                          </w:divBdr>
                                                                                                                          <w:divsChild>
                                                                                                                            <w:div w:id="11266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469546">
      <w:bodyDiv w:val="1"/>
      <w:marLeft w:val="0"/>
      <w:marRight w:val="0"/>
      <w:marTop w:val="0"/>
      <w:marBottom w:val="0"/>
      <w:divBdr>
        <w:top w:val="none" w:sz="0" w:space="0" w:color="auto"/>
        <w:left w:val="none" w:sz="0" w:space="0" w:color="auto"/>
        <w:bottom w:val="none" w:sz="0" w:space="0" w:color="auto"/>
        <w:right w:val="none" w:sz="0" w:space="0" w:color="auto"/>
      </w:divBdr>
      <w:divsChild>
        <w:div w:id="1514223237">
          <w:marLeft w:val="0"/>
          <w:marRight w:val="0"/>
          <w:marTop w:val="0"/>
          <w:marBottom w:val="0"/>
          <w:divBdr>
            <w:top w:val="none" w:sz="0" w:space="0" w:color="auto"/>
            <w:left w:val="none" w:sz="0" w:space="0" w:color="auto"/>
            <w:bottom w:val="none" w:sz="0" w:space="0" w:color="auto"/>
            <w:right w:val="none" w:sz="0" w:space="0" w:color="auto"/>
          </w:divBdr>
        </w:div>
      </w:divsChild>
    </w:div>
    <w:div w:id="503328098">
      <w:bodyDiv w:val="1"/>
      <w:marLeft w:val="0"/>
      <w:marRight w:val="0"/>
      <w:marTop w:val="0"/>
      <w:marBottom w:val="0"/>
      <w:divBdr>
        <w:top w:val="none" w:sz="0" w:space="0" w:color="auto"/>
        <w:left w:val="none" w:sz="0" w:space="0" w:color="auto"/>
        <w:bottom w:val="none" w:sz="0" w:space="0" w:color="auto"/>
        <w:right w:val="none" w:sz="0" w:space="0" w:color="auto"/>
      </w:divBdr>
      <w:divsChild>
        <w:div w:id="1459370049">
          <w:marLeft w:val="0"/>
          <w:marRight w:val="0"/>
          <w:marTop w:val="0"/>
          <w:marBottom w:val="0"/>
          <w:divBdr>
            <w:top w:val="none" w:sz="0" w:space="0" w:color="auto"/>
            <w:left w:val="none" w:sz="0" w:space="0" w:color="auto"/>
            <w:bottom w:val="none" w:sz="0" w:space="0" w:color="auto"/>
            <w:right w:val="none" w:sz="0" w:space="0" w:color="auto"/>
          </w:divBdr>
        </w:div>
      </w:divsChild>
    </w:div>
    <w:div w:id="672874417">
      <w:bodyDiv w:val="1"/>
      <w:marLeft w:val="0"/>
      <w:marRight w:val="0"/>
      <w:marTop w:val="0"/>
      <w:marBottom w:val="0"/>
      <w:divBdr>
        <w:top w:val="none" w:sz="0" w:space="0" w:color="auto"/>
        <w:left w:val="none" w:sz="0" w:space="0" w:color="auto"/>
        <w:bottom w:val="none" w:sz="0" w:space="0" w:color="auto"/>
        <w:right w:val="none" w:sz="0" w:space="0" w:color="auto"/>
      </w:divBdr>
    </w:div>
    <w:div w:id="677269614">
      <w:bodyDiv w:val="1"/>
      <w:marLeft w:val="0"/>
      <w:marRight w:val="0"/>
      <w:marTop w:val="0"/>
      <w:marBottom w:val="0"/>
      <w:divBdr>
        <w:top w:val="none" w:sz="0" w:space="0" w:color="auto"/>
        <w:left w:val="none" w:sz="0" w:space="0" w:color="auto"/>
        <w:bottom w:val="none" w:sz="0" w:space="0" w:color="auto"/>
        <w:right w:val="none" w:sz="0" w:space="0" w:color="auto"/>
      </w:divBdr>
    </w:div>
    <w:div w:id="683363523">
      <w:bodyDiv w:val="1"/>
      <w:marLeft w:val="0"/>
      <w:marRight w:val="0"/>
      <w:marTop w:val="0"/>
      <w:marBottom w:val="0"/>
      <w:divBdr>
        <w:top w:val="none" w:sz="0" w:space="0" w:color="auto"/>
        <w:left w:val="none" w:sz="0" w:space="0" w:color="auto"/>
        <w:bottom w:val="none" w:sz="0" w:space="0" w:color="auto"/>
        <w:right w:val="none" w:sz="0" w:space="0" w:color="auto"/>
      </w:divBdr>
      <w:divsChild>
        <w:div w:id="1539004079">
          <w:marLeft w:val="0"/>
          <w:marRight w:val="0"/>
          <w:marTop w:val="0"/>
          <w:marBottom w:val="0"/>
          <w:divBdr>
            <w:top w:val="none" w:sz="0" w:space="0" w:color="auto"/>
            <w:left w:val="none" w:sz="0" w:space="0" w:color="auto"/>
            <w:bottom w:val="none" w:sz="0" w:space="0" w:color="auto"/>
            <w:right w:val="none" w:sz="0" w:space="0" w:color="auto"/>
          </w:divBdr>
          <w:divsChild>
            <w:div w:id="8109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7883">
      <w:bodyDiv w:val="1"/>
      <w:marLeft w:val="0"/>
      <w:marRight w:val="0"/>
      <w:marTop w:val="0"/>
      <w:marBottom w:val="0"/>
      <w:divBdr>
        <w:top w:val="none" w:sz="0" w:space="0" w:color="auto"/>
        <w:left w:val="none" w:sz="0" w:space="0" w:color="auto"/>
        <w:bottom w:val="none" w:sz="0" w:space="0" w:color="auto"/>
        <w:right w:val="none" w:sz="0" w:space="0" w:color="auto"/>
      </w:divBdr>
    </w:div>
    <w:div w:id="1034230564">
      <w:bodyDiv w:val="1"/>
      <w:marLeft w:val="0"/>
      <w:marRight w:val="0"/>
      <w:marTop w:val="0"/>
      <w:marBottom w:val="0"/>
      <w:divBdr>
        <w:top w:val="none" w:sz="0" w:space="0" w:color="auto"/>
        <w:left w:val="none" w:sz="0" w:space="0" w:color="auto"/>
        <w:bottom w:val="none" w:sz="0" w:space="0" w:color="auto"/>
        <w:right w:val="none" w:sz="0" w:space="0" w:color="auto"/>
      </w:divBdr>
    </w:div>
    <w:div w:id="1056664434">
      <w:bodyDiv w:val="1"/>
      <w:marLeft w:val="0"/>
      <w:marRight w:val="0"/>
      <w:marTop w:val="0"/>
      <w:marBottom w:val="0"/>
      <w:divBdr>
        <w:top w:val="none" w:sz="0" w:space="0" w:color="auto"/>
        <w:left w:val="none" w:sz="0" w:space="0" w:color="auto"/>
        <w:bottom w:val="none" w:sz="0" w:space="0" w:color="auto"/>
        <w:right w:val="none" w:sz="0" w:space="0" w:color="auto"/>
      </w:divBdr>
    </w:div>
    <w:div w:id="1152986511">
      <w:bodyDiv w:val="1"/>
      <w:marLeft w:val="0"/>
      <w:marRight w:val="0"/>
      <w:marTop w:val="510"/>
      <w:marBottom w:val="0"/>
      <w:divBdr>
        <w:top w:val="none" w:sz="0" w:space="0" w:color="auto"/>
        <w:left w:val="none" w:sz="0" w:space="0" w:color="auto"/>
        <w:bottom w:val="none" w:sz="0" w:space="0" w:color="auto"/>
        <w:right w:val="none" w:sz="0" w:space="0" w:color="auto"/>
      </w:divBdr>
      <w:divsChild>
        <w:div w:id="1409957984">
          <w:marLeft w:val="0"/>
          <w:marRight w:val="0"/>
          <w:marTop w:val="0"/>
          <w:marBottom w:val="0"/>
          <w:divBdr>
            <w:top w:val="none" w:sz="0" w:space="0" w:color="auto"/>
            <w:left w:val="none" w:sz="0" w:space="0" w:color="auto"/>
            <w:bottom w:val="none" w:sz="0" w:space="0" w:color="auto"/>
            <w:right w:val="none" w:sz="0" w:space="0" w:color="auto"/>
          </w:divBdr>
          <w:divsChild>
            <w:div w:id="1570654235">
              <w:marLeft w:val="0"/>
              <w:marRight w:val="0"/>
              <w:marTop w:val="0"/>
              <w:marBottom w:val="0"/>
              <w:divBdr>
                <w:top w:val="none" w:sz="0" w:space="0" w:color="auto"/>
                <w:left w:val="none" w:sz="0" w:space="0" w:color="auto"/>
                <w:bottom w:val="none" w:sz="0" w:space="0" w:color="auto"/>
                <w:right w:val="none" w:sz="0" w:space="0" w:color="auto"/>
              </w:divBdr>
              <w:divsChild>
                <w:div w:id="2063482430">
                  <w:marLeft w:val="0"/>
                  <w:marRight w:val="0"/>
                  <w:marTop w:val="0"/>
                  <w:marBottom w:val="0"/>
                  <w:divBdr>
                    <w:top w:val="none" w:sz="0" w:space="0" w:color="auto"/>
                    <w:left w:val="none" w:sz="0" w:space="0" w:color="auto"/>
                    <w:bottom w:val="none" w:sz="0" w:space="0" w:color="auto"/>
                    <w:right w:val="none" w:sz="0" w:space="0" w:color="auto"/>
                  </w:divBdr>
                  <w:divsChild>
                    <w:div w:id="1586913170">
                      <w:marLeft w:val="0"/>
                      <w:marRight w:val="0"/>
                      <w:marTop w:val="0"/>
                      <w:marBottom w:val="0"/>
                      <w:divBdr>
                        <w:top w:val="none" w:sz="0" w:space="0" w:color="auto"/>
                        <w:left w:val="none" w:sz="0" w:space="0" w:color="auto"/>
                        <w:bottom w:val="none" w:sz="0" w:space="0" w:color="auto"/>
                        <w:right w:val="none" w:sz="0" w:space="0" w:color="auto"/>
                      </w:divBdr>
                      <w:divsChild>
                        <w:div w:id="1178881789">
                          <w:marLeft w:val="0"/>
                          <w:marRight w:val="0"/>
                          <w:marTop w:val="0"/>
                          <w:marBottom w:val="0"/>
                          <w:divBdr>
                            <w:top w:val="none" w:sz="0" w:space="0" w:color="auto"/>
                            <w:left w:val="none" w:sz="0" w:space="0" w:color="auto"/>
                            <w:bottom w:val="none" w:sz="0" w:space="0" w:color="auto"/>
                            <w:right w:val="none" w:sz="0" w:space="0" w:color="auto"/>
                          </w:divBdr>
                          <w:divsChild>
                            <w:div w:id="17953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83509">
      <w:bodyDiv w:val="1"/>
      <w:marLeft w:val="0"/>
      <w:marRight w:val="0"/>
      <w:marTop w:val="0"/>
      <w:marBottom w:val="0"/>
      <w:divBdr>
        <w:top w:val="none" w:sz="0" w:space="0" w:color="auto"/>
        <w:left w:val="none" w:sz="0" w:space="0" w:color="auto"/>
        <w:bottom w:val="none" w:sz="0" w:space="0" w:color="auto"/>
        <w:right w:val="none" w:sz="0" w:space="0" w:color="auto"/>
      </w:divBdr>
      <w:divsChild>
        <w:div w:id="514926520">
          <w:marLeft w:val="0"/>
          <w:marRight w:val="0"/>
          <w:marTop w:val="0"/>
          <w:marBottom w:val="0"/>
          <w:divBdr>
            <w:top w:val="none" w:sz="0" w:space="0" w:color="auto"/>
            <w:left w:val="none" w:sz="0" w:space="0" w:color="auto"/>
            <w:bottom w:val="none" w:sz="0" w:space="0" w:color="auto"/>
            <w:right w:val="none" w:sz="0" w:space="0" w:color="auto"/>
          </w:divBdr>
          <w:divsChild>
            <w:div w:id="21207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5594">
      <w:bodyDiv w:val="1"/>
      <w:marLeft w:val="0"/>
      <w:marRight w:val="0"/>
      <w:marTop w:val="0"/>
      <w:marBottom w:val="0"/>
      <w:divBdr>
        <w:top w:val="none" w:sz="0" w:space="0" w:color="auto"/>
        <w:left w:val="none" w:sz="0" w:space="0" w:color="auto"/>
        <w:bottom w:val="none" w:sz="0" w:space="0" w:color="auto"/>
        <w:right w:val="none" w:sz="0" w:space="0" w:color="auto"/>
      </w:divBdr>
    </w:div>
    <w:div w:id="1356342657">
      <w:bodyDiv w:val="1"/>
      <w:marLeft w:val="0"/>
      <w:marRight w:val="0"/>
      <w:marTop w:val="0"/>
      <w:marBottom w:val="0"/>
      <w:divBdr>
        <w:top w:val="none" w:sz="0" w:space="0" w:color="auto"/>
        <w:left w:val="none" w:sz="0" w:space="0" w:color="auto"/>
        <w:bottom w:val="none" w:sz="0" w:space="0" w:color="auto"/>
        <w:right w:val="none" w:sz="0" w:space="0" w:color="auto"/>
      </w:divBdr>
    </w:div>
    <w:div w:id="1376350102">
      <w:bodyDiv w:val="1"/>
      <w:marLeft w:val="0"/>
      <w:marRight w:val="0"/>
      <w:marTop w:val="0"/>
      <w:marBottom w:val="0"/>
      <w:divBdr>
        <w:top w:val="none" w:sz="0" w:space="0" w:color="auto"/>
        <w:left w:val="none" w:sz="0" w:space="0" w:color="auto"/>
        <w:bottom w:val="none" w:sz="0" w:space="0" w:color="auto"/>
        <w:right w:val="none" w:sz="0" w:space="0" w:color="auto"/>
      </w:divBdr>
    </w:div>
    <w:div w:id="1702776328">
      <w:bodyDiv w:val="1"/>
      <w:marLeft w:val="0"/>
      <w:marRight w:val="0"/>
      <w:marTop w:val="0"/>
      <w:marBottom w:val="0"/>
      <w:divBdr>
        <w:top w:val="none" w:sz="0" w:space="0" w:color="auto"/>
        <w:left w:val="none" w:sz="0" w:space="0" w:color="auto"/>
        <w:bottom w:val="none" w:sz="0" w:space="0" w:color="auto"/>
        <w:right w:val="none" w:sz="0" w:space="0" w:color="auto"/>
      </w:divBdr>
    </w:div>
    <w:div w:id="1740516512">
      <w:bodyDiv w:val="1"/>
      <w:marLeft w:val="0"/>
      <w:marRight w:val="0"/>
      <w:marTop w:val="0"/>
      <w:marBottom w:val="0"/>
      <w:divBdr>
        <w:top w:val="none" w:sz="0" w:space="0" w:color="auto"/>
        <w:left w:val="none" w:sz="0" w:space="0" w:color="auto"/>
        <w:bottom w:val="none" w:sz="0" w:space="0" w:color="auto"/>
        <w:right w:val="none" w:sz="0" w:space="0" w:color="auto"/>
      </w:divBdr>
    </w:div>
    <w:div w:id="1782912711">
      <w:bodyDiv w:val="1"/>
      <w:marLeft w:val="0"/>
      <w:marRight w:val="0"/>
      <w:marTop w:val="0"/>
      <w:marBottom w:val="0"/>
      <w:divBdr>
        <w:top w:val="none" w:sz="0" w:space="0" w:color="auto"/>
        <w:left w:val="none" w:sz="0" w:space="0" w:color="auto"/>
        <w:bottom w:val="none" w:sz="0" w:space="0" w:color="auto"/>
        <w:right w:val="none" w:sz="0" w:space="0" w:color="auto"/>
      </w:divBdr>
    </w:div>
    <w:div w:id="1959528392">
      <w:bodyDiv w:val="1"/>
      <w:marLeft w:val="0"/>
      <w:marRight w:val="0"/>
      <w:marTop w:val="0"/>
      <w:marBottom w:val="0"/>
      <w:divBdr>
        <w:top w:val="none" w:sz="0" w:space="0" w:color="auto"/>
        <w:left w:val="none" w:sz="0" w:space="0" w:color="auto"/>
        <w:bottom w:val="none" w:sz="0" w:space="0" w:color="auto"/>
        <w:right w:val="none" w:sz="0" w:space="0" w:color="auto"/>
      </w:divBdr>
    </w:div>
    <w:div w:id="1973976861">
      <w:bodyDiv w:val="1"/>
      <w:marLeft w:val="0"/>
      <w:marRight w:val="0"/>
      <w:marTop w:val="0"/>
      <w:marBottom w:val="0"/>
      <w:divBdr>
        <w:top w:val="none" w:sz="0" w:space="0" w:color="auto"/>
        <w:left w:val="none" w:sz="0" w:space="0" w:color="auto"/>
        <w:bottom w:val="none" w:sz="0" w:space="0" w:color="auto"/>
        <w:right w:val="none" w:sz="0" w:space="0" w:color="auto"/>
      </w:divBdr>
    </w:div>
    <w:div w:id="2029409077">
      <w:bodyDiv w:val="1"/>
      <w:marLeft w:val="0"/>
      <w:marRight w:val="0"/>
      <w:marTop w:val="0"/>
      <w:marBottom w:val="0"/>
      <w:divBdr>
        <w:top w:val="none" w:sz="0" w:space="0" w:color="auto"/>
        <w:left w:val="none" w:sz="0" w:space="0" w:color="auto"/>
        <w:bottom w:val="none" w:sz="0" w:space="0" w:color="auto"/>
        <w:right w:val="none" w:sz="0" w:space="0" w:color="auto"/>
      </w:divBdr>
      <w:divsChild>
        <w:div w:id="463616604">
          <w:marLeft w:val="0"/>
          <w:marRight w:val="0"/>
          <w:marTop w:val="0"/>
          <w:marBottom w:val="0"/>
          <w:divBdr>
            <w:top w:val="none" w:sz="0" w:space="0" w:color="auto"/>
            <w:left w:val="none" w:sz="0" w:space="0" w:color="auto"/>
            <w:bottom w:val="none" w:sz="0" w:space="0" w:color="auto"/>
            <w:right w:val="none" w:sz="0" w:space="0" w:color="auto"/>
          </w:divBdr>
          <w:divsChild>
            <w:div w:id="1736510839">
              <w:marLeft w:val="4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2.wmf"/><Relationship Id="rId3" Type="http://schemas.openxmlformats.org/officeDocument/2006/relationships/numbering" Target="numbering.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footer" Target="footer2.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www.micit.go.cr" TargetMode="External"/><Relationship Id="rId2" Type="http://schemas.openxmlformats.org/officeDocument/2006/relationships/hyperlink" Target="mailto:secretaria.telecom@micit.go.cr" TargetMode="External"/><Relationship Id="rId1"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Ministerio de Ciencia y Tecnología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Cic12</b:Tag>
    <b:SourceType>ConferenceProceedings</b:SourceType>
    <b:Guid>{C70ADD50-CEFD-4837-BCB2-6299724AAF87}</b:Guid>
    <b:LCID>uz-Cyrl-UZ</b:LCID>
    <b:Author>
      <b:Author>
        <b:NameList>
          <b:Person>
            <b:Last>Ciccorossi</b:Last>
            <b:First>Jorge</b:First>
          </b:Person>
        </b:NameList>
      </b:Author>
    </b:Author>
    <b:Title>Seminario Regional de Radiocomunicaciones</b:Title>
    <b:Year>2012</b:Year>
    <b:ConferenceName>Coordinación de Redes de Satélite</b:ConferenceName>
    <b:City>San José</b:City>
    <b:RefOrder>1</b:RefOrder>
  </b:Source>
  <b:Source>
    <b:Tag>UIT12</b:Tag>
    <b:SourceType>Misc</b:SourceType>
    <b:Guid>{58E838A4-0421-431E-B5F1-305BBBC6B899}</b:Guid>
    <b:LCID>uz-Cyrl-UZ</b:LCID>
    <b:Author>
      <b:Author>
        <b:Corporate>UIT</b:Corporate>
      </b:Author>
    </b:Author>
    <b:Title>Frecuencia Internacional Circular de Información </b:Title>
    <b:Year>2012</b:Year>
    <b:City>Ginebra</b:City>
    <b:PublicationTitle>BR IFIC 2730</b:PublicationTitle>
    <b:Month>octubre</b:Month>
    <b:Day>16</b:Day>
    <b:CountryRegion>Suiza</b:CountryRegion>
    <b:RefOrder>2</b:RefOrder>
  </b:Source>
  <b:Source>
    <b:Tag>Rec07</b:Tag>
    <b:SourceType>DocumentFromInternetSite</b:SourceType>
    <b:Guid>{EAD90770-BEE4-4871-A0FC-37894D806CDA}</b:Guid>
    <b:LCID>uz-Cyrl-UZ</b:LCID>
    <b:Title>Recomendación UIT-R V.573-5 (09/07).</b:Title>
    <b:Year>2007</b:Year>
    <b:PublicationTitle>Vocabulario de radiocomunicaciones</b:PublicationTitle>
    <b:InternetSiteTitle>Vocabulario de radiocomunicaciones</b:InternetSiteTitle>
    <b:URL>http://www.itu.int/dms_pubrec/itu-r/rec/v/R-REC-V.573-5-200709-I!!PDF-S.pdf</b:URL>
    <b:RefOrder>3</b:RefOrder>
  </b:Source>
  <b:Source>
    <b:Tag>Uni121</b:Tag>
    <b:SourceType>Book</b:SourceType>
    <b:Guid>{267883C1-8F0A-4D84-8952-A991C6BB9535}</b:Guid>
    <b:LCID>uz-Cyrl-UZ</b:LCID>
    <b:Author>
      <b:Author>
        <b:Corporate> Unión Internacional de Telecomunicaciones</b:Corporate>
      </b:Author>
    </b:Author>
    <b:Title>Reglamento de Radiocomunicaciones</b:Title>
    <b:Year>2012</b:Year>
    <b:RefOrder>4</b:RefOrder>
  </b:Source>
  <b:Source>
    <b:Tag>Uni13</b:Tag>
    <b:SourceType>InternetSite</b:SourceType>
    <b:Guid>{455FBA8D-EC89-41B0-AE18-18673C3BA8CB}</b:Guid>
    <b:LCID>uz-Cyrl-UZ</b:LCID>
    <b:Author>
      <b:Author>
        <b:Corporate>Unión Inteenacional de Telecomunicaciones</b:Corporate>
      </b:Author>
    </b:Author>
    <b:Title>Space International Frequency Information Circular Databases Online</b:Title>
    <b:YearAccessed>2013</b:YearAccessed>
    <b:MonthAccessed>febrero</b:MonthAccessed>
    <b:DayAccessed>19</b:DayAccessed>
    <b:URL>http://www.itu.int/sns/demowic12.html</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0C0BDE-692C-43E3-B067-05440F0E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18339</Words>
  <Characters>100866</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“INFORME TÉCNICO JURÍDICO RELATIVO A LA SECCIÓN ESPECIAL AP 30B/A6A/333, BIRFIC 2744 DE FECHA 22-07-2014, RELATIVA A LA RED SATELITAL B-SAT-3R-1 DE ADMINISTRACIÓN DE BRASIL”</vt:lpstr>
    </vt:vector>
  </TitlesOfParts>
  <Company>Ministerio de Ciencia y Tecnología</Company>
  <LinksUpToDate>false</LinksUpToDate>
  <CharactersWithSpaces>118968</CharactersWithSpaces>
  <SharedDoc>false</SharedDoc>
  <HLinks>
    <vt:vector size="12" baseType="variant">
      <vt:variant>
        <vt:i4>7733255</vt:i4>
      </vt:variant>
      <vt:variant>
        <vt:i4>3</vt:i4>
      </vt:variant>
      <vt:variant>
        <vt:i4>0</vt:i4>
      </vt:variant>
      <vt:variant>
        <vt:i4>5</vt:i4>
      </vt:variant>
      <vt:variant>
        <vt:lpwstr>http://es.wikipedia.org/wiki/Sistema_operativo</vt:lpwstr>
      </vt:variant>
      <vt:variant>
        <vt:lpwstr/>
      </vt:variant>
      <vt:variant>
        <vt:i4>7733285</vt:i4>
      </vt:variant>
      <vt:variant>
        <vt:i4>0</vt:i4>
      </vt:variant>
      <vt:variant>
        <vt:i4>0</vt:i4>
      </vt:variant>
      <vt:variant>
        <vt:i4>5</vt:i4>
      </vt:variant>
      <vt:variant>
        <vt:lpwstr>http://es.wikipedia.org/wiki/Icono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TÉCNICO JURÍDICO RELATIVO A LA SECCIÓN ESPECIAL AP 30B/A6A/333, BIRFIC 2744 DE FECHA 22-07-2014, RELATIVA A LA RED SATELITAL B-SAT-3R-1 DE ADMINISTRACIÓN DE BRASIL”</dc:title>
  <dc:subject>Dirección de Tecasdasdnologías Digitales</dc:subject>
  <dc:creator>Dirección de Normas y Procedimientos</dc:creator>
  <cp:lastModifiedBy>Karla Vasquez Rojas</cp:lastModifiedBy>
  <cp:revision>2</cp:revision>
  <cp:lastPrinted>2018-11-22T19:48:00Z</cp:lastPrinted>
  <dcterms:created xsi:type="dcterms:W3CDTF">2018-11-22T19:48:00Z</dcterms:created>
  <dcterms:modified xsi:type="dcterms:W3CDTF">2018-11-22T19:48:00Z</dcterms:modified>
</cp:coreProperties>
</file>