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5354180"/>
        <w:docPartObj>
          <w:docPartGallery w:val="Cover Pages"/>
          <w:docPartUnique/>
        </w:docPartObj>
      </w:sdtPr>
      <w:sdtEndPr>
        <w:rPr>
          <w:rFonts w:ascii="Arial Narrow" w:hAnsi="Arial Narrow"/>
          <w:lang w:val="es-ES"/>
        </w:rPr>
      </w:sdtEndPr>
      <w:sdtContent>
        <w:p w14:paraId="57DD8622" w14:textId="4F31C82C" w:rsidR="001D73CD" w:rsidRDefault="00F0702E" w:rsidP="00F0702E">
          <w:pPr>
            <w:jc w:val="center"/>
          </w:pPr>
          <w:r w:rsidRPr="00F0702E">
            <w:rPr>
              <w:rFonts w:ascii="Arial Narrow" w:hAnsi="Arial Narrow"/>
              <w:noProof/>
              <w:lang w:val="es-CR" w:eastAsia="es-CR"/>
            </w:rPr>
            <w:drawing>
              <wp:inline distT="0" distB="0" distL="0" distR="0" wp14:anchorId="43D90CC9" wp14:editId="78CC5BD3">
                <wp:extent cx="2781300" cy="1612900"/>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1300" cy="1612900"/>
                        </a:xfrm>
                        <a:prstGeom prst="rect">
                          <a:avLst/>
                        </a:prstGeom>
                      </pic:spPr>
                    </pic:pic>
                  </a:graphicData>
                </a:graphic>
              </wp:inline>
            </w:drawing>
          </w:r>
          <w:r w:rsidR="001D73CD">
            <w:rPr>
              <w:noProof/>
              <w:lang w:val="es-CR" w:eastAsia="es-CR"/>
            </w:rPr>
            <mc:AlternateContent>
              <mc:Choice Requires="wpg">
                <w:drawing>
                  <wp:anchor distT="0" distB="0" distL="114300" distR="114300" simplePos="0" relativeHeight="251659264" behindDoc="1" locked="0" layoutInCell="1" allowOverlap="1" wp14:anchorId="686FA6DB" wp14:editId="0E0CCD34">
                    <wp:simplePos x="0" y="0"/>
                    <wp:positionH relativeFrom="page">
                      <wp:align>center</wp:align>
                    </wp:positionH>
                    <wp:positionV relativeFrom="page">
                      <wp:align>center</wp:align>
                    </wp:positionV>
                    <wp:extent cx="6852920" cy="9142730"/>
                    <wp:effectExtent l="0" t="0" r="2540" b="12763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es-ES"/>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1778EA7" w14:textId="3534D085" w:rsidR="001D73CD" w:rsidRPr="001D73CD" w:rsidRDefault="001D73CD">
                                      <w:pPr>
                                        <w:pStyle w:val="Sinespaciado"/>
                                        <w:rPr>
                                          <w:color w:val="FFFFFF" w:themeColor="background1"/>
                                          <w:sz w:val="32"/>
                                          <w:szCs w:val="32"/>
                                          <w:lang w:val="es-ES"/>
                                        </w:rPr>
                                      </w:pPr>
                                      <w:r w:rsidRPr="001D73CD">
                                        <w:rPr>
                                          <w:color w:val="FFFFFF" w:themeColor="background1"/>
                                          <w:sz w:val="32"/>
                                          <w:szCs w:val="32"/>
                                          <w:lang w:val="es-ES"/>
                                        </w:rPr>
                                        <w:t>Secretaria Técnica de Desarrollo R</w:t>
                                      </w:r>
                                      <w:r>
                                        <w:rPr>
                                          <w:color w:val="FFFFFF" w:themeColor="background1"/>
                                          <w:sz w:val="32"/>
                                          <w:szCs w:val="32"/>
                                          <w:lang w:val="es-ES"/>
                                        </w:rPr>
                                        <w:t>ural</w:t>
                                      </w:r>
                                    </w:p>
                                  </w:sdtContent>
                                </w:sdt>
                                <w:p w14:paraId="72A87C59" w14:textId="28DB0778" w:rsidR="001D73CD" w:rsidRPr="001D73CD" w:rsidRDefault="00083742">
                                  <w:pPr>
                                    <w:pStyle w:val="Sinespaciado"/>
                                    <w:rPr>
                                      <w:caps/>
                                      <w:color w:val="FFFFFF" w:themeColor="background1"/>
                                      <w:lang w:val="es-ES"/>
                                    </w:rPr>
                                  </w:pPr>
                                  <w:sdt>
                                    <w:sdtPr>
                                      <w:rPr>
                                        <w:caps/>
                                        <w:color w:val="FFFFFF" w:themeColor="background1"/>
                                        <w:lang w:val="es-ES"/>
                                      </w:rPr>
                                      <w:alias w:val="Company"/>
                                      <w:tag w:val=""/>
                                      <w:id w:val="922067218"/>
                                      <w:dataBinding w:prefixMappings="xmlns:ns0='http://schemas.openxmlformats.org/officeDocument/2006/extended-properties' " w:xpath="/ns0:Properties[1]/ns0:Company[1]" w:storeItemID="{6668398D-A668-4E3E-A5EB-62B293D839F1}"/>
                                      <w:text/>
                                    </w:sdtPr>
                                    <w:sdtEndPr/>
                                    <w:sdtContent>
                                      <w:r w:rsidR="001D73CD" w:rsidRPr="001D73CD">
                                        <w:rPr>
                                          <w:caps/>
                                          <w:color w:val="FFFFFF" w:themeColor="background1"/>
                                          <w:lang w:val="es-ES"/>
                                        </w:rPr>
                                        <w:t>Inder</w:t>
                                      </w:r>
                                    </w:sdtContent>
                                  </w:sdt>
                                  <w:r w:rsidR="001D73CD" w:rsidRPr="001D73CD">
                                    <w:rPr>
                                      <w:caps/>
                                      <w:color w:val="FFFFFF" w:themeColor="background1"/>
                                      <w:lang w:val="es-ES"/>
                                    </w:rPr>
                                    <w:t xml:space="preserve"> | </w:t>
                                  </w:r>
                                  <w:sdt>
                                    <w:sdtPr>
                                      <w:rPr>
                                        <w:caps/>
                                        <w:color w:val="FFFFFF" w:themeColor="background1"/>
                                        <w:lang w:val="es-ES"/>
                                      </w:rPr>
                                      <w:alias w:val="Address"/>
                                      <w:tag w:val=""/>
                                      <w:id w:val="2113163453"/>
                                      <w:dataBinding w:prefixMappings="xmlns:ns0='http://schemas.microsoft.com/office/2006/coverPageProps' " w:xpath="/ns0:CoverPageProperties[1]/ns0:CompanyAddress[1]" w:storeItemID="{55AF091B-3C7A-41E3-B477-F2FDAA23CFDA}"/>
                                      <w:text/>
                                    </w:sdtPr>
                                    <w:sdtEndPr/>
                                    <w:sdtContent>
                                      <w:r w:rsidR="001D73CD" w:rsidRPr="001D73CD">
                                        <w:rPr>
                                          <w:caps/>
                                          <w:color w:val="FFFFFF" w:themeColor="background1"/>
                                          <w:lang w:val="es-ES"/>
                                        </w:rPr>
                                        <w:t>Oficinas Centrales, Moravia, San J</w:t>
                                      </w:r>
                                      <w:r w:rsidR="001D73CD">
                                        <w:rPr>
                                          <w:caps/>
                                          <w:color w:val="FFFFFF" w:themeColor="background1"/>
                                          <w:lang w:val="es-ES"/>
                                        </w:rPr>
                                        <w:t>ose.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52"/>
                                      <w:szCs w:val="52"/>
                                      <w:lang w:val="es-ES"/>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A09D66A" w14:textId="203CA31A" w:rsidR="001D73CD" w:rsidRPr="0085341F" w:rsidRDefault="004870E8">
                                      <w:pPr>
                                        <w:pStyle w:val="Sinespaciado"/>
                                        <w:pBdr>
                                          <w:bottom w:val="single" w:sz="6" w:space="4" w:color="7F7F7F" w:themeColor="text1" w:themeTint="80"/>
                                        </w:pBdr>
                                        <w:rPr>
                                          <w:rFonts w:asciiTheme="majorHAnsi" w:eastAsiaTheme="majorEastAsia" w:hAnsiTheme="majorHAnsi" w:cstheme="majorBidi"/>
                                          <w:color w:val="595959" w:themeColor="text1" w:themeTint="A6"/>
                                          <w:sz w:val="52"/>
                                          <w:szCs w:val="52"/>
                                          <w:lang w:val="es-ES"/>
                                        </w:rPr>
                                      </w:pPr>
                                      <w:r w:rsidRPr="0085341F">
                                        <w:rPr>
                                          <w:rFonts w:asciiTheme="majorHAnsi" w:eastAsiaTheme="majorEastAsia" w:hAnsiTheme="majorHAnsi" w:cstheme="majorBidi"/>
                                          <w:color w:val="595959" w:themeColor="text1" w:themeTint="A6"/>
                                          <w:sz w:val="52"/>
                                          <w:szCs w:val="52"/>
                                          <w:lang w:val="es-ES"/>
                                        </w:rPr>
                                        <w:t>“Informe en el marco del Plan Nacional de Desarrollo y de Inversión Pública 2019-2022, Sector de Ordenamiento Territorial</w:t>
                                      </w:r>
                                      <w:r w:rsidR="0085341F" w:rsidRPr="0085341F">
                                        <w:rPr>
                                          <w:rFonts w:asciiTheme="majorHAnsi" w:eastAsiaTheme="majorEastAsia" w:hAnsiTheme="majorHAnsi" w:cstheme="majorBidi"/>
                                          <w:color w:val="595959" w:themeColor="text1" w:themeTint="A6"/>
                                          <w:sz w:val="52"/>
                                          <w:szCs w:val="52"/>
                                          <w:lang w:val="es-ES"/>
                                        </w:rPr>
                                        <w:t>”</w:t>
                                      </w:r>
                                    </w:p>
                                  </w:sdtContent>
                                </w:sdt>
                                <w:sdt>
                                  <w:sdtPr>
                                    <w:rPr>
                                      <w:rFonts w:ascii="Arial" w:eastAsia="Times New Roman" w:hAnsi="Arial" w:cs="Arial"/>
                                      <w:b/>
                                      <w:bCs/>
                                      <w:lang w:val="es-ES" w:eastAsia="en-US"/>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E350C7F" w14:textId="4D890FB6" w:rsidR="004870E8" w:rsidRPr="004870E8" w:rsidRDefault="004870E8" w:rsidP="004870E8">
                                      <w:pPr>
                                        <w:pStyle w:val="Sinespaciado"/>
                                        <w:spacing w:before="240"/>
                                        <w:rPr>
                                          <w:sz w:val="32"/>
                                          <w:szCs w:val="32"/>
                                          <w:lang w:val="es-ES"/>
                                        </w:rPr>
                                      </w:pPr>
                                      <w:r w:rsidRPr="004870E8">
                                        <w:rPr>
                                          <w:rFonts w:ascii="Arial" w:eastAsia="Times New Roman" w:hAnsi="Arial" w:cs="Arial"/>
                                          <w:b/>
                                          <w:bCs/>
                                          <w:lang w:val="es-ES" w:eastAsia="en-US"/>
                                        </w:rPr>
                                        <w:t xml:space="preserve">Avance en la </w:t>
                                      </w:r>
                                      <w:r w:rsidR="0085341F" w:rsidRPr="004870E8">
                                        <w:rPr>
                                          <w:rFonts w:ascii="Arial" w:eastAsia="Times New Roman" w:hAnsi="Arial" w:cs="Arial"/>
                                          <w:b/>
                                          <w:bCs/>
                                          <w:lang w:val="es-ES" w:eastAsia="en-US"/>
                                        </w:rPr>
                                        <w:t>ejecución</w:t>
                                      </w:r>
                                      <w:r w:rsidRPr="004870E8">
                                        <w:rPr>
                                          <w:rFonts w:ascii="Arial" w:eastAsia="Times New Roman" w:hAnsi="Arial" w:cs="Arial"/>
                                          <w:b/>
                                          <w:bCs/>
                                          <w:lang w:val="es-ES" w:eastAsia="en-US"/>
                                        </w:rPr>
                                        <w:t xml:space="preserve"> de metas 2020</w:t>
                                      </w:r>
                                      <w:r w:rsidR="00F0702E">
                                        <w:rPr>
                                          <w:rFonts w:ascii="Arial" w:eastAsia="Times New Roman" w:hAnsi="Arial" w:cs="Arial"/>
                                          <w:b/>
                                          <w:bCs/>
                                          <w:lang w:val="es-ES" w:eastAsia="en-US"/>
                                        </w:rPr>
                                        <w:t xml:space="preserve"> al 30 junio 2020</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6FA6DB" id="Group 119"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" fillcolor="#ed7d31 [3205]" stroked="f" strokeweight="1pt">
                      <v:textbox inset="36pt,14.4pt,36pt,36pt">
                        <w:txbxContent>
                          <w:sdt>
                            <w:sdtPr>
                              <w:rPr>
                                <w:color w:val="FFFFFF" w:themeColor="background1"/>
                                <w:sz w:val="32"/>
                                <w:szCs w:val="32"/>
                                <w:lang w:val="es-ES"/>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1778EA7" w14:textId="3534D085" w:rsidR="001D73CD" w:rsidRPr="001D73CD" w:rsidRDefault="001D73CD">
                                <w:pPr>
                                  <w:pStyle w:val="NoSpacing"/>
                                  <w:rPr>
                                    <w:color w:val="FFFFFF" w:themeColor="background1"/>
                                    <w:sz w:val="32"/>
                                    <w:szCs w:val="32"/>
                                    <w:lang w:val="es-ES"/>
                                  </w:rPr>
                                </w:pPr>
                                <w:r w:rsidRPr="001D73CD">
                                  <w:rPr>
                                    <w:color w:val="FFFFFF" w:themeColor="background1"/>
                                    <w:sz w:val="32"/>
                                    <w:szCs w:val="32"/>
                                    <w:lang w:val="es-ES"/>
                                  </w:rPr>
                                  <w:t>Secretaria Técnica de Desarrollo R</w:t>
                                </w:r>
                                <w:r>
                                  <w:rPr>
                                    <w:color w:val="FFFFFF" w:themeColor="background1"/>
                                    <w:sz w:val="32"/>
                                    <w:szCs w:val="32"/>
                                    <w:lang w:val="es-ES"/>
                                  </w:rPr>
                                  <w:t>ural</w:t>
                                </w:r>
                              </w:p>
                            </w:sdtContent>
                          </w:sdt>
                          <w:p w14:paraId="72A87C59" w14:textId="28DB0778" w:rsidR="001D73CD" w:rsidRPr="001D73CD" w:rsidRDefault="00587876">
                            <w:pPr>
                              <w:pStyle w:val="NoSpacing"/>
                              <w:rPr>
                                <w:caps/>
                                <w:color w:val="FFFFFF" w:themeColor="background1"/>
                                <w:lang w:val="es-ES"/>
                              </w:rPr>
                            </w:pPr>
                            <w:sdt>
                              <w:sdtPr>
                                <w:rPr>
                                  <w:caps/>
                                  <w:color w:val="FFFFFF" w:themeColor="background1"/>
                                  <w:lang w:val="es-ES"/>
                                </w:rPr>
                                <w:alias w:val="Company"/>
                                <w:tag w:val=""/>
                                <w:id w:val="922067218"/>
                                <w:dataBinding w:prefixMappings="xmlns:ns0='http://schemas.openxmlformats.org/officeDocument/2006/extended-properties' " w:xpath="/ns0:Properties[1]/ns0:Company[1]" w:storeItemID="{6668398D-A668-4E3E-A5EB-62B293D839F1}"/>
                                <w:text/>
                              </w:sdtPr>
                              <w:sdtEndPr/>
                              <w:sdtContent>
                                <w:r w:rsidR="001D73CD" w:rsidRPr="001D73CD">
                                  <w:rPr>
                                    <w:caps/>
                                    <w:color w:val="FFFFFF" w:themeColor="background1"/>
                                    <w:lang w:val="es-ES"/>
                                  </w:rPr>
                                  <w:t>Inder</w:t>
                                </w:r>
                              </w:sdtContent>
                            </w:sdt>
                            <w:r w:rsidR="001D73CD" w:rsidRPr="001D73CD">
                              <w:rPr>
                                <w:caps/>
                                <w:color w:val="FFFFFF" w:themeColor="background1"/>
                                <w:lang w:val="es-ES"/>
                              </w:rPr>
                              <w:t xml:space="preserve"> | </w:t>
                            </w:r>
                            <w:sdt>
                              <w:sdtPr>
                                <w:rPr>
                                  <w:caps/>
                                  <w:color w:val="FFFFFF" w:themeColor="background1"/>
                                  <w:lang w:val="es-ES"/>
                                </w:rPr>
                                <w:alias w:val="Address"/>
                                <w:tag w:val=""/>
                                <w:id w:val="2113163453"/>
                                <w:dataBinding w:prefixMappings="xmlns:ns0='http://schemas.microsoft.com/office/2006/coverPageProps' " w:xpath="/ns0:CoverPageProperties[1]/ns0:CompanyAddress[1]" w:storeItemID="{55AF091B-3C7A-41E3-B477-F2FDAA23CFDA}"/>
                                <w:text/>
                              </w:sdtPr>
                              <w:sdtEndPr/>
                              <w:sdtContent>
                                <w:r w:rsidR="001D73CD" w:rsidRPr="001D73CD">
                                  <w:rPr>
                                    <w:caps/>
                                    <w:color w:val="FFFFFF" w:themeColor="background1"/>
                                    <w:lang w:val="es-ES"/>
                                  </w:rPr>
                                  <w:t>Oficinas Centrales, Moravia, San J</w:t>
                                </w:r>
                                <w:r w:rsidR="001D73CD">
                                  <w:rPr>
                                    <w:caps/>
                                    <w:color w:val="FFFFFF" w:themeColor="background1"/>
                                    <w:lang w:val="es-ES"/>
                                  </w:rPr>
                                  <w:t>ose.</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" filled="f" stroked="f" strokeweight=".5pt">
                      <v:textbox inset="36pt,36pt,36pt,36pt">
                        <w:txbxContent>
                          <w:sdt>
                            <w:sdtPr>
                              <w:rPr>
                                <w:rFonts w:asciiTheme="majorHAnsi" w:eastAsiaTheme="majorEastAsia" w:hAnsiTheme="majorHAnsi" w:cstheme="majorBidi"/>
                                <w:color w:val="595959" w:themeColor="text1" w:themeTint="A6"/>
                                <w:sz w:val="52"/>
                                <w:szCs w:val="52"/>
                                <w:lang w:val="es-ES"/>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4A09D66A" w14:textId="203CA31A" w:rsidR="001D73CD" w:rsidRPr="0085341F" w:rsidRDefault="004870E8">
                                <w:pPr>
                                  <w:pStyle w:val="NoSpacing"/>
                                  <w:pBdr>
                                    <w:bottom w:val="single" w:sz="6" w:space="4" w:color="7F7F7F" w:themeColor="text1" w:themeTint="80"/>
                                  </w:pBdr>
                                  <w:rPr>
                                    <w:rFonts w:asciiTheme="majorHAnsi" w:eastAsiaTheme="majorEastAsia" w:hAnsiTheme="majorHAnsi" w:cstheme="majorBidi"/>
                                    <w:color w:val="595959" w:themeColor="text1" w:themeTint="A6"/>
                                    <w:sz w:val="52"/>
                                    <w:szCs w:val="52"/>
                                    <w:lang w:val="es-ES"/>
                                  </w:rPr>
                                </w:pPr>
                                <w:r w:rsidRPr="0085341F">
                                  <w:rPr>
                                    <w:rFonts w:asciiTheme="majorHAnsi" w:eastAsiaTheme="majorEastAsia" w:hAnsiTheme="majorHAnsi" w:cstheme="majorBidi"/>
                                    <w:color w:val="595959" w:themeColor="text1" w:themeTint="A6"/>
                                    <w:sz w:val="52"/>
                                    <w:szCs w:val="52"/>
                                    <w:lang w:val="es-ES"/>
                                  </w:rPr>
                                  <w:t>“</w:t>
                                </w:r>
                                <w:r w:rsidRPr="0085341F">
                                  <w:rPr>
                                    <w:rFonts w:asciiTheme="majorHAnsi" w:eastAsiaTheme="majorEastAsia" w:hAnsiTheme="majorHAnsi" w:cstheme="majorBidi"/>
                                    <w:color w:val="595959" w:themeColor="text1" w:themeTint="A6"/>
                                    <w:sz w:val="52"/>
                                    <w:szCs w:val="52"/>
                                    <w:lang w:val="es-ES"/>
                                  </w:rPr>
                                  <w:t xml:space="preserve">Informe </w:t>
                                </w:r>
                                <w:r w:rsidRPr="0085341F">
                                  <w:rPr>
                                    <w:rFonts w:asciiTheme="majorHAnsi" w:eastAsiaTheme="majorEastAsia" w:hAnsiTheme="majorHAnsi" w:cstheme="majorBidi"/>
                                    <w:color w:val="595959" w:themeColor="text1" w:themeTint="A6"/>
                                    <w:sz w:val="52"/>
                                    <w:szCs w:val="52"/>
                                    <w:lang w:val="es-ES"/>
                                  </w:rPr>
                                  <w:t xml:space="preserve">en el marco del Plan Nacional de Desarrollo </w:t>
                                </w:r>
                                <w:r w:rsidRPr="0085341F">
                                  <w:rPr>
                                    <w:rFonts w:asciiTheme="majorHAnsi" w:eastAsiaTheme="majorEastAsia" w:hAnsiTheme="majorHAnsi" w:cstheme="majorBidi"/>
                                    <w:color w:val="595959" w:themeColor="text1" w:themeTint="A6"/>
                                    <w:sz w:val="52"/>
                                    <w:szCs w:val="52"/>
                                    <w:lang w:val="es-ES"/>
                                  </w:rPr>
                                  <w:t xml:space="preserve">y de Inversión Pública </w:t>
                                </w:r>
                                <w:r w:rsidRPr="0085341F">
                                  <w:rPr>
                                    <w:rFonts w:asciiTheme="majorHAnsi" w:eastAsiaTheme="majorEastAsia" w:hAnsiTheme="majorHAnsi" w:cstheme="majorBidi"/>
                                    <w:color w:val="595959" w:themeColor="text1" w:themeTint="A6"/>
                                    <w:sz w:val="52"/>
                                    <w:szCs w:val="52"/>
                                    <w:lang w:val="es-ES"/>
                                  </w:rPr>
                                  <w:t>201</w:t>
                                </w:r>
                                <w:r w:rsidRPr="0085341F">
                                  <w:rPr>
                                    <w:rFonts w:asciiTheme="majorHAnsi" w:eastAsiaTheme="majorEastAsia" w:hAnsiTheme="majorHAnsi" w:cstheme="majorBidi"/>
                                    <w:color w:val="595959" w:themeColor="text1" w:themeTint="A6"/>
                                    <w:sz w:val="52"/>
                                    <w:szCs w:val="52"/>
                                    <w:lang w:val="es-ES"/>
                                  </w:rPr>
                                  <w:t>9</w:t>
                                </w:r>
                                <w:r w:rsidRPr="0085341F">
                                  <w:rPr>
                                    <w:rFonts w:asciiTheme="majorHAnsi" w:eastAsiaTheme="majorEastAsia" w:hAnsiTheme="majorHAnsi" w:cstheme="majorBidi"/>
                                    <w:color w:val="595959" w:themeColor="text1" w:themeTint="A6"/>
                                    <w:sz w:val="52"/>
                                    <w:szCs w:val="52"/>
                                    <w:lang w:val="es-ES"/>
                                  </w:rPr>
                                  <w:t>-20</w:t>
                                </w:r>
                                <w:r w:rsidRPr="0085341F">
                                  <w:rPr>
                                    <w:rFonts w:asciiTheme="majorHAnsi" w:eastAsiaTheme="majorEastAsia" w:hAnsiTheme="majorHAnsi" w:cstheme="majorBidi"/>
                                    <w:color w:val="595959" w:themeColor="text1" w:themeTint="A6"/>
                                    <w:sz w:val="52"/>
                                    <w:szCs w:val="52"/>
                                    <w:lang w:val="es-ES"/>
                                  </w:rPr>
                                  <w:t>22,</w:t>
                                </w:r>
                                <w:r w:rsidRPr="0085341F">
                                  <w:rPr>
                                    <w:rFonts w:asciiTheme="majorHAnsi" w:eastAsiaTheme="majorEastAsia" w:hAnsiTheme="majorHAnsi" w:cstheme="majorBidi"/>
                                    <w:color w:val="595959" w:themeColor="text1" w:themeTint="A6"/>
                                    <w:sz w:val="52"/>
                                    <w:szCs w:val="52"/>
                                    <w:lang w:val="es-ES"/>
                                  </w:rPr>
                                  <w:t xml:space="preserve"> Sector de Ordenamiento Territorial</w:t>
                                </w:r>
                                <w:r w:rsidR="0085341F" w:rsidRPr="0085341F">
                                  <w:rPr>
                                    <w:rFonts w:asciiTheme="majorHAnsi" w:eastAsiaTheme="majorEastAsia" w:hAnsiTheme="majorHAnsi" w:cstheme="majorBidi"/>
                                    <w:color w:val="595959" w:themeColor="text1" w:themeTint="A6"/>
                                    <w:sz w:val="52"/>
                                    <w:szCs w:val="52"/>
                                    <w:lang w:val="es-ES"/>
                                  </w:rPr>
                                  <w:t>”</w:t>
                                </w:r>
                              </w:p>
                            </w:sdtContent>
                          </w:sdt>
                          <w:sdt>
                            <w:sdtPr>
                              <w:rPr>
                                <w:rFonts w:ascii="Arial" w:eastAsia="Times New Roman" w:hAnsi="Arial" w:cs="Arial"/>
                                <w:b/>
                                <w:bCs/>
                                <w:lang w:val="es-ES" w:eastAsia="en-US"/>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7E350C7F" w14:textId="4D890FB6" w:rsidR="004870E8" w:rsidRPr="004870E8" w:rsidRDefault="004870E8" w:rsidP="004870E8">
                                <w:pPr>
                                  <w:pStyle w:val="NoSpacing"/>
                                  <w:spacing w:before="240"/>
                                  <w:rPr>
                                    <w:sz w:val="32"/>
                                    <w:szCs w:val="32"/>
                                    <w:lang w:val="es-ES"/>
                                  </w:rPr>
                                </w:pPr>
                                <w:r w:rsidRPr="004870E8">
                                  <w:rPr>
                                    <w:rFonts w:ascii="Arial" w:eastAsia="Times New Roman" w:hAnsi="Arial" w:cs="Arial"/>
                                    <w:b/>
                                    <w:bCs/>
                                    <w:lang w:val="es-ES" w:eastAsia="en-US"/>
                                  </w:rPr>
                                  <w:t xml:space="preserve">Avance en la </w:t>
                                </w:r>
                                <w:r w:rsidR="0085341F" w:rsidRPr="004870E8">
                                  <w:rPr>
                                    <w:rFonts w:ascii="Arial" w:eastAsia="Times New Roman" w:hAnsi="Arial" w:cs="Arial"/>
                                    <w:b/>
                                    <w:bCs/>
                                    <w:lang w:val="es-ES" w:eastAsia="en-US"/>
                                  </w:rPr>
                                  <w:t>ejecución</w:t>
                                </w:r>
                                <w:r w:rsidRPr="004870E8">
                                  <w:rPr>
                                    <w:rFonts w:ascii="Arial" w:eastAsia="Times New Roman" w:hAnsi="Arial" w:cs="Arial"/>
                                    <w:b/>
                                    <w:bCs/>
                                    <w:lang w:val="es-ES" w:eastAsia="en-US"/>
                                  </w:rPr>
                                  <w:t xml:space="preserve"> de metas 2020</w:t>
                                </w:r>
                                <w:r w:rsidR="00F0702E">
                                  <w:rPr>
                                    <w:rFonts w:ascii="Arial" w:eastAsia="Times New Roman" w:hAnsi="Arial" w:cs="Arial"/>
                                    <w:b/>
                                    <w:bCs/>
                                    <w:lang w:val="es-ES" w:eastAsia="en-US"/>
                                  </w:rPr>
                                  <w:t xml:space="preserve"> al 30 junio 2020</w:t>
                                </w:r>
                              </w:p>
                            </w:sdtContent>
                          </w:sdt>
                        </w:txbxContent>
                      </v:textbox>
                    </v:shape>
                    <w10:wrap anchorx="page" anchory="page"/>
                  </v:group>
                </w:pict>
              </mc:Fallback>
            </mc:AlternateContent>
          </w:r>
        </w:p>
        <w:p w14:paraId="47810BAC" w14:textId="31059C0C" w:rsidR="001D73CD" w:rsidRDefault="00347FFA">
          <w:pPr>
            <w:rPr>
              <w:rFonts w:ascii="Arial Narrow" w:hAnsi="Arial Narrow"/>
              <w:lang w:val="es-ES"/>
            </w:rPr>
          </w:pPr>
          <w:r>
            <w:rPr>
              <w:rFonts w:ascii="Arial Narrow" w:hAnsi="Arial Narrow"/>
              <w:noProof/>
              <w:lang w:val="es-CR" w:eastAsia="es-CR"/>
            </w:rPr>
            <mc:AlternateContent>
              <mc:Choice Requires="wps">
                <w:drawing>
                  <wp:anchor distT="0" distB="0" distL="114300" distR="114300" simplePos="0" relativeHeight="251660288" behindDoc="0" locked="0" layoutInCell="1" allowOverlap="1" wp14:anchorId="3F40331B" wp14:editId="7B538EE1">
                    <wp:simplePos x="0" y="0"/>
                    <wp:positionH relativeFrom="column">
                      <wp:posOffset>2087880</wp:posOffset>
                    </wp:positionH>
                    <wp:positionV relativeFrom="paragraph">
                      <wp:posOffset>3211233</wp:posOffset>
                    </wp:positionV>
                    <wp:extent cx="1944806" cy="634621"/>
                    <wp:effectExtent l="0" t="0" r="11430" b="13335"/>
                    <wp:wrapNone/>
                    <wp:docPr id="15" name="Text Box 15"/>
                    <wp:cNvGraphicFramePr/>
                    <a:graphic xmlns:a="http://schemas.openxmlformats.org/drawingml/2006/main">
                      <a:graphicData uri="http://schemas.microsoft.com/office/word/2010/wordprocessingShape">
                        <wps:wsp>
                          <wps:cNvSpPr txBox="1"/>
                          <wps:spPr>
                            <a:xfrm>
                              <a:off x="0" y="0"/>
                              <a:ext cx="1944806" cy="634621"/>
                            </a:xfrm>
                            <a:prstGeom prst="rect">
                              <a:avLst/>
                            </a:prstGeom>
                            <a:solidFill>
                              <a:schemeClr val="lt1"/>
                            </a:solidFill>
                            <a:ln w="6350">
                              <a:solidFill>
                                <a:prstClr val="black"/>
                              </a:solidFill>
                            </a:ln>
                          </wps:spPr>
                          <wps:txbx>
                            <w:txbxContent>
                              <w:p w14:paraId="1DF9AA73" w14:textId="67CBEFB9" w:rsidR="00347FFA" w:rsidRPr="00347FFA" w:rsidRDefault="00347FFA" w:rsidP="0053299D">
                                <w:pPr>
                                  <w:jc w:val="cente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7FFA">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40331B" id="_x0000_t202" coordsize="21600,21600" o:spt="202" path="m,l,21600r21600,l21600,xe">
                    <v:stroke joinstyle="miter"/>
                    <v:path gradientshapeok="t" o:connecttype="rect"/>
                  </v:shapetype>
                  <v:shape id="Text Box 15" o:spid="_x0000_s1030" type="#_x0000_t202" style="position:absolute;margin-left:164.4pt;margin-top:252.85pt;width:153.15pt;height:4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" fillcolor="white [3201]" strokeweight=".5pt">
                    <v:textbox>
                      <w:txbxContent>
                        <w:p w14:paraId="1DF9AA73" w14:textId="67CBEFB9" w:rsidR="00347FFA" w:rsidRPr="00347FFA" w:rsidRDefault="00347FFA" w:rsidP="0053299D">
                          <w:pPr>
                            <w:jc w:val="cente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r w:rsidRPr="00347FFA">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2020</w:t>
                          </w:r>
                          <w:bookmarkEnd w:id="1"/>
                        </w:p>
                      </w:txbxContent>
                    </v:textbox>
                  </v:shape>
                </w:pict>
              </mc:Fallback>
            </mc:AlternateContent>
          </w:r>
          <w:r w:rsidR="001D73CD">
            <w:rPr>
              <w:rFonts w:ascii="Arial Narrow" w:hAnsi="Arial Narrow"/>
              <w:lang w:val="es-ES"/>
            </w:rPr>
            <w:br w:type="page"/>
          </w:r>
        </w:p>
      </w:sdtContent>
    </w:sdt>
    <w:p w14:paraId="2DD79927" w14:textId="77777777" w:rsidR="00411D69" w:rsidRDefault="00411D69" w:rsidP="00FE271B">
      <w:pPr>
        <w:jc w:val="center"/>
        <w:rPr>
          <w:rFonts w:ascii="Arial" w:hAnsi="Arial" w:cs="Arial"/>
          <w:b/>
          <w:bCs/>
          <w:lang w:val="es-ES"/>
        </w:rPr>
      </w:pPr>
    </w:p>
    <w:sdt>
      <w:sdtPr>
        <w:rPr>
          <w:rFonts w:asciiTheme="minorHAnsi" w:eastAsiaTheme="minorHAnsi" w:hAnsiTheme="minorHAnsi" w:cstheme="minorBidi"/>
          <w:b w:val="0"/>
          <w:bCs w:val="0"/>
          <w:color w:val="auto"/>
          <w:sz w:val="24"/>
          <w:szCs w:val="24"/>
        </w:rPr>
        <w:id w:val="-1185751391"/>
        <w:docPartObj>
          <w:docPartGallery w:val="Table of Contents"/>
          <w:docPartUnique/>
        </w:docPartObj>
      </w:sdtPr>
      <w:sdtEndPr>
        <w:rPr>
          <w:noProof/>
        </w:rPr>
      </w:sdtEndPr>
      <w:sdtContent>
        <w:p w14:paraId="20E19592" w14:textId="5D6DE9A7" w:rsidR="008D230F" w:rsidRDefault="008D230F">
          <w:pPr>
            <w:pStyle w:val="TtuloTDC"/>
          </w:pPr>
          <w:r>
            <w:t>Table of Contents</w:t>
          </w:r>
        </w:p>
        <w:p w14:paraId="3C191851" w14:textId="30E9FC3B" w:rsidR="001447C8" w:rsidRDefault="008D230F">
          <w:pPr>
            <w:pStyle w:val="TDC1"/>
            <w:tabs>
              <w:tab w:val="right" w:leader="dot" w:pos="9350"/>
            </w:tabs>
            <w:rPr>
              <w:rFonts w:eastAsiaTheme="minorEastAsia" w:cstheme="minorBidi"/>
              <w:b w:val="0"/>
              <w:bCs w:val="0"/>
              <w:caps w:val="0"/>
              <w:noProof/>
              <w:sz w:val="24"/>
              <w:szCs w:val="24"/>
            </w:rPr>
          </w:pPr>
          <w:r>
            <w:rPr>
              <w:b w:val="0"/>
              <w:bCs w:val="0"/>
            </w:rPr>
            <w:fldChar w:fldCharType="begin"/>
          </w:r>
          <w:r>
            <w:instrText xml:space="preserve"> TOC \o "1-3" \h \z \u </w:instrText>
          </w:r>
          <w:r>
            <w:rPr>
              <w:b w:val="0"/>
              <w:bCs w:val="0"/>
            </w:rPr>
            <w:fldChar w:fldCharType="separate"/>
          </w:r>
          <w:hyperlink w:anchor="_Toc45707847" w:history="1">
            <w:r w:rsidR="001447C8" w:rsidRPr="00C643AE">
              <w:rPr>
                <w:rStyle w:val="Hipervnculo"/>
                <w:rFonts w:ascii="Arial" w:hAnsi="Arial" w:cs="Arial"/>
                <w:noProof/>
                <w:lang w:val="es-ES"/>
              </w:rPr>
              <w:t>Introducción</w:t>
            </w:r>
            <w:r w:rsidR="001447C8">
              <w:rPr>
                <w:noProof/>
                <w:webHidden/>
              </w:rPr>
              <w:tab/>
            </w:r>
            <w:r w:rsidR="001447C8">
              <w:rPr>
                <w:noProof/>
                <w:webHidden/>
              </w:rPr>
              <w:fldChar w:fldCharType="begin"/>
            </w:r>
            <w:r w:rsidR="001447C8">
              <w:rPr>
                <w:noProof/>
                <w:webHidden/>
              </w:rPr>
              <w:instrText xml:space="preserve"> PAGEREF _Toc45707847 \h </w:instrText>
            </w:r>
            <w:r w:rsidR="001447C8">
              <w:rPr>
                <w:noProof/>
                <w:webHidden/>
              </w:rPr>
            </w:r>
            <w:r w:rsidR="001447C8">
              <w:rPr>
                <w:noProof/>
                <w:webHidden/>
              </w:rPr>
              <w:fldChar w:fldCharType="separate"/>
            </w:r>
            <w:r w:rsidR="001447C8">
              <w:rPr>
                <w:noProof/>
                <w:webHidden/>
              </w:rPr>
              <w:t>2</w:t>
            </w:r>
            <w:r w:rsidR="001447C8">
              <w:rPr>
                <w:noProof/>
                <w:webHidden/>
              </w:rPr>
              <w:fldChar w:fldCharType="end"/>
            </w:r>
          </w:hyperlink>
        </w:p>
        <w:p w14:paraId="29C6BDCF" w14:textId="7FF1924C" w:rsidR="001447C8" w:rsidRDefault="00083742">
          <w:pPr>
            <w:pStyle w:val="TDC1"/>
            <w:tabs>
              <w:tab w:val="right" w:leader="dot" w:pos="9350"/>
            </w:tabs>
            <w:rPr>
              <w:rFonts w:eastAsiaTheme="minorEastAsia" w:cstheme="minorBidi"/>
              <w:b w:val="0"/>
              <w:bCs w:val="0"/>
              <w:caps w:val="0"/>
              <w:noProof/>
              <w:sz w:val="24"/>
              <w:szCs w:val="24"/>
            </w:rPr>
          </w:pPr>
          <w:hyperlink w:anchor="_Toc45707848" w:history="1">
            <w:r w:rsidR="001447C8" w:rsidRPr="00C643AE">
              <w:rPr>
                <w:rStyle w:val="Hipervnculo"/>
                <w:rFonts w:ascii="Arial" w:hAnsi="Arial" w:cs="Arial"/>
                <w:noProof/>
                <w:lang w:val="es-ES"/>
              </w:rPr>
              <w:t>Desarrollo</w:t>
            </w:r>
            <w:r w:rsidR="001447C8">
              <w:rPr>
                <w:noProof/>
                <w:webHidden/>
              </w:rPr>
              <w:tab/>
            </w:r>
            <w:r w:rsidR="001447C8">
              <w:rPr>
                <w:noProof/>
                <w:webHidden/>
              </w:rPr>
              <w:fldChar w:fldCharType="begin"/>
            </w:r>
            <w:r w:rsidR="001447C8">
              <w:rPr>
                <w:noProof/>
                <w:webHidden/>
              </w:rPr>
              <w:instrText xml:space="preserve"> PAGEREF _Toc45707848 \h </w:instrText>
            </w:r>
            <w:r w:rsidR="001447C8">
              <w:rPr>
                <w:noProof/>
                <w:webHidden/>
              </w:rPr>
            </w:r>
            <w:r w:rsidR="001447C8">
              <w:rPr>
                <w:noProof/>
                <w:webHidden/>
              </w:rPr>
              <w:fldChar w:fldCharType="separate"/>
            </w:r>
            <w:r w:rsidR="001447C8">
              <w:rPr>
                <w:noProof/>
                <w:webHidden/>
              </w:rPr>
              <w:t>3</w:t>
            </w:r>
            <w:r w:rsidR="001447C8">
              <w:rPr>
                <w:noProof/>
                <w:webHidden/>
              </w:rPr>
              <w:fldChar w:fldCharType="end"/>
            </w:r>
          </w:hyperlink>
        </w:p>
        <w:p w14:paraId="486C74A2" w14:textId="353A93DC" w:rsidR="001447C8" w:rsidRDefault="00083742">
          <w:pPr>
            <w:pStyle w:val="TDC2"/>
            <w:tabs>
              <w:tab w:val="right" w:leader="dot" w:pos="9350"/>
            </w:tabs>
            <w:rPr>
              <w:rFonts w:eastAsiaTheme="minorEastAsia" w:cstheme="minorBidi"/>
              <w:smallCaps w:val="0"/>
              <w:noProof/>
              <w:sz w:val="24"/>
              <w:szCs w:val="24"/>
            </w:rPr>
          </w:pPr>
          <w:hyperlink w:anchor="_Toc45707849" w:history="1">
            <w:r w:rsidR="001447C8" w:rsidRPr="00C643AE">
              <w:rPr>
                <w:rStyle w:val="Hipervnculo"/>
                <w:rFonts w:ascii="Arial" w:hAnsi="Arial" w:cs="Arial"/>
                <w:b/>
                <w:bCs/>
                <w:noProof/>
                <w:lang w:val="es-ES"/>
              </w:rPr>
              <w:t>Matriz Anual de Programación</w:t>
            </w:r>
            <w:r w:rsidR="001447C8">
              <w:rPr>
                <w:noProof/>
                <w:webHidden/>
              </w:rPr>
              <w:tab/>
            </w:r>
            <w:r w:rsidR="001447C8">
              <w:rPr>
                <w:noProof/>
                <w:webHidden/>
              </w:rPr>
              <w:fldChar w:fldCharType="begin"/>
            </w:r>
            <w:r w:rsidR="001447C8">
              <w:rPr>
                <w:noProof/>
                <w:webHidden/>
              </w:rPr>
              <w:instrText xml:space="preserve"> PAGEREF _Toc45707849 \h </w:instrText>
            </w:r>
            <w:r w:rsidR="001447C8">
              <w:rPr>
                <w:noProof/>
                <w:webHidden/>
              </w:rPr>
            </w:r>
            <w:r w:rsidR="001447C8">
              <w:rPr>
                <w:noProof/>
                <w:webHidden/>
              </w:rPr>
              <w:fldChar w:fldCharType="separate"/>
            </w:r>
            <w:r w:rsidR="001447C8">
              <w:rPr>
                <w:noProof/>
                <w:webHidden/>
              </w:rPr>
              <w:t>3</w:t>
            </w:r>
            <w:r w:rsidR="001447C8">
              <w:rPr>
                <w:noProof/>
                <w:webHidden/>
              </w:rPr>
              <w:fldChar w:fldCharType="end"/>
            </w:r>
          </w:hyperlink>
        </w:p>
        <w:p w14:paraId="03C33ACE" w14:textId="0023944D" w:rsidR="001447C8" w:rsidRDefault="00083742">
          <w:pPr>
            <w:pStyle w:val="TDC2"/>
            <w:tabs>
              <w:tab w:val="right" w:leader="dot" w:pos="9350"/>
            </w:tabs>
            <w:rPr>
              <w:rFonts w:eastAsiaTheme="minorEastAsia" w:cstheme="minorBidi"/>
              <w:smallCaps w:val="0"/>
              <w:noProof/>
              <w:sz w:val="24"/>
              <w:szCs w:val="24"/>
            </w:rPr>
          </w:pPr>
          <w:hyperlink w:anchor="_Toc45707850" w:history="1">
            <w:r w:rsidR="001447C8" w:rsidRPr="00C643AE">
              <w:rPr>
                <w:rStyle w:val="Hipervnculo"/>
                <w:rFonts w:ascii="Arial" w:hAnsi="Arial" w:cs="Arial"/>
                <w:b/>
                <w:bCs/>
                <w:noProof/>
                <w:lang w:val="es-ES"/>
              </w:rPr>
              <w:t>Intervención #1</w:t>
            </w:r>
            <w:r w:rsidR="001447C8">
              <w:rPr>
                <w:noProof/>
                <w:webHidden/>
              </w:rPr>
              <w:tab/>
            </w:r>
            <w:r w:rsidR="001447C8">
              <w:rPr>
                <w:noProof/>
                <w:webHidden/>
              </w:rPr>
              <w:fldChar w:fldCharType="begin"/>
            </w:r>
            <w:r w:rsidR="001447C8">
              <w:rPr>
                <w:noProof/>
                <w:webHidden/>
              </w:rPr>
              <w:instrText xml:space="preserve"> PAGEREF _Toc45707850 \h </w:instrText>
            </w:r>
            <w:r w:rsidR="001447C8">
              <w:rPr>
                <w:noProof/>
                <w:webHidden/>
              </w:rPr>
            </w:r>
            <w:r w:rsidR="001447C8">
              <w:rPr>
                <w:noProof/>
                <w:webHidden/>
              </w:rPr>
              <w:fldChar w:fldCharType="separate"/>
            </w:r>
            <w:r w:rsidR="001447C8">
              <w:rPr>
                <w:noProof/>
                <w:webHidden/>
              </w:rPr>
              <w:t>3</w:t>
            </w:r>
            <w:r w:rsidR="001447C8">
              <w:rPr>
                <w:noProof/>
                <w:webHidden/>
              </w:rPr>
              <w:fldChar w:fldCharType="end"/>
            </w:r>
          </w:hyperlink>
        </w:p>
        <w:p w14:paraId="73B39D0A" w14:textId="4F88E44F" w:rsidR="001447C8" w:rsidRDefault="00083742">
          <w:pPr>
            <w:pStyle w:val="TDC1"/>
            <w:tabs>
              <w:tab w:val="right" w:leader="dot" w:pos="9350"/>
            </w:tabs>
            <w:rPr>
              <w:rFonts w:eastAsiaTheme="minorEastAsia" w:cstheme="minorBidi"/>
              <w:b w:val="0"/>
              <w:bCs w:val="0"/>
              <w:caps w:val="0"/>
              <w:noProof/>
              <w:sz w:val="24"/>
              <w:szCs w:val="24"/>
            </w:rPr>
          </w:pPr>
          <w:hyperlink w:anchor="_Toc45707851" w:history="1">
            <w:r w:rsidR="001447C8" w:rsidRPr="00C643AE">
              <w:rPr>
                <w:rStyle w:val="Hipervnculo"/>
                <w:noProof/>
                <w:lang w:val="es-ES"/>
              </w:rPr>
              <w:t>Informe</w:t>
            </w:r>
            <w:r w:rsidR="001447C8">
              <w:rPr>
                <w:noProof/>
                <w:webHidden/>
              </w:rPr>
              <w:tab/>
            </w:r>
            <w:r w:rsidR="001447C8">
              <w:rPr>
                <w:noProof/>
                <w:webHidden/>
              </w:rPr>
              <w:fldChar w:fldCharType="begin"/>
            </w:r>
            <w:r w:rsidR="001447C8">
              <w:rPr>
                <w:noProof/>
                <w:webHidden/>
              </w:rPr>
              <w:instrText xml:space="preserve"> PAGEREF _Toc45707851 \h </w:instrText>
            </w:r>
            <w:r w:rsidR="001447C8">
              <w:rPr>
                <w:noProof/>
                <w:webHidden/>
              </w:rPr>
            </w:r>
            <w:r w:rsidR="001447C8">
              <w:rPr>
                <w:noProof/>
                <w:webHidden/>
              </w:rPr>
              <w:fldChar w:fldCharType="separate"/>
            </w:r>
            <w:r w:rsidR="001447C8">
              <w:rPr>
                <w:noProof/>
                <w:webHidden/>
              </w:rPr>
              <w:t>4</w:t>
            </w:r>
            <w:r w:rsidR="001447C8">
              <w:rPr>
                <w:noProof/>
                <w:webHidden/>
              </w:rPr>
              <w:fldChar w:fldCharType="end"/>
            </w:r>
          </w:hyperlink>
        </w:p>
        <w:p w14:paraId="4C9C8F47" w14:textId="178E41F4" w:rsidR="001447C8" w:rsidRDefault="00083742">
          <w:pPr>
            <w:pStyle w:val="TDC2"/>
            <w:tabs>
              <w:tab w:val="right" w:leader="dot" w:pos="9350"/>
            </w:tabs>
            <w:rPr>
              <w:rFonts w:eastAsiaTheme="minorEastAsia" w:cstheme="minorBidi"/>
              <w:smallCaps w:val="0"/>
              <w:noProof/>
              <w:sz w:val="24"/>
              <w:szCs w:val="24"/>
            </w:rPr>
          </w:pPr>
          <w:hyperlink w:anchor="_Toc45707852" w:history="1">
            <w:r w:rsidR="001447C8" w:rsidRPr="00C643AE">
              <w:rPr>
                <w:rStyle w:val="Hipervnculo"/>
                <w:rFonts w:ascii="Arial" w:hAnsi="Arial" w:cs="Arial"/>
                <w:b/>
                <w:bCs/>
                <w:noProof/>
                <w:lang w:val="es-ES"/>
              </w:rPr>
              <w:t>Matriz Anual de Programación</w:t>
            </w:r>
            <w:r w:rsidR="001447C8">
              <w:rPr>
                <w:noProof/>
                <w:webHidden/>
              </w:rPr>
              <w:tab/>
            </w:r>
            <w:r w:rsidR="001447C8">
              <w:rPr>
                <w:noProof/>
                <w:webHidden/>
              </w:rPr>
              <w:fldChar w:fldCharType="begin"/>
            </w:r>
            <w:r w:rsidR="001447C8">
              <w:rPr>
                <w:noProof/>
                <w:webHidden/>
              </w:rPr>
              <w:instrText xml:space="preserve"> PAGEREF _Toc45707852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14:paraId="2D31805E" w14:textId="68830272" w:rsidR="001447C8" w:rsidRDefault="00083742">
          <w:pPr>
            <w:pStyle w:val="TDC2"/>
            <w:tabs>
              <w:tab w:val="right" w:leader="dot" w:pos="9350"/>
            </w:tabs>
            <w:rPr>
              <w:rFonts w:eastAsiaTheme="minorEastAsia" w:cstheme="minorBidi"/>
              <w:smallCaps w:val="0"/>
              <w:noProof/>
              <w:sz w:val="24"/>
              <w:szCs w:val="24"/>
            </w:rPr>
          </w:pPr>
          <w:hyperlink w:anchor="_Toc45707853" w:history="1">
            <w:r w:rsidR="001447C8" w:rsidRPr="00C643AE">
              <w:rPr>
                <w:rStyle w:val="Hipervnculo"/>
                <w:rFonts w:ascii="Arial" w:hAnsi="Arial" w:cs="Arial"/>
                <w:b/>
                <w:bCs/>
                <w:noProof/>
                <w:lang w:val="es-ES"/>
              </w:rPr>
              <w:t>Intervención #2</w:t>
            </w:r>
            <w:r w:rsidR="001447C8">
              <w:rPr>
                <w:noProof/>
                <w:webHidden/>
              </w:rPr>
              <w:tab/>
            </w:r>
            <w:r w:rsidR="001447C8">
              <w:rPr>
                <w:noProof/>
                <w:webHidden/>
              </w:rPr>
              <w:fldChar w:fldCharType="begin"/>
            </w:r>
            <w:r w:rsidR="001447C8">
              <w:rPr>
                <w:noProof/>
                <w:webHidden/>
              </w:rPr>
              <w:instrText xml:space="preserve"> PAGEREF _Toc45707853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14:paraId="0933B512" w14:textId="5F166D5D" w:rsidR="008D230F" w:rsidRDefault="008D230F">
          <w:r>
            <w:rPr>
              <w:b/>
              <w:bCs/>
              <w:noProof/>
            </w:rPr>
            <w:fldChar w:fldCharType="end"/>
          </w:r>
        </w:p>
      </w:sdtContent>
    </w:sdt>
    <w:p w14:paraId="08BF268F" w14:textId="638284D7" w:rsidR="00411D69" w:rsidRPr="00105028" w:rsidRDefault="008D230F" w:rsidP="00105028">
      <w:pPr>
        <w:pStyle w:val="Ttulo1"/>
        <w:rPr>
          <w:rFonts w:ascii="Arial" w:hAnsi="Arial" w:cs="Arial"/>
          <w:lang w:val="es-ES"/>
        </w:rPr>
      </w:pPr>
      <w:r w:rsidRPr="004870E8">
        <w:rPr>
          <w:lang w:val="es-ES"/>
        </w:rPr>
        <w:br w:type="page"/>
      </w:r>
      <w:bookmarkStart w:id="0" w:name="_Toc45707847"/>
      <w:r w:rsidR="00E902DA" w:rsidRPr="00105028">
        <w:rPr>
          <w:rFonts w:ascii="Arial" w:hAnsi="Arial" w:cs="Arial"/>
          <w:sz w:val="44"/>
          <w:szCs w:val="44"/>
          <w:lang w:val="es-ES"/>
        </w:rPr>
        <w:lastRenderedPageBreak/>
        <w:t>Introducción</w:t>
      </w:r>
      <w:bookmarkEnd w:id="0"/>
    </w:p>
    <w:p w14:paraId="28512484" w14:textId="4BF2B63E" w:rsidR="00E902DA" w:rsidRDefault="00E902DA" w:rsidP="00FE271B">
      <w:pPr>
        <w:jc w:val="center"/>
        <w:rPr>
          <w:rFonts w:ascii="Arial" w:hAnsi="Arial" w:cs="Arial"/>
          <w:b/>
          <w:bCs/>
          <w:lang w:val="es-ES"/>
        </w:rPr>
      </w:pPr>
    </w:p>
    <w:p w14:paraId="1C292424" w14:textId="33034C2C" w:rsidR="00F0702E" w:rsidRDefault="00E902DA" w:rsidP="004A0380">
      <w:pPr>
        <w:jc w:val="both"/>
        <w:rPr>
          <w:rFonts w:ascii="Arial" w:hAnsi="Arial" w:cs="Arial"/>
          <w:lang w:val="es-ES"/>
        </w:rPr>
      </w:pPr>
      <w:r>
        <w:rPr>
          <w:rFonts w:ascii="Arial" w:hAnsi="Arial" w:cs="Arial"/>
          <w:b/>
          <w:bCs/>
          <w:lang w:val="es-ES"/>
        </w:rPr>
        <w:tab/>
      </w:r>
      <w:r w:rsidR="00F0702E" w:rsidRPr="00F0702E">
        <w:rPr>
          <w:rFonts w:ascii="Arial" w:hAnsi="Arial" w:cs="Arial"/>
          <w:lang w:val="es-ES"/>
        </w:rPr>
        <w:t>Mediante las intervenciones emanadas de la</w:t>
      </w:r>
      <w:r w:rsidR="00F0702E">
        <w:rPr>
          <w:rFonts w:ascii="Arial" w:hAnsi="Arial" w:cs="Arial"/>
          <w:lang w:val="es-ES"/>
        </w:rPr>
        <w:t>s</w:t>
      </w:r>
      <w:r w:rsidR="00F0702E" w:rsidRPr="00F0702E">
        <w:rPr>
          <w:rFonts w:ascii="Arial" w:hAnsi="Arial" w:cs="Arial"/>
          <w:lang w:val="es-ES"/>
        </w:rPr>
        <w:t xml:space="preserve"> instituciones</w:t>
      </w:r>
      <w:r w:rsidR="00F0702E">
        <w:rPr>
          <w:rFonts w:ascii="Arial" w:hAnsi="Arial" w:cs="Arial"/>
          <w:lang w:val="es-ES"/>
        </w:rPr>
        <w:t xml:space="preserve"> públicas</w:t>
      </w:r>
      <w:r w:rsidR="00F0702E" w:rsidRPr="00F0702E">
        <w:rPr>
          <w:rFonts w:ascii="Arial" w:hAnsi="Arial" w:cs="Arial"/>
          <w:lang w:val="es-ES"/>
        </w:rPr>
        <w:t xml:space="preserve"> se busca un impacto en la mejoría de la calidad de vida del costarricense, Costa Rica se caracteriza por ser </w:t>
      </w:r>
      <w:r w:rsidR="00F0702E">
        <w:rPr>
          <w:rFonts w:ascii="Arial" w:hAnsi="Arial" w:cs="Arial"/>
          <w:lang w:val="es-ES"/>
        </w:rPr>
        <w:t xml:space="preserve">un país con una robusta institucionalidad pública </w:t>
      </w:r>
      <w:r w:rsidR="00353C39">
        <w:rPr>
          <w:rFonts w:ascii="Arial" w:hAnsi="Arial" w:cs="Arial"/>
          <w:lang w:val="es-ES"/>
        </w:rPr>
        <w:t>que ha puesto al servicio de sus ciudadanos bienes y servicios q</w:t>
      </w:r>
      <w:r w:rsidR="004A0380">
        <w:rPr>
          <w:rFonts w:ascii="Arial" w:hAnsi="Arial" w:cs="Arial"/>
          <w:lang w:val="es-ES"/>
        </w:rPr>
        <w:t xml:space="preserve">ue apoyen esa calidad de vida. </w:t>
      </w:r>
      <w:r w:rsidR="00353C39">
        <w:rPr>
          <w:rFonts w:ascii="Arial" w:hAnsi="Arial" w:cs="Arial"/>
          <w:lang w:val="es-ES"/>
        </w:rPr>
        <w:t>Uno de los elementos de trabajo es la mejora en las condiciones de vivienda y la regularización</w:t>
      </w:r>
      <w:r w:rsidR="004A0380">
        <w:rPr>
          <w:rFonts w:ascii="Arial" w:hAnsi="Arial" w:cs="Arial"/>
          <w:lang w:val="es-ES"/>
        </w:rPr>
        <w:t xml:space="preserve"> de la tierra como elemento </w:t>
      </w:r>
      <w:r w:rsidR="00353C39">
        <w:rPr>
          <w:rFonts w:ascii="Arial" w:hAnsi="Arial" w:cs="Arial"/>
          <w:lang w:val="es-ES"/>
        </w:rPr>
        <w:t>dinamiz</w:t>
      </w:r>
      <w:r w:rsidR="004A0380">
        <w:rPr>
          <w:rFonts w:ascii="Arial" w:hAnsi="Arial" w:cs="Arial"/>
          <w:lang w:val="es-ES"/>
        </w:rPr>
        <w:t xml:space="preserve">ador de la economía familiar. </w:t>
      </w:r>
    </w:p>
    <w:p w14:paraId="5E065E83" w14:textId="77777777" w:rsidR="00353C39" w:rsidRPr="00F0702E" w:rsidRDefault="00353C39" w:rsidP="00353C39">
      <w:pPr>
        <w:ind w:firstLine="720"/>
        <w:jc w:val="both"/>
        <w:rPr>
          <w:rFonts w:ascii="Arial" w:hAnsi="Arial" w:cs="Arial"/>
          <w:lang w:val="es-ES"/>
        </w:rPr>
      </w:pPr>
    </w:p>
    <w:p w14:paraId="18F111B7" w14:textId="77777777" w:rsidR="00353C39" w:rsidRDefault="00F0702E" w:rsidP="00353C39">
      <w:pPr>
        <w:ind w:firstLine="720"/>
        <w:jc w:val="both"/>
        <w:rPr>
          <w:rFonts w:ascii="Arial" w:hAnsi="Arial" w:cs="Arial"/>
          <w:lang w:val="es-ES"/>
        </w:rPr>
      </w:pPr>
      <w:r w:rsidRPr="00F0702E">
        <w:rPr>
          <w:rFonts w:ascii="Arial" w:hAnsi="Arial" w:cs="Arial"/>
          <w:lang w:val="es-ES"/>
        </w:rPr>
        <w:t>El Inder, institución del estado costarricense, impulsora del desarrollo rural territorial, a través de las leyes 9036 y la ley 2825 se le ha asignado una serie de responsabilidades que hoy forman parte de la gestión de la institución, misma que se encuentra asociada al plan nacional de desarrollo, instrumento que rige las acciones estratégicas relevantes sobre los territorios entre los años 201</w:t>
      </w:r>
      <w:r w:rsidR="00353C39">
        <w:rPr>
          <w:rFonts w:ascii="Arial" w:hAnsi="Arial" w:cs="Arial"/>
          <w:lang w:val="es-ES"/>
        </w:rPr>
        <w:t>9</w:t>
      </w:r>
      <w:r w:rsidRPr="00F0702E">
        <w:rPr>
          <w:rFonts w:ascii="Arial" w:hAnsi="Arial" w:cs="Arial"/>
          <w:lang w:val="es-ES"/>
        </w:rPr>
        <w:t>-20</w:t>
      </w:r>
      <w:r w:rsidR="00353C39">
        <w:rPr>
          <w:rFonts w:ascii="Arial" w:hAnsi="Arial" w:cs="Arial"/>
          <w:lang w:val="es-ES"/>
        </w:rPr>
        <w:t>22</w:t>
      </w:r>
      <w:r w:rsidRPr="00F0702E">
        <w:rPr>
          <w:rFonts w:ascii="Arial" w:hAnsi="Arial" w:cs="Arial"/>
          <w:lang w:val="es-ES"/>
        </w:rPr>
        <w:t>.</w:t>
      </w:r>
    </w:p>
    <w:p w14:paraId="715C3278" w14:textId="5647BB80" w:rsidR="00F0702E" w:rsidRPr="00F0702E" w:rsidRDefault="00F0702E" w:rsidP="00353C39">
      <w:pPr>
        <w:ind w:firstLine="720"/>
        <w:jc w:val="both"/>
        <w:rPr>
          <w:rFonts w:ascii="Arial" w:hAnsi="Arial" w:cs="Arial"/>
          <w:lang w:val="es-ES"/>
        </w:rPr>
      </w:pPr>
      <w:r w:rsidRPr="00F0702E">
        <w:rPr>
          <w:rFonts w:ascii="Arial" w:hAnsi="Arial" w:cs="Arial"/>
          <w:lang w:val="es-ES"/>
        </w:rPr>
        <w:t xml:space="preserve"> </w:t>
      </w:r>
    </w:p>
    <w:p w14:paraId="79092B0A" w14:textId="734168C0" w:rsidR="00F0702E" w:rsidRDefault="00F0702E" w:rsidP="00353C39">
      <w:pPr>
        <w:ind w:firstLine="720"/>
        <w:jc w:val="both"/>
        <w:rPr>
          <w:rFonts w:ascii="Arial" w:hAnsi="Arial" w:cs="Arial"/>
          <w:lang w:val="es-ES"/>
        </w:rPr>
      </w:pPr>
      <w:r w:rsidRPr="00F0702E">
        <w:rPr>
          <w:rFonts w:ascii="Arial" w:hAnsi="Arial" w:cs="Arial"/>
          <w:lang w:val="es-ES"/>
        </w:rPr>
        <w:t>La ley señala en el inciso i), artículo 3, que el Desarrollo Rural Territorial constituye un proceso de cambio integral en materia económica, social, cultural e institucional, impulsado en un territorio rural, con la participación concertada y organizada de todos los actores sociales existentes en dicho territorio, orientado a la búsqueda de la competitividad, la equidad, el bienestar y la cohesión e identidad social de sus pobladores.</w:t>
      </w:r>
    </w:p>
    <w:p w14:paraId="2F5C94B2" w14:textId="77777777" w:rsidR="00353C39" w:rsidRPr="00F0702E" w:rsidRDefault="00353C39" w:rsidP="00F0702E">
      <w:pPr>
        <w:jc w:val="both"/>
        <w:rPr>
          <w:rFonts w:ascii="Arial" w:hAnsi="Arial" w:cs="Arial"/>
          <w:lang w:val="es-ES"/>
        </w:rPr>
      </w:pPr>
    </w:p>
    <w:p w14:paraId="6FC50BCD" w14:textId="0DC14FC0" w:rsidR="00F0702E" w:rsidRDefault="00F0702E" w:rsidP="00353C39">
      <w:pPr>
        <w:ind w:firstLine="720"/>
        <w:jc w:val="both"/>
        <w:rPr>
          <w:rFonts w:ascii="Arial" w:hAnsi="Arial" w:cs="Arial"/>
          <w:lang w:val="es-ES"/>
        </w:rPr>
      </w:pPr>
      <w:r w:rsidRPr="00F0702E">
        <w:rPr>
          <w:rFonts w:ascii="Arial" w:hAnsi="Arial" w:cs="Arial"/>
          <w:lang w:val="es-ES"/>
        </w:rPr>
        <w:t xml:space="preserve">La provisión de bienes y servicios, en respuesta a la Ley 9036, se organizó en el marco de los programas operativos institucionales, para atender las demandas planteadas en los territorios de injerencia institucional. Asimismo, en vista de que la Ley N° 9036 conserva las responsabilidades de administración de los asentamientos campesinos y tierras bajo jurisdicción institucional, establecidas en la Ley N° 2825, se incluyen metas y recursos dirigidos al control del sano uso y tenencia de la tierra y el fomento del desarrollo de los asentamientos campesinos, que se inscriben en los territorios rurales y particularmente al proceso de escrutinio y determinación de las áreas de patrimonio natural que deben de pertenecer al estado costarricense. </w:t>
      </w:r>
    </w:p>
    <w:p w14:paraId="4C1D3F7B" w14:textId="77777777" w:rsidR="00353C39" w:rsidRPr="00F0702E" w:rsidRDefault="00353C39" w:rsidP="00353C39">
      <w:pPr>
        <w:ind w:firstLine="720"/>
        <w:jc w:val="both"/>
        <w:rPr>
          <w:rFonts w:ascii="Arial" w:hAnsi="Arial" w:cs="Arial"/>
          <w:lang w:val="es-ES"/>
        </w:rPr>
      </w:pPr>
    </w:p>
    <w:p w14:paraId="7562AA56" w14:textId="28AA37CA" w:rsidR="00F0702E" w:rsidRPr="00F0702E" w:rsidRDefault="00F0702E" w:rsidP="00F0702E">
      <w:pPr>
        <w:jc w:val="both"/>
        <w:rPr>
          <w:rFonts w:ascii="Arial" w:hAnsi="Arial" w:cs="Arial"/>
          <w:lang w:val="es-ES"/>
        </w:rPr>
      </w:pPr>
      <w:r w:rsidRPr="00F0702E">
        <w:rPr>
          <w:rFonts w:ascii="Arial" w:hAnsi="Arial" w:cs="Arial"/>
          <w:lang w:val="es-ES"/>
        </w:rPr>
        <w:t>En el presente informe se analizan los resultados de la actuación del Instituto, durante al cierre d</w:t>
      </w:r>
      <w:r w:rsidR="004A0380">
        <w:rPr>
          <w:rFonts w:ascii="Arial" w:hAnsi="Arial" w:cs="Arial"/>
          <w:lang w:val="es-ES"/>
        </w:rPr>
        <w:t>el segundo semestre del año 2020</w:t>
      </w:r>
      <w:r w:rsidRPr="00F0702E">
        <w:rPr>
          <w:rFonts w:ascii="Arial" w:hAnsi="Arial" w:cs="Arial"/>
          <w:lang w:val="es-ES"/>
        </w:rPr>
        <w:t>, en el contexto del Plan Nacional de Desarrollo 20</w:t>
      </w:r>
      <w:r w:rsidR="00353C39">
        <w:rPr>
          <w:rFonts w:ascii="Arial" w:hAnsi="Arial" w:cs="Arial"/>
          <w:lang w:val="es-ES"/>
        </w:rPr>
        <w:t>19</w:t>
      </w:r>
      <w:r w:rsidRPr="00F0702E">
        <w:rPr>
          <w:rFonts w:ascii="Arial" w:hAnsi="Arial" w:cs="Arial"/>
          <w:lang w:val="es-ES"/>
        </w:rPr>
        <w:t>-20</w:t>
      </w:r>
      <w:r w:rsidR="004A0380">
        <w:rPr>
          <w:rFonts w:ascii="Arial" w:hAnsi="Arial" w:cs="Arial"/>
          <w:lang w:val="es-ES"/>
        </w:rPr>
        <w:t>22</w:t>
      </w:r>
      <w:r w:rsidRPr="00F0702E">
        <w:rPr>
          <w:rFonts w:ascii="Arial" w:hAnsi="Arial" w:cs="Arial"/>
          <w:lang w:val="es-ES"/>
        </w:rPr>
        <w:t xml:space="preserve">”; y los compromisos establecidos en el Sector Ordenamiento Territorial. </w:t>
      </w:r>
    </w:p>
    <w:p w14:paraId="39463DA5" w14:textId="652D909D" w:rsidR="00E902DA" w:rsidRPr="004870E8" w:rsidRDefault="00E902DA" w:rsidP="00E902DA">
      <w:pPr>
        <w:jc w:val="both"/>
        <w:rPr>
          <w:rFonts w:ascii="Arial" w:hAnsi="Arial" w:cs="Arial"/>
          <w:lang w:val="es-ES"/>
        </w:rPr>
      </w:pPr>
    </w:p>
    <w:p w14:paraId="34800AD6" w14:textId="0348096B" w:rsidR="00246234" w:rsidRDefault="00246234" w:rsidP="00E902DA">
      <w:pPr>
        <w:jc w:val="both"/>
        <w:rPr>
          <w:rFonts w:ascii="Arial" w:hAnsi="Arial" w:cs="Arial"/>
          <w:b/>
          <w:bCs/>
          <w:lang w:val="es-ES"/>
        </w:rPr>
      </w:pPr>
    </w:p>
    <w:p w14:paraId="212E799D" w14:textId="77777777" w:rsidR="00105028" w:rsidRDefault="00105028" w:rsidP="00105028">
      <w:pPr>
        <w:pStyle w:val="Ttulo1"/>
        <w:rPr>
          <w:rFonts w:ascii="Arial" w:hAnsi="Arial" w:cs="Arial"/>
          <w:sz w:val="44"/>
          <w:szCs w:val="44"/>
          <w:lang w:val="es-ES"/>
        </w:rPr>
      </w:pPr>
    </w:p>
    <w:p w14:paraId="5977535D" w14:textId="07068BD1" w:rsidR="00246234" w:rsidRPr="00105028" w:rsidRDefault="00246234" w:rsidP="00105028">
      <w:pPr>
        <w:pStyle w:val="Ttulo1"/>
        <w:rPr>
          <w:rFonts w:ascii="Arial" w:hAnsi="Arial" w:cs="Arial"/>
          <w:sz w:val="44"/>
          <w:szCs w:val="44"/>
          <w:lang w:val="es-ES"/>
        </w:rPr>
      </w:pPr>
      <w:bookmarkStart w:id="1" w:name="_Toc45707848"/>
      <w:r w:rsidRPr="00105028">
        <w:rPr>
          <w:rFonts w:ascii="Arial" w:hAnsi="Arial" w:cs="Arial"/>
          <w:sz w:val="44"/>
          <w:szCs w:val="44"/>
          <w:lang w:val="es-ES"/>
        </w:rPr>
        <w:t>Desarrollo</w:t>
      </w:r>
      <w:bookmarkEnd w:id="1"/>
    </w:p>
    <w:p w14:paraId="03E7E9CD" w14:textId="77777777" w:rsidR="00411D69" w:rsidRDefault="00411D69" w:rsidP="00246234">
      <w:pPr>
        <w:rPr>
          <w:rFonts w:ascii="Arial" w:hAnsi="Arial" w:cs="Arial"/>
          <w:b/>
          <w:bCs/>
          <w:lang w:val="es-ES"/>
        </w:rPr>
      </w:pPr>
    </w:p>
    <w:p w14:paraId="19FBD43A" w14:textId="1898504A" w:rsidR="00353C39" w:rsidRPr="00105028" w:rsidRDefault="00353C39" w:rsidP="00105028">
      <w:pPr>
        <w:jc w:val="center"/>
        <w:rPr>
          <w:rFonts w:ascii="Arial" w:hAnsi="Arial" w:cs="Arial"/>
          <w:sz w:val="36"/>
          <w:szCs w:val="36"/>
          <w:lang w:val="es-ES"/>
        </w:rPr>
      </w:pPr>
      <w:r w:rsidRPr="00105028">
        <w:rPr>
          <w:rFonts w:ascii="Arial" w:hAnsi="Arial" w:cs="Arial"/>
          <w:sz w:val="36"/>
          <w:szCs w:val="36"/>
          <w:lang w:val="es-ES"/>
        </w:rPr>
        <w:t>Sector Ordenamiento Territorial</w:t>
      </w:r>
    </w:p>
    <w:p w14:paraId="6D098577" w14:textId="77777777" w:rsidR="00353C39" w:rsidRPr="00353C39" w:rsidRDefault="00353C39" w:rsidP="006E4992">
      <w:pPr>
        <w:pStyle w:val="Ttulo2"/>
        <w:jc w:val="center"/>
        <w:rPr>
          <w:rFonts w:ascii="Arial" w:hAnsi="Arial" w:cs="Arial"/>
          <w:b/>
          <w:bCs/>
          <w:lang w:val="es-ES"/>
        </w:rPr>
      </w:pPr>
    </w:p>
    <w:p w14:paraId="628AF5A6" w14:textId="38BF7FA6" w:rsidR="00353C39" w:rsidRDefault="00353C39" w:rsidP="006E4992">
      <w:pPr>
        <w:pStyle w:val="Ttulo2"/>
        <w:jc w:val="center"/>
        <w:rPr>
          <w:rFonts w:ascii="Arial" w:hAnsi="Arial" w:cs="Arial"/>
          <w:b/>
          <w:bCs/>
          <w:lang w:val="es-ES"/>
        </w:rPr>
      </w:pPr>
      <w:bookmarkStart w:id="2" w:name="_Toc45707849"/>
      <w:r w:rsidRPr="00353C39">
        <w:rPr>
          <w:rFonts w:ascii="Arial" w:hAnsi="Arial" w:cs="Arial"/>
          <w:b/>
          <w:bCs/>
          <w:lang w:val="es-ES"/>
        </w:rPr>
        <w:t>Matriz Anual de Programación</w:t>
      </w:r>
      <w:bookmarkEnd w:id="2"/>
    </w:p>
    <w:p w14:paraId="2590C7CB" w14:textId="30C6BC28" w:rsidR="000B1862" w:rsidRDefault="000B1862" w:rsidP="00105028">
      <w:pPr>
        <w:pStyle w:val="Ttulo2"/>
        <w:jc w:val="center"/>
        <w:rPr>
          <w:rFonts w:ascii="Arial" w:hAnsi="Arial" w:cs="Arial"/>
          <w:b/>
          <w:bCs/>
          <w:lang w:val="es-ES"/>
        </w:rPr>
      </w:pPr>
      <w:bookmarkStart w:id="3" w:name="_Toc45707850"/>
      <w:r w:rsidRPr="00105028">
        <w:rPr>
          <w:rFonts w:ascii="Arial" w:hAnsi="Arial" w:cs="Arial"/>
          <w:b/>
          <w:bCs/>
          <w:lang w:val="es-ES"/>
        </w:rPr>
        <w:t>Intervención #1</w:t>
      </w:r>
      <w:bookmarkEnd w:id="3"/>
    </w:p>
    <w:p w14:paraId="532D2591" w14:textId="44FC36F0" w:rsidR="00E00BE5" w:rsidRPr="00E00BE5" w:rsidRDefault="00E00BE5" w:rsidP="00E00BE5">
      <w:pPr>
        <w:jc w:val="center"/>
        <w:rPr>
          <w:rFonts w:ascii="Arial" w:hAnsi="Arial" w:cs="Arial"/>
          <w:b/>
          <w:bCs/>
          <w:lang w:val="es-ES"/>
        </w:rPr>
      </w:pPr>
      <w:r w:rsidRPr="00E00BE5">
        <w:rPr>
          <w:rFonts w:ascii="Arial" w:hAnsi="Arial" w:cs="Arial"/>
          <w:b/>
          <w:bCs/>
          <w:lang w:val="es-ES"/>
        </w:rPr>
        <w:t>Regularizaciones en todo el territorio nacional</w:t>
      </w:r>
    </w:p>
    <w:p w14:paraId="542A376C" w14:textId="77777777" w:rsidR="00353C39" w:rsidRDefault="00353C39" w:rsidP="00353C39">
      <w:pPr>
        <w:pStyle w:val="Ttulo2"/>
        <w:rPr>
          <w:b/>
          <w:bCs/>
          <w:sz w:val="24"/>
          <w:szCs w:val="24"/>
          <w:lang w:val="es-ES"/>
        </w:rPr>
      </w:pPr>
    </w:p>
    <w:p w14:paraId="4E12B0E4" w14:textId="77777777" w:rsidR="006E4992" w:rsidRDefault="006E4992" w:rsidP="003F327E">
      <w:pPr>
        <w:ind w:hanging="851"/>
        <w:rPr>
          <w:lang w:val="es-ES"/>
        </w:rPr>
      </w:pPr>
      <w:r w:rsidRPr="006E4992">
        <w:rPr>
          <w:noProof/>
          <w:lang w:val="es-CR" w:eastAsia="es-CR"/>
        </w:rPr>
        <w:drawing>
          <wp:inline distT="0" distB="0" distL="0" distR="0" wp14:anchorId="0AD1734C" wp14:editId="3CB857A1">
            <wp:extent cx="7132096" cy="2470245"/>
            <wp:effectExtent l="0" t="0" r="5715"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173716" cy="2484660"/>
                    </a:xfrm>
                    <a:prstGeom prst="rect">
                      <a:avLst/>
                    </a:prstGeom>
                  </pic:spPr>
                </pic:pic>
              </a:graphicData>
            </a:graphic>
          </wp:inline>
        </w:drawing>
      </w:r>
    </w:p>
    <w:p w14:paraId="36DE5B9C" w14:textId="77777777" w:rsidR="000B1862" w:rsidRDefault="006E4992" w:rsidP="003F327E">
      <w:pPr>
        <w:ind w:hanging="709"/>
        <w:jc w:val="center"/>
        <w:rPr>
          <w:lang w:val="es-ES"/>
        </w:rPr>
      </w:pPr>
      <w:r w:rsidRPr="006E4992">
        <w:rPr>
          <w:noProof/>
          <w:lang w:val="es-CR" w:eastAsia="es-CR"/>
        </w:rPr>
        <w:drawing>
          <wp:inline distT="0" distB="0" distL="0" distR="0" wp14:anchorId="58515056" wp14:editId="00AC53EB">
            <wp:extent cx="7042974" cy="3079685"/>
            <wp:effectExtent l="0" t="0" r="0" b="0"/>
            <wp:docPr id="8" name="Picture 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15618" cy="3111450"/>
                    </a:xfrm>
                    <a:prstGeom prst="rect">
                      <a:avLst/>
                    </a:prstGeom>
                  </pic:spPr>
                </pic:pic>
              </a:graphicData>
            </a:graphic>
          </wp:inline>
        </w:drawing>
      </w:r>
    </w:p>
    <w:p w14:paraId="5035BDCF" w14:textId="1D791220" w:rsidR="003F327E" w:rsidRDefault="003F327E" w:rsidP="001447C8">
      <w:pPr>
        <w:rPr>
          <w:lang w:val="es-ES"/>
        </w:rPr>
        <w:sectPr w:rsidR="003F327E" w:rsidSect="00105028">
          <w:footerReference w:type="even" r:id="rId12"/>
          <w:footerReference w:type="default" r:id="rId13"/>
          <w:pgSz w:w="12240" w:h="15840"/>
          <w:pgMar w:top="1440" w:right="1440" w:bottom="1440" w:left="1440" w:header="708" w:footer="708" w:gutter="0"/>
          <w:pgNumType w:start="0"/>
          <w:cols w:space="708"/>
          <w:titlePg/>
          <w:docGrid w:linePitch="360"/>
        </w:sectPr>
      </w:pPr>
    </w:p>
    <w:p w14:paraId="5671D40A" w14:textId="501F50E2" w:rsidR="00246234" w:rsidRPr="003F327E" w:rsidRDefault="006E4992" w:rsidP="003F327E">
      <w:pPr>
        <w:pStyle w:val="Ttulo1"/>
        <w:jc w:val="center"/>
        <w:rPr>
          <w:sz w:val="48"/>
          <w:szCs w:val="48"/>
          <w:lang w:val="es-ES"/>
        </w:rPr>
      </w:pPr>
      <w:bookmarkStart w:id="4" w:name="_Toc45707851"/>
      <w:r w:rsidRPr="003F327E">
        <w:rPr>
          <w:sz w:val="48"/>
          <w:szCs w:val="48"/>
          <w:lang w:val="es-ES"/>
        </w:rPr>
        <w:lastRenderedPageBreak/>
        <w:t>Informe</w:t>
      </w:r>
      <w:bookmarkEnd w:id="4"/>
    </w:p>
    <w:p w14:paraId="0A84EC94" w14:textId="5287862E" w:rsidR="003505E5" w:rsidRPr="003505E5" w:rsidRDefault="003505E5" w:rsidP="00105028">
      <w:pPr>
        <w:ind w:firstLine="720"/>
        <w:jc w:val="both"/>
        <w:rPr>
          <w:rFonts w:ascii="Arial" w:hAnsi="Arial" w:cs="Arial"/>
          <w:lang w:val="es-ES"/>
        </w:rPr>
      </w:pPr>
      <w:r w:rsidRPr="003505E5">
        <w:rPr>
          <w:rFonts w:ascii="Arial" w:hAnsi="Arial" w:cs="Arial"/>
          <w:lang w:val="es-ES"/>
        </w:rPr>
        <w:t>Para la i</w:t>
      </w:r>
      <w:r w:rsidR="006E4992" w:rsidRPr="003505E5">
        <w:rPr>
          <w:rFonts w:ascii="Arial" w:hAnsi="Arial" w:cs="Arial"/>
          <w:lang w:val="es-ES"/>
        </w:rPr>
        <w:t xml:space="preserve">ntervención estratégica </w:t>
      </w:r>
      <w:r w:rsidRPr="003505E5">
        <w:rPr>
          <w:rFonts w:ascii="Arial" w:hAnsi="Arial" w:cs="Arial"/>
          <w:lang w:val="es-ES"/>
        </w:rPr>
        <w:t>“</w:t>
      </w:r>
      <w:r w:rsidR="006E4992" w:rsidRPr="003505E5">
        <w:rPr>
          <w:rFonts w:ascii="Arial" w:hAnsi="Arial" w:cs="Arial"/>
          <w:lang w:val="es-ES"/>
        </w:rPr>
        <w:t>Ordenamiento de los derechos de propiedad y derechos de posesión en inmuebles propiedad privada del Estado en zonas rurales y urbanas</w:t>
      </w:r>
      <w:r w:rsidRPr="003505E5">
        <w:rPr>
          <w:rFonts w:ascii="Arial" w:hAnsi="Arial" w:cs="Arial"/>
          <w:lang w:val="es-ES"/>
        </w:rPr>
        <w:t>”</w:t>
      </w:r>
      <w:r w:rsidR="006E4992" w:rsidRPr="003505E5">
        <w:rPr>
          <w:rFonts w:ascii="Arial" w:hAnsi="Arial" w:cs="Arial"/>
          <w:lang w:val="es-ES"/>
        </w:rPr>
        <w:t xml:space="preserve">, </w:t>
      </w:r>
      <w:r w:rsidRPr="003505E5">
        <w:rPr>
          <w:rFonts w:ascii="Arial" w:hAnsi="Arial" w:cs="Arial"/>
          <w:lang w:val="es-ES"/>
        </w:rPr>
        <w:t>c</w:t>
      </w:r>
      <w:r w:rsidR="006E4992" w:rsidRPr="003505E5">
        <w:rPr>
          <w:rFonts w:ascii="Arial" w:hAnsi="Arial" w:cs="Arial"/>
          <w:lang w:val="es-ES"/>
        </w:rPr>
        <w:t>uyo objetivo</w:t>
      </w:r>
      <w:r w:rsidRPr="003505E5">
        <w:rPr>
          <w:rFonts w:ascii="Arial" w:hAnsi="Arial" w:cs="Arial"/>
          <w:lang w:val="es-ES"/>
        </w:rPr>
        <w:t xml:space="preserve"> es “</w:t>
      </w:r>
      <w:r w:rsidR="006E4992" w:rsidRPr="003505E5">
        <w:rPr>
          <w:rFonts w:ascii="Arial" w:hAnsi="Arial" w:cs="Arial"/>
          <w:lang w:val="es-ES"/>
        </w:rPr>
        <w:t>Regularizar la tenencia de la tierra en inmuebles que actualmente son de dominio privado del Estado mediante la formalización de los títulos de propiedad</w:t>
      </w:r>
      <w:r w:rsidRPr="003505E5">
        <w:rPr>
          <w:rFonts w:ascii="Arial" w:hAnsi="Arial" w:cs="Arial"/>
          <w:lang w:val="es-ES"/>
        </w:rPr>
        <w:t>”, el cual se a</w:t>
      </w:r>
      <w:r w:rsidR="006E4992" w:rsidRPr="003505E5">
        <w:rPr>
          <w:rFonts w:ascii="Arial" w:hAnsi="Arial" w:cs="Arial"/>
          <w:lang w:val="es-ES"/>
        </w:rPr>
        <w:t xml:space="preserve">socia al </w:t>
      </w:r>
      <w:r w:rsidR="00BB68E5">
        <w:rPr>
          <w:rFonts w:ascii="Arial" w:hAnsi="Arial" w:cs="Arial"/>
          <w:lang w:val="es-ES"/>
        </w:rPr>
        <w:t>o</w:t>
      </w:r>
      <w:r w:rsidR="006E4992" w:rsidRPr="003505E5">
        <w:rPr>
          <w:rFonts w:ascii="Arial" w:hAnsi="Arial" w:cs="Arial"/>
          <w:lang w:val="es-ES"/>
        </w:rPr>
        <w:t>bjetivo estratégico institucional</w:t>
      </w:r>
      <w:r w:rsidRPr="003505E5">
        <w:rPr>
          <w:rFonts w:ascii="Arial" w:hAnsi="Arial" w:cs="Arial"/>
          <w:lang w:val="es-ES"/>
        </w:rPr>
        <w:t xml:space="preserve"> “</w:t>
      </w:r>
      <w:r w:rsidR="006E4992" w:rsidRPr="003505E5">
        <w:rPr>
          <w:rFonts w:ascii="Arial" w:hAnsi="Arial" w:cs="Arial"/>
          <w:lang w:val="es-ES"/>
        </w:rPr>
        <w:t>Eje Gestión Agraria. Desarrollar las acciones técnicas y administrativas (regulación, adquisición, titulación, dotación y control de las tierras) que coadyuven a transformar la estructura de la tenencia de la tierra, como elemento dinamizador de la economía para las familias y los territorios</w:t>
      </w:r>
      <w:r w:rsidRPr="003505E5">
        <w:rPr>
          <w:rFonts w:ascii="Arial" w:hAnsi="Arial" w:cs="Arial"/>
          <w:lang w:val="es-ES"/>
        </w:rPr>
        <w:t xml:space="preserve">” y se orienta a los </w:t>
      </w:r>
      <w:r w:rsidR="00BB68E5">
        <w:rPr>
          <w:rFonts w:ascii="Arial" w:hAnsi="Arial" w:cs="Arial"/>
          <w:lang w:val="es-ES"/>
        </w:rPr>
        <w:t>u</w:t>
      </w:r>
      <w:r w:rsidR="006E4992" w:rsidRPr="003505E5">
        <w:rPr>
          <w:rFonts w:ascii="Arial" w:hAnsi="Arial" w:cs="Arial"/>
          <w:lang w:val="es-ES"/>
        </w:rPr>
        <w:t>suarios</w:t>
      </w:r>
      <w:r w:rsidR="00BB68E5">
        <w:rPr>
          <w:rFonts w:ascii="Arial" w:hAnsi="Arial" w:cs="Arial"/>
          <w:lang w:val="es-ES"/>
        </w:rPr>
        <w:t xml:space="preserve"> que califican como</w:t>
      </w:r>
      <w:r w:rsidRPr="003505E5">
        <w:rPr>
          <w:rFonts w:ascii="Arial" w:hAnsi="Arial" w:cs="Arial"/>
          <w:lang w:val="es-ES"/>
        </w:rPr>
        <w:t>, “</w:t>
      </w:r>
      <w:r w:rsidR="006E4992" w:rsidRPr="003505E5">
        <w:rPr>
          <w:rFonts w:ascii="Arial" w:hAnsi="Arial" w:cs="Arial"/>
          <w:lang w:val="es-ES"/>
        </w:rPr>
        <w:t>Personas físicas y jurídicas que poseen predios asignados por el Inder pendientes de titulación, regularización por posesión decenal (Art. 85c Ley 9036) y concesión en Franja Fronteriza</w:t>
      </w:r>
      <w:r w:rsidRPr="003505E5">
        <w:rPr>
          <w:rFonts w:ascii="Arial" w:hAnsi="Arial" w:cs="Arial"/>
          <w:lang w:val="es-ES"/>
        </w:rPr>
        <w:t>”, Se informa:</w:t>
      </w:r>
    </w:p>
    <w:p w14:paraId="1DB57A34" w14:textId="77777777" w:rsidR="003505E5" w:rsidRPr="000B1862" w:rsidRDefault="003505E5" w:rsidP="000B1862">
      <w:pPr>
        <w:jc w:val="both"/>
        <w:rPr>
          <w:rFonts w:ascii="Arial" w:hAnsi="Arial" w:cs="Arial"/>
          <w:lang w:val="es-ES"/>
        </w:rPr>
      </w:pPr>
    </w:p>
    <w:p w14:paraId="3AEB1841" w14:textId="4C78C4B6" w:rsidR="000B1862" w:rsidRPr="00105028" w:rsidRDefault="006E4992" w:rsidP="00105028">
      <w:pPr>
        <w:jc w:val="both"/>
        <w:rPr>
          <w:rFonts w:ascii="Arial" w:hAnsi="Arial" w:cs="Arial"/>
          <w:lang w:val="es-ES"/>
        </w:rPr>
      </w:pPr>
      <w:r w:rsidRPr="000B1862">
        <w:rPr>
          <w:rFonts w:ascii="Arial" w:hAnsi="Arial" w:cs="Arial"/>
          <w:lang w:val="es-ES"/>
        </w:rPr>
        <w:t xml:space="preserve">   </w:t>
      </w:r>
      <w:r w:rsidR="000B1862" w:rsidRPr="000B1862">
        <w:rPr>
          <w:rFonts w:ascii="Arial" w:hAnsi="Arial" w:cs="Arial"/>
          <w:lang w:val="es-ES"/>
        </w:rPr>
        <w:t xml:space="preserve">El total de la meta </w:t>
      </w:r>
      <w:r w:rsidR="000B1862">
        <w:rPr>
          <w:rFonts w:ascii="Arial" w:hAnsi="Arial" w:cs="Arial"/>
          <w:lang w:val="es-ES"/>
        </w:rPr>
        <w:t xml:space="preserve">registra un avance de </w:t>
      </w:r>
      <w:r w:rsidR="000B1862" w:rsidRPr="000B1862">
        <w:rPr>
          <w:rFonts w:ascii="Arial" w:hAnsi="Arial" w:cs="Arial"/>
          <w:lang w:val="es-ES"/>
        </w:rPr>
        <w:t>598 regularizaciones por parte del Inder distribuida según el siguiente cuadro.</w:t>
      </w:r>
    </w:p>
    <w:p w14:paraId="0841845C" w14:textId="2A1A7165" w:rsidR="000B1862" w:rsidRDefault="000B1862" w:rsidP="000B1862">
      <w:pPr>
        <w:jc w:val="center"/>
        <w:rPr>
          <w:lang w:val="es-ES"/>
        </w:rPr>
      </w:pPr>
      <w:r w:rsidRPr="000B1862">
        <w:rPr>
          <w:noProof/>
          <w:lang w:val="es-CR" w:eastAsia="es-CR"/>
        </w:rPr>
        <w:drawing>
          <wp:inline distT="0" distB="0" distL="0" distR="0" wp14:anchorId="219C989C" wp14:editId="25834334">
            <wp:extent cx="3573648" cy="1333500"/>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0307" cy="1339716"/>
                    </a:xfrm>
                    <a:prstGeom prst="rect">
                      <a:avLst/>
                    </a:prstGeom>
                  </pic:spPr>
                </pic:pic>
              </a:graphicData>
            </a:graphic>
          </wp:inline>
        </w:drawing>
      </w:r>
    </w:p>
    <w:p w14:paraId="5310FEBF" w14:textId="77777777" w:rsidR="006E4992" w:rsidRDefault="006E4992" w:rsidP="000C69E2">
      <w:pPr>
        <w:rPr>
          <w:rFonts w:ascii="Arial Narrow" w:hAnsi="Arial Narrow"/>
          <w:lang w:val="es-ES"/>
        </w:rPr>
      </w:pPr>
    </w:p>
    <w:p w14:paraId="133732F0" w14:textId="34E17BCC" w:rsidR="000B1862" w:rsidRPr="00D515D2" w:rsidRDefault="000B1862" w:rsidP="00105028">
      <w:pPr>
        <w:ind w:firstLine="720"/>
        <w:jc w:val="both"/>
        <w:rPr>
          <w:rFonts w:ascii="Arial" w:eastAsia="Times New Roman" w:hAnsi="Arial" w:cs="Arial"/>
          <w:color w:val="000000"/>
          <w:lang w:val="es-ES"/>
        </w:rPr>
      </w:pPr>
      <w:r w:rsidRPr="00D515D2">
        <w:rPr>
          <w:rFonts w:ascii="Arial" w:hAnsi="Arial" w:cs="Arial"/>
          <w:lang w:val="es-ES"/>
        </w:rPr>
        <w:t xml:space="preserve">Siguiendo </w:t>
      </w:r>
      <w:r w:rsidRPr="00D515D2">
        <w:rPr>
          <w:rFonts w:ascii="Arial" w:eastAsia="Times New Roman" w:hAnsi="Arial" w:cs="Arial"/>
          <w:color w:val="000000"/>
          <w:lang w:val="es-ES"/>
        </w:rPr>
        <w:t>l</w:t>
      </w:r>
      <w:r w:rsidR="003505E5" w:rsidRPr="00D515D2">
        <w:rPr>
          <w:rFonts w:ascii="Arial" w:eastAsia="Times New Roman" w:hAnsi="Arial" w:cs="Arial"/>
          <w:color w:val="000000"/>
          <w:lang w:val="es-ES"/>
        </w:rPr>
        <w:t xml:space="preserve">as opciones que se nos permite </w:t>
      </w:r>
      <w:r w:rsidRPr="00D515D2">
        <w:rPr>
          <w:rFonts w:ascii="Arial" w:eastAsia="Times New Roman" w:hAnsi="Arial" w:cs="Arial"/>
          <w:color w:val="000000"/>
          <w:lang w:val="es-ES"/>
        </w:rPr>
        <w:t xml:space="preserve">clasificar la meta </w:t>
      </w:r>
      <w:r w:rsidR="003505E5" w:rsidRPr="00D515D2">
        <w:rPr>
          <w:rFonts w:ascii="Arial" w:eastAsia="Times New Roman" w:hAnsi="Arial" w:cs="Arial"/>
          <w:color w:val="000000"/>
          <w:lang w:val="es-ES"/>
        </w:rPr>
        <w:t xml:space="preserve">según </w:t>
      </w:r>
      <w:r w:rsidRPr="00D515D2">
        <w:rPr>
          <w:rFonts w:ascii="Arial" w:eastAsia="Times New Roman" w:hAnsi="Arial" w:cs="Arial"/>
          <w:color w:val="000000"/>
          <w:lang w:val="es-ES"/>
        </w:rPr>
        <w:t>l</w:t>
      </w:r>
      <w:r w:rsidR="003505E5" w:rsidRPr="00D515D2">
        <w:rPr>
          <w:rFonts w:ascii="Arial" w:eastAsia="Times New Roman" w:hAnsi="Arial" w:cs="Arial"/>
          <w:color w:val="000000"/>
          <w:lang w:val="es-ES"/>
        </w:rPr>
        <w:t xml:space="preserve">os </w:t>
      </w:r>
      <w:r w:rsidRPr="00D515D2">
        <w:rPr>
          <w:rFonts w:ascii="Arial" w:eastAsia="Times New Roman" w:hAnsi="Arial" w:cs="Arial"/>
          <w:color w:val="000000"/>
          <w:lang w:val="es-ES"/>
        </w:rPr>
        <w:t>l</w:t>
      </w:r>
      <w:r w:rsidR="003505E5" w:rsidRPr="00D515D2">
        <w:rPr>
          <w:rFonts w:ascii="Arial" w:eastAsia="Times New Roman" w:hAnsi="Arial" w:cs="Arial"/>
          <w:color w:val="000000"/>
          <w:lang w:val="es-ES"/>
        </w:rPr>
        <w:t>ineamientos</w:t>
      </w:r>
      <w:r w:rsidRPr="00D515D2">
        <w:rPr>
          <w:rFonts w:ascii="Arial" w:eastAsia="Times New Roman" w:hAnsi="Arial" w:cs="Arial"/>
          <w:color w:val="000000"/>
          <w:lang w:val="es-ES"/>
        </w:rPr>
        <w:t xml:space="preserve"> metodológicos</w:t>
      </w:r>
      <w:r w:rsidR="003505E5" w:rsidRPr="00D515D2">
        <w:rPr>
          <w:rFonts w:ascii="Arial" w:eastAsia="Times New Roman" w:hAnsi="Arial" w:cs="Arial"/>
          <w:color w:val="000000"/>
          <w:lang w:val="es-ES"/>
        </w:rPr>
        <w:t> </w:t>
      </w:r>
      <w:r w:rsidRPr="00D515D2">
        <w:rPr>
          <w:rFonts w:ascii="Arial" w:eastAsia="Times New Roman" w:hAnsi="Arial" w:cs="Arial"/>
          <w:color w:val="000000"/>
          <w:lang w:val="es-ES"/>
        </w:rPr>
        <w:t>i</w:t>
      </w:r>
      <w:r w:rsidR="003505E5" w:rsidRPr="00D515D2">
        <w:rPr>
          <w:rFonts w:ascii="Arial" w:eastAsia="Times New Roman" w:hAnsi="Arial" w:cs="Arial"/>
          <w:color w:val="000000"/>
          <w:lang w:val="es-ES"/>
        </w:rPr>
        <w:t>nsumo para elaborar el Balance de Resultados del PNDIP del bicentenario 2019-2022, son los siguientes.</w:t>
      </w:r>
    </w:p>
    <w:p w14:paraId="6DD04990" w14:textId="77777777" w:rsidR="003505E5" w:rsidRPr="003505E5" w:rsidRDefault="003505E5" w:rsidP="00D515D2">
      <w:pPr>
        <w:jc w:val="both"/>
        <w:rPr>
          <w:rFonts w:ascii="Arial" w:eastAsia="Times New Roman" w:hAnsi="Arial" w:cs="Arial"/>
          <w:color w:val="000000"/>
          <w:lang w:val="es-ES"/>
        </w:rPr>
      </w:pPr>
      <w:r w:rsidRPr="003505E5">
        <w:rPr>
          <w:rFonts w:ascii="Arial" w:eastAsia="Times New Roman" w:hAnsi="Arial" w:cs="Arial"/>
          <w:b/>
          <w:bCs/>
          <w:color w:val="000000"/>
          <w:lang w:val="es-ES"/>
        </w:rPr>
        <w:t>1. Cumplimiento alto: </w:t>
      </w:r>
      <w:r w:rsidRPr="003505E5">
        <w:rPr>
          <w:rFonts w:ascii="Arial" w:eastAsia="Times New Roman" w:hAnsi="Arial" w:cs="Arial"/>
          <w:color w:val="000000"/>
          <w:lang w:val="es-ES"/>
        </w:rPr>
        <w:t>cuando el resultado anual de las metas es mayor o igual al 90%.</w:t>
      </w:r>
    </w:p>
    <w:p w14:paraId="6AA305F5" w14:textId="77777777" w:rsidR="003505E5" w:rsidRPr="003505E5" w:rsidRDefault="003505E5" w:rsidP="00D515D2">
      <w:pPr>
        <w:jc w:val="both"/>
        <w:rPr>
          <w:rFonts w:ascii="Arial" w:eastAsia="Times New Roman" w:hAnsi="Arial" w:cs="Arial"/>
          <w:color w:val="000000"/>
          <w:lang w:val="es-ES"/>
        </w:rPr>
      </w:pPr>
      <w:r w:rsidRPr="003505E5">
        <w:rPr>
          <w:rFonts w:ascii="Arial" w:eastAsia="Times New Roman" w:hAnsi="Arial" w:cs="Arial"/>
          <w:color w:val="000000"/>
          <w:lang w:val="es-ES"/>
        </w:rPr>
        <w:t>2. </w:t>
      </w:r>
      <w:r w:rsidRPr="003505E5">
        <w:rPr>
          <w:rFonts w:ascii="Arial" w:eastAsia="Times New Roman" w:hAnsi="Arial" w:cs="Arial"/>
          <w:b/>
          <w:bCs/>
          <w:color w:val="000000"/>
          <w:lang w:val="es-ES"/>
        </w:rPr>
        <w:t>Cumplimiento medio: </w:t>
      </w:r>
      <w:r w:rsidRPr="003505E5">
        <w:rPr>
          <w:rFonts w:ascii="Arial" w:eastAsia="Times New Roman" w:hAnsi="Arial" w:cs="Arial"/>
          <w:color w:val="000000"/>
          <w:lang w:val="es-ES"/>
        </w:rPr>
        <w:t>cuando el resultado anual de la meta es menor o igual a 89,99% o igual a 50%. </w:t>
      </w:r>
    </w:p>
    <w:p w14:paraId="0B287088" w14:textId="77777777" w:rsidR="003505E5" w:rsidRPr="003505E5" w:rsidRDefault="003505E5" w:rsidP="00D515D2">
      <w:pPr>
        <w:jc w:val="both"/>
        <w:rPr>
          <w:rFonts w:ascii="Arial" w:eastAsia="Times New Roman" w:hAnsi="Arial" w:cs="Arial"/>
          <w:color w:val="000000"/>
          <w:lang w:val="es-ES"/>
        </w:rPr>
      </w:pPr>
      <w:r w:rsidRPr="003505E5">
        <w:rPr>
          <w:rFonts w:ascii="Arial" w:eastAsia="Times New Roman" w:hAnsi="Arial" w:cs="Arial"/>
          <w:color w:val="000000"/>
          <w:lang w:val="es-ES"/>
        </w:rPr>
        <w:t>3. </w:t>
      </w:r>
      <w:r w:rsidRPr="003505E5">
        <w:rPr>
          <w:rFonts w:ascii="Arial" w:eastAsia="Times New Roman" w:hAnsi="Arial" w:cs="Arial"/>
          <w:b/>
          <w:bCs/>
          <w:color w:val="000000"/>
          <w:lang w:val="es-ES"/>
        </w:rPr>
        <w:t>Cumplimiento bajo: </w:t>
      </w:r>
      <w:r w:rsidRPr="003505E5">
        <w:rPr>
          <w:rFonts w:ascii="Arial" w:eastAsia="Times New Roman" w:hAnsi="Arial" w:cs="Arial"/>
          <w:color w:val="000000"/>
          <w:lang w:val="es-ES"/>
        </w:rPr>
        <w:t>cuando el resultado de la meta es menor o igual a 49,99%. </w:t>
      </w:r>
    </w:p>
    <w:p w14:paraId="0ED6EA0A" w14:textId="5CA80CAD" w:rsidR="003505E5" w:rsidRPr="003505E5" w:rsidRDefault="003505E5" w:rsidP="00D515D2">
      <w:pPr>
        <w:jc w:val="both"/>
        <w:rPr>
          <w:rFonts w:ascii="Arial" w:eastAsia="Times New Roman" w:hAnsi="Arial" w:cs="Arial"/>
          <w:color w:val="000000"/>
          <w:lang w:val="es-ES"/>
        </w:rPr>
      </w:pPr>
    </w:p>
    <w:p w14:paraId="56AEA9C8" w14:textId="4967F9A8" w:rsidR="00D515D2" w:rsidRPr="00105028" w:rsidRDefault="003505E5" w:rsidP="00105028">
      <w:pPr>
        <w:ind w:firstLine="720"/>
        <w:jc w:val="both"/>
        <w:rPr>
          <w:rFonts w:ascii="Arial" w:eastAsia="Times New Roman" w:hAnsi="Arial" w:cs="Arial"/>
          <w:color w:val="000000"/>
          <w:lang w:val="es-ES"/>
        </w:rPr>
      </w:pPr>
      <w:r w:rsidRPr="003505E5">
        <w:rPr>
          <w:rFonts w:ascii="Arial" w:eastAsia="Times New Roman" w:hAnsi="Arial" w:cs="Arial"/>
          <w:color w:val="000000"/>
          <w:lang w:val="es-ES"/>
        </w:rPr>
        <w:t>En el PNDIP para el año 2020 tenemos que la meta anual sería aproximadamente 2690 Regularizaciones según la MAPP</w:t>
      </w:r>
      <w:r w:rsidR="000B1862" w:rsidRPr="00D515D2">
        <w:rPr>
          <w:rFonts w:ascii="Arial" w:eastAsia="Times New Roman" w:hAnsi="Arial" w:cs="Arial"/>
          <w:color w:val="000000"/>
          <w:lang w:val="es-ES"/>
        </w:rPr>
        <w:t xml:space="preserve"> presentada en la parte superior de este informe</w:t>
      </w:r>
      <w:r w:rsidRPr="003505E5">
        <w:rPr>
          <w:rFonts w:ascii="Arial" w:eastAsia="Times New Roman" w:hAnsi="Arial" w:cs="Arial"/>
          <w:color w:val="000000"/>
          <w:lang w:val="es-ES"/>
        </w:rPr>
        <w:t xml:space="preserve"> </w:t>
      </w:r>
      <w:r w:rsidR="000B1862" w:rsidRPr="00D515D2">
        <w:rPr>
          <w:rFonts w:ascii="Arial" w:eastAsia="Times New Roman" w:hAnsi="Arial" w:cs="Arial"/>
          <w:color w:val="000000"/>
          <w:lang w:val="es-ES"/>
        </w:rPr>
        <w:t>y debidamente validada por e</w:t>
      </w:r>
      <w:r w:rsidRPr="003505E5">
        <w:rPr>
          <w:rFonts w:ascii="Arial" w:eastAsia="Times New Roman" w:hAnsi="Arial" w:cs="Arial"/>
          <w:color w:val="000000"/>
          <w:lang w:val="es-ES"/>
        </w:rPr>
        <w:t xml:space="preserve">l sector, a la fecha contamos con 598. Según el criterio de la unidad ejecutora de la meta propuesta al corte del semestre </w:t>
      </w:r>
      <w:r w:rsidR="000B1862" w:rsidRPr="00D515D2">
        <w:rPr>
          <w:rFonts w:ascii="Arial" w:eastAsia="Times New Roman" w:hAnsi="Arial" w:cs="Arial"/>
          <w:color w:val="000000"/>
          <w:lang w:val="es-ES"/>
        </w:rPr>
        <w:t>clasificamos el</w:t>
      </w:r>
      <w:r w:rsidRPr="003505E5">
        <w:rPr>
          <w:rFonts w:ascii="Arial" w:eastAsia="Times New Roman" w:hAnsi="Arial" w:cs="Arial"/>
          <w:color w:val="000000"/>
          <w:lang w:val="es-ES"/>
        </w:rPr>
        <w:t xml:space="preserve"> resultado </w:t>
      </w:r>
      <w:r w:rsidR="000B1862" w:rsidRPr="00D515D2">
        <w:rPr>
          <w:rFonts w:ascii="Arial" w:eastAsia="Times New Roman" w:hAnsi="Arial" w:cs="Arial"/>
          <w:color w:val="000000"/>
          <w:lang w:val="es-ES"/>
        </w:rPr>
        <w:t>como:</w:t>
      </w:r>
    </w:p>
    <w:p w14:paraId="1D82D556" w14:textId="05B4541F" w:rsidR="000B1862" w:rsidRPr="003505E5" w:rsidRDefault="000B1862" w:rsidP="00D515D2">
      <w:pPr>
        <w:jc w:val="center"/>
        <w:rPr>
          <w:rFonts w:ascii="Arial" w:eastAsia="Times New Roman" w:hAnsi="Arial" w:cs="Arial"/>
          <w:color w:val="000000"/>
          <w:lang w:val="es-ES"/>
        </w:rPr>
      </w:pPr>
      <w:r w:rsidRPr="003505E5">
        <w:rPr>
          <w:rFonts w:ascii="Arial" w:eastAsia="Times New Roman" w:hAnsi="Arial" w:cs="Arial"/>
          <w:b/>
          <w:bCs/>
          <w:color w:val="FF0000"/>
          <w:lang w:val="es-ES"/>
        </w:rPr>
        <w:t>Cumplimiento bajo: </w:t>
      </w:r>
      <w:r w:rsidRPr="003505E5">
        <w:rPr>
          <w:rFonts w:ascii="Arial" w:eastAsia="Times New Roman" w:hAnsi="Arial" w:cs="Arial"/>
          <w:color w:val="FF0000"/>
          <w:lang w:val="es-ES"/>
        </w:rPr>
        <w:t>cuando el resultado de la meta es menor o igual a 49,99</w:t>
      </w:r>
      <w:r w:rsidRPr="003505E5">
        <w:rPr>
          <w:rFonts w:ascii="Arial" w:eastAsia="Times New Roman" w:hAnsi="Arial" w:cs="Arial"/>
          <w:color w:val="000000"/>
          <w:lang w:val="es-ES"/>
        </w:rPr>
        <w:t>%.</w:t>
      </w:r>
    </w:p>
    <w:p w14:paraId="21197AC7" w14:textId="77777777" w:rsidR="00105028" w:rsidRDefault="00105028" w:rsidP="00105028">
      <w:pPr>
        <w:rPr>
          <w:rFonts w:ascii="Arial" w:eastAsia="Times New Roman" w:hAnsi="Arial" w:cs="Arial"/>
          <w:color w:val="000000"/>
          <w:lang w:val="es-ES"/>
        </w:rPr>
      </w:pPr>
    </w:p>
    <w:p w14:paraId="1B00A035" w14:textId="63E86D4B" w:rsidR="000B1862" w:rsidRPr="00D515D2" w:rsidRDefault="000B1862" w:rsidP="00105028">
      <w:pPr>
        <w:ind w:firstLine="720"/>
        <w:rPr>
          <w:rFonts w:ascii="Arial" w:eastAsia="Times New Roman" w:hAnsi="Arial" w:cs="Arial"/>
          <w:color w:val="000000"/>
          <w:lang w:val="es-ES"/>
        </w:rPr>
      </w:pPr>
      <w:r w:rsidRPr="00D515D2">
        <w:rPr>
          <w:rFonts w:ascii="Arial" w:eastAsia="Times New Roman" w:hAnsi="Arial" w:cs="Arial"/>
          <w:color w:val="000000"/>
          <w:lang w:val="es-ES"/>
        </w:rPr>
        <w:t xml:space="preserve">Esta clasificación la obtenemos a partir del calculo aritmético de la división del logro alcanzado a este momento </w:t>
      </w:r>
      <w:r w:rsidR="00D515D2">
        <w:rPr>
          <w:rFonts w:ascii="Arial" w:eastAsia="Times New Roman" w:hAnsi="Arial" w:cs="Arial"/>
          <w:color w:val="000000"/>
          <w:lang w:val="es-ES"/>
        </w:rPr>
        <w:t>dividido por</w:t>
      </w:r>
      <w:r w:rsidRPr="00D515D2">
        <w:rPr>
          <w:rFonts w:ascii="Arial" w:eastAsia="Times New Roman" w:hAnsi="Arial" w:cs="Arial"/>
          <w:color w:val="000000"/>
          <w:lang w:val="es-ES"/>
        </w:rPr>
        <w:t xml:space="preserve"> la meta</w:t>
      </w:r>
      <w:r w:rsidR="00D515D2">
        <w:rPr>
          <w:rFonts w:ascii="Arial" w:eastAsia="Times New Roman" w:hAnsi="Arial" w:cs="Arial"/>
          <w:color w:val="000000"/>
          <w:lang w:val="es-ES"/>
        </w:rPr>
        <w:t>.</w:t>
      </w:r>
      <w:r w:rsidRPr="00D515D2">
        <w:rPr>
          <w:rFonts w:ascii="Arial" w:eastAsia="Times New Roman" w:hAnsi="Arial" w:cs="Arial"/>
          <w:color w:val="000000"/>
          <w:lang w:val="es-ES"/>
        </w:rPr>
        <w:t xml:space="preserve"> </w:t>
      </w:r>
      <w:r w:rsidRPr="003505E5">
        <w:rPr>
          <w:rFonts w:ascii="Arial" w:eastAsia="Times New Roman" w:hAnsi="Arial" w:cs="Arial"/>
          <w:color w:val="000000"/>
          <w:lang w:val="es-ES"/>
        </w:rPr>
        <w:t>El cumplimiento en bruto es del 22.23</w:t>
      </w:r>
      <w:proofErr w:type="gramStart"/>
      <w:r w:rsidRPr="003505E5">
        <w:rPr>
          <w:rFonts w:ascii="Arial" w:eastAsia="Times New Roman" w:hAnsi="Arial" w:cs="Arial"/>
          <w:color w:val="000000"/>
          <w:lang w:val="es-ES"/>
        </w:rPr>
        <w:t>%  (</w:t>
      </w:r>
      <w:proofErr w:type="gramEnd"/>
      <w:r w:rsidRPr="003505E5">
        <w:rPr>
          <w:rFonts w:ascii="Arial" w:eastAsia="Times New Roman" w:hAnsi="Arial" w:cs="Arial"/>
          <w:color w:val="000000"/>
          <w:lang w:val="es-ES"/>
        </w:rPr>
        <w:t>598/2690=22.23%), lo cual nos ubica dentro del parámetro de “cumplimiento bajo”.</w:t>
      </w:r>
      <w:r w:rsidRPr="003505E5">
        <w:rPr>
          <w:rFonts w:ascii="Arial" w:eastAsia="Times New Roman" w:hAnsi="Arial" w:cs="Arial"/>
          <w:color w:val="5B9BD5"/>
          <w:lang w:val="es-ES"/>
        </w:rPr>
        <w:t xml:space="preserve"> </w:t>
      </w:r>
    </w:p>
    <w:p w14:paraId="126145B0" w14:textId="2E189BF1" w:rsidR="00D515D2" w:rsidRPr="00D515D2" w:rsidRDefault="000B1862" w:rsidP="00D515D2">
      <w:pPr>
        <w:ind w:firstLine="720"/>
        <w:jc w:val="both"/>
        <w:rPr>
          <w:rFonts w:ascii="Arial" w:eastAsia="Times New Roman" w:hAnsi="Arial" w:cs="Arial"/>
          <w:color w:val="000000"/>
          <w:lang w:val="es-ES"/>
        </w:rPr>
      </w:pPr>
      <w:r w:rsidRPr="00D515D2">
        <w:rPr>
          <w:rFonts w:ascii="Arial" w:eastAsia="Times New Roman" w:hAnsi="Arial" w:cs="Arial"/>
          <w:color w:val="000000"/>
          <w:lang w:val="es-ES"/>
        </w:rPr>
        <w:t xml:space="preserve">Dado que la meta presenta un rezago importante y siguiendo la línea metodológica </w:t>
      </w:r>
      <w:r w:rsidR="00D515D2" w:rsidRPr="00D515D2">
        <w:rPr>
          <w:rFonts w:ascii="Arial" w:eastAsia="Times New Roman" w:hAnsi="Arial" w:cs="Arial"/>
          <w:color w:val="000000"/>
          <w:lang w:val="es-ES"/>
        </w:rPr>
        <w:t xml:space="preserve">debemos especificar los obstáculos </w:t>
      </w:r>
      <w:r w:rsidR="00D515D2">
        <w:rPr>
          <w:rFonts w:ascii="Arial" w:eastAsia="Times New Roman" w:hAnsi="Arial" w:cs="Arial"/>
          <w:color w:val="000000"/>
          <w:lang w:val="es-ES"/>
        </w:rPr>
        <w:t xml:space="preserve">que </w:t>
      </w:r>
      <w:r w:rsidR="00D515D2" w:rsidRPr="00D515D2">
        <w:rPr>
          <w:rFonts w:ascii="Arial" w:eastAsia="Times New Roman" w:hAnsi="Arial" w:cs="Arial"/>
          <w:color w:val="000000"/>
          <w:lang w:val="es-ES"/>
        </w:rPr>
        <w:t xml:space="preserve">no han permitido el correcto </w:t>
      </w:r>
      <w:r w:rsidR="00D515D2" w:rsidRPr="00D515D2">
        <w:rPr>
          <w:rFonts w:ascii="Arial" w:eastAsia="Times New Roman" w:hAnsi="Arial" w:cs="Arial"/>
          <w:color w:val="000000"/>
          <w:lang w:val="es-ES"/>
        </w:rPr>
        <w:lastRenderedPageBreak/>
        <w:t xml:space="preserve">avance en la meta, dicho lineamientos indican </w:t>
      </w:r>
      <w:r w:rsidR="00D515D2">
        <w:rPr>
          <w:rFonts w:ascii="Arial" w:eastAsia="Times New Roman" w:hAnsi="Arial" w:cs="Arial"/>
          <w:color w:val="000000"/>
          <w:lang w:val="es-ES"/>
        </w:rPr>
        <w:t xml:space="preserve">que </w:t>
      </w:r>
      <w:r w:rsidR="00D515D2" w:rsidRPr="00D515D2">
        <w:rPr>
          <w:rFonts w:ascii="Arial" w:eastAsia="Times New Roman" w:hAnsi="Arial" w:cs="Arial"/>
          <w:color w:val="000000"/>
          <w:lang w:val="es-ES"/>
        </w:rPr>
        <w:t>“Los obstáculos se refieren a una situación o circunstancia que impide o afecta el logro de la meta, la cual está fuera del control institucional e inclusive de los esfuerzos a nivel sectorial, dado que se presenta sin haberse identificado previamente como un riesgo. En caso de que los obstáculos señalen una representación geográfica (regiones de planificación o cantones) se deben indicar, cuando sea pertinente”</w:t>
      </w:r>
    </w:p>
    <w:p w14:paraId="4BAC814C" w14:textId="77777777" w:rsidR="00D515D2" w:rsidRPr="00D515D2" w:rsidRDefault="00D515D2" w:rsidP="00D515D2">
      <w:pPr>
        <w:ind w:firstLine="720"/>
        <w:jc w:val="both"/>
        <w:rPr>
          <w:rFonts w:ascii="Arial" w:eastAsia="Times New Roman" w:hAnsi="Arial" w:cs="Arial"/>
          <w:color w:val="000000"/>
          <w:lang w:val="es-ES"/>
        </w:rPr>
      </w:pPr>
    </w:p>
    <w:p w14:paraId="38BB35F3" w14:textId="05201AF0" w:rsidR="00D515D2" w:rsidRPr="00D515D2" w:rsidRDefault="00D515D2" w:rsidP="00D515D2">
      <w:pPr>
        <w:ind w:firstLine="360"/>
        <w:jc w:val="both"/>
        <w:rPr>
          <w:rFonts w:ascii="Arial" w:eastAsia="Times New Roman" w:hAnsi="Arial" w:cs="Arial"/>
          <w:color w:val="000000"/>
          <w:lang w:val="es-ES"/>
        </w:rPr>
      </w:pPr>
      <w:r w:rsidRPr="00D515D2">
        <w:rPr>
          <w:rFonts w:ascii="Arial" w:eastAsia="Times New Roman" w:hAnsi="Arial" w:cs="Arial"/>
          <w:color w:val="000000"/>
          <w:lang w:val="es-ES"/>
        </w:rPr>
        <w:t>Para el caso particular se han presentado dos afectaciones o obstáculos para el cumplimiento:</w:t>
      </w:r>
    </w:p>
    <w:p w14:paraId="011180ED" w14:textId="77777777" w:rsidR="00D515D2" w:rsidRPr="00D515D2" w:rsidRDefault="00D515D2" w:rsidP="00D515D2">
      <w:pPr>
        <w:jc w:val="both"/>
        <w:rPr>
          <w:rFonts w:ascii="Arial" w:eastAsia="Times New Roman" w:hAnsi="Arial" w:cs="Arial"/>
          <w:color w:val="000000"/>
          <w:lang w:val="es-ES"/>
        </w:rPr>
      </w:pPr>
      <w:r w:rsidRPr="00D515D2">
        <w:rPr>
          <w:rFonts w:ascii="Arial" w:eastAsia="Times New Roman" w:hAnsi="Arial" w:cs="Arial"/>
          <w:color w:val="000000"/>
          <w:lang w:val="es-ES"/>
        </w:rPr>
        <w:t> </w:t>
      </w:r>
    </w:p>
    <w:p w14:paraId="178BA8D1" w14:textId="7539712E" w:rsidR="00D515D2" w:rsidRDefault="00D515D2" w:rsidP="00D515D2">
      <w:pPr>
        <w:numPr>
          <w:ilvl w:val="0"/>
          <w:numId w:val="3"/>
        </w:numPr>
        <w:spacing w:line="231" w:lineRule="atLeast"/>
        <w:jc w:val="both"/>
        <w:rPr>
          <w:rFonts w:ascii="Arial" w:eastAsia="Times New Roman" w:hAnsi="Arial" w:cs="Arial"/>
          <w:color w:val="000000"/>
          <w:lang w:val="es-ES"/>
        </w:rPr>
      </w:pPr>
      <w:r w:rsidRPr="00D515D2">
        <w:rPr>
          <w:rFonts w:ascii="Arial" w:eastAsia="Times New Roman" w:hAnsi="Arial" w:cs="Arial"/>
          <w:color w:val="000000"/>
          <w:lang w:val="es-ES"/>
        </w:rPr>
        <w:t>La pandemia provocó que establecieran protocolos de protección y distanciamiento social que derivaron que la labor ordinaria se llevara tangenc</w:t>
      </w:r>
      <w:r w:rsidR="0094127B">
        <w:rPr>
          <w:rFonts w:ascii="Arial" w:eastAsia="Times New Roman" w:hAnsi="Arial" w:cs="Arial"/>
          <w:color w:val="000000"/>
          <w:lang w:val="es-ES"/>
        </w:rPr>
        <w:t xml:space="preserve">ialmente a cero. Así las cosas, </w:t>
      </w:r>
      <w:r w:rsidRPr="00D515D2">
        <w:rPr>
          <w:rFonts w:ascii="Arial" w:eastAsia="Times New Roman" w:hAnsi="Arial" w:cs="Arial"/>
          <w:color w:val="000000"/>
          <w:lang w:val="es-ES"/>
        </w:rPr>
        <w:t xml:space="preserve">la mayoría de las actividades de campo se encuentran suspendidas, por lo que, se espera que este año baje considerablemente la titulación ordinaria que realizamos. Cuya mayor parte de las labores necesarias para completar un expediente de titulación y regularización dependen de realizar trabajo de campo, e incluso, realizar procedimientos ordinarios administrativos que incluyen una posible comparecencia. De continuar </w:t>
      </w:r>
      <w:r w:rsidR="0094127B">
        <w:rPr>
          <w:rFonts w:ascii="Arial" w:eastAsia="Times New Roman" w:hAnsi="Arial" w:cs="Arial"/>
          <w:color w:val="000000"/>
          <w:lang w:val="es-ES"/>
        </w:rPr>
        <w:t xml:space="preserve">esta situación </w:t>
      </w:r>
      <w:r w:rsidRPr="00D515D2">
        <w:rPr>
          <w:rFonts w:ascii="Arial" w:eastAsia="Times New Roman" w:hAnsi="Arial" w:cs="Arial"/>
          <w:color w:val="000000"/>
          <w:lang w:val="es-ES"/>
        </w:rPr>
        <w:t>se podría ver severamente afectada la habilidad del Instituto de generar títulos y regularizaciones.</w:t>
      </w:r>
    </w:p>
    <w:p w14:paraId="6C707356" w14:textId="77777777" w:rsidR="007816E0" w:rsidRPr="00D515D2" w:rsidRDefault="007816E0" w:rsidP="007816E0">
      <w:pPr>
        <w:spacing w:line="231" w:lineRule="atLeast"/>
        <w:ind w:left="720"/>
        <w:jc w:val="both"/>
        <w:rPr>
          <w:rFonts w:ascii="Arial" w:eastAsia="Times New Roman" w:hAnsi="Arial" w:cs="Arial"/>
          <w:color w:val="000000"/>
          <w:lang w:val="es-ES"/>
        </w:rPr>
      </w:pPr>
    </w:p>
    <w:p w14:paraId="087ABEC7" w14:textId="77777777" w:rsidR="00D515D2" w:rsidRPr="00D515D2" w:rsidRDefault="00D515D2" w:rsidP="00D515D2">
      <w:pPr>
        <w:numPr>
          <w:ilvl w:val="0"/>
          <w:numId w:val="3"/>
        </w:numPr>
        <w:spacing w:line="231" w:lineRule="atLeast"/>
        <w:jc w:val="both"/>
        <w:rPr>
          <w:rFonts w:ascii="Arial" w:eastAsia="Times New Roman" w:hAnsi="Arial" w:cs="Arial"/>
          <w:color w:val="000000"/>
          <w:lang w:val="es-ES"/>
        </w:rPr>
      </w:pPr>
      <w:r w:rsidRPr="00D515D2">
        <w:rPr>
          <w:rFonts w:ascii="Arial" w:eastAsia="Times New Roman" w:hAnsi="Arial" w:cs="Arial"/>
          <w:color w:val="000000"/>
          <w:lang w:val="es-ES"/>
        </w:rPr>
        <w:t xml:space="preserve">La labor extraordinaria que se esperaba cumplir con el “El Plan Nacional de Titulación y Regularización” aún se encuentra en las etapas de contratación y no de producción. </w:t>
      </w:r>
    </w:p>
    <w:p w14:paraId="51BDB936" w14:textId="54B2C5F3" w:rsidR="00D515D2" w:rsidRDefault="00D515D2" w:rsidP="00D515D2">
      <w:pPr>
        <w:spacing w:line="231" w:lineRule="atLeast"/>
        <w:ind w:left="720"/>
        <w:rPr>
          <w:rFonts w:ascii="Calibri" w:eastAsia="Times New Roman" w:hAnsi="Calibri" w:cs="Times New Roman"/>
          <w:color w:val="5B9BD5"/>
          <w:sz w:val="28"/>
          <w:szCs w:val="28"/>
          <w:lang w:val="es-ES"/>
        </w:rPr>
      </w:pPr>
    </w:p>
    <w:p w14:paraId="14EA41BD" w14:textId="27D9EDC3" w:rsidR="007816E0" w:rsidRPr="007816E0" w:rsidRDefault="007816E0" w:rsidP="007816E0">
      <w:pPr>
        <w:spacing w:line="231" w:lineRule="atLeast"/>
        <w:ind w:left="720"/>
        <w:jc w:val="both"/>
        <w:rPr>
          <w:rFonts w:ascii="Arial" w:eastAsia="Times New Roman" w:hAnsi="Arial" w:cs="Arial"/>
          <w:color w:val="000000"/>
          <w:lang w:val="es-ES"/>
        </w:rPr>
      </w:pPr>
      <w:r w:rsidRPr="007816E0">
        <w:rPr>
          <w:rFonts w:ascii="Arial" w:eastAsia="Times New Roman" w:hAnsi="Arial" w:cs="Arial"/>
          <w:color w:val="000000"/>
          <w:lang w:val="es-ES"/>
        </w:rPr>
        <w:t xml:space="preserve">Dada la situación antes mencionada solicitadas opciones de mejora si es que existen y se pueden aplicar al caso particular indica, </w:t>
      </w:r>
      <w:r w:rsidR="0094127B">
        <w:rPr>
          <w:rFonts w:ascii="Arial" w:eastAsia="Times New Roman" w:hAnsi="Arial" w:cs="Arial"/>
          <w:color w:val="000000"/>
          <w:lang w:val="es-ES"/>
        </w:rPr>
        <w:t>L</w:t>
      </w:r>
      <w:bookmarkStart w:id="5" w:name="_GoBack"/>
      <w:bookmarkEnd w:id="5"/>
      <w:r w:rsidR="0094127B">
        <w:rPr>
          <w:rFonts w:ascii="Arial" w:eastAsia="Times New Roman" w:hAnsi="Arial" w:cs="Arial"/>
          <w:color w:val="000000"/>
          <w:lang w:val="es-ES"/>
        </w:rPr>
        <w:t>a D</w:t>
      </w:r>
      <w:r w:rsidRPr="007816E0">
        <w:rPr>
          <w:rFonts w:ascii="Arial" w:eastAsia="Times New Roman" w:hAnsi="Arial" w:cs="Arial"/>
          <w:color w:val="000000"/>
          <w:lang w:val="es-ES"/>
        </w:rPr>
        <w:t>irección de Desarrollo Rural Territorial nos indica:</w:t>
      </w:r>
    </w:p>
    <w:p w14:paraId="2201808D" w14:textId="77777777" w:rsidR="007816E0" w:rsidRPr="007816E0" w:rsidRDefault="007816E0" w:rsidP="007816E0">
      <w:pPr>
        <w:jc w:val="both"/>
        <w:rPr>
          <w:rFonts w:ascii="Arial" w:eastAsia="Times New Roman" w:hAnsi="Arial" w:cs="Arial"/>
          <w:color w:val="000000"/>
          <w:lang w:val="es-ES"/>
        </w:rPr>
      </w:pPr>
      <w:r w:rsidRPr="007816E0">
        <w:rPr>
          <w:rFonts w:ascii="Arial" w:eastAsia="Times New Roman" w:hAnsi="Arial" w:cs="Arial"/>
          <w:color w:val="000000"/>
          <w:lang w:val="es-ES"/>
        </w:rPr>
        <w:t> </w:t>
      </w:r>
    </w:p>
    <w:p w14:paraId="2EAD7871" w14:textId="36B1DE4E" w:rsidR="007816E0" w:rsidRPr="007816E0" w:rsidRDefault="007816E0" w:rsidP="007816E0">
      <w:pPr>
        <w:ind w:left="720"/>
        <w:jc w:val="both"/>
        <w:rPr>
          <w:rFonts w:ascii="Arial" w:eastAsia="Times New Roman" w:hAnsi="Arial" w:cs="Arial"/>
          <w:color w:val="000000"/>
          <w:lang w:val="es-ES"/>
        </w:rPr>
      </w:pPr>
      <w:r w:rsidRPr="007816E0">
        <w:rPr>
          <w:rFonts w:ascii="Arial" w:eastAsia="Times New Roman" w:hAnsi="Arial" w:cs="Arial"/>
          <w:color w:val="000000"/>
          <w:lang w:val="es-ES"/>
        </w:rPr>
        <w:t>“Siendo que la afectación es una causa exógena las acciones de mejora dependerán de que las medidas restrictivas del Covid19 disminuyan. Para eso ya estamos preparados con protocolos de protección para darle continuidad a nuestra labor ordinaria”.   </w:t>
      </w:r>
    </w:p>
    <w:p w14:paraId="6960E35A" w14:textId="79E8BA6F" w:rsidR="007816E0" w:rsidRDefault="007816E0" w:rsidP="00D515D2">
      <w:pPr>
        <w:spacing w:line="231" w:lineRule="atLeast"/>
        <w:ind w:left="720"/>
        <w:rPr>
          <w:rFonts w:ascii="Calibri" w:eastAsia="Times New Roman" w:hAnsi="Calibri" w:cs="Times New Roman"/>
          <w:color w:val="5B9BD5"/>
          <w:sz w:val="28"/>
          <w:szCs w:val="28"/>
          <w:lang w:val="es-ES"/>
        </w:rPr>
      </w:pPr>
      <w:r>
        <w:rPr>
          <w:rFonts w:ascii="Calibri" w:eastAsia="Times New Roman" w:hAnsi="Calibri" w:cs="Times New Roman"/>
          <w:color w:val="5B9BD5"/>
          <w:sz w:val="28"/>
          <w:szCs w:val="28"/>
          <w:lang w:val="es-ES"/>
        </w:rPr>
        <w:t xml:space="preserve"> </w:t>
      </w:r>
    </w:p>
    <w:p w14:paraId="1E420000" w14:textId="66B5C643" w:rsidR="000B1862" w:rsidRDefault="007816E0" w:rsidP="00105028">
      <w:pPr>
        <w:spacing w:line="231" w:lineRule="atLeast"/>
        <w:ind w:firstLine="720"/>
        <w:jc w:val="both"/>
        <w:rPr>
          <w:rFonts w:ascii="Arial" w:eastAsia="Times New Roman" w:hAnsi="Arial" w:cs="Arial"/>
          <w:color w:val="000000"/>
          <w:lang w:val="es-ES"/>
        </w:rPr>
      </w:pPr>
      <w:r w:rsidRPr="007816E0">
        <w:rPr>
          <w:rFonts w:ascii="Arial" w:eastAsia="Times New Roman" w:hAnsi="Arial" w:cs="Arial"/>
          <w:color w:val="000000"/>
          <w:lang w:val="es-ES"/>
        </w:rPr>
        <w:t xml:space="preserve">Aprovechamos este informe para indicar </w:t>
      </w:r>
      <w:r w:rsidRPr="00B81E25">
        <w:rPr>
          <w:rFonts w:ascii="Arial" w:eastAsia="Times New Roman" w:hAnsi="Arial" w:cs="Arial"/>
          <w:b/>
          <w:bCs/>
          <w:color w:val="000000"/>
          <w:lang w:val="es-ES"/>
        </w:rPr>
        <w:t xml:space="preserve">el riesgo </w:t>
      </w:r>
      <w:r w:rsidR="00B81E25" w:rsidRPr="00B81E25">
        <w:rPr>
          <w:rFonts w:ascii="Arial" w:eastAsia="Times New Roman" w:hAnsi="Arial" w:cs="Arial"/>
          <w:b/>
          <w:bCs/>
          <w:color w:val="000000"/>
          <w:lang w:val="es-ES"/>
        </w:rPr>
        <w:t>de incumplimiento</w:t>
      </w:r>
      <w:r w:rsidR="00B81E25">
        <w:rPr>
          <w:rFonts w:ascii="Arial" w:eastAsia="Times New Roman" w:hAnsi="Arial" w:cs="Arial"/>
          <w:color w:val="000000"/>
          <w:lang w:val="es-ES"/>
        </w:rPr>
        <w:t xml:space="preserve"> </w:t>
      </w:r>
      <w:r w:rsidRPr="007816E0">
        <w:rPr>
          <w:rFonts w:ascii="Arial" w:eastAsia="Times New Roman" w:hAnsi="Arial" w:cs="Arial"/>
          <w:color w:val="000000"/>
          <w:lang w:val="es-ES"/>
        </w:rPr>
        <w:t xml:space="preserve">que se manifiesta producto de la situación actual y que pese a que la situación cambie y se logre retomar el avance según el proceso indicado en el plan de acción de la intervención aclaramos </w:t>
      </w:r>
      <w:r w:rsidR="000B1862" w:rsidRPr="003505E5">
        <w:rPr>
          <w:rFonts w:ascii="Arial" w:eastAsia="Times New Roman" w:hAnsi="Arial" w:cs="Arial"/>
          <w:color w:val="000000"/>
          <w:lang w:val="es-ES"/>
        </w:rPr>
        <w:t xml:space="preserve">nos enfrentamos ante un alto riesgo de incumplimiento por </w:t>
      </w:r>
      <w:r w:rsidR="00105028" w:rsidRPr="003505E5">
        <w:rPr>
          <w:rFonts w:ascii="Arial" w:eastAsia="Times New Roman" w:hAnsi="Arial" w:cs="Arial"/>
          <w:color w:val="000000"/>
          <w:lang w:val="es-ES"/>
        </w:rPr>
        <w:t>la afectación</w:t>
      </w:r>
      <w:r w:rsidR="000B1862" w:rsidRPr="003505E5">
        <w:rPr>
          <w:rFonts w:ascii="Arial" w:eastAsia="Times New Roman" w:hAnsi="Arial" w:cs="Arial"/>
          <w:color w:val="000000"/>
          <w:lang w:val="es-ES"/>
        </w:rPr>
        <w:t xml:space="preserve"> </w:t>
      </w:r>
      <w:r w:rsidRPr="007816E0">
        <w:rPr>
          <w:rFonts w:ascii="Arial" w:eastAsia="Times New Roman" w:hAnsi="Arial" w:cs="Arial"/>
          <w:color w:val="000000"/>
          <w:lang w:val="es-ES"/>
        </w:rPr>
        <w:t xml:space="preserve">ya dada producto </w:t>
      </w:r>
      <w:r w:rsidR="000B1862" w:rsidRPr="003505E5">
        <w:rPr>
          <w:rFonts w:ascii="Arial" w:eastAsia="Times New Roman" w:hAnsi="Arial" w:cs="Arial"/>
          <w:color w:val="000000"/>
          <w:lang w:val="es-ES"/>
        </w:rPr>
        <w:t xml:space="preserve">de la pandemia </w:t>
      </w:r>
      <w:r w:rsidRPr="007816E0">
        <w:rPr>
          <w:rFonts w:ascii="Arial" w:eastAsia="Times New Roman" w:hAnsi="Arial" w:cs="Arial"/>
          <w:color w:val="000000"/>
          <w:lang w:val="es-ES"/>
        </w:rPr>
        <w:t xml:space="preserve">esto sumado a </w:t>
      </w:r>
      <w:r w:rsidR="000B1862" w:rsidRPr="003505E5">
        <w:rPr>
          <w:rFonts w:ascii="Arial" w:eastAsia="Times New Roman" w:hAnsi="Arial" w:cs="Arial"/>
          <w:color w:val="000000"/>
          <w:lang w:val="es-ES"/>
        </w:rPr>
        <w:t>un periodo de alta incertidumbre por la tasa de crecimiento de la población infectada.</w:t>
      </w:r>
    </w:p>
    <w:p w14:paraId="6683E762" w14:textId="6D507BC8" w:rsidR="00105028" w:rsidRDefault="00105028" w:rsidP="00105028">
      <w:pPr>
        <w:spacing w:line="231" w:lineRule="atLeast"/>
        <w:ind w:firstLine="720"/>
        <w:jc w:val="both"/>
        <w:rPr>
          <w:rFonts w:ascii="Arial" w:eastAsia="Times New Roman" w:hAnsi="Arial" w:cs="Arial"/>
          <w:color w:val="000000"/>
          <w:lang w:val="es-ES"/>
        </w:rPr>
      </w:pPr>
    </w:p>
    <w:p w14:paraId="43A9980C" w14:textId="77777777" w:rsidR="00105028" w:rsidRPr="003505E5" w:rsidRDefault="00105028" w:rsidP="00105028">
      <w:pPr>
        <w:spacing w:line="231" w:lineRule="atLeast"/>
        <w:ind w:firstLine="720"/>
        <w:jc w:val="both"/>
        <w:rPr>
          <w:rFonts w:ascii="Arial" w:eastAsia="Times New Roman" w:hAnsi="Arial" w:cs="Arial"/>
          <w:color w:val="000000"/>
          <w:lang w:val="es-ES"/>
        </w:rPr>
      </w:pPr>
    </w:p>
    <w:p w14:paraId="75CEFC5D" w14:textId="58430E78" w:rsidR="003505E5" w:rsidRDefault="003505E5" w:rsidP="003505E5">
      <w:pPr>
        <w:rPr>
          <w:rFonts w:ascii="Calibri" w:eastAsia="Times New Roman" w:hAnsi="Calibri" w:cs="Times New Roman"/>
          <w:color w:val="000000"/>
          <w:sz w:val="22"/>
          <w:szCs w:val="22"/>
          <w:lang w:val="es-ES"/>
        </w:rPr>
      </w:pPr>
    </w:p>
    <w:p w14:paraId="485279DA" w14:textId="77777777" w:rsidR="00105028" w:rsidRDefault="00105028" w:rsidP="00105028">
      <w:pPr>
        <w:pStyle w:val="Ttulo2"/>
        <w:jc w:val="center"/>
        <w:rPr>
          <w:rFonts w:ascii="Arial" w:hAnsi="Arial" w:cs="Arial"/>
          <w:b/>
          <w:bCs/>
          <w:lang w:val="es-ES"/>
        </w:rPr>
      </w:pPr>
      <w:bookmarkStart w:id="6" w:name="_Toc45707852"/>
      <w:r w:rsidRPr="00353C39">
        <w:rPr>
          <w:rFonts w:ascii="Arial" w:hAnsi="Arial" w:cs="Arial"/>
          <w:b/>
          <w:bCs/>
          <w:lang w:val="es-ES"/>
        </w:rPr>
        <w:t>Matriz Anual de Programación</w:t>
      </w:r>
      <w:bookmarkEnd w:id="6"/>
    </w:p>
    <w:p w14:paraId="1F8EE777" w14:textId="5D703A5A" w:rsidR="00105028" w:rsidRDefault="00105028" w:rsidP="00105028">
      <w:pPr>
        <w:pStyle w:val="Ttulo2"/>
        <w:jc w:val="center"/>
        <w:rPr>
          <w:rFonts w:ascii="Arial" w:hAnsi="Arial" w:cs="Arial"/>
          <w:b/>
          <w:bCs/>
          <w:lang w:val="es-ES"/>
        </w:rPr>
      </w:pPr>
      <w:bookmarkStart w:id="7" w:name="_Toc45707853"/>
      <w:r w:rsidRPr="00105028">
        <w:rPr>
          <w:rFonts w:ascii="Arial" w:hAnsi="Arial" w:cs="Arial"/>
          <w:b/>
          <w:bCs/>
          <w:lang w:val="es-ES"/>
        </w:rPr>
        <w:t>Intervención #</w:t>
      </w:r>
      <w:r>
        <w:rPr>
          <w:rFonts w:ascii="Arial" w:hAnsi="Arial" w:cs="Arial"/>
          <w:b/>
          <w:bCs/>
          <w:lang w:val="es-ES"/>
        </w:rPr>
        <w:t>2</w:t>
      </w:r>
      <w:bookmarkEnd w:id="7"/>
    </w:p>
    <w:p w14:paraId="357B684F" w14:textId="0778B615" w:rsidR="00E00BE5" w:rsidRPr="00E00BE5" w:rsidRDefault="00E00BE5" w:rsidP="00E00BE5">
      <w:pPr>
        <w:jc w:val="center"/>
        <w:rPr>
          <w:rFonts w:ascii="Arial" w:hAnsi="Arial" w:cs="Arial"/>
          <w:b/>
          <w:bCs/>
          <w:lang w:val="es-ES"/>
        </w:rPr>
      </w:pPr>
      <w:r w:rsidRPr="00E00BE5">
        <w:rPr>
          <w:rFonts w:ascii="Arial" w:hAnsi="Arial" w:cs="Arial"/>
          <w:b/>
          <w:bCs/>
          <w:lang w:val="es-ES"/>
        </w:rPr>
        <w:t>Proyectos Habitacionales para la vivienda Rural “Los Lirios”</w:t>
      </w:r>
    </w:p>
    <w:p w14:paraId="316BF3D9" w14:textId="314B318C" w:rsidR="004755F8" w:rsidRDefault="004755F8" w:rsidP="00105028">
      <w:pPr>
        <w:rPr>
          <w:rFonts w:ascii="Arial Narrow" w:hAnsi="Arial Narrow"/>
          <w:lang w:val="es-ES"/>
        </w:rPr>
      </w:pPr>
    </w:p>
    <w:p w14:paraId="2CB893EA" w14:textId="40D794BA" w:rsidR="00105028" w:rsidRDefault="00105028" w:rsidP="00105028">
      <w:pPr>
        <w:ind w:hanging="709"/>
        <w:rPr>
          <w:rFonts w:ascii="Arial Narrow" w:hAnsi="Arial Narrow"/>
          <w:lang w:val="es-ES"/>
        </w:rPr>
      </w:pPr>
      <w:r w:rsidRPr="00105028">
        <w:rPr>
          <w:rFonts w:ascii="Arial Narrow" w:hAnsi="Arial Narrow"/>
          <w:noProof/>
          <w:lang w:val="es-CR" w:eastAsia="es-CR"/>
        </w:rPr>
        <w:drawing>
          <wp:inline distT="0" distB="0" distL="0" distR="0" wp14:anchorId="3A353A5E" wp14:editId="5ACBEDBD">
            <wp:extent cx="6957695" cy="1433015"/>
            <wp:effectExtent l="0" t="0" r="1905" b="254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54666" cy="1452987"/>
                    </a:xfrm>
                    <a:prstGeom prst="rect">
                      <a:avLst/>
                    </a:prstGeom>
                  </pic:spPr>
                </pic:pic>
              </a:graphicData>
            </a:graphic>
          </wp:inline>
        </w:drawing>
      </w:r>
    </w:p>
    <w:p w14:paraId="29716DE7" w14:textId="00E65207" w:rsidR="00105028" w:rsidRDefault="00105028" w:rsidP="00105028">
      <w:pPr>
        <w:ind w:hanging="709"/>
        <w:rPr>
          <w:rFonts w:ascii="Arial Narrow" w:hAnsi="Arial Narrow"/>
          <w:lang w:val="es-ES"/>
        </w:rPr>
      </w:pPr>
      <w:r w:rsidRPr="00105028">
        <w:rPr>
          <w:rFonts w:ascii="Arial Narrow" w:hAnsi="Arial Narrow"/>
          <w:noProof/>
          <w:lang w:val="es-CR" w:eastAsia="es-CR"/>
        </w:rPr>
        <w:drawing>
          <wp:inline distT="0" distB="0" distL="0" distR="0" wp14:anchorId="098D145C" wp14:editId="463B3CA4">
            <wp:extent cx="6965315" cy="1890215"/>
            <wp:effectExtent l="0" t="0" r="0" b="2540"/>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21417" cy="1905440"/>
                    </a:xfrm>
                    <a:prstGeom prst="rect">
                      <a:avLst/>
                    </a:prstGeom>
                  </pic:spPr>
                </pic:pic>
              </a:graphicData>
            </a:graphic>
          </wp:inline>
        </w:drawing>
      </w:r>
    </w:p>
    <w:p w14:paraId="1EE59676" w14:textId="516CB620" w:rsidR="00105028" w:rsidRDefault="00105028" w:rsidP="00105028">
      <w:pPr>
        <w:ind w:hanging="709"/>
        <w:rPr>
          <w:rFonts w:ascii="Arial Narrow" w:hAnsi="Arial Narrow"/>
          <w:lang w:val="es-ES"/>
        </w:rPr>
      </w:pPr>
      <w:r w:rsidRPr="00105028">
        <w:rPr>
          <w:rFonts w:ascii="Arial Narrow" w:hAnsi="Arial Narrow"/>
          <w:noProof/>
          <w:lang w:val="es-CR" w:eastAsia="es-CR"/>
        </w:rPr>
        <w:drawing>
          <wp:inline distT="0" distB="0" distL="0" distR="0" wp14:anchorId="209E02BE" wp14:editId="0654CB15">
            <wp:extent cx="6961088" cy="1671851"/>
            <wp:effectExtent l="0" t="0" r="0" b="5080"/>
            <wp:docPr id="13" name="Picture 1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016254" cy="1685100"/>
                    </a:xfrm>
                    <a:prstGeom prst="rect">
                      <a:avLst/>
                    </a:prstGeom>
                  </pic:spPr>
                </pic:pic>
              </a:graphicData>
            </a:graphic>
          </wp:inline>
        </w:drawing>
      </w:r>
    </w:p>
    <w:p w14:paraId="5293D7B2" w14:textId="4A6636AD" w:rsidR="00105028" w:rsidRDefault="00105028" w:rsidP="00105028">
      <w:pPr>
        <w:ind w:hanging="709"/>
        <w:rPr>
          <w:rFonts w:ascii="Arial Narrow" w:hAnsi="Arial Narrow"/>
          <w:lang w:val="es-ES"/>
        </w:rPr>
      </w:pPr>
      <w:r w:rsidRPr="00105028">
        <w:rPr>
          <w:rFonts w:ascii="Arial Narrow" w:hAnsi="Arial Narrow"/>
          <w:noProof/>
          <w:lang w:val="es-CR" w:eastAsia="es-CR"/>
        </w:rPr>
        <w:drawing>
          <wp:inline distT="0" distB="0" distL="0" distR="0" wp14:anchorId="5BBBFA21" wp14:editId="6567D4BD">
            <wp:extent cx="6944161" cy="1658203"/>
            <wp:effectExtent l="0" t="0" r="3175" b="5715"/>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07136" cy="1673241"/>
                    </a:xfrm>
                    <a:prstGeom prst="rect">
                      <a:avLst/>
                    </a:prstGeom>
                  </pic:spPr>
                </pic:pic>
              </a:graphicData>
            </a:graphic>
          </wp:inline>
        </w:drawing>
      </w:r>
    </w:p>
    <w:p w14:paraId="4E4C6D4E" w14:textId="650A16BC" w:rsidR="00BB68E5" w:rsidRDefault="00BB68E5" w:rsidP="00105028">
      <w:pPr>
        <w:ind w:hanging="709"/>
        <w:rPr>
          <w:rFonts w:ascii="Arial Narrow" w:hAnsi="Arial Narrow"/>
          <w:lang w:val="es-ES"/>
        </w:rPr>
      </w:pPr>
    </w:p>
    <w:p w14:paraId="4F171C7D" w14:textId="44ACBA5B" w:rsidR="00BB68E5" w:rsidRDefault="00BB68E5" w:rsidP="00105028">
      <w:pPr>
        <w:ind w:hanging="709"/>
        <w:rPr>
          <w:rFonts w:ascii="Arial Narrow" w:hAnsi="Arial Narrow"/>
          <w:lang w:val="es-ES"/>
        </w:rPr>
      </w:pPr>
    </w:p>
    <w:p w14:paraId="317611D2" w14:textId="19967A2F" w:rsidR="00BB68E5" w:rsidRDefault="00BB68E5" w:rsidP="00105028">
      <w:pPr>
        <w:ind w:hanging="709"/>
        <w:rPr>
          <w:rFonts w:ascii="Arial Narrow" w:hAnsi="Arial Narrow"/>
          <w:lang w:val="es-ES"/>
        </w:rPr>
      </w:pPr>
    </w:p>
    <w:p w14:paraId="63F5D1DC" w14:textId="6880D949" w:rsidR="00BB68E5" w:rsidRDefault="00BB68E5" w:rsidP="003F327E">
      <w:pPr>
        <w:rPr>
          <w:rFonts w:ascii="Arial Narrow" w:hAnsi="Arial Narrow"/>
          <w:lang w:val="es-ES"/>
        </w:rPr>
      </w:pPr>
    </w:p>
    <w:p w14:paraId="40D0488E" w14:textId="65032FD5" w:rsidR="001447C8" w:rsidRPr="001447C8" w:rsidRDefault="001447C8" w:rsidP="001447C8">
      <w:pPr>
        <w:pStyle w:val="Ttulo1"/>
        <w:jc w:val="center"/>
        <w:rPr>
          <w:sz w:val="48"/>
          <w:szCs w:val="48"/>
          <w:lang w:val="es-ES"/>
        </w:rPr>
      </w:pPr>
      <w:r w:rsidRPr="003F327E">
        <w:rPr>
          <w:sz w:val="48"/>
          <w:szCs w:val="48"/>
          <w:lang w:val="es-ES"/>
        </w:rPr>
        <w:lastRenderedPageBreak/>
        <w:t>Informe</w:t>
      </w:r>
    </w:p>
    <w:p w14:paraId="4F1C6292" w14:textId="5CD4AAF8" w:rsidR="00BB68E5" w:rsidRDefault="00BB68E5" w:rsidP="001447C8">
      <w:pPr>
        <w:ind w:firstLine="720"/>
        <w:jc w:val="both"/>
        <w:rPr>
          <w:rFonts w:ascii="Arial" w:hAnsi="Arial" w:cs="Arial"/>
          <w:lang w:val="es-ES"/>
        </w:rPr>
      </w:pPr>
      <w:r w:rsidRPr="003505E5">
        <w:rPr>
          <w:rFonts w:ascii="Arial" w:hAnsi="Arial" w:cs="Arial"/>
          <w:lang w:val="es-ES"/>
        </w:rPr>
        <w:t>Para la intervención estratégica</w:t>
      </w:r>
      <w:r>
        <w:rPr>
          <w:rFonts w:ascii="Arial" w:hAnsi="Arial" w:cs="Arial"/>
          <w:lang w:val="es-ES"/>
        </w:rPr>
        <w:t xml:space="preserve"> corresponde al</w:t>
      </w:r>
      <w:r w:rsidRPr="003505E5">
        <w:rPr>
          <w:rFonts w:ascii="Arial" w:hAnsi="Arial" w:cs="Arial"/>
          <w:lang w:val="es-ES"/>
        </w:rPr>
        <w:t xml:space="preserve"> </w:t>
      </w:r>
      <w:r>
        <w:rPr>
          <w:rFonts w:ascii="Arial" w:hAnsi="Arial" w:cs="Arial"/>
          <w:lang w:val="es-ES"/>
        </w:rPr>
        <w:t>“</w:t>
      </w:r>
      <w:r w:rsidRPr="00BB68E5">
        <w:rPr>
          <w:rFonts w:ascii="Arial" w:hAnsi="Arial" w:cs="Arial"/>
          <w:lang w:val="es-ES"/>
        </w:rPr>
        <w:t>Desarrollo de proyectos habitacionales en territorios rurales mediante la cooperación interinstitucional INVU-INDER</w:t>
      </w:r>
      <w:r>
        <w:rPr>
          <w:rFonts w:ascii="Arial" w:hAnsi="Arial" w:cs="Arial"/>
          <w:lang w:val="es-ES"/>
        </w:rPr>
        <w:t>”</w:t>
      </w:r>
      <w:r w:rsidRPr="003505E5">
        <w:rPr>
          <w:rFonts w:ascii="Arial" w:hAnsi="Arial" w:cs="Arial"/>
          <w:lang w:val="es-ES"/>
        </w:rPr>
        <w:t>, cuyo objetivo es “</w:t>
      </w:r>
      <w:r w:rsidRPr="00BB68E5">
        <w:rPr>
          <w:rFonts w:ascii="Arial" w:hAnsi="Arial" w:cs="Arial"/>
          <w:lang w:val="es-ES"/>
        </w:rPr>
        <w:t>Dotar de soluciones habitacionales accesibles, sostenibles y seguras a familias en condiciones de vulnerabilidad, pobreza y pobreza extrema de territorios rurales.</w:t>
      </w:r>
      <w:r w:rsidRPr="003505E5">
        <w:rPr>
          <w:rFonts w:ascii="Arial" w:hAnsi="Arial" w:cs="Arial"/>
          <w:lang w:val="es-ES"/>
        </w:rPr>
        <w:t xml:space="preserve">”, el cual se asocia al </w:t>
      </w:r>
      <w:r>
        <w:rPr>
          <w:rFonts w:ascii="Arial" w:hAnsi="Arial" w:cs="Arial"/>
          <w:lang w:val="es-ES"/>
        </w:rPr>
        <w:t>o</w:t>
      </w:r>
      <w:r w:rsidRPr="003505E5">
        <w:rPr>
          <w:rFonts w:ascii="Arial" w:hAnsi="Arial" w:cs="Arial"/>
          <w:lang w:val="es-ES"/>
        </w:rPr>
        <w:t>bjetivo estratégico institucional “</w:t>
      </w:r>
      <w:r w:rsidRPr="00BB68E5">
        <w:rPr>
          <w:rFonts w:ascii="Arial" w:hAnsi="Arial" w:cs="Arial"/>
          <w:lang w:val="es-ES"/>
        </w:rPr>
        <w:t>Eje Gestión por Proyectos: Promover el desarrollo integral de los territorios rurales, por medio de la generación y ejecución de proyectos sociales y productivos sostenibles, impulsados y consensuados desde los territorios por los Comités Directivos de los CTDR, en el marco de los PDRT.</w:t>
      </w:r>
      <w:r w:rsidRPr="003505E5">
        <w:rPr>
          <w:rFonts w:ascii="Arial" w:hAnsi="Arial" w:cs="Arial"/>
          <w:lang w:val="es-ES"/>
        </w:rPr>
        <w:t xml:space="preserve">” y se orienta a los </w:t>
      </w:r>
      <w:r>
        <w:rPr>
          <w:rFonts w:ascii="Arial" w:hAnsi="Arial" w:cs="Arial"/>
          <w:lang w:val="es-ES"/>
        </w:rPr>
        <w:t>u</w:t>
      </w:r>
      <w:r w:rsidRPr="003505E5">
        <w:rPr>
          <w:rFonts w:ascii="Arial" w:hAnsi="Arial" w:cs="Arial"/>
          <w:lang w:val="es-ES"/>
        </w:rPr>
        <w:t>suarios</w:t>
      </w:r>
      <w:r>
        <w:rPr>
          <w:rFonts w:ascii="Arial" w:hAnsi="Arial" w:cs="Arial"/>
          <w:lang w:val="es-ES"/>
        </w:rPr>
        <w:t xml:space="preserve"> que califican como</w:t>
      </w:r>
      <w:r w:rsidRPr="003505E5">
        <w:rPr>
          <w:rFonts w:ascii="Arial" w:hAnsi="Arial" w:cs="Arial"/>
          <w:lang w:val="es-ES"/>
        </w:rPr>
        <w:t>, “</w:t>
      </w:r>
      <w:r w:rsidRPr="00BB68E5">
        <w:rPr>
          <w:rFonts w:ascii="Arial" w:hAnsi="Arial" w:cs="Arial"/>
          <w:lang w:val="es-ES"/>
        </w:rPr>
        <w:t>Familias en condición de vulnerabilidad que ejecutan proyectos productivos en fincas adquiridas por el Inder.</w:t>
      </w:r>
      <w:r w:rsidRPr="003505E5">
        <w:rPr>
          <w:rFonts w:ascii="Arial" w:hAnsi="Arial" w:cs="Arial"/>
          <w:lang w:val="es-ES"/>
        </w:rPr>
        <w:t>”, Se informa:</w:t>
      </w:r>
    </w:p>
    <w:p w14:paraId="1F79F8EB" w14:textId="77777777" w:rsidR="00E00BE5" w:rsidRPr="00D515D2" w:rsidRDefault="00E00BE5" w:rsidP="00E00BE5">
      <w:pPr>
        <w:ind w:firstLine="720"/>
        <w:jc w:val="both"/>
        <w:rPr>
          <w:rFonts w:ascii="Arial" w:eastAsia="Times New Roman" w:hAnsi="Arial" w:cs="Arial"/>
          <w:color w:val="000000"/>
          <w:lang w:val="es-ES"/>
        </w:rPr>
      </w:pPr>
      <w:r w:rsidRPr="00D515D2">
        <w:rPr>
          <w:rFonts w:ascii="Arial" w:hAnsi="Arial" w:cs="Arial"/>
          <w:lang w:val="es-ES"/>
        </w:rPr>
        <w:t xml:space="preserve">Siguiendo </w:t>
      </w:r>
      <w:r w:rsidRPr="00D515D2">
        <w:rPr>
          <w:rFonts w:ascii="Arial" w:eastAsia="Times New Roman" w:hAnsi="Arial" w:cs="Arial"/>
          <w:color w:val="000000"/>
          <w:lang w:val="es-ES"/>
        </w:rPr>
        <w:t>las opciones que se nos permite clasificar la meta según los lineamientos metodológicos insumo para elaborar el Balance de Resultados del PNDIP del bicentenario 2019-2022, son los siguientes.</w:t>
      </w:r>
    </w:p>
    <w:p w14:paraId="254F1ECC" w14:textId="77777777" w:rsidR="00E00BE5" w:rsidRPr="003505E5" w:rsidRDefault="00E00BE5" w:rsidP="00E00BE5">
      <w:pPr>
        <w:jc w:val="both"/>
        <w:rPr>
          <w:rFonts w:ascii="Arial" w:eastAsia="Times New Roman" w:hAnsi="Arial" w:cs="Arial"/>
          <w:color w:val="000000"/>
          <w:lang w:val="es-ES"/>
        </w:rPr>
      </w:pPr>
      <w:r w:rsidRPr="003505E5">
        <w:rPr>
          <w:rFonts w:ascii="Arial" w:eastAsia="Times New Roman" w:hAnsi="Arial" w:cs="Arial"/>
          <w:b/>
          <w:bCs/>
          <w:color w:val="000000"/>
          <w:lang w:val="es-ES"/>
        </w:rPr>
        <w:t>1. Cumplimiento alto: </w:t>
      </w:r>
      <w:r w:rsidRPr="003505E5">
        <w:rPr>
          <w:rFonts w:ascii="Arial" w:eastAsia="Times New Roman" w:hAnsi="Arial" w:cs="Arial"/>
          <w:color w:val="000000"/>
          <w:lang w:val="es-ES"/>
        </w:rPr>
        <w:t>cuando el resultado anual de las metas es mayor o igual al 90%.</w:t>
      </w:r>
    </w:p>
    <w:p w14:paraId="675D4043" w14:textId="77777777" w:rsidR="00E00BE5" w:rsidRPr="003505E5" w:rsidRDefault="00E00BE5" w:rsidP="00E00BE5">
      <w:pPr>
        <w:jc w:val="both"/>
        <w:rPr>
          <w:rFonts w:ascii="Arial" w:eastAsia="Times New Roman" w:hAnsi="Arial" w:cs="Arial"/>
          <w:color w:val="000000"/>
          <w:lang w:val="es-ES"/>
        </w:rPr>
      </w:pPr>
      <w:r w:rsidRPr="003505E5">
        <w:rPr>
          <w:rFonts w:ascii="Arial" w:eastAsia="Times New Roman" w:hAnsi="Arial" w:cs="Arial"/>
          <w:color w:val="000000"/>
          <w:lang w:val="es-ES"/>
        </w:rPr>
        <w:t>2. </w:t>
      </w:r>
      <w:r w:rsidRPr="003505E5">
        <w:rPr>
          <w:rFonts w:ascii="Arial" w:eastAsia="Times New Roman" w:hAnsi="Arial" w:cs="Arial"/>
          <w:b/>
          <w:bCs/>
          <w:color w:val="000000"/>
          <w:lang w:val="es-ES"/>
        </w:rPr>
        <w:t>Cumplimiento medio: </w:t>
      </w:r>
      <w:r w:rsidRPr="003505E5">
        <w:rPr>
          <w:rFonts w:ascii="Arial" w:eastAsia="Times New Roman" w:hAnsi="Arial" w:cs="Arial"/>
          <w:color w:val="000000"/>
          <w:lang w:val="es-ES"/>
        </w:rPr>
        <w:t>cuando el resultado anual de la meta es menor o igual a 89,99% o igual a 50%. </w:t>
      </w:r>
    </w:p>
    <w:p w14:paraId="7F774777" w14:textId="77777777" w:rsidR="00E00BE5" w:rsidRPr="003505E5" w:rsidRDefault="00E00BE5" w:rsidP="00E00BE5">
      <w:pPr>
        <w:jc w:val="both"/>
        <w:rPr>
          <w:rFonts w:ascii="Arial" w:eastAsia="Times New Roman" w:hAnsi="Arial" w:cs="Arial"/>
          <w:color w:val="000000"/>
          <w:lang w:val="es-ES"/>
        </w:rPr>
      </w:pPr>
      <w:r w:rsidRPr="003505E5">
        <w:rPr>
          <w:rFonts w:ascii="Arial" w:eastAsia="Times New Roman" w:hAnsi="Arial" w:cs="Arial"/>
          <w:color w:val="000000"/>
          <w:lang w:val="es-ES"/>
        </w:rPr>
        <w:t>3. </w:t>
      </w:r>
      <w:r w:rsidRPr="003505E5">
        <w:rPr>
          <w:rFonts w:ascii="Arial" w:eastAsia="Times New Roman" w:hAnsi="Arial" w:cs="Arial"/>
          <w:b/>
          <w:bCs/>
          <w:color w:val="000000"/>
          <w:lang w:val="es-ES"/>
        </w:rPr>
        <w:t>Cumplimiento bajo: </w:t>
      </w:r>
      <w:r w:rsidRPr="003505E5">
        <w:rPr>
          <w:rFonts w:ascii="Arial" w:eastAsia="Times New Roman" w:hAnsi="Arial" w:cs="Arial"/>
          <w:color w:val="000000"/>
          <w:lang w:val="es-ES"/>
        </w:rPr>
        <w:t>cuando el resultado de la meta es menor o igual a 49,99%. </w:t>
      </w:r>
    </w:p>
    <w:p w14:paraId="2B7F29DF" w14:textId="1DFDAD79" w:rsidR="00F635B6" w:rsidRDefault="00F635B6" w:rsidP="00BB68E5">
      <w:pPr>
        <w:ind w:firstLine="720"/>
        <w:jc w:val="both"/>
        <w:rPr>
          <w:rFonts w:ascii="Arial" w:hAnsi="Arial" w:cs="Arial"/>
          <w:lang w:val="es-ES"/>
        </w:rPr>
      </w:pPr>
    </w:p>
    <w:p w14:paraId="094EE354" w14:textId="326C95F1" w:rsidR="00E00BE5" w:rsidRDefault="00E00BE5" w:rsidP="007B747F">
      <w:pPr>
        <w:ind w:firstLine="720"/>
        <w:jc w:val="both"/>
        <w:rPr>
          <w:rFonts w:ascii="Arial" w:hAnsi="Arial" w:cs="Arial"/>
          <w:lang w:val="es-ES"/>
        </w:rPr>
      </w:pPr>
      <w:r>
        <w:rPr>
          <w:rFonts w:ascii="Arial" w:hAnsi="Arial" w:cs="Arial"/>
          <w:lang w:val="es-ES"/>
        </w:rPr>
        <w:t>A partir de las acciones concretadas e indicadas en el plan de acción, de aquellas tareas asignadas al Inder indicamos que nos encontramos con una meta que se reporta como:</w:t>
      </w:r>
    </w:p>
    <w:p w14:paraId="1FD649E5" w14:textId="48029E61" w:rsidR="00E00BE5" w:rsidRPr="00E00BE5" w:rsidRDefault="00E00BE5" w:rsidP="00BB68E5">
      <w:pPr>
        <w:ind w:firstLine="720"/>
        <w:jc w:val="both"/>
        <w:rPr>
          <w:rFonts w:ascii="Arial" w:hAnsi="Arial" w:cs="Arial"/>
          <w:color w:val="70AD47" w:themeColor="accent6"/>
          <w:lang w:val="es-ES"/>
        </w:rPr>
      </w:pPr>
      <w:r w:rsidRPr="00E00BE5">
        <w:rPr>
          <w:rFonts w:ascii="Arial" w:hAnsi="Arial" w:cs="Arial"/>
          <w:color w:val="70AD47" w:themeColor="accent6"/>
          <w:lang w:val="es-ES"/>
        </w:rPr>
        <w:t xml:space="preserve">De acuerdo con lo programado. </w:t>
      </w:r>
    </w:p>
    <w:p w14:paraId="1F31329C" w14:textId="77777777" w:rsidR="00E00BE5" w:rsidRDefault="00E00BE5" w:rsidP="007B747F">
      <w:pPr>
        <w:jc w:val="both"/>
        <w:rPr>
          <w:rFonts w:ascii="Arial" w:hAnsi="Arial" w:cs="Arial"/>
          <w:lang w:val="es-ES"/>
        </w:rPr>
      </w:pPr>
    </w:p>
    <w:p w14:paraId="279A04B6" w14:textId="38AAB94D" w:rsidR="008F6928" w:rsidRDefault="00E00BE5" w:rsidP="00BB68E5">
      <w:pPr>
        <w:ind w:firstLine="720"/>
        <w:jc w:val="both"/>
        <w:rPr>
          <w:rFonts w:ascii="Arial" w:hAnsi="Arial" w:cs="Arial"/>
          <w:lang w:val="es-ES"/>
        </w:rPr>
      </w:pPr>
      <w:r>
        <w:rPr>
          <w:rFonts w:ascii="Arial" w:hAnsi="Arial" w:cs="Arial"/>
          <w:lang w:val="es-ES"/>
        </w:rPr>
        <w:t>Como observaciones particulares del estatus actual del proyecto indicamos que s</w:t>
      </w:r>
      <w:r w:rsidR="00F635B6" w:rsidRPr="00F635B6">
        <w:rPr>
          <w:rFonts w:ascii="Arial" w:hAnsi="Arial" w:cs="Arial"/>
          <w:lang w:val="es-ES"/>
        </w:rPr>
        <w:t xml:space="preserve">e </w:t>
      </w:r>
      <w:r w:rsidRPr="00F635B6">
        <w:rPr>
          <w:rFonts w:ascii="Arial" w:hAnsi="Arial" w:cs="Arial"/>
          <w:lang w:val="es-ES"/>
        </w:rPr>
        <w:t>están</w:t>
      </w:r>
      <w:r w:rsidR="00F635B6" w:rsidRPr="00F635B6">
        <w:rPr>
          <w:rFonts w:ascii="Arial" w:hAnsi="Arial" w:cs="Arial"/>
          <w:lang w:val="es-ES"/>
        </w:rPr>
        <w:t xml:space="preserve"> afinando los detalles del do</w:t>
      </w:r>
      <w:r>
        <w:rPr>
          <w:rFonts w:ascii="Arial" w:hAnsi="Arial" w:cs="Arial"/>
          <w:lang w:val="es-ES"/>
        </w:rPr>
        <w:t>cu</w:t>
      </w:r>
      <w:r w:rsidR="00F635B6" w:rsidRPr="00F635B6">
        <w:rPr>
          <w:rFonts w:ascii="Arial" w:hAnsi="Arial" w:cs="Arial"/>
          <w:lang w:val="es-ES"/>
        </w:rPr>
        <w:t>mento de proyecto con las modificaciones que solicitó el equipo regional</w:t>
      </w:r>
      <w:r>
        <w:rPr>
          <w:rFonts w:ascii="Arial" w:hAnsi="Arial" w:cs="Arial"/>
          <w:lang w:val="es-ES"/>
        </w:rPr>
        <w:t xml:space="preserve"> en coordinación con el </w:t>
      </w:r>
      <w:proofErr w:type="spellStart"/>
      <w:r>
        <w:rPr>
          <w:rFonts w:ascii="Arial" w:hAnsi="Arial" w:cs="Arial"/>
          <w:lang w:val="es-ES"/>
        </w:rPr>
        <w:t>Invu</w:t>
      </w:r>
      <w:proofErr w:type="spellEnd"/>
      <w:r w:rsidR="008F6928">
        <w:rPr>
          <w:rFonts w:ascii="Arial" w:hAnsi="Arial" w:cs="Arial"/>
          <w:lang w:val="es-ES"/>
        </w:rPr>
        <w:t xml:space="preserve">, documento que este momento se encuentra en fase de verificación por parte de los compañeros del </w:t>
      </w:r>
      <w:proofErr w:type="spellStart"/>
      <w:r w:rsidR="008F6928">
        <w:rPr>
          <w:rFonts w:ascii="Arial" w:hAnsi="Arial" w:cs="Arial"/>
          <w:lang w:val="es-ES"/>
        </w:rPr>
        <w:t>Invu</w:t>
      </w:r>
      <w:proofErr w:type="spellEnd"/>
      <w:r w:rsidR="008F6928">
        <w:rPr>
          <w:rFonts w:ascii="Arial" w:hAnsi="Arial" w:cs="Arial"/>
          <w:lang w:val="es-ES"/>
        </w:rPr>
        <w:t xml:space="preserve"> que forman parte del equipo conformado entre ambas instituciones. </w:t>
      </w:r>
    </w:p>
    <w:p w14:paraId="786CBF26" w14:textId="1E830CF6" w:rsidR="00F635B6" w:rsidRDefault="00F635B6" w:rsidP="008F6928">
      <w:pPr>
        <w:jc w:val="both"/>
        <w:rPr>
          <w:rFonts w:ascii="Arial" w:hAnsi="Arial" w:cs="Arial"/>
          <w:lang w:val="es-ES"/>
        </w:rPr>
      </w:pPr>
    </w:p>
    <w:p w14:paraId="45330C39" w14:textId="6C66F2B0" w:rsidR="00F635B6" w:rsidRDefault="008F6928" w:rsidP="00BB68E5">
      <w:pPr>
        <w:ind w:firstLine="720"/>
        <w:jc w:val="both"/>
        <w:rPr>
          <w:rFonts w:ascii="Arial" w:hAnsi="Arial" w:cs="Arial"/>
          <w:lang w:val="es-ES"/>
        </w:rPr>
      </w:pPr>
      <w:r>
        <w:rPr>
          <w:rFonts w:ascii="Arial" w:hAnsi="Arial" w:cs="Arial"/>
          <w:lang w:val="es-ES"/>
        </w:rPr>
        <w:t xml:space="preserve">Puede existir una sensación de </w:t>
      </w:r>
      <w:r w:rsidR="00E00BE5" w:rsidRPr="00E00BE5">
        <w:rPr>
          <w:rFonts w:ascii="Arial" w:hAnsi="Arial" w:cs="Arial"/>
          <w:lang w:val="es-ES"/>
        </w:rPr>
        <w:t xml:space="preserve">poco avance de las metas durante el primer </w:t>
      </w:r>
      <w:r w:rsidR="007B747F">
        <w:rPr>
          <w:rFonts w:ascii="Arial" w:hAnsi="Arial" w:cs="Arial"/>
          <w:lang w:val="es-ES"/>
        </w:rPr>
        <w:t>semestre</w:t>
      </w:r>
      <w:r w:rsidR="00E00BE5" w:rsidRPr="00E00BE5">
        <w:rPr>
          <w:rFonts w:ascii="Arial" w:hAnsi="Arial" w:cs="Arial"/>
          <w:lang w:val="es-ES"/>
        </w:rPr>
        <w:t xml:space="preserve"> del año, </w:t>
      </w:r>
      <w:r>
        <w:rPr>
          <w:rFonts w:ascii="Arial" w:hAnsi="Arial" w:cs="Arial"/>
          <w:lang w:val="es-ES"/>
        </w:rPr>
        <w:t xml:space="preserve">esto responde </w:t>
      </w:r>
      <w:r w:rsidR="00F27FB1">
        <w:rPr>
          <w:rFonts w:ascii="Arial" w:hAnsi="Arial" w:cs="Arial"/>
          <w:lang w:val="es-ES"/>
        </w:rPr>
        <w:t>a</w:t>
      </w:r>
      <w:r w:rsidR="00E00BE5" w:rsidRPr="00E00BE5">
        <w:rPr>
          <w:rFonts w:ascii="Arial" w:hAnsi="Arial" w:cs="Arial"/>
          <w:lang w:val="es-ES"/>
        </w:rPr>
        <w:t xml:space="preserve">l ciclo </w:t>
      </w:r>
      <w:r w:rsidR="00F27FB1">
        <w:rPr>
          <w:rFonts w:ascii="Arial" w:hAnsi="Arial" w:cs="Arial"/>
          <w:lang w:val="es-ES"/>
        </w:rPr>
        <w:t xml:space="preserve">normal </w:t>
      </w:r>
      <w:r w:rsidR="00E00BE5" w:rsidRPr="00E00BE5">
        <w:rPr>
          <w:rFonts w:ascii="Arial" w:hAnsi="Arial" w:cs="Arial"/>
          <w:lang w:val="es-ES"/>
        </w:rPr>
        <w:t>de producción de cada uno de l</w:t>
      </w:r>
      <w:r w:rsidR="007B747F">
        <w:rPr>
          <w:rFonts w:ascii="Arial" w:hAnsi="Arial" w:cs="Arial"/>
          <w:lang w:val="es-ES"/>
        </w:rPr>
        <w:t>as actividades particulares que fabrican la meta</w:t>
      </w:r>
      <w:r w:rsidR="00E00BE5" w:rsidRPr="00E00BE5">
        <w:rPr>
          <w:rFonts w:ascii="Arial" w:hAnsi="Arial" w:cs="Arial"/>
          <w:lang w:val="es-ES"/>
        </w:rPr>
        <w:t>, que por lo general es un proceso que trasciende el per</w:t>
      </w:r>
      <w:r w:rsidR="007B747F">
        <w:rPr>
          <w:rFonts w:ascii="Arial" w:hAnsi="Arial" w:cs="Arial"/>
          <w:lang w:val="es-ES"/>
        </w:rPr>
        <w:t>í</w:t>
      </w:r>
      <w:r w:rsidR="00E00BE5" w:rsidRPr="00E00BE5">
        <w:rPr>
          <w:rFonts w:ascii="Arial" w:hAnsi="Arial" w:cs="Arial"/>
          <w:lang w:val="es-ES"/>
        </w:rPr>
        <w:t>odo anual.</w:t>
      </w:r>
    </w:p>
    <w:p w14:paraId="314BDBA2" w14:textId="77777777" w:rsidR="00F27FB1" w:rsidRDefault="00F27FB1" w:rsidP="00BB68E5">
      <w:pPr>
        <w:ind w:firstLine="720"/>
        <w:jc w:val="both"/>
        <w:rPr>
          <w:rFonts w:ascii="Arial" w:hAnsi="Arial" w:cs="Arial"/>
          <w:lang w:val="es-ES"/>
        </w:rPr>
      </w:pPr>
    </w:p>
    <w:p w14:paraId="0D83BE54" w14:textId="73007BAF" w:rsidR="00E00BE5" w:rsidRDefault="00E00BE5" w:rsidP="00BB68E5">
      <w:pPr>
        <w:ind w:firstLine="720"/>
        <w:jc w:val="both"/>
        <w:rPr>
          <w:rFonts w:ascii="Arial" w:hAnsi="Arial" w:cs="Arial"/>
          <w:lang w:val="es-ES"/>
        </w:rPr>
      </w:pPr>
      <w:r w:rsidRPr="00E00BE5">
        <w:rPr>
          <w:rFonts w:ascii="Arial" w:hAnsi="Arial" w:cs="Arial"/>
          <w:lang w:val="es-ES"/>
        </w:rPr>
        <w:t>La situación de la pandemia ha venido a afectar los avances</w:t>
      </w:r>
      <w:r w:rsidR="00F27FB1">
        <w:rPr>
          <w:rFonts w:ascii="Arial" w:hAnsi="Arial" w:cs="Arial"/>
          <w:lang w:val="es-ES"/>
        </w:rPr>
        <w:t>, dado que la coordinación y alg</w:t>
      </w:r>
      <w:r w:rsidR="007B747F">
        <w:rPr>
          <w:rFonts w:ascii="Arial" w:hAnsi="Arial" w:cs="Arial"/>
          <w:lang w:val="es-ES"/>
        </w:rPr>
        <w:t>unas</w:t>
      </w:r>
      <w:r w:rsidR="00F27FB1">
        <w:rPr>
          <w:rFonts w:ascii="Arial" w:hAnsi="Arial" w:cs="Arial"/>
          <w:lang w:val="es-ES"/>
        </w:rPr>
        <w:t xml:space="preserve"> verificaci</w:t>
      </w:r>
      <w:r w:rsidR="007B747F">
        <w:rPr>
          <w:rFonts w:ascii="Arial" w:hAnsi="Arial" w:cs="Arial"/>
          <w:lang w:val="es-ES"/>
        </w:rPr>
        <w:t>o</w:t>
      </w:r>
      <w:r w:rsidR="00F27FB1">
        <w:rPr>
          <w:rFonts w:ascii="Arial" w:hAnsi="Arial" w:cs="Arial"/>
          <w:lang w:val="es-ES"/>
        </w:rPr>
        <w:t>n</w:t>
      </w:r>
      <w:r w:rsidR="007B747F">
        <w:rPr>
          <w:rFonts w:ascii="Arial" w:hAnsi="Arial" w:cs="Arial"/>
          <w:lang w:val="es-ES"/>
        </w:rPr>
        <w:t>es</w:t>
      </w:r>
      <w:r w:rsidR="00F27FB1">
        <w:rPr>
          <w:rFonts w:ascii="Arial" w:hAnsi="Arial" w:cs="Arial"/>
          <w:lang w:val="es-ES"/>
        </w:rPr>
        <w:t xml:space="preserve"> en campo se hace un poco mas difícil de realizar, no obstante</w:t>
      </w:r>
      <w:r w:rsidRPr="00E00BE5">
        <w:rPr>
          <w:rFonts w:ascii="Arial" w:hAnsi="Arial" w:cs="Arial"/>
          <w:lang w:val="es-ES"/>
        </w:rPr>
        <w:t>, ninguna de las líneas en este momento se encuentra en riesgo</w:t>
      </w:r>
      <w:r w:rsidR="007B747F">
        <w:rPr>
          <w:rFonts w:ascii="Arial" w:hAnsi="Arial" w:cs="Arial"/>
          <w:lang w:val="es-ES"/>
        </w:rPr>
        <w:t>, asunto en constante monitoreo</w:t>
      </w:r>
      <w:r>
        <w:rPr>
          <w:rFonts w:ascii="Arial" w:hAnsi="Arial" w:cs="Arial"/>
          <w:lang w:val="es-ES"/>
        </w:rPr>
        <w:t>.</w:t>
      </w:r>
    </w:p>
    <w:p w14:paraId="4B6CBB1A" w14:textId="77777777" w:rsidR="00E00BE5" w:rsidRDefault="00E00BE5" w:rsidP="00BB68E5">
      <w:pPr>
        <w:ind w:firstLine="720"/>
        <w:jc w:val="both"/>
        <w:rPr>
          <w:rFonts w:ascii="Arial" w:hAnsi="Arial" w:cs="Arial"/>
          <w:lang w:val="es-ES"/>
        </w:rPr>
      </w:pPr>
    </w:p>
    <w:p w14:paraId="60ED1ACF" w14:textId="464EEC86" w:rsidR="003F327E" w:rsidRDefault="00F27FB1" w:rsidP="001447C8">
      <w:pPr>
        <w:ind w:firstLine="720"/>
        <w:jc w:val="both"/>
        <w:rPr>
          <w:rFonts w:ascii="Arial" w:hAnsi="Arial" w:cs="Arial"/>
          <w:lang w:val="es-ES"/>
        </w:rPr>
      </w:pPr>
      <w:r>
        <w:rPr>
          <w:rFonts w:ascii="Arial" w:hAnsi="Arial" w:cs="Arial"/>
          <w:lang w:val="es-ES"/>
        </w:rPr>
        <w:t xml:space="preserve">Se </w:t>
      </w:r>
      <w:r w:rsidR="007B747F">
        <w:rPr>
          <w:rFonts w:ascii="Arial" w:hAnsi="Arial" w:cs="Arial"/>
          <w:lang w:val="es-ES"/>
        </w:rPr>
        <w:t>continúa</w:t>
      </w:r>
      <w:r>
        <w:rPr>
          <w:rFonts w:ascii="Arial" w:hAnsi="Arial" w:cs="Arial"/>
          <w:lang w:val="es-ES"/>
        </w:rPr>
        <w:t xml:space="preserve"> </w:t>
      </w:r>
      <w:r w:rsidR="007B747F">
        <w:rPr>
          <w:rFonts w:ascii="Arial" w:hAnsi="Arial" w:cs="Arial"/>
          <w:lang w:val="es-ES"/>
        </w:rPr>
        <w:t xml:space="preserve">con el </w:t>
      </w:r>
      <w:r>
        <w:rPr>
          <w:rFonts w:ascii="Arial" w:hAnsi="Arial" w:cs="Arial"/>
          <w:lang w:val="es-ES"/>
        </w:rPr>
        <w:t>seguimiento particular a este proyecto con una periodicidad de</w:t>
      </w:r>
      <w:r w:rsidR="00E00BE5" w:rsidRPr="00E00BE5">
        <w:rPr>
          <w:rFonts w:ascii="Arial" w:hAnsi="Arial" w:cs="Arial"/>
          <w:lang w:val="es-ES"/>
        </w:rPr>
        <w:t xml:space="preserve"> mensual </w:t>
      </w:r>
      <w:r>
        <w:rPr>
          <w:rFonts w:ascii="Arial" w:hAnsi="Arial" w:cs="Arial"/>
          <w:lang w:val="es-ES"/>
        </w:rPr>
        <w:t xml:space="preserve">donde participan </w:t>
      </w:r>
      <w:r w:rsidR="00E00BE5" w:rsidRPr="00E00BE5">
        <w:rPr>
          <w:rFonts w:ascii="Arial" w:hAnsi="Arial" w:cs="Arial"/>
          <w:lang w:val="es-ES"/>
        </w:rPr>
        <w:t>los equipos de trabajo tant</w:t>
      </w:r>
      <w:r w:rsidR="00E00BE5">
        <w:rPr>
          <w:rFonts w:ascii="Arial" w:hAnsi="Arial" w:cs="Arial"/>
          <w:lang w:val="es-ES"/>
        </w:rPr>
        <w:t>o</w:t>
      </w:r>
      <w:r w:rsidR="00E00BE5" w:rsidRPr="00E00BE5">
        <w:rPr>
          <w:rFonts w:ascii="Arial" w:hAnsi="Arial" w:cs="Arial"/>
          <w:lang w:val="es-ES"/>
        </w:rPr>
        <w:t xml:space="preserve"> regionales como centrales</w:t>
      </w:r>
      <w:r>
        <w:rPr>
          <w:rFonts w:ascii="Arial" w:hAnsi="Arial" w:cs="Arial"/>
          <w:lang w:val="es-ES"/>
        </w:rPr>
        <w:t xml:space="preserve"> </w:t>
      </w:r>
      <w:r w:rsidR="007B747F">
        <w:rPr>
          <w:rFonts w:ascii="Arial" w:hAnsi="Arial" w:cs="Arial"/>
          <w:lang w:val="es-ES"/>
        </w:rPr>
        <w:t xml:space="preserve">en el caso de </w:t>
      </w:r>
      <w:proofErr w:type="gramStart"/>
      <w:r w:rsidR="007B747F">
        <w:rPr>
          <w:rFonts w:ascii="Arial" w:hAnsi="Arial" w:cs="Arial"/>
          <w:lang w:val="es-ES"/>
        </w:rPr>
        <w:t>Inder</w:t>
      </w:r>
      <w:proofErr w:type="gramEnd"/>
      <w:r w:rsidR="007B747F">
        <w:rPr>
          <w:rFonts w:ascii="Arial" w:hAnsi="Arial" w:cs="Arial"/>
          <w:lang w:val="es-ES"/>
        </w:rPr>
        <w:t xml:space="preserve"> </w:t>
      </w:r>
      <w:r>
        <w:rPr>
          <w:rFonts w:ascii="Arial" w:hAnsi="Arial" w:cs="Arial"/>
          <w:lang w:val="es-ES"/>
        </w:rPr>
        <w:t xml:space="preserve">así como el equipo por parte de </w:t>
      </w:r>
      <w:proofErr w:type="spellStart"/>
      <w:r>
        <w:rPr>
          <w:rFonts w:ascii="Arial" w:hAnsi="Arial" w:cs="Arial"/>
          <w:lang w:val="es-ES"/>
        </w:rPr>
        <w:t>Invu</w:t>
      </w:r>
      <w:proofErr w:type="spellEnd"/>
      <w:r>
        <w:rPr>
          <w:rFonts w:ascii="Arial" w:hAnsi="Arial" w:cs="Arial"/>
          <w:lang w:val="es-ES"/>
        </w:rPr>
        <w:t>.</w:t>
      </w:r>
    </w:p>
    <w:p w14:paraId="3065713E" w14:textId="3D3970B1" w:rsidR="003F327E" w:rsidRPr="003F327E" w:rsidRDefault="003F327E" w:rsidP="007B747F">
      <w:pPr>
        <w:ind w:firstLine="720"/>
        <w:jc w:val="both"/>
        <w:rPr>
          <w:rFonts w:ascii="Arial" w:hAnsi="Arial" w:cs="Arial"/>
          <w:b/>
          <w:bCs/>
          <w:lang w:val="es-ES"/>
        </w:rPr>
      </w:pPr>
      <w:r w:rsidRPr="003F327E">
        <w:rPr>
          <w:rFonts w:ascii="Arial" w:hAnsi="Arial" w:cs="Arial"/>
          <w:b/>
          <w:bCs/>
          <w:lang w:val="es-ES"/>
        </w:rPr>
        <w:t>-------------------</w:t>
      </w:r>
      <w:r>
        <w:rPr>
          <w:rFonts w:ascii="Arial" w:hAnsi="Arial" w:cs="Arial"/>
          <w:b/>
          <w:bCs/>
          <w:lang w:val="es-ES"/>
        </w:rPr>
        <w:t>------</w:t>
      </w:r>
      <w:r w:rsidRPr="003F327E">
        <w:rPr>
          <w:rFonts w:ascii="Arial" w:hAnsi="Arial" w:cs="Arial"/>
          <w:b/>
          <w:bCs/>
          <w:lang w:val="es-ES"/>
        </w:rPr>
        <w:t>-----FIN del Informe de Avance---------------------------------------</w:t>
      </w:r>
    </w:p>
    <w:sectPr w:rsidR="003F327E" w:rsidRPr="003F327E" w:rsidSect="003F32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E5CBE" w14:textId="77777777" w:rsidR="00083742" w:rsidRDefault="00083742" w:rsidP="003F327E">
      <w:r>
        <w:separator/>
      </w:r>
    </w:p>
  </w:endnote>
  <w:endnote w:type="continuationSeparator" w:id="0">
    <w:p w14:paraId="125DCB8B" w14:textId="77777777" w:rsidR="00083742" w:rsidRDefault="00083742" w:rsidP="003F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659847037"/>
      <w:docPartObj>
        <w:docPartGallery w:val="Page Numbers (Bottom of Page)"/>
        <w:docPartUnique/>
      </w:docPartObj>
    </w:sdtPr>
    <w:sdtEndPr>
      <w:rPr>
        <w:rStyle w:val="Nmerodepgina"/>
      </w:rPr>
    </w:sdtEndPr>
    <w:sdtContent>
      <w:p w14:paraId="55B513DD" w14:textId="74C1EC04" w:rsidR="003F327E" w:rsidRDefault="003F327E" w:rsidP="003F327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0E469A2" w14:textId="77777777" w:rsidR="003F327E" w:rsidRDefault="003F327E" w:rsidP="003F32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00279036"/>
      <w:docPartObj>
        <w:docPartGallery w:val="Page Numbers (Bottom of Page)"/>
        <w:docPartUnique/>
      </w:docPartObj>
    </w:sdtPr>
    <w:sdtEndPr>
      <w:rPr>
        <w:rStyle w:val="Nmerodepgina"/>
      </w:rPr>
    </w:sdtEndPr>
    <w:sdtContent>
      <w:p w14:paraId="0BC5A531" w14:textId="064D0268" w:rsidR="003F327E" w:rsidRDefault="003F327E" w:rsidP="003F327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4127B">
          <w:rPr>
            <w:rStyle w:val="Nmerodepgina"/>
            <w:noProof/>
          </w:rPr>
          <w:t>7</w:t>
        </w:r>
        <w:r>
          <w:rPr>
            <w:rStyle w:val="Nmerodepgina"/>
          </w:rPr>
          <w:fldChar w:fldCharType="end"/>
        </w:r>
      </w:p>
    </w:sdtContent>
  </w:sdt>
  <w:p w14:paraId="3777D8D1" w14:textId="77777777" w:rsidR="003F327E" w:rsidRDefault="003F327E" w:rsidP="003F32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2FDF5" w14:textId="77777777" w:rsidR="00083742" w:rsidRDefault="00083742" w:rsidP="003F327E">
      <w:r>
        <w:separator/>
      </w:r>
    </w:p>
  </w:footnote>
  <w:footnote w:type="continuationSeparator" w:id="0">
    <w:p w14:paraId="2373CE02" w14:textId="77777777" w:rsidR="00083742" w:rsidRDefault="00083742" w:rsidP="003F3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1851"/>
    <w:multiLevelType w:val="hybridMultilevel"/>
    <w:tmpl w:val="247AC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755E"/>
    <w:multiLevelType w:val="multilevel"/>
    <w:tmpl w:val="D308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939D1"/>
    <w:multiLevelType w:val="multilevel"/>
    <w:tmpl w:val="9BA20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7697916"/>
    <w:multiLevelType w:val="hybridMultilevel"/>
    <w:tmpl w:val="DC70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58"/>
    <w:rsid w:val="00083742"/>
    <w:rsid w:val="000B1862"/>
    <w:rsid w:val="000C69E2"/>
    <w:rsid w:val="00105028"/>
    <w:rsid w:val="001447C8"/>
    <w:rsid w:val="00174663"/>
    <w:rsid w:val="00184B81"/>
    <w:rsid w:val="001A3BDE"/>
    <w:rsid w:val="001D73CD"/>
    <w:rsid w:val="00246234"/>
    <w:rsid w:val="00347FFA"/>
    <w:rsid w:val="003505E5"/>
    <w:rsid w:val="0035337A"/>
    <w:rsid w:val="00353C39"/>
    <w:rsid w:val="00360D16"/>
    <w:rsid w:val="003F327E"/>
    <w:rsid w:val="00411D69"/>
    <w:rsid w:val="00446D4D"/>
    <w:rsid w:val="004755F8"/>
    <w:rsid w:val="004870E8"/>
    <w:rsid w:val="004A0380"/>
    <w:rsid w:val="0053299D"/>
    <w:rsid w:val="00587876"/>
    <w:rsid w:val="006314B8"/>
    <w:rsid w:val="006E4992"/>
    <w:rsid w:val="007816E0"/>
    <w:rsid w:val="007B747F"/>
    <w:rsid w:val="007C06F5"/>
    <w:rsid w:val="0085341F"/>
    <w:rsid w:val="008D230F"/>
    <w:rsid w:val="008F6928"/>
    <w:rsid w:val="0094127B"/>
    <w:rsid w:val="009A0A4D"/>
    <w:rsid w:val="00B374B0"/>
    <w:rsid w:val="00B81E25"/>
    <w:rsid w:val="00BB68E5"/>
    <w:rsid w:val="00D515D2"/>
    <w:rsid w:val="00DD1B19"/>
    <w:rsid w:val="00E00BE5"/>
    <w:rsid w:val="00E14758"/>
    <w:rsid w:val="00E902DA"/>
    <w:rsid w:val="00ED2777"/>
    <w:rsid w:val="00F0702E"/>
    <w:rsid w:val="00F27FB1"/>
    <w:rsid w:val="00F635B6"/>
    <w:rsid w:val="00FE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0DBA"/>
  <w15:chartTrackingRefBased/>
  <w15:docId w15:val="{6FB33533-328B-664C-B2E6-F6A449C0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23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D23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4B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374B0"/>
    <w:rPr>
      <w:rFonts w:ascii="Times New Roman" w:hAnsi="Times New Roman" w:cs="Times New Roman"/>
      <w:sz w:val="18"/>
      <w:szCs w:val="18"/>
    </w:rPr>
  </w:style>
  <w:style w:type="paragraph" w:styleId="Prrafodelista">
    <w:name w:val="List Paragraph"/>
    <w:basedOn w:val="Normal"/>
    <w:uiPriority w:val="34"/>
    <w:qFormat/>
    <w:rsid w:val="00174663"/>
    <w:pPr>
      <w:ind w:left="720"/>
      <w:contextualSpacing/>
    </w:pPr>
  </w:style>
  <w:style w:type="paragraph" w:styleId="Sinespaciado">
    <w:name w:val="No Spacing"/>
    <w:link w:val="SinespaciadoCar"/>
    <w:uiPriority w:val="1"/>
    <w:qFormat/>
    <w:rsid w:val="001D73CD"/>
    <w:rPr>
      <w:rFonts w:eastAsiaTheme="minorEastAsia"/>
      <w:sz w:val="22"/>
      <w:szCs w:val="22"/>
      <w:lang w:eastAsia="zh-CN"/>
    </w:rPr>
  </w:style>
  <w:style w:type="character" w:customStyle="1" w:styleId="SinespaciadoCar">
    <w:name w:val="Sin espaciado Car"/>
    <w:basedOn w:val="Fuentedeprrafopredeter"/>
    <w:link w:val="Sinespaciado"/>
    <w:uiPriority w:val="1"/>
    <w:rsid w:val="001D73CD"/>
    <w:rPr>
      <w:rFonts w:eastAsiaTheme="minorEastAsia"/>
      <w:sz w:val="22"/>
      <w:szCs w:val="22"/>
      <w:lang w:eastAsia="zh-CN"/>
    </w:rPr>
  </w:style>
  <w:style w:type="paragraph" w:styleId="Ttulo">
    <w:name w:val="Title"/>
    <w:basedOn w:val="Normal"/>
    <w:next w:val="Normal"/>
    <w:link w:val="TtuloCar"/>
    <w:uiPriority w:val="10"/>
    <w:qFormat/>
    <w:rsid w:val="00360D1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0D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0D16"/>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360D16"/>
    <w:rPr>
      <w:rFonts w:eastAsiaTheme="minorEastAsia"/>
      <w:color w:val="5A5A5A" w:themeColor="text1" w:themeTint="A5"/>
      <w:spacing w:val="15"/>
      <w:sz w:val="22"/>
      <w:szCs w:val="22"/>
    </w:rPr>
  </w:style>
  <w:style w:type="character" w:customStyle="1" w:styleId="Ttulo1Car">
    <w:name w:val="Título 1 Car"/>
    <w:basedOn w:val="Fuentedeprrafopredeter"/>
    <w:link w:val="Ttulo1"/>
    <w:uiPriority w:val="9"/>
    <w:rsid w:val="008D230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D230F"/>
    <w:pPr>
      <w:spacing w:before="480" w:line="276" w:lineRule="auto"/>
      <w:outlineLvl w:val="9"/>
    </w:pPr>
    <w:rPr>
      <w:b/>
      <w:bCs/>
      <w:sz w:val="28"/>
      <w:szCs w:val="28"/>
    </w:rPr>
  </w:style>
  <w:style w:type="paragraph" w:styleId="TDC1">
    <w:name w:val="toc 1"/>
    <w:basedOn w:val="Normal"/>
    <w:next w:val="Normal"/>
    <w:autoRedefine/>
    <w:uiPriority w:val="39"/>
    <w:unhideWhenUsed/>
    <w:rsid w:val="008D230F"/>
    <w:pPr>
      <w:spacing w:before="120" w:after="120"/>
    </w:pPr>
    <w:rPr>
      <w:rFonts w:cstheme="minorHAnsi"/>
      <w:b/>
      <w:bCs/>
      <w:caps/>
      <w:sz w:val="20"/>
      <w:szCs w:val="20"/>
    </w:rPr>
  </w:style>
  <w:style w:type="paragraph" w:styleId="TDC2">
    <w:name w:val="toc 2"/>
    <w:basedOn w:val="Normal"/>
    <w:next w:val="Normal"/>
    <w:autoRedefine/>
    <w:uiPriority w:val="39"/>
    <w:unhideWhenUsed/>
    <w:rsid w:val="008D230F"/>
    <w:pPr>
      <w:ind w:left="240"/>
    </w:pPr>
    <w:rPr>
      <w:rFonts w:cstheme="minorHAnsi"/>
      <w:smallCaps/>
      <w:sz w:val="20"/>
      <w:szCs w:val="20"/>
    </w:rPr>
  </w:style>
  <w:style w:type="paragraph" w:styleId="TDC3">
    <w:name w:val="toc 3"/>
    <w:basedOn w:val="Normal"/>
    <w:next w:val="Normal"/>
    <w:autoRedefine/>
    <w:uiPriority w:val="39"/>
    <w:semiHidden/>
    <w:unhideWhenUsed/>
    <w:rsid w:val="008D230F"/>
    <w:pPr>
      <w:ind w:left="480"/>
    </w:pPr>
    <w:rPr>
      <w:rFonts w:cstheme="minorHAnsi"/>
      <w:i/>
      <w:iCs/>
      <w:sz w:val="20"/>
      <w:szCs w:val="20"/>
    </w:rPr>
  </w:style>
  <w:style w:type="paragraph" w:styleId="TDC4">
    <w:name w:val="toc 4"/>
    <w:basedOn w:val="Normal"/>
    <w:next w:val="Normal"/>
    <w:autoRedefine/>
    <w:uiPriority w:val="39"/>
    <w:semiHidden/>
    <w:unhideWhenUsed/>
    <w:rsid w:val="008D230F"/>
    <w:pPr>
      <w:ind w:left="720"/>
    </w:pPr>
    <w:rPr>
      <w:rFonts w:cstheme="minorHAnsi"/>
      <w:sz w:val="18"/>
      <w:szCs w:val="18"/>
    </w:rPr>
  </w:style>
  <w:style w:type="paragraph" w:styleId="TDC5">
    <w:name w:val="toc 5"/>
    <w:basedOn w:val="Normal"/>
    <w:next w:val="Normal"/>
    <w:autoRedefine/>
    <w:uiPriority w:val="39"/>
    <w:semiHidden/>
    <w:unhideWhenUsed/>
    <w:rsid w:val="008D230F"/>
    <w:pPr>
      <w:ind w:left="960"/>
    </w:pPr>
    <w:rPr>
      <w:rFonts w:cstheme="minorHAnsi"/>
      <w:sz w:val="18"/>
      <w:szCs w:val="18"/>
    </w:rPr>
  </w:style>
  <w:style w:type="paragraph" w:styleId="TDC6">
    <w:name w:val="toc 6"/>
    <w:basedOn w:val="Normal"/>
    <w:next w:val="Normal"/>
    <w:autoRedefine/>
    <w:uiPriority w:val="39"/>
    <w:semiHidden/>
    <w:unhideWhenUsed/>
    <w:rsid w:val="008D230F"/>
    <w:pPr>
      <w:ind w:left="1200"/>
    </w:pPr>
    <w:rPr>
      <w:rFonts w:cstheme="minorHAnsi"/>
      <w:sz w:val="18"/>
      <w:szCs w:val="18"/>
    </w:rPr>
  </w:style>
  <w:style w:type="paragraph" w:styleId="TDC7">
    <w:name w:val="toc 7"/>
    <w:basedOn w:val="Normal"/>
    <w:next w:val="Normal"/>
    <w:autoRedefine/>
    <w:uiPriority w:val="39"/>
    <w:semiHidden/>
    <w:unhideWhenUsed/>
    <w:rsid w:val="008D230F"/>
    <w:pPr>
      <w:ind w:left="1440"/>
    </w:pPr>
    <w:rPr>
      <w:rFonts w:cstheme="minorHAnsi"/>
      <w:sz w:val="18"/>
      <w:szCs w:val="18"/>
    </w:rPr>
  </w:style>
  <w:style w:type="paragraph" w:styleId="TDC8">
    <w:name w:val="toc 8"/>
    <w:basedOn w:val="Normal"/>
    <w:next w:val="Normal"/>
    <w:autoRedefine/>
    <w:uiPriority w:val="39"/>
    <w:semiHidden/>
    <w:unhideWhenUsed/>
    <w:rsid w:val="008D230F"/>
    <w:pPr>
      <w:ind w:left="1680"/>
    </w:pPr>
    <w:rPr>
      <w:rFonts w:cstheme="minorHAnsi"/>
      <w:sz w:val="18"/>
      <w:szCs w:val="18"/>
    </w:rPr>
  </w:style>
  <w:style w:type="paragraph" w:styleId="TDC9">
    <w:name w:val="toc 9"/>
    <w:basedOn w:val="Normal"/>
    <w:next w:val="Normal"/>
    <w:autoRedefine/>
    <w:uiPriority w:val="39"/>
    <w:semiHidden/>
    <w:unhideWhenUsed/>
    <w:rsid w:val="008D230F"/>
    <w:pPr>
      <w:ind w:left="1920"/>
    </w:pPr>
    <w:rPr>
      <w:rFonts w:cstheme="minorHAnsi"/>
      <w:sz w:val="18"/>
      <w:szCs w:val="18"/>
    </w:rPr>
  </w:style>
  <w:style w:type="character" w:styleId="Hipervnculo">
    <w:name w:val="Hyperlink"/>
    <w:basedOn w:val="Fuentedeprrafopredeter"/>
    <w:uiPriority w:val="99"/>
    <w:unhideWhenUsed/>
    <w:rsid w:val="008D230F"/>
    <w:rPr>
      <w:color w:val="0563C1" w:themeColor="hyperlink"/>
      <w:u w:val="single"/>
    </w:rPr>
  </w:style>
  <w:style w:type="character" w:customStyle="1" w:styleId="Ttulo2Car">
    <w:name w:val="Título 2 Car"/>
    <w:basedOn w:val="Fuentedeprrafopredeter"/>
    <w:link w:val="Ttulo2"/>
    <w:uiPriority w:val="9"/>
    <w:rsid w:val="008D230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870E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3505E5"/>
  </w:style>
  <w:style w:type="paragraph" w:styleId="Encabezado">
    <w:name w:val="header"/>
    <w:basedOn w:val="Normal"/>
    <w:link w:val="EncabezadoCar"/>
    <w:uiPriority w:val="99"/>
    <w:unhideWhenUsed/>
    <w:rsid w:val="003F327E"/>
    <w:pPr>
      <w:tabs>
        <w:tab w:val="center" w:pos="4680"/>
        <w:tab w:val="right" w:pos="9360"/>
      </w:tabs>
    </w:pPr>
  </w:style>
  <w:style w:type="character" w:customStyle="1" w:styleId="EncabezadoCar">
    <w:name w:val="Encabezado Car"/>
    <w:basedOn w:val="Fuentedeprrafopredeter"/>
    <w:link w:val="Encabezado"/>
    <w:uiPriority w:val="99"/>
    <w:rsid w:val="003F327E"/>
  </w:style>
  <w:style w:type="paragraph" w:styleId="Piedepgina">
    <w:name w:val="footer"/>
    <w:basedOn w:val="Normal"/>
    <w:link w:val="PiedepginaCar"/>
    <w:uiPriority w:val="99"/>
    <w:unhideWhenUsed/>
    <w:rsid w:val="003F327E"/>
    <w:pPr>
      <w:tabs>
        <w:tab w:val="center" w:pos="4680"/>
        <w:tab w:val="right" w:pos="9360"/>
      </w:tabs>
    </w:pPr>
  </w:style>
  <w:style w:type="character" w:customStyle="1" w:styleId="PiedepginaCar">
    <w:name w:val="Pie de página Car"/>
    <w:basedOn w:val="Fuentedeprrafopredeter"/>
    <w:link w:val="Piedepgina"/>
    <w:uiPriority w:val="99"/>
    <w:rsid w:val="003F327E"/>
  </w:style>
  <w:style w:type="character" w:styleId="Nmerodepgina">
    <w:name w:val="page number"/>
    <w:basedOn w:val="Fuentedeprrafopredeter"/>
    <w:uiPriority w:val="99"/>
    <w:semiHidden/>
    <w:unhideWhenUsed/>
    <w:rsid w:val="003F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0754">
      <w:bodyDiv w:val="1"/>
      <w:marLeft w:val="0"/>
      <w:marRight w:val="0"/>
      <w:marTop w:val="0"/>
      <w:marBottom w:val="0"/>
      <w:divBdr>
        <w:top w:val="none" w:sz="0" w:space="0" w:color="auto"/>
        <w:left w:val="none" w:sz="0" w:space="0" w:color="auto"/>
        <w:bottom w:val="none" w:sz="0" w:space="0" w:color="auto"/>
        <w:right w:val="none" w:sz="0" w:space="0" w:color="auto"/>
      </w:divBdr>
    </w:div>
    <w:div w:id="1689404016">
      <w:bodyDiv w:val="1"/>
      <w:marLeft w:val="0"/>
      <w:marRight w:val="0"/>
      <w:marTop w:val="0"/>
      <w:marBottom w:val="0"/>
      <w:divBdr>
        <w:top w:val="none" w:sz="0" w:space="0" w:color="auto"/>
        <w:left w:val="none" w:sz="0" w:space="0" w:color="auto"/>
        <w:bottom w:val="none" w:sz="0" w:space="0" w:color="auto"/>
        <w:right w:val="none" w:sz="0" w:space="0" w:color="auto"/>
      </w:divBdr>
    </w:div>
    <w:div w:id="2050061965">
      <w:bodyDiv w:val="1"/>
      <w:marLeft w:val="0"/>
      <w:marRight w:val="0"/>
      <w:marTop w:val="0"/>
      <w:marBottom w:val="0"/>
      <w:divBdr>
        <w:top w:val="none" w:sz="0" w:space="0" w:color="auto"/>
        <w:left w:val="none" w:sz="0" w:space="0" w:color="auto"/>
        <w:bottom w:val="none" w:sz="0" w:space="0" w:color="auto"/>
        <w:right w:val="none" w:sz="0" w:space="0" w:color="auto"/>
      </w:divBdr>
      <w:divsChild>
        <w:div w:id="1952739873">
          <w:marLeft w:val="0"/>
          <w:marRight w:val="0"/>
          <w:marTop w:val="0"/>
          <w:marBottom w:val="0"/>
          <w:divBdr>
            <w:top w:val="none" w:sz="0" w:space="0" w:color="auto"/>
            <w:left w:val="none" w:sz="0" w:space="0" w:color="auto"/>
            <w:bottom w:val="none" w:sz="0" w:space="0" w:color="auto"/>
            <w:right w:val="none" w:sz="0" w:space="0" w:color="auto"/>
          </w:divBdr>
          <w:divsChild>
            <w:div w:id="585654832">
              <w:marLeft w:val="0"/>
              <w:marRight w:val="0"/>
              <w:marTop w:val="0"/>
              <w:marBottom w:val="0"/>
              <w:divBdr>
                <w:top w:val="none" w:sz="0" w:space="0" w:color="auto"/>
                <w:left w:val="none" w:sz="0" w:space="0" w:color="auto"/>
                <w:bottom w:val="none" w:sz="0" w:space="0" w:color="auto"/>
                <w:right w:val="none" w:sz="0" w:space="0" w:color="auto"/>
              </w:divBdr>
              <w:divsChild>
                <w:div w:id="11624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Oficinas Centrales, Moravia, San Jose.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E75CF-A996-4B40-8C58-96096E2D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1659</Words>
  <Characters>9130</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en el marco del Plan Nacional de Desarrollo y de Inversión Pública 2019-2022, Sector de Ordenamiento Territorial”</vt:lpstr>
      <vt:lpstr>Estudio Índice     Gestión Institucional</vt:lpstr>
    </vt:vector>
  </TitlesOfParts>
  <Company>Inder</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 el marco del Plan Nacional de Desarrollo y de Inversión Pública 2019-2022, Sector de Ordenamiento Territorial”</dc:title>
  <dc:subject>Avance en la ejecución de metas 2020 al 30 junio 2020</dc:subject>
  <dc:creator>Secretaria Técnica de Desarrollo Rural</dc:creator>
  <cp:keywords/>
  <dc:description/>
  <cp:lastModifiedBy>Marvin Chaves Thomas</cp:lastModifiedBy>
  <cp:revision>2</cp:revision>
  <dcterms:created xsi:type="dcterms:W3CDTF">2020-07-15T21:44:00Z</dcterms:created>
  <dcterms:modified xsi:type="dcterms:W3CDTF">2020-07-15T21:44:00Z</dcterms:modified>
</cp:coreProperties>
</file>