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0E765" w14:textId="77777777" w:rsidR="00B966A1" w:rsidRDefault="006D28A7" w:rsidP="00BF29C1">
      <w:pPr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Acciones de m</w:t>
      </w:r>
      <w:r w:rsidR="00B966A1" w:rsidRPr="00B966A1">
        <w:rPr>
          <w:rFonts w:ascii="Arial Narrow" w:eastAsia="Arial Narrow" w:hAnsi="Arial Narrow" w:cs="Arial Narrow"/>
          <w:b/>
        </w:rPr>
        <w:t>ejora</w:t>
      </w:r>
      <w:r>
        <w:rPr>
          <w:rFonts w:ascii="Arial Narrow" w:eastAsia="Arial Narrow" w:hAnsi="Arial Narrow" w:cs="Arial Narrow"/>
          <w:b/>
        </w:rPr>
        <w:t xml:space="preserve"> de las metas con cumplimientos medio y bajo</w:t>
      </w:r>
    </w:p>
    <w:p w14:paraId="1B09F180" w14:textId="37938E9B" w:rsidR="00DC3D9B" w:rsidRPr="007057AE" w:rsidRDefault="00BF29C1" w:rsidP="006D2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42"/>
          <w:rFonts w:ascii="Arial Narrow" w:eastAsia="Arial Narrow" w:hAnsi="Arial Narrow" w:cs="Arial Narrow"/>
          <w:color w:val="auto"/>
        </w:rPr>
      </w:pPr>
      <w:r w:rsidRPr="007057AE">
        <w:rPr>
          <w:rFonts w:ascii="Arial Narrow" w:eastAsia="Arial Narrow" w:hAnsi="Arial Narrow" w:cs="Arial Narrow"/>
        </w:rPr>
        <w:t>Las acciones de mejora son propuestas técnicas de las instituciones</w:t>
      </w:r>
      <w:r w:rsidR="00724136" w:rsidRPr="007057AE">
        <w:rPr>
          <w:rFonts w:ascii="Arial Narrow" w:eastAsia="Arial Narrow" w:hAnsi="Arial Narrow" w:cs="Arial Narrow"/>
        </w:rPr>
        <w:t xml:space="preserve"> </w:t>
      </w:r>
      <w:r w:rsidRPr="007057AE">
        <w:rPr>
          <w:rFonts w:ascii="Arial Narrow" w:eastAsia="Arial Narrow" w:hAnsi="Arial Narrow" w:cs="Arial Narrow"/>
        </w:rPr>
        <w:t xml:space="preserve">para la atención de rezagos en el avance de las metas del PNDIP, </w:t>
      </w:r>
      <w:r w:rsidR="00E22D4F" w:rsidRPr="007057AE">
        <w:rPr>
          <w:rFonts w:ascii="Arial Narrow" w:eastAsia="Arial Narrow" w:hAnsi="Arial Narrow" w:cs="Arial Narrow"/>
        </w:rPr>
        <w:t>permit</w:t>
      </w:r>
      <w:r w:rsidR="002A4B92" w:rsidRPr="007057AE">
        <w:rPr>
          <w:rFonts w:ascii="Arial Narrow" w:eastAsia="Arial Narrow" w:hAnsi="Arial Narrow" w:cs="Arial Narrow"/>
        </w:rPr>
        <w:t>iendo</w:t>
      </w:r>
      <w:r w:rsidR="00E22D4F" w:rsidRPr="007057AE">
        <w:rPr>
          <w:rFonts w:ascii="Arial Narrow" w:eastAsia="Arial Narrow" w:hAnsi="Arial Narrow" w:cs="Arial Narrow"/>
        </w:rPr>
        <w:t xml:space="preserve"> readecuar la gestión </w:t>
      </w:r>
      <w:r w:rsidR="002A4B92" w:rsidRPr="007057AE">
        <w:rPr>
          <w:rFonts w:ascii="Arial Narrow" w:eastAsia="Arial Narrow" w:hAnsi="Arial Narrow" w:cs="Arial Narrow"/>
        </w:rPr>
        <w:t>para</w:t>
      </w:r>
      <w:r w:rsidRPr="007057AE">
        <w:rPr>
          <w:rFonts w:ascii="Arial Narrow" w:eastAsia="Arial Narrow" w:hAnsi="Arial Narrow" w:cs="Arial Narrow"/>
        </w:rPr>
        <w:t xml:space="preserve"> lograr que las metas del período de las intervenciones estratégicas sean cumplidas en tiempo y forma. </w:t>
      </w:r>
      <w:r w:rsidR="00BF1B16" w:rsidRPr="007057AE">
        <w:rPr>
          <w:rFonts w:ascii="Arial Narrow" w:eastAsia="Arial Narrow" w:hAnsi="Arial Narrow" w:cs="Arial Narrow"/>
        </w:rPr>
        <w:t xml:space="preserve">Asimismo, los resultados de </w:t>
      </w:r>
      <w:r w:rsidR="00152B77" w:rsidRPr="007057AE">
        <w:rPr>
          <w:rFonts w:ascii="Arial Narrow" w:eastAsia="Arial Narrow" w:hAnsi="Arial Narrow" w:cs="Arial Narrow"/>
        </w:rPr>
        <w:t>estas</w:t>
      </w:r>
      <w:r w:rsidR="002A4B92" w:rsidRPr="007057AE">
        <w:rPr>
          <w:rFonts w:ascii="Arial Narrow" w:eastAsia="Arial Narrow" w:hAnsi="Arial Narrow" w:cs="Arial Narrow"/>
        </w:rPr>
        <w:t xml:space="preserve"> serán </w:t>
      </w:r>
      <w:r w:rsidR="00D52457" w:rsidRPr="007057AE">
        <w:rPr>
          <w:rFonts w:ascii="Arial Narrow" w:eastAsia="Arial Narrow" w:hAnsi="Arial Narrow" w:cs="Arial Narrow"/>
        </w:rPr>
        <w:t>solicitados</w:t>
      </w:r>
      <w:r w:rsidR="008B7758" w:rsidRPr="007057AE">
        <w:rPr>
          <w:rFonts w:ascii="Arial Narrow" w:eastAsia="Arial Narrow" w:hAnsi="Arial Narrow" w:cs="Arial Narrow"/>
        </w:rPr>
        <w:t xml:space="preserve"> en los cortes de seguimiento (30 de junio y 31 de diciembre)</w:t>
      </w:r>
      <w:r w:rsidR="00E6164F">
        <w:rPr>
          <w:rFonts w:ascii="Arial Narrow" w:eastAsia="Arial Narrow" w:hAnsi="Arial Narrow" w:cs="Arial Narrow"/>
        </w:rPr>
        <w:t>.</w:t>
      </w:r>
    </w:p>
    <w:p w14:paraId="67826CE0" w14:textId="77777777" w:rsidR="007057AE" w:rsidRPr="007057AE" w:rsidRDefault="007057AE" w:rsidP="007057A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Arial Narrow" w:hAnsi="Arial Narrow" w:cs="Arial Narrow"/>
        </w:rPr>
      </w:pPr>
    </w:p>
    <w:p w14:paraId="05FEAC3A" w14:textId="77777777" w:rsidR="007E7421" w:rsidRPr="001A5654" w:rsidRDefault="00A15647" w:rsidP="001A5654">
      <w:pPr>
        <w:spacing w:after="0"/>
        <w:jc w:val="center"/>
        <w:rPr>
          <w:rFonts w:ascii="Arial Narrow" w:hAnsi="Arial Narrow"/>
        </w:rPr>
      </w:pPr>
      <w:r w:rsidRPr="001A5654">
        <w:rPr>
          <w:rFonts w:ascii="Arial Narrow" w:hAnsi="Arial Narrow"/>
        </w:rPr>
        <w:t>Acciones de mejora para las m</w:t>
      </w:r>
      <w:r w:rsidR="007E7421" w:rsidRPr="001A5654">
        <w:rPr>
          <w:rFonts w:ascii="Arial Narrow" w:hAnsi="Arial Narrow"/>
        </w:rPr>
        <w:t xml:space="preserve">etas </w:t>
      </w:r>
      <w:r w:rsidRPr="001A5654">
        <w:rPr>
          <w:rFonts w:ascii="Arial Narrow" w:hAnsi="Arial Narrow"/>
        </w:rPr>
        <w:t>de intervenciones e</w:t>
      </w:r>
      <w:r w:rsidR="007E7421" w:rsidRPr="001A5654">
        <w:rPr>
          <w:rFonts w:ascii="Arial Narrow" w:hAnsi="Arial Narrow"/>
        </w:rPr>
        <w:t>stratégicas</w:t>
      </w:r>
    </w:p>
    <w:p w14:paraId="1621F0CF" w14:textId="523EE7F9" w:rsidR="007E7421" w:rsidRPr="001A5654" w:rsidRDefault="007E7421" w:rsidP="001A5654">
      <w:pPr>
        <w:spacing w:after="0" w:line="240" w:lineRule="auto"/>
        <w:jc w:val="center"/>
        <w:rPr>
          <w:rFonts w:ascii="Arial Narrow" w:hAnsi="Arial Narrow"/>
        </w:rPr>
      </w:pPr>
      <w:r w:rsidRPr="001A5654">
        <w:rPr>
          <w:rFonts w:ascii="Arial Narrow" w:hAnsi="Arial Narrow"/>
        </w:rPr>
        <w:t xml:space="preserve"> </w:t>
      </w:r>
      <w:r w:rsidR="00A95FC9" w:rsidRPr="001A5654">
        <w:rPr>
          <w:rFonts w:ascii="Arial Narrow" w:hAnsi="Arial Narrow"/>
        </w:rPr>
        <w:t xml:space="preserve">con cumplimiento medio y bajo </w:t>
      </w:r>
      <w:r w:rsidRPr="001A5654">
        <w:rPr>
          <w:rFonts w:ascii="Arial Narrow" w:hAnsi="Arial Narrow"/>
        </w:rPr>
        <w:t xml:space="preserve">durante el </w:t>
      </w:r>
      <w:r w:rsidR="00A95FC9" w:rsidRPr="001A5654">
        <w:rPr>
          <w:rFonts w:ascii="Arial Narrow" w:hAnsi="Arial Narrow"/>
        </w:rPr>
        <w:t>20</w:t>
      </w:r>
      <w:r w:rsidR="00E6164F">
        <w:rPr>
          <w:rFonts w:ascii="Arial Narrow" w:hAnsi="Arial Narrow"/>
        </w:rPr>
        <w:t>20</w:t>
      </w:r>
    </w:p>
    <w:p w14:paraId="2F1FF078" w14:textId="77777777" w:rsidR="007E7421" w:rsidRPr="001A5654" w:rsidRDefault="007E7421" w:rsidP="001A5654">
      <w:pPr>
        <w:spacing w:after="0" w:line="240" w:lineRule="auto"/>
        <w:jc w:val="center"/>
        <w:rPr>
          <w:rFonts w:ascii="Arial Narrow" w:hAnsi="Arial Narrow"/>
          <w:b/>
        </w:rPr>
      </w:pPr>
      <w:r w:rsidRPr="001A5654">
        <w:rPr>
          <w:rFonts w:ascii="Arial Narrow" w:hAnsi="Arial Narrow"/>
          <w:b/>
        </w:rPr>
        <w:t xml:space="preserve">Sector </w:t>
      </w:r>
      <w:r w:rsidR="009646DF" w:rsidRPr="001A5654">
        <w:rPr>
          <w:rFonts w:ascii="Arial Narrow" w:hAnsi="Arial Narrow"/>
          <w:b/>
        </w:rPr>
        <w:t>Ciencia, Tecnología, Telecomunicaciones y Gobernanza Digital</w:t>
      </w:r>
    </w:p>
    <w:tbl>
      <w:tblPr>
        <w:tblStyle w:val="Tablaclsica3"/>
        <w:tblW w:w="5241" w:type="pct"/>
        <w:tblLayout w:type="fixed"/>
        <w:tblLook w:val="04A0" w:firstRow="1" w:lastRow="0" w:firstColumn="1" w:lastColumn="0" w:noHBand="0" w:noVBand="1"/>
      </w:tblPr>
      <w:tblGrid>
        <w:gridCol w:w="1361"/>
        <w:gridCol w:w="1533"/>
        <w:gridCol w:w="837"/>
        <w:gridCol w:w="837"/>
        <w:gridCol w:w="804"/>
        <w:gridCol w:w="1078"/>
        <w:gridCol w:w="945"/>
        <w:gridCol w:w="1217"/>
        <w:gridCol w:w="1782"/>
        <w:gridCol w:w="962"/>
        <w:gridCol w:w="1087"/>
        <w:gridCol w:w="1416"/>
      </w:tblGrid>
      <w:tr w:rsidR="00152B77" w:rsidRPr="00A83613" w14:paraId="5CB878BB" w14:textId="2B465146" w:rsidTr="00BB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pct"/>
            <w:shd w:val="clear" w:color="auto" w:fill="17365D"/>
          </w:tcPr>
          <w:p w14:paraId="7758F911" w14:textId="77777777" w:rsidR="00152B77" w:rsidRPr="00A83613" w:rsidRDefault="00152B77" w:rsidP="00152B77">
            <w:pPr>
              <w:pStyle w:val="titulosdetablas"/>
            </w:pPr>
            <w:r w:rsidRPr="00A83613">
              <w:t>Intervención</w:t>
            </w:r>
          </w:p>
        </w:tc>
        <w:tc>
          <w:tcPr>
            <w:tcW w:w="553" w:type="pct"/>
            <w:shd w:val="clear" w:color="auto" w:fill="17365D"/>
          </w:tcPr>
          <w:p w14:paraId="2B57FA56" w14:textId="77777777" w:rsidR="00152B77" w:rsidRPr="00A83613" w:rsidRDefault="00152B77" w:rsidP="00152B77">
            <w:pPr>
              <w:pStyle w:val="titulosdetabla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3613">
              <w:t>Indicador</w:t>
            </w:r>
          </w:p>
        </w:tc>
        <w:tc>
          <w:tcPr>
            <w:tcW w:w="302" w:type="pct"/>
            <w:shd w:val="clear" w:color="auto" w:fill="17365D"/>
          </w:tcPr>
          <w:p w14:paraId="692B8424" w14:textId="77777777" w:rsidR="00152B77" w:rsidRPr="00A83613" w:rsidRDefault="00152B77" w:rsidP="00152B77">
            <w:pPr>
              <w:pStyle w:val="titulosdetabla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3613">
              <w:t>Meta del período</w:t>
            </w:r>
          </w:p>
        </w:tc>
        <w:tc>
          <w:tcPr>
            <w:tcW w:w="302" w:type="pct"/>
            <w:shd w:val="clear" w:color="auto" w:fill="17365D"/>
          </w:tcPr>
          <w:p w14:paraId="45793D2F" w14:textId="5A8AA1A6" w:rsidR="00152B77" w:rsidRDefault="00152B77" w:rsidP="00152B77">
            <w:pPr>
              <w:pStyle w:val="titulosdetabla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3613">
              <w:t>Meta 20</w:t>
            </w:r>
            <w:r>
              <w:t>20</w:t>
            </w:r>
          </w:p>
          <w:p w14:paraId="572D0153" w14:textId="77777777" w:rsidR="00152B77" w:rsidRPr="00A83613" w:rsidRDefault="00152B77" w:rsidP="00152B77">
            <w:pPr>
              <w:pStyle w:val="titulosdetabla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(1)</w:t>
            </w:r>
          </w:p>
        </w:tc>
        <w:tc>
          <w:tcPr>
            <w:tcW w:w="290" w:type="pct"/>
            <w:shd w:val="clear" w:color="auto" w:fill="17365D"/>
          </w:tcPr>
          <w:p w14:paraId="7498B167" w14:textId="77777777" w:rsidR="00152B77" w:rsidRPr="00A83613" w:rsidRDefault="00152B77" w:rsidP="00A119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A83613">
              <w:rPr>
                <w:rFonts w:ascii="Arial Narrow" w:hAnsi="Arial Narrow"/>
                <w:b w:val="0"/>
                <w:sz w:val="18"/>
                <w:szCs w:val="18"/>
              </w:rPr>
              <w:t>Cumplimiento</w:t>
            </w:r>
          </w:p>
        </w:tc>
        <w:tc>
          <w:tcPr>
            <w:tcW w:w="389" w:type="pct"/>
            <w:shd w:val="clear" w:color="auto" w:fill="17365D"/>
          </w:tcPr>
          <w:p w14:paraId="20DABDF9" w14:textId="77777777" w:rsidR="00152B77" w:rsidRPr="00A83613" w:rsidRDefault="00152B77" w:rsidP="00A119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A83613">
              <w:rPr>
                <w:rFonts w:ascii="Arial Narrow" w:hAnsi="Arial Narrow"/>
                <w:b w:val="0"/>
                <w:sz w:val="18"/>
                <w:szCs w:val="18"/>
              </w:rPr>
              <w:t>Porcentaje del cumplimiento</w:t>
            </w:r>
          </w:p>
        </w:tc>
        <w:tc>
          <w:tcPr>
            <w:tcW w:w="341" w:type="pct"/>
            <w:shd w:val="clear" w:color="auto" w:fill="17365D"/>
          </w:tcPr>
          <w:p w14:paraId="02B6AF2F" w14:textId="77777777" w:rsidR="00152B77" w:rsidRPr="00A83613" w:rsidRDefault="00152B77" w:rsidP="00A119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A83613">
              <w:rPr>
                <w:rFonts w:ascii="Arial Narrow" w:hAnsi="Arial Narrow"/>
                <w:b w:val="0"/>
                <w:sz w:val="18"/>
                <w:szCs w:val="18"/>
              </w:rPr>
              <w:t>Clasificación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 (2)</w:t>
            </w:r>
          </w:p>
        </w:tc>
        <w:tc>
          <w:tcPr>
            <w:tcW w:w="439" w:type="pct"/>
            <w:shd w:val="clear" w:color="auto" w:fill="17365D"/>
          </w:tcPr>
          <w:p w14:paraId="356B5A9E" w14:textId="0876662A" w:rsidR="00152B77" w:rsidRDefault="00152B77" w:rsidP="00152B77">
            <w:pPr>
              <w:pStyle w:val="titulosdetabla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Riesgo Asociado</w:t>
            </w:r>
          </w:p>
          <w:p w14:paraId="7280303F" w14:textId="77777777" w:rsidR="00152B77" w:rsidRPr="00A83613" w:rsidRDefault="00152B77" w:rsidP="00152B77">
            <w:pPr>
              <w:pStyle w:val="titulosdetabla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(3)</w:t>
            </w:r>
            <w:r w:rsidRPr="00A83613">
              <w:t xml:space="preserve"> </w:t>
            </w:r>
          </w:p>
        </w:tc>
        <w:tc>
          <w:tcPr>
            <w:tcW w:w="643" w:type="pct"/>
            <w:shd w:val="clear" w:color="auto" w:fill="17365D"/>
          </w:tcPr>
          <w:p w14:paraId="3AC7D15B" w14:textId="77777777" w:rsidR="00152B77" w:rsidRDefault="00152B77" w:rsidP="00152B77">
            <w:pPr>
              <w:pStyle w:val="titulosdetabla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3613">
              <w:t>Acciones de mejora</w:t>
            </w:r>
          </w:p>
          <w:p w14:paraId="1EB75C43" w14:textId="77777777" w:rsidR="00152B77" w:rsidRPr="00A83613" w:rsidRDefault="00152B77" w:rsidP="00152B77">
            <w:pPr>
              <w:pStyle w:val="titulosdetabla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(4)</w:t>
            </w:r>
          </w:p>
        </w:tc>
        <w:tc>
          <w:tcPr>
            <w:tcW w:w="347" w:type="pct"/>
            <w:shd w:val="clear" w:color="auto" w:fill="17365D"/>
          </w:tcPr>
          <w:p w14:paraId="7B5B45C3" w14:textId="349D5FDB" w:rsidR="00152B77" w:rsidRDefault="00152B77" w:rsidP="00152B77">
            <w:pPr>
              <w:pStyle w:val="titulosdetabla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3613">
              <w:t xml:space="preserve">Fecha de </w:t>
            </w:r>
            <w:r>
              <w:t xml:space="preserve">  </w:t>
            </w:r>
            <w:r w:rsidRPr="00A83613">
              <w:t>inicio</w:t>
            </w:r>
          </w:p>
          <w:p w14:paraId="7790385B" w14:textId="77777777" w:rsidR="00152B77" w:rsidRPr="00A83613" w:rsidRDefault="00152B77" w:rsidP="00152B77">
            <w:pPr>
              <w:pStyle w:val="titulosdetabla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(5)</w:t>
            </w:r>
          </w:p>
        </w:tc>
        <w:tc>
          <w:tcPr>
            <w:tcW w:w="392" w:type="pct"/>
            <w:shd w:val="clear" w:color="auto" w:fill="17365D"/>
          </w:tcPr>
          <w:p w14:paraId="72CEF843" w14:textId="77777777" w:rsidR="00152B77" w:rsidRDefault="00152B77" w:rsidP="00152B77">
            <w:pPr>
              <w:pStyle w:val="titulosdetabla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3613">
              <w:t>Fecha final</w:t>
            </w:r>
          </w:p>
          <w:p w14:paraId="09171043" w14:textId="77777777" w:rsidR="00152B77" w:rsidRPr="00A83613" w:rsidRDefault="00152B77" w:rsidP="00152B77">
            <w:pPr>
              <w:pStyle w:val="titulosdetabla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(6)</w:t>
            </w:r>
          </w:p>
        </w:tc>
        <w:tc>
          <w:tcPr>
            <w:tcW w:w="511" w:type="pct"/>
            <w:shd w:val="clear" w:color="auto" w:fill="17365D"/>
          </w:tcPr>
          <w:p w14:paraId="43A8BECD" w14:textId="6AEA2A36" w:rsidR="00152B77" w:rsidRPr="00A83613" w:rsidRDefault="00152B77" w:rsidP="00152B77">
            <w:pPr>
              <w:pStyle w:val="titulosdetabla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Institución</w:t>
            </w:r>
          </w:p>
        </w:tc>
      </w:tr>
      <w:tr w:rsidR="00152B77" w:rsidRPr="007E006B" w14:paraId="47F71C19" w14:textId="3BAC862E" w:rsidTr="00BB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pct"/>
            <w:vMerge w:val="restart"/>
          </w:tcPr>
          <w:p w14:paraId="57221D73" w14:textId="77777777" w:rsidR="00152B77" w:rsidRPr="009646DF" w:rsidRDefault="00152B77" w:rsidP="009646D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646DF">
              <w:rPr>
                <w:rFonts w:asciiTheme="minorHAnsi" w:hAnsiTheme="minorHAnsi"/>
                <w:sz w:val="18"/>
                <w:szCs w:val="18"/>
              </w:rPr>
              <w:t>Programa de acercamiento y apropiación social de la ciencia y la tecnología en estudiantes</w:t>
            </w:r>
          </w:p>
          <w:p w14:paraId="52D0A0CA" w14:textId="77777777" w:rsidR="00152B77" w:rsidRPr="00A63137" w:rsidRDefault="00152B77" w:rsidP="009646D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646DF">
              <w:rPr>
                <w:rFonts w:asciiTheme="minorHAnsi" w:hAnsiTheme="minorHAnsi"/>
                <w:sz w:val="18"/>
                <w:szCs w:val="18"/>
              </w:rPr>
              <w:t>para una economía basada en el conocimiento</w:t>
            </w:r>
          </w:p>
        </w:tc>
        <w:tc>
          <w:tcPr>
            <w:tcW w:w="553" w:type="pct"/>
            <w:vMerge w:val="restart"/>
          </w:tcPr>
          <w:p w14:paraId="28B54152" w14:textId="77777777" w:rsidR="00152B77" w:rsidRPr="009646DF" w:rsidRDefault="00152B77" w:rsidP="009646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18"/>
              </w:rPr>
            </w:pPr>
            <w:r w:rsidRPr="009646DF">
              <w:rPr>
                <w:rFonts w:asciiTheme="minorHAnsi" w:hAnsiTheme="minorHAnsi"/>
                <w:szCs w:val="18"/>
              </w:rPr>
              <w:t>Cantidad de estudiantes que adquieren conocimiento mediante espacios de acercamiento a las áreas de STEM</w:t>
            </w:r>
          </w:p>
        </w:tc>
        <w:tc>
          <w:tcPr>
            <w:tcW w:w="302" w:type="pct"/>
            <w:vMerge w:val="restart"/>
          </w:tcPr>
          <w:p w14:paraId="4C97BBC2" w14:textId="7EDF85F4" w:rsidR="00152B77" w:rsidRPr="004D1FEF" w:rsidRDefault="00152B77" w:rsidP="00175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237EE7">
              <w:rPr>
                <w:szCs w:val="18"/>
              </w:rPr>
              <w:t>3220</w:t>
            </w:r>
          </w:p>
        </w:tc>
        <w:tc>
          <w:tcPr>
            <w:tcW w:w="302" w:type="pct"/>
            <w:vMerge w:val="restart"/>
          </w:tcPr>
          <w:p w14:paraId="5F6FC564" w14:textId="01E89ED2" w:rsidR="00152B77" w:rsidRPr="004D1FEF" w:rsidRDefault="00152B77" w:rsidP="00175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237EE7">
              <w:rPr>
                <w:szCs w:val="18"/>
              </w:rPr>
              <w:t>720</w:t>
            </w:r>
          </w:p>
        </w:tc>
        <w:tc>
          <w:tcPr>
            <w:tcW w:w="290" w:type="pct"/>
            <w:vMerge w:val="restart"/>
          </w:tcPr>
          <w:p w14:paraId="04338797" w14:textId="77777777" w:rsidR="00152B77" w:rsidRDefault="00152B77" w:rsidP="00237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 xml:space="preserve">644 </w:t>
            </w:r>
          </w:p>
          <w:p w14:paraId="0482AA29" w14:textId="77777777" w:rsidR="00152B77" w:rsidRPr="009646DF" w:rsidRDefault="00152B77" w:rsidP="009646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89" w:type="pct"/>
            <w:vMerge w:val="restart"/>
          </w:tcPr>
          <w:p w14:paraId="23C68924" w14:textId="60900297" w:rsidR="00152B77" w:rsidRPr="004D1FEF" w:rsidRDefault="00152B77" w:rsidP="00175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237EE7">
              <w:rPr>
                <w:szCs w:val="18"/>
              </w:rPr>
              <w:t>89.44</w:t>
            </w:r>
            <w:r>
              <w:rPr>
                <w:szCs w:val="18"/>
              </w:rPr>
              <w:t>%</w:t>
            </w:r>
          </w:p>
        </w:tc>
        <w:tc>
          <w:tcPr>
            <w:tcW w:w="341" w:type="pct"/>
            <w:vMerge w:val="restart"/>
            <w:shd w:val="clear" w:color="auto" w:fill="F5D90C"/>
          </w:tcPr>
          <w:p w14:paraId="1287DDEE" w14:textId="77777777" w:rsidR="00152B77" w:rsidRPr="00152B77" w:rsidRDefault="00152B77" w:rsidP="001A5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FFFF" w:themeColor="background1"/>
                <w:szCs w:val="18"/>
              </w:rPr>
            </w:pPr>
            <w:r w:rsidRPr="00152B77">
              <w:rPr>
                <w:rFonts w:asciiTheme="minorHAnsi" w:hAnsiTheme="minorHAnsi"/>
                <w:b/>
                <w:color w:val="FFFFFF" w:themeColor="background1"/>
                <w:szCs w:val="18"/>
              </w:rPr>
              <w:t>Cumplimiento Medio</w:t>
            </w:r>
          </w:p>
        </w:tc>
        <w:tc>
          <w:tcPr>
            <w:tcW w:w="439" w:type="pct"/>
            <w:vMerge w:val="restart"/>
          </w:tcPr>
          <w:p w14:paraId="69D1D4A0" w14:textId="77777777" w:rsidR="00152B77" w:rsidRPr="00152B77" w:rsidRDefault="00152B77" w:rsidP="0015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</w:rPr>
            </w:pPr>
            <w:r w:rsidRPr="00152B77">
              <w:rPr>
                <w:bCs/>
                <w:szCs w:val="18"/>
              </w:rPr>
              <w:t xml:space="preserve">Menor presupuesto del planificado para las actividades anualmente programadas y asociadas a los indicadores institucionales y del PNDIP y PNCTI, solicitud de la Administración para desviar fondos a otras unidades del ministerio para cubrir gastos no </w:t>
            </w:r>
            <w:r w:rsidRPr="00152B77">
              <w:rPr>
                <w:bCs/>
                <w:szCs w:val="18"/>
              </w:rPr>
              <w:lastRenderedPageBreak/>
              <w:t>previstos, recursos no disponibles para ejecutar en el momento requerido y planificado, debido a los recortes presupuestarios, lo que provoca reajustes o no ejecución de actividades programadas, disminución de la población.</w:t>
            </w:r>
          </w:p>
          <w:p w14:paraId="31D6DB90" w14:textId="77777777" w:rsidR="00152B77" w:rsidRPr="00152B77" w:rsidRDefault="00152B77" w:rsidP="0015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</w:rPr>
            </w:pPr>
          </w:p>
          <w:p w14:paraId="1AB1EA33" w14:textId="77777777" w:rsidR="00152B77" w:rsidRPr="00152B77" w:rsidRDefault="00152B77" w:rsidP="0015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</w:rPr>
            </w:pPr>
          </w:p>
          <w:p w14:paraId="0159C19E" w14:textId="77777777" w:rsidR="00152B77" w:rsidRPr="008B6A37" w:rsidRDefault="00152B77" w:rsidP="00175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</w:rPr>
            </w:pPr>
          </w:p>
        </w:tc>
        <w:tc>
          <w:tcPr>
            <w:tcW w:w="643" w:type="pct"/>
          </w:tcPr>
          <w:p w14:paraId="2C731064" w14:textId="0FC043E8" w:rsidR="00152B77" w:rsidRPr="00977258" w:rsidRDefault="00152B77" w:rsidP="00175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Cs w:val="18"/>
              </w:rPr>
            </w:pPr>
            <w:r>
              <w:rPr>
                <w:rFonts w:asciiTheme="minorHAnsi" w:hAnsiTheme="minorHAnsi"/>
                <w:bCs/>
                <w:color w:val="000000"/>
                <w:szCs w:val="18"/>
              </w:rPr>
              <w:lastRenderedPageBreak/>
              <w:t>Solicitud de</w:t>
            </w:r>
            <w:r w:rsidRPr="00152B77">
              <w:rPr>
                <w:rFonts w:asciiTheme="minorHAnsi" w:hAnsiTheme="minorHAnsi"/>
                <w:bCs/>
                <w:color w:val="000000"/>
                <w:szCs w:val="18"/>
              </w:rPr>
              <w:t xml:space="preserve"> reducción de la meta para el 2021</w:t>
            </w:r>
            <w:r>
              <w:rPr>
                <w:rFonts w:asciiTheme="minorHAnsi" w:hAnsiTheme="minorHAnsi"/>
                <w:bCs/>
                <w:color w:val="000000"/>
                <w:szCs w:val="18"/>
              </w:rPr>
              <w:t>.</w:t>
            </w:r>
          </w:p>
        </w:tc>
        <w:tc>
          <w:tcPr>
            <w:tcW w:w="347" w:type="pct"/>
          </w:tcPr>
          <w:p w14:paraId="55489216" w14:textId="32572CFC" w:rsidR="00152B77" w:rsidRPr="00977258" w:rsidRDefault="00152B77" w:rsidP="00175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Cs w:val="18"/>
              </w:rPr>
            </w:pPr>
            <w:r w:rsidRPr="00152B77">
              <w:rPr>
                <w:rFonts w:asciiTheme="minorHAnsi" w:hAnsiTheme="minorHAnsi"/>
                <w:bCs/>
                <w:color w:val="000000"/>
                <w:szCs w:val="18"/>
              </w:rPr>
              <w:t>1/4/2021</w:t>
            </w:r>
          </w:p>
        </w:tc>
        <w:tc>
          <w:tcPr>
            <w:tcW w:w="392" w:type="pct"/>
          </w:tcPr>
          <w:p w14:paraId="5C1933F3" w14:textId="21AB5CEE" w:rsidR="00152B77" w:rsidRPr="00977258" w:rsidRDefault="00152B77" w:rsidP="00175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Cs w:val="18"/>
              </w:rPr>
            </w:pPr>
            <w:r w:rsidRPr="00152B77">
              <w:rPr>
                <w:rFonts w:asciiTheme="minorHAnsi" w:hAnsiTheme="minorHAnsi"/>
                <w:bCs/>
                <w:color w:val="000000"/>
                <w:szCs w:val="18"/>
              </w:rPr>
              <w:t>31/12/202</w:t>
            </w:r>
            <w:r>
              <w:rPr>
                <w:rFonts w:asciiTheme="minorHAnsi" w:hAnsiTheme="minorHAnsi"/>
                <w:bCs/>
                <w:color w:val="000000"/>
                <w:szCs w:val="18"/>
              </w:rPr>
              <w:t>1</w:t>
            </w:r>
          </w:p>
        </w:tc>
        <w:tc>
          <w:tcPr>
            <w:tcW w:w="511" w:type="pct"/>
            <w:vMerge w:val="restart"/>
          </w:tcPr>
          <w:p w14:paraId="64A46607" w14:textId="3E4925BD" w:rsidR="00152B77" w:rsidRPr="00977258" w:rsidRDefault="00031940" w:rsidP="00175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Cs w:val="18"/>
              </w:rPr>
            </w:pPr>
            <w:r w:rsidRPr="00BB7777">
              <w:rPr>
                <w:rFonts w:asciiTheme="minorHAnsi" w:hAnsiTheme="minorHAnsi"/>
                <w:bCs/>
                <w:color w:val="000000"/>
                <w:szCs w:val="18"/>
              </w:rPr>
              <w:t>Departamento de Promoción de la Ciencia y la Tecnología, Dirección de Apropiación Social del Conocimiento, MICITT.</w:t>
            </w:r>
          </w:p>
        </w:tc>
      </w:tr>
      <w:tr w:rsidR="00152B77" w:rsidRPr="007E006B" w14:paraId="1225769F" w14:textId="77777777" w:rsidTr="00BB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pct"/>
            <w:vMerge/>
          </w:tcPr>
          <w:p w14:paraId="36514EE9" w14:textId="77777777" w:rsidR="00152B77" w:rsidRPr="009646DF" w:rsidRDefault="00152B77" w:rsidP="009646D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3" w:type="pct"/>
            <w:vMerge/>
          </w:tcPr>
          <w:p w14:paraId="684D1397" w14:textId="77777777" w:rsidR="00152B77" w:rsidRPr="009646DF" w:rsidRDefault="00152B77" w:rsidP="009646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02" w:type="pct"/>
            <w:vMerge/>
          </w:tcPr>
          <w:p w14:paraId="6FF5649D" w14:textId="77777777" w:rsidR="00152B77" w:rsidRPr="00237EE7" w:rsidRDefault="00152B77" w:rsidP="001755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02" w:type="pct"/>
            <w:vMerge/>
          </w:tcPr>
          <w:p w14:paraId="3421D64B" w14:textId="77777777" w:rsidR="00152B77" w:rsidRPr="00237EE7" w:rsidRDefault="00152B77" w:rsidP="001755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90" w:type="pct"/>
            <w:vMerge/>
          </w:tcPr>
          <w:p w14:paraId="1126CD72" w14:textId="77777777" w:rsidR="00152B77" w:rsidRDefault="00152B77" w:rsidP="00237E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89" w:type="pct"/>
            <w:vMerge/>
          </w:tcPr>
          <w:p w14:paraId="18A44BDC" w14:textId="77777777" w:rsidR="00152B77" w:rsidRPr="00237EE7" w:rsidRDefault="00152B77" w:rsidP="001755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41" w:type="pct"/>
            <w:vMerge/>
            <w:shd w:val="clear" w:color="auto" w:fill="F5D90C"/>
          </w:tcPr>
          <w:p w14:paraId="71FEE84C" w14:textId="77777777" w:rsidR="00152B77" w:rsidRPr="00152B77" w:rsidRDefault="00152B77" w:rsidP="001A565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FFFFFF" w:themeColor="background1"/>
                <w:szCs w:val="18"/>
              </w:rPr>
            </w:pPr>
          </w:p>
        </w:tc>
        <w:tc>
          <w:tcPr>
            <w:tcW w:w="439" w:type="pct"/>
            <w:vMerge/>
          </w:tcPr>
          <w:p w14:paraId="5B22A059" w14:textId="77777777" w:rsidR="00152B77" w:rsidRPr="008B6A37" w:rsidRDefault="00152B77" w:rsidP="001755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</w:rPr>
            </w:pPr>
          </w:p>
        </w:tc>
        <w:tc>
          <w:tcPr>
            <w:tcW w:w="643" w:type="pct"/>
          </w:tcPr>
          <w:p w14:paraId="5A6E502B" w14:textId="600B4BEC" w:rsidR="00152B77" w:rsidRPr="00977258" w:rsidRDefault="00152B77" w:rsidP="001755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Cs w:val="18"/>
              </w:rPr>
            </w:pPr>
            <w:r>
              <w:rPr>
                <w:rFonts w:asciiTheme="minorHAnsi" w:hAnsiTheme="minorHAnsi"/>
                <w:bCs/>
                <w:color w:val="000000"/>
                <w:szCs w:val="18"/>
              </w:rPr>
              <w:t>A</w:t>
            </w:r>
            <w:r w:rsidRPr="00152B77">
              <w:rPr>
                <w:rFonts w:asciiTheme="minorHAnsi" w:hAnsiTheme="minorHAnsi"/>
                <w:bCs/>
                <w:color w:val="000000"/>
                <w:szCs w:val="18"/>
              </w:rPr>
              <w:t>rticulación con instancias del sector de ciencia y tecnología para la realización de actividades de acercamiento por medio de Talleres, charlas, videos, dirigidos al público meta y según los contenidos que se indiquen como necesarios de reforzar (siguiente acción).</w:t>
            </w:r>
          </w:p>
        </w:tc>
        <w:tc>
          <w:tcPr>
            <w:tcW w:w="347" w:type="pct"/>
          </w:tcPr>
          <w:p w14:paraId="550679A8" w14:textId="43EDAADF" w:rsidR="00152B77" w:rsidRPr="00977258" w:rsidRDefault="00152B77" w:rsidP="001755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Cs w:val="18"/>
              </w:rPr>
            </w:pPr>
            <w:r w:rsidRPr="00152B77">
              <w:rPr>
                <w:rFonts w:asciiTheme="minorHAnsi" w:hAnsiTheme="minorHAnsi"/>
                <w:bCs/>
                <w:color w:val="000000"/>
                <w:szCs w:val="18"/>
              </w:rPr>
              <w:t>1/4/2021</w:t>
            </w:r>
          </w:p>
        </w:tc>
        <w:tc>
          <w:tcPr>
            <w:tcW w:w="392" w:type="pct"/>
          </w:tcPr>
          <w:p w14:paraId="7475FB6B" w14:textId="5C5A6119" w:rsidR="00152B77" w:rsidRPr="00977258" w:rsidRDefault="00152B77" w:rsidP="001755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Cs w:val="18"/>
              </w:rPr>
            </w:pPr>
            <w:r w:rsidRPr="00152B77">
              <w:rPr>
                <w:rFonts w:asciiTheme="minorHAnsi" w:hAnsiTheme="minorHAnsi"/>
                <w:bCs/>
                <w:color w:val="000000"/>
                <w:szCs w:val="18"/>
              </w:rPr>
              <w:t>30/11/2021</w:t>
            </w:r>
          </w:p>
        </w:tc>
        <w:tc>
          <w:tcPr>
            <w:tcW w:w="511" w:type="pct"/>
            <w:vMerge/>
          </w:tcPr>
          <w:p w14:paraId="6D3B2C75" w14:textId="77777777" w:rsidR="00152B77" w:rsidRPr="00977258" w:rsidRDefault="00152B77" w:rsidP="001755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Cs w:val="18"/>
              </w:rPr>
            </w:pPr>
          </w:p>
        </w:tc>
      </w:tr>
      <w:tr w:rsidR="00152B77" w:rsidRPr="007E006B" w14:paraId="593A17E9" w14:textId="77777777" w:rsidTr="00BB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pct"/>
            <w:vMerge/>
          </w:tcPr>
          <w:p w14:paraId="396404AE" w14:textId="77777777" w:rsidR="00152B77" w:rsidRPr="009646DF" w:rsidRDefault="00152B77" w:rsidP="009646D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3" w:type="pct"/>
            <w:vMerge/>
          </w:tcPr>
          <w:p w14:paraId="4D144E51" w14:textId="77777777" w:rsidR="00152B77" w:rsidRPr="009646DF" w:rsidRDefault="00152B77" w:rsidP="009646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02" w:type="pct"/>
            <w:vMerge/>
          </w:tcPr>
          <w:p w14:paraId="1F0D61BA" w14:textId="77777777" w:rsidR="00152B77" w:rsidRPr="00237EE7" w:rsidRDefault="00152B77" w:rsidP="00175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02" w:type="pct"/>
            <w:vMerge/>
          </w:tcPr>
          <w:p w14:paraId="5F6AF06A" w14:textId="77777777" w:rsidR="00152B77" w:rsidRPr="00237EE7" w:rsidRDefault="00152B77" w:rsidP="00175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90" w:type="pct"/>
            <w:vMerge/>
          </w:tcPr>
          <w:p w14:paraId="2495F62A" w14:textId="77777777" w:rsidR="00152B77" w:rsidRDefault="00152B77" w:rsidP="00237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89" w:type="pct"/>
            <w:vMerge/>
          </w:tcPr>
          <w:p w14:paraId="28117310" w14:textId="77777777" w:rsidR="00152B77" w:rsidRPr="00237EE7" w:rsidRDefault="00152B77" w:rsidP="00175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41" w:type="pct"/>
            <w:vMerge/>
            <w:shd w:val="clear" w:color="auto" w:fill="F5D90C"/>
          </w:tcPr>
          <w:p w14:paraId="4078036E" w14:textId="77777777" w:rsidR="00152B77" w:rsidRPr="00152B77" w:rsidRDefault="00152B77" w:rsidP="001A5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FFFF" w:themeColor="background1"/>
                <w:szCs w:val="18"/>
              </w:rPr>
            </w:pPr>
          </w:p>
        </w:tc>
        <w:tc>
          <w:tcPr>
            <w:tcW w:w="439" w:type="pct"/>
            <w:vMerge/>
          </w:tcPr>
          <w:p w14:paraId="57286BE6" w14:textId="77777777" w:rsidR="00152B77" w:rsidRPr="008B6A37" w:rsidRDefault="00152B77" w:rsidP="00175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</w:rPr>
            </w:pPr>
          </w:p>
        </w:tc>
        <w:tc>
          <w:tcPr>
            <w:tcW w:w="643" w:type="pct"/>
          </w:tcPr>
          <w:p w14:paraId="44C047B2" w14:textId="44CA04C5" w:rsidR="00152B77" w:rsidRPr="00977258" w:rsidRDefault="00152B77" w:rsidP="00175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Cs w:val="18"/>
              </w:rPr>
            </w:pPr>
            <w:r w:rsidRPr="00152B77">
              <w:rPr>
                <w:rFonts w:asciiTheme="minorHAnsi" w:hAnsiTheme="minorHAnsi"/>
                <w:bCs/>
                <w:color w:val="000000"/>
                <w:szCs w:val="18"/>
              </w:rPr>
              <w:t xml:space="preserve">Suscripción de convenio marco con el MEP, para el desarrollo conjunto de actividades en </w:t>
            </w:r>
            <w:r w:rsidRPr="00152B77">
              <w:rPr>
                <w:rFonts w:asciiTheme="minorHAnsi" w:hAnsiTheme="minorHAnsi"/>
                <w:bCs/>
                <w:color w:val="000000"/>
                <w:szCs w:val="18"/>
              </w:rPr>
              <w:lastRenderedPageBreak/>
              <w:t>ciencia y tecnología con perspectiva de género, dirigidas a la población estudiantil, para la exploración y el disfrute de las áreas de la ciencia, la tecnología, la ingeniería, el arte y la matemática (conocidas por sus siglas en inglés como STEAM) a efecto de que las actividades que responden a esta intervención puedan incluirse como parte o ampliación de las actividades curriculares y así cumplir con la meta que se está proponiendo.</w:t>
            </w:r>
          </w:p>
        </w:tc>
        <w:tc>
          <w:tcPr>
            <w:tcW w:w="347" w:type="pct"/>
          </w:tcPr>
          <w:p w14:paraId="1F8B5C25" w14:textId="7F405C31" w:rsidR="00152B77" w:rsidRPr="00977258" w:rsidRDefault="00152B77" w:rsidP="00175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Cs w:val="18"/>
              </w:rPr>
            </w:pPr>
            <w:r w:rsidRPr="00152B77">
              <w:rPr>
                <w:rFonts w:asciiTheme="minorHAnsi" w:hAnsiTheme="minorHAnsi"/>
                <w:bCs/>
                <w:color w:val="000000"/>
                <w:szCs w:val="18"/>
              </w:rPr>
              <w:lastRenderedPageBreak/>
              <w:t>1/</w:t>
            </w:r>
            <w:r>
              <w:rPr>
                <w:rFonts w:asciiTheme="minorHAnsi" w:hAnsiTheme="minorHAnsi"/>
                <w:bCs/>
                <w:color w:val="000000"/>
                <w:szCs w:val="18"/>
              </w:rPr>
              <w:t>7</w:t>
            </w:r>
            <w:r w:rsidRPr="00152B77">
              <w:rPr>
                <w:rFonts w:asciiTheme="minorHAnsi" w:hAnsiTheme="minorHAnsi"/>
                <w:bCs/>
                <w:color w:val="000000"/>
                <w:szCs w:val="18"/>
              </w:rPr>
              <w:t>/2021</w:t>
            </w:r>
          </w:p>
        </w:tc>
        <w:tc>
          <w:tcPr>
            <w:tcW w:w="392" w:type="pct"/>
          </w:tcPr>
          <w:p w14:paraId="405AC12C" w14:textId="3E73D407" w:rsidR="00152B77" w:rsidRPr="00977258" w:rsidRDefault="00152B77" w:rsidP="00175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Cs w:val="18"/>
              </w:rPr>
            </w:pPr>
            <w:r w:rsidRPr="00152B77">
              <w:rPr>
                <w:rFonts w:asciiTheme="minorHAnsi" w:hAnsiTheme="minorHAnsi"/>
                <w:bCs/>
                <w:color w:val="000000"/>
                <w:szCs w:val="18"/>
              </w:rPr>
              <w:t>31/12/2021</w:t>
            </w:r>
          </w:p>
        </w:tc>
        <w:tc>
          <w:tcPr>
            <w:tcW w:w="511" w:type="pct"/>
            <w:vMerge/>
          </w:tcPr>
          <w:p w14:paraId="74B184A1" w14:textId="77777777" w:rsidR="00152B77" w:rsidRPr="00977258" w:rsidRDefault="00152B77" w:rsidP="00175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Cs w:val="18"/>
              </w:rPr>
            </w:pPr>
          </w:p>
        </w:tc>
      </w:tr>
      <w:tr w:rsidR="00152B77" w:rsidRPr="007E006B" w14:paraId="26B26C61" w14:textId="77777777" w:rsidTr="00BB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pct"/>
            <w:vMerge/>
          </w:tcPr>
          <w:p w14:paraId="3A691D27" w14:textId="77777777" w:rsidR="00152B77" w:rsidRPr="009646DF" w:rsidRDefault="00152B77" w:rsidP="009646D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3" w:type="pct"/>
            <w:vMerge/>
          </w:tcPr>
          <w:p w14:paraId="6D9046FE" w14:textId="77777777" w:rsidR="00152B77" w:rsidRPr="009646DF" w:rsidRDefault="00152B77" w:rsidP="009646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02" w:type="pct"/>
            <w:vMerge/>
          </w:tcPr>
          <w:p w14:paraId="530078B5" w14:textId="77777777" w:rsidR="00152B77" w:rsidRPr="00237EE7" w:rsidRDefault="00152B77" w:rsidP="001755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02" w:type="pct"/>
            <w:vMerge/>
          </w:tcPr>
          <w:p w14:paraId="54238A19" w14:textId="77777777" w:rsidR="00152B77" w:rsidRPr="00237EE7" w:rsidRDefault="00152B77" w:rsidP="001755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90" w:type="pct"/>
            <w:vMerge/>
          </w:tcPr>
          <w:p w14:paraId="7275D2D2" w14:textId="77777777" w:rsidR="00152B77" w:rsidRDefault="00152B77" w:rsidP="00237E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89" w:type="pct"/>
            <w:vMerge/>
          </w:tcPr>
          <w:p w14:paraId="2D25B827" w14:textId="77777777" w:rsidR="00152B77" w:rsidRPr="00237EE7" w:rsidRDefault="00152B77" w:rsidP="001755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341" w:type="pct"/>
            <w:vMerge/>
            <w:shd w:val="clear" w:color="auto" w:fill="F5D90C"/>
          </w:tcPr>
          <w:p w14:paraId="1B167F5F" w14:textId="77777777" w:rsidR="00152B77" w:rsidRPr="00152B77" w:rsidRDefault="00152B77" w:rsidP="001A565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FFFFFF" w:themeColor="background1"/>
                <w:szCs w:val="18"/>
              </w:rPr>
            </w:pPr>
          </w:p>
        </w:tc>
        <w:tc>
          <w:tcPr>
            <w:tcW w:w="439" w:type="pct"/>
            <w:vMerge/>
          </w:tcPr>
          <w:p w14:paraId="492112C3" w14:textId="77777777" w:rsidR="00152B77" w:rsidRPr="008B6A37" w:rsidRDefault="00152B77" w:rsidP="001755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</w:rPr>
            </w:pPr>
          </w:p>
        </w:tc>
        <w:tc>
          <w:tcPr>
            <w:tcW w:w="643" w:type="pct"/>
          </w:tcPr>
          <w:p w14:paraId="14D9A5F9" w14:textId="124BE582" w:rsidR="00152B77" w:rsidRPr="00977258" w:rsidRDefault="00152B77" w:rsidP="001755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Cs w:val="18"/>
              </w:rPr>
            </w:pPr>
            <w:r w:rsidRPr="00152B77">
              <w:rPr>
                <w:rFonts w:asciiTheme="minorHAnsi" w:hAnsiTheme="minorHAnsi"/>
                <w:bCs/>
                <w:color w:val="000000"/>
                <w:szCs w:val="18"/>
              </w:rPr>
              <w:t>Elaboración de un plan alternativo para realizar actividades de capacitación a población estudiantil de otros tipos de sistema educativo (centros educativos privados, humanísticos y científicos), siendo prioridad el sistema educativo público.</w:t>
            </w:r>
          </w:p>
        </w:tc>
        <w:tc>
          <w:tcPr>
            <w:tcW w:w="347" w:type="pct"/>
          </w:tcPr>
          <w:p w14:paraId="7CC100D8" w14:textId="2507E707" w:rsidR="00152B77" w:rsidRPr="00977258" w:rsidRDefault="00152B77" w:rsidP="001755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Cs w:val="18"/>
              </w:rPr>
            </w:pPr>
            <w:r w:rsidRPr="00152B77">
              <w:rPr>
                <w:rFonts w:asciiTheme="minorHAnsi" w:hAnsiTheme="minorHAnsi"/>
                <w:bCs/>
                <w:color w:val="000000"/>
                <w:szCs w:val="18"/>
              </w:rPr>
              <w:t>1/4/2021</w:t>
            </w:r>
          </w:p>
        </w:tc>
        <w:tc>
          <w:tcPr>
            <w:tcW w:w="392" w:type="pct"/>
          </w:tcPr>
          <w:p w14:paraId="134A51F0" w14:textId="20534402" w:rsidR="00152B77" w:rsidRPr="00977258" w:rsidRDefault="00152B77" w:rsidP="001755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Cs w:val="18"/>
              </w:rPr>
            </w:pPr>
            <w:r w:rsidRPr="00152B77">
              <w:rPr>
                <w:rFonts w:asciiTheme="minorHAnsi" w:hAnsiTheme="minorHAnsi"/>
                <w:bCs/>
                <w:color w:val="000000"/>
                <w:szCs w:val="18"/>
              </w:rPr>
              <w:t>30/9/2021</w:t>
            </w:r>
          </w:p>
        </w:tc>
        <w:tc>
          <w:tcPr>
            <w:tcW w:w="511" w:type="pct"/>
            <w:vMerge/>
          </w:tcPr>
          <w:p w14:paraId="25361438" w14:textId="77777777" w:rsidR="00152B77" w:rsidRPr="00977258" w:rsidRDefault="00152B77" w:rsidP="001755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Cs w:val="18"/>
              </w:rPr>
            </w:pPr>
          </w:p>
        </w:tc>
      </w:tr>
    </w:tbl>
    <w:p w14:paraId="64EB070F" w14:textId="55941521" w:rsidR="00904C57" w:rsidRPr="00EE6C63" w:rsidRDefault="00904C57" w:rsidP="00A4340E">
      <w:pPr>
        <w:widowControl w:val="0"/>
        <w:autoSpaceDE w:val="0"/>
        <w:autoSpaceDN w:val="0"/>
        <w:adjustRightInd w:val="0"/>
        <w:spacing w:after="0" w:line="240" w:lineRule="auto"/>
        <w:rPr>
          <w:rStyle w:val="FontStyle42"/>
          <w:rFonts w:ascii="Arial Narrow" w:hAnsi="Arial Narrow"/>
          <w:sz w:val="20"/>
          <w:szCs w:val="20"/>
        </w:rPr>
      </w:pPr>
    </w:p>
    <w:sectPr w:rsidR="00904C57" w:rsidRPr="00EE6C63" w:rsidSect="0077325B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AFD6F" w14:textId="77777777" w:rsidR="00B77BB1" w:rsidRDefault="00B77BB1" w:rsidP="00152B77">
      <w:pPr>
        <w:spacing w:after="0" w:line="240" w:lineRule="auto"/>
      </w:pPr>
      <w:r>
        <w:separator/>
      </w:r>
    </w:p>
  </w:endnote>
  <w:endnote w:type="continuationSeparator" w:id="0">
    <w:p w14:paraId="093BE38D" w14:textId="77777777" w:rsidR="00B77BB1" w:rsidRDefault="00B77BB1" w:rsidP="0015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5478596"/>
      <w:docPartObj>
        <w:docPartGallery w:val="Page Numbers (Bottom of Page)"/>
        <w:docPartUnique/>
      </w:docPartObj>
    </w:sdtPr>
    <w:sdtEndPr/>
    <w:sdtContent>
      <w:p w14:paraId="2AE5FFFC" w14:textId="3926EFDC" w:rsidR="00A4340E" w:rsidRDefault="00A4340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B99B3BA" w14:textId="77777777" w:rsidR="00A4340E" w:rsidRDefault="00A434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C3BEC" w14:textId="77777777" w:rsidR="00B77BB1" w:rsidRDefault="00B77BB1" w:rsidP="00152B77">
      <w:pPr>
        <w:spacing w:after="0" w:line="240" w:lineRule="auto"/>
      </w:pPr>
      <w:r>
        <w:separator/>
      </w:r>
    </w:p>
  </w:footnote>
  <w:footnote w:type="continuationSeparator" w:id="0">
    <w:p w14:paraId="63EBDE6C" w14:textId="77777777" w:rsidR="00B77BB1" w:rsidRDefault="00B77BB1" w:rsidP="00152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9E55A" w14:textId="04AFD1D3" w:rsidR="00152B77" w:rsidRDefault="00152B77" w:rsidP="00152B77">
    <w:pPr>
      <w:pStyle w:val="Encabezado"/>
      <w:jc w:val="center"/>
      <w:rPr>
        <w:rFonts w:ascii="Arial" w:hAnsi="Arial" w:cs="Arial"/>
        <w:b/>
        <w:bCs/>
        <w:color w:val="365F91" w:themeColor="accent1" w:themeShade="BF"/>
      </w:rPr>
    </w:pPr>
    <w:r w:rsidRPr="00152B77">
      <w:rPr>
        <w:rFonts w:ascii="Arial" w:hAnsi="Arial" w:cs="Arial"/>
        <w:b/>
        <w:bCs/>
        <w:noProof/>
        <w:color w:val="365F91" w:themeColor="accent1" w:themeShade="BF"/>
      </w:rPr>
      <w:drawing>
        <wp:anchor distT="0" distB="0" distL="114300" distR="114300" simplePos="0" relativeHeight="251659264" behindDoc="0" locked="0" layoutInCell="1" allowOverlap="1" wp14:anchorId="00436629" wp14:editId="705217AB">
          <wp:simplePos x="0" y="0"/>
          <wp:positionH relativeFrom="column">
            <wp:posOffset>7461885</wp:posOffset>
          </wp:positionH>
          <wp:positionV relativeFrom="paragraph">
            <wp:posOffset>-163830</wp:posOffset>
          </wp:positionV>
          <wp:extent cx="521970" cy="620395"/>
          <wp:effectExtent l="0" t="0" r="0" b="8255"/>
          <wp:wrapNone/>
          <wp:docPr id="64" name="Google Shape;70;p16">
            <a:extLst xmlns:a="http://schemas.openxmlformats.org/drawingml/2006/main">
              <a:ext uri="{FF2B5EF4-FFF2-40B4-BE49-F238E27FC236}">
                <a16:creationId xmlns:a16="http://schemas.microsoft.com/office/drawing/2014/main" id="{53F6F3D5-CFEC-4ED3-A954-466AF071CAF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Google Shape;70;p16">
                    <a:extLst>
                      <a:ext uri="{FF2B5EF4-FFF2-40B4-BE49-F238E27FC236}">
                        <a16:creationId xmlns:a16="http://schemas.microsoft.com/office/drawing/2014/main" id="{53F6F3D5-CFEC-4ED3-A954-466AF071CAF9}"/>
                      </a:ext>
                    </a:extLst>
                  </pic:cNvPr>
                  <pic:cNvPicPr preferRelativeResize="0"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2B77">
      <w:rPr>
        <w:rFonts w:ascii="Arial" w:hAnsi="Arial" w:cs="Arial"/>
        <w:b/>
        <w:bCs/>
        <w:noProof/>
        <w:color w:val="365F91" w:themeColor="accent1" w:themeShade="BF"/>
      </w:rPr>
      <w:drawing>
        <wp:anchor distT="0" distB="0" distL="114300" distR="114300" simplePos="0" relativeHeight="251657216" behindDoc="0" locked="0" layoutInCell="1" allowOverlap="1" wp14:anchorId="7BF4E98D" wp14:editId="7E58BACD">
          <wp:simplePos x="0" y="0"/>
          <wp:positionH relativeFrom="column">
            <wp:posOffset>8055248</wp:posOffset>
          </wp:positionH>
          <wp:positionV relativeFrom="paragraph">
            <wp:posOffset>-169363</wp:posOffset>
          </wp:positionV>
          <wp:extent cx="571500" cy="593272"/>
          <wp:effectExtent l="0" t="0" r="0" b="0"/>
          <wp:wrapNone/>
          <wp:docPr id="63" name="Google Shape;69;p16">
            <a:extLst xmlns:a="http://schemas.openxmlformats.org/drawingml/2006/main">
              <a:ext uri="{FF2B5EF4-FFF2-40B4-BE49-F238E27FC236}">
                <a16:creationId xmlns:a16="http://schemas.microsoft.com/office/drawing/2014/main" id="{A8864DDA-B4B9-44DF-B722-4D514D47D8A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Google Shape;69;p16">
                    <a:extLst>
                      <a:ext uri="{FF2B5EF4-FFF2-40B4-BE49-F238E27FC236}">
                        <a16:creationId xmlns:a16="http://schemas.microsoft.com/office/drawing/2014/main" id="{A8864DDA-B4B9-44DF-B722-4D514D47D8A4}"/>
                      </a:ext>
                    </a:extLst>
                  </pic:cNvPr>
                  <pic:cNvPicPr preferRelativeResize="0"/>
                </pic:nvPicPr>
                <pic:blipFill>
                  <a:blip r:embed="rId2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93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2B77">
      <w:rPr>
        <w:rFonts w:ascii="Arial" w:hAnsi="Arial" w:cs="Arial"/>
        <w:b/>
        <w:bCs/>
        <w:color w:val="365F91" w:themeColor="accent1" w:themeShade="BF"/>
      </w:rPr>
      <w:t>Sector de Ciencia, Tecnología, Telecomunicaciones y Gobernanza Digital</w:t>
    </w:r>
  </w:p>
  <w:p w14:paraId="68114220" w14:textId="74B71527" w:rsidR="00BB7777" w:rsidRPr="00152B77" w:rsidRDefault="00BB7777" w:rsidP="00152B77">
    <w:pPr>
      <w:pStyle w:val="Encabezado"/>
      <w:jc w:val="center"/>
      <w:rPr>
        <w:rFonts w:ascii="Arial" w:hAnsi="Arial" w:cs="Arial"/>
        <w:b/>
        <w:bCs/>
        <w:color w:val="365F91" w:themeColor="accent1" w:themeShade="BF"/>
      </w:rPr>
    </w:pPr>
    <w:r w:rsidRPr="00BB7777">
      <w:rPr>
        <w:rFonts w:ascii="Arial" w:hAnsi="Arial" w:cs="Arial"/>
        <w:b/>
        <w:bCs/>
        <w:color w:val="365F91" w:themeColor="accent1" w:themeShade="BF"/>
      </w:rPr>
      <w:t>MICITT-SPIS-INF-012-2021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B577F"/>
    <w:multiLevelType w:val="hybridMultilevel"/>
    <w:tmpl w:val="93CC98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C5847"/>
    <w:multiLevelType w:val="hybridMultilevel"/>
    <w:tmpl w:val="E8DA71C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B2F32"/>
    <w:multiLevelType w:val="hybridMultilevel"/>
    <w:tmpl w:val="EBBAC106"/>
    <w:lvl w:ilvl="0" w:tplc="3C666FD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B6D86"/>
    <w:multiLevelType w:val="hybridMultilevel"/>
    <w:tmpl w:val="E7F65F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9C1"/>
    <w:rsid w:val="000035D8"/>
    <w:rsid w:val="00031940"/>
    <w:rsid w:val="000656FD"/>
    <w:rsid w:val="00074125"/>
    <w:rsid w:val="0009702E"/>
    <w:rsid w:val="00152B77"/>
    <w:rsid w:val="001768D9"/>
    <w:rsid w:val="00190F16"/>
    <w:rsid w:val="001A5654"/>
    <w:rsid w:val="001A62EE"/>
    <w:rsid w:val="001E568D"/>
    <w:rsid w:val="00237EE7"/>
    <w:rsid w:val="002434AF"/>
    <w:rsid w:val="0026495A"/>
    <w:rsid w:val="00296A4C"/>
    <w:rsid w:val="002A4B92"/>
    <w:rsid w:val="002C7024"/>
    <w:rsid w:val="00313509"/>
    <w:rsid w:val="0034280E"/>
    <w:rsid w:val="0040026D"/>
    <w:rsid w:val="00414F5C"/>
    <w:rsid w:val="004E3549"/>
    <w:rsid w:val="005004A5"/>
    <w:rsid w:val="00547BA3"/>
    <w:rsid w:val="00552AF2"/>
    <w:rsid w:val="0057619E"/>
    <w:rsid w:val="00583482"/>
    <w:rsid w:val="0059713C"/>
    <w:rsid w:val="005B2B06"/>
    <w:rsid w:val="005C4A26"/>
    <w:rsid w:val="00601C47"/>
    <w:rsid w:val="00644D9F"/>
    <w:rsid w:val="00690BD5"/>
    <w:rsid w:val="006C699E"/>
    <w:rsid w:val="006D28A7"/>
    <w:rsid w:val="006D6F45"/>
    <w:rsid w:val="007057AE"/>
    <w:rsid w:val="00724136"/>
    <w:rsid w:val="0077325B"/>
    <w:rsid w:val="007C3661"/>
    <w:rsid w:val="007E7421"/>
    <w:rsid w:val="00836B23"/>
    <w:rsid w:val="008B7758"/>
    <w:rsid w:val="00904C57"/>
    <w:rsid w:val="00920A44"/>
    <w:rsid w:val="009422CB"/>
    <w:rsid w:val="0096033B"/>
    <w:rsid w:val="009646DF"/>
    <w:rsid w:val="00985D4B"/>
    <w:rsid w:val="00995BF5"/>
    <w:rsid w:val="00996E78"/>
    <w:rsid w:val="00A15647"/>
    <w:rsid w:val="00A4340E"/>
    <w:rsid w:val="00A83613"/>
    <w:rsid w:val="00A95FC9"/>
    <w:rsid w:val="00AB5254"/>
    <w:rsid w:val="00AF457B"/>
    <w:rsid w:val="00B3597B"/>
    <w:rsid w:val="00B77BB1"/>
    <w:rsid w:val="00B8051A"/>
    <w:rsid w:val="00B966A1"/>
    <w:rsid w:val="00BB7777"/>
    <w:rsid w:val="00BD65D5"/>
    <w:rsid w:val="00BF1B16"/>
    <w:rsid w:val="00BF29C1"/>
    <w:rsid w:val="00C04FA2"/>
    <w:rsid w:val="00C6002D"/>
    <w:rsid w:val="00C95D17"/>
    <w:rsid w:val="00D33BD3"/>
    <w:rsid w:val="00D52457"/>
    <w:rsid w:val="00D659F7"/>
    <w:rsid w:val="00D87FE1"/>
    <w:rsid w:val="00DA5FF0"/>
    <w:rsid w:val="00DC3D9B"/>
    <w:rsid w:val="00E22D4F"/>
    <w:rsid w:val="00E240AE"/>
    <w:rsid w:val="00E41E5A"/>
    <w:rsid w:val="00E6164F"/>
    <w:rsid w:val="00EB2C59"/>
    <w:rsid w:val="00EE6C63"/>
    <w:rsid w:val="00F27B6F"/>
    <w:rsid w:val="00F64533"/>
    <w:rsid w:val="00FB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0C21A"/>
  <w15:docId w15:val="{8958D95E-B60B-4FD0-BE7F-1291E1E5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29C1"/>
    <w:rPr>
      <w:rFonts w:ascii="Calibri" w:eastAsia="Calibri" w:hAnsi="Calibri" w:cs="Calibri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9C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FontStyle42">
    <w:name w:val="Font Style42"/>
    <w:rsid w:val="001A62EE"/>
    <w:rPr>
      <w:rFonts w:ascii="Times New Roman" w:hAnsi="Times New Roman" w:cs="Times New Roman"/>
      <w:color w:val="000000"/>
      <w:sz w:val="22"/>
      <w:szCs w:val="22"/>
    </w:rPr>
  </w:style>
  <w:style w:type="table" w:styleId="Tablaclsica3">
    <w:name w:val="Table Classic 3"/>
    <w:aliases w:val="Tabla MIDEPLAN"/>
    <w:basedOn w:val="Tablanormal"/>
    <w:rsid w:val="00DA5FF0"/>
    <w:pPr>
      <w:spacing w:after="0" w:line="240" w:lineRule="auto"/>
      <w:jc w:val="both"/>
    </w:pPr>
    <w:rPr>
      <w:rFonts w:ascii="Calibri" w:eastAsia="Times New Roman" w:hAnsi="Calibri" w:cs="Times New Roman"/>
      <w:sz w:val="18"/>
      <w:szCs w:val="20"/>
      <w:lang w:val="es-ES_tradnl" w:eastAsia="es-CR"/>
    </w:r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cPr>
      <w:shd w:val="solid" w:color="C0C0C0" w:fill="FFFFFF"/>
    </w:tcPr>
    <w:tblStylePr w:type="firstRow">
      <w:pPr>
        <w:jc w:val="center"/>
      </w:pPr>
      <w:rPr>
        <w:rFonts w:ascii="Cambria Math" w:hAnsi="Cambria Math"/>
        <w:b/>
        <w:bCs/>
        <w:i w:val="0"/>
        <w:iCs/>
        <w:color w:val="FFFFFF"/>
        <w:sz w:val="20"/>
      </w:rPr>
      <w:tblPr/>
      <w:tcPr>
        <w:shd w:val="clear" w:color="auto" w:fill="0F243E"/>
        <w:vAlign w:val="center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pPr>
        <w:jc w:val="left"/>
      </w:pPr>
      <w:rPr>
        <w:rFonts w:ascii="Cambria Math" w:hAnsi="Cambria Math"/>
        <w:b w:val="0"/>
        <w:bCs/>
        <w:color w:val="000000"/>
        <w:sz w:val="20"/>
      </w:rPr>
    </w:tblStylePr>
    <w:tblStylePr w:type="band1Horz">
      <w:tblPr/>
      <w:tcPr>
        <w:shd w:val="clear" w:color="C0C0C0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titulosdetablas">
    <w:name w:val="titulos de tablas"/>
    <w:basedOn w:val="Normal"/>
    <w:link w:val="titulosdetablasChar"/>
    <w:autoRedefine/>
    <w:qFormat/>
    <w:rsid w:val="00152B77"/>
    <w:pPr>
      <w:spacing w:after="0" w:line="240" w:lineRule="auto"/>
      <w:ind w:left="-253" w:firstLine="164"/>
      <w:jc w:val="center"/>
    </w:pPr>
    <w:rPr>
      <w:rFonts w:ascii="Arial Narrow" w:eastAsia="Times New Roman" w:hAnsi="Arial Narrow" w:cs="Times New Roman"/>
      <w:b/>
      <w:iCs/>
      <w:color w:val="FFFFFF" w:themeColor="background1"/>
      <w:sz w:val="18"/>
      <w:szCs w:val="18"/>
      <w:lang w:val="es-ES" w:eastAsia="es-ES"/>
    </w:rPr>
  </w:style>
  <w:style w:type="character" w:customStyle="1" w:styleId="titulosdetablasChar">
    <w:name w:val="titulos de tablas Char"/>
    <w:basedOn w:val="Fuentedeprrafopredeter"/>
    <w:link w:val="titulosdetablas"/>
    <w:rsid w:val="00152B77"/>
    <w:rPr>
      <w:rFonts w:ascii="Arial Narrow" w:eastAsia="Times New Roman" w:hAnsi="Arial Narrow" w:cs="Times New Roman"/>
      <w:b/>
      <w:iCs/>
      <w:color w:val="FFFFFF" w:themeColor="background1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904C57"/>
    <w:pPr>
      <w:spacing w:after="0" w:line="240" w:lineRule="auto"/>
    </w:pPr>
    <w:rPr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428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28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280E"/>
    <w:rPr>
      <w:rFonts w:ascii="Calibri" w:eastAsia="Calibri" w:hAnsi="Calibri" w:cs="Calibri"/>
      <w:sz w:val="20"/>
      <w:szCs w:val="20"/>
      <w:lang w:eastAsia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28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280E"/>
    <w:rPr>
      <w:rFonts w:ascii="Calibri" w:eastAsia="Calibri" w:hAnsi="Calibri" w:cs="Calibri"/>
      <w:b/>
      <w:bCs/>
      <w:sz w:val="20"/>
      <w:szCs w:val="20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80E"/>
    <w:rPr>
      <w:rFonts w:ascii="Tahoma" w:eastAsia="Calibri" w:hAnsi="Tahoma" w:cs="Tahoma"/>
      <w:sz w:val="16"/>
      <w:szCs w:val="16"/>
      <w:lang w:eastAsia="es-CR"/>
    </w:rPr>
  </w:style>
  <w:style w:type="paragraph" w:customStyle="1" w:styleId="Default">
    <w:name w:val="Default"/>
    <w:rsid w:val="00237E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52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2B77"/>
    <w:rPr>
      <w:rFonts w:ascii="Calibri" w:eastAsia="Calibri" w:hAnsi="Calibri" w:cs="Calibri"/>
      <w:lang w:eastAsia="es-CR"/>
    </w:rPr>
  </w:style>
  <w:style w:type="paragraph" w:styleId="Piedepgina">
    <w:name w:val="footer"/>
    <w:basedOn w:val="Normal"/>
    <w:link w:val="PiedepginaCar"/>
    <w:uiPriority w:val="99"/>
    <w:unhideWhenUsed/>
    <w:rsid w:val="00152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B77"/>
    <w:rPr>
      <w:rFonts w:ascii="Calibri" w:eastAsia="Calibri" w:hAnsi="Calibri" w:cs="Calibri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Rojas  Rojas</dc:creator>
  <cp:lastModifiedBy>Ana Vargas Obando</cp:lastModifiedBy>
  <cp:revision>10</cp:revision>
  <dcterms:created xsi:type="dcterms:W3CDTF">2020-03-10T16:15:00Z</dcterms:created>
  <dcterms:modified xsi:type="dcterms:W3CDTF">2021-03-23T15:29:00Z</dcterms:modified>
</cp:coreProperties>
</file>