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C60" w:rsidRPr="00DA0D46" w:rsidRDefault="00B90C60" w:rsidP="00B90C60">
      <w:pPr>
        <w:spacing w:line="360" w:lineRule="auto"/>
        <w:rPr>
          <w:rFonts w:ascii="Calibri" w:eastAsia="Calibri" w:hAnsi="Calibri" w:cs="Calibri"/>
          <w:b/>
          <w:sz w:val="28"/>
          <w:szCs w:val="22"/>
          <w:lang w:val="es-CR" w:eastAsia="en-US"/>
        </w:rPr>
      </w:pPr>
      <w:bookmarkStart w:id="0" w:name="_GoBack"/>
      <w:bookmarkEnd w:id="0"/>
      <w:r w:rsidRPr="00DA0D46">
        <w:rPr>
          <w:rFonts w:ascii="Calibri" w:eastAsia="Calibri" w:hAnsi="Calibri" w:cs="Calibri"/>
          <w:b/>
          <w:sz w:val="28"/>
          <w:szCs w:val="22"/>
          <w:lang w:val="es-CR" w:eastAsia="en-US"/>
        </w:rPr>
        <w:t>Ficha técnica del indicador:</w:t>
      </w:r>
    </w:p>
    <w:p w:rsidR="00B90C60" w:rsidRPr="00DA0D46" w:rsidRDefault="002E3133" w:rsidP="002E3133">
      <w:pPr>
        <w:spacing w:line="360" w:lineRule="auto"/>
        <w:jc w:val="both"/>
        <w:rPr>
          <w:rFonts w:ascii="Calibri" w:eastAsia="Calibri" w:hAnsi="Calibri" w:cs="Calibri"/>
          <w:b/>
          <w:sz w:val="28"/>
          <w:szCs w:val="22"/>
          <w:lang w:val="es-CR" w:eastAsia="en-US"/>
        </w:rPr>
      </w:pPr>
      <w:r>
        <w:rPr>
          <w:rFonts w:ascii="Calibri" w:eastAsia="Calibri" w:hAnsi="Calibri" w:cs="Calibri"/>
          <w:b/>
          <w:sz w:val="28"/>
          <w:szCs w:val="22"/>
          <w:lang w:val="es-CR" w:eastAsia="en-US"/>
        </w:rPr>
        <w:t xml:space="preserve">Nombre del indicador: </w:t>
      </w:r>
      <w:r w:rsidRPr="002E3133">
        <w:rPr>
          <w:rFonts w:ascii="Calibri" w:eastAsia="Calibri" w:hAnsi="Calibri" w:cs="Calibri"/>
          <w:b/>
          <w:sz w:val="28"/>
          <w:szCs w:val="22"/>
          <w:lang w:val="es-CR" w:eastAsia="en-US"/>
        </w:rPr>
        <w:t>Cantidad de centros colaborativos e instituciones participantes.</w:t>
      </w:r>
    </w:p>
    <w:tbl>
      <w:tblPr>
        <w:tblStyle w:val="GFATableGrid1"/>
        <w:tblW w:w="9067" w:type="dxa"/>
        <w:tblLook w:val="01E0" w:firstRow="1" w:lastRow="1" w:firstColumn="1" w:lastColumn="1" w:noHBand="0" w:noVBand="0"/>
      </w:tblPr>
      <w:tblGrid>
        <w:gridCol w:w="1510"/>
        <w:gridCol w:w="1338"/>
        <w:gridCol w:w="6219"/>
      </w:tblGrid>
      <w:tr w:rsidR="00B90C60" w:rsidRPr="00DA0D46" w:rsidTr="0090152D">
        <w:trPr>
          <w:trHeight w:val="325"/>
          <w:tblHeader/>
        </w:trPr>
        <w:tc>
          <w:tcPr>
            <w:tcW w:w="2758" w:type="dxa"/>
            <w:gridSpan w:val="2"/>
            <w:shd w:val="clear" w:color="auto" w:fill="E7E6E6" w:themeFill="background2"/>
            <w:hideMark/>
          </w:tcPr>
          <w:p w:rsidR="00B90C60" w:rsidRPr="00DA0D46" w:rsidRDefault="00B90C60" w:rsidP="0090152D">
            <w:pPr>
              <w:pStyle w:val="Sinespaciado"/>
              <w:jc w:val="center"/>
              <w:rPr>
                <w:rFonts w:ascii="Arial Narrow" w:hAnsi="Arial Narrow"/>
                <w:b/>
                <w:bCs/>
                <w:sz w:val="22"/>
                <w:szCs w:val="18"/>
                <w:lang w:eastAsia="en-US"/>
              </w:rPr>
            </w:pPr>
            <w:r w:rsidRPr="00DA0D46">
              <w:rPr>
                <w:rFonts w:ascii="Arial Narrow" w:hAnsi="Arial Narrow"/>
                <w:b/>
                <w:sz w:val="22"/>
                <w:szCs w:val="18"/>
                <w:lang w:eastAsia="en-US"/>
              </w:rPr>
              <w:t>Elemento</w:t>
            </w:r>
          </w:p>
        </w:tc>
        <w:tc>
          <w:tcPr>
            <w:tcW w:w="6309" w:type="dxa"/>
            <w:shd w:val="clear" w:color="auto" w:fill="E7E6E6" w:themeFill="background2"/>
            <w:hideMark/>
          </w:tcPr>
          <w:p w:rsidR="00B90C60" w:rsidRPr="00DA0D46" w:rsidRDefault="00B90C60" w:rsidP="0090152D">
            <w:pPr>
              <w:pStyle w:val="Sinespaciado"/>
              <w:jc w:val="center"/>
              <w:rPr>
                <w:rFonts w:ascii="Arial Narrow" w:hAnsi="Arial Narrow"/>
                <w:b/>
                <w:bCs/>
                <w:sz w:val="22"/>
                <w:szCs w:val="18"/>
                <w:lang w:eastAsia="en-US"/>
              </w:rPr>
            </w:pPr>
            <w:r w:rsidRPr="00DA0D46">
              <w:rPr>
                <w:rFonts w:ascii="Arial Narrow" w:hAnsi="Arial Narrow"/>
                <w:b/>
                <w:sz w:val="22"/>
                <w:szCs w:val="18"/>
                <w:lang w:eastAsia="en-US"/>
              </w:rPr>
              <w:t>Descripción</w:t>
            </w:r>
          </w:p>
        </w:tc>
      </w:tr>
      <w:tr w:rsidR="00B90C60" w:rsidRPr="00DA0D46" w:rsidTr="0090152D">
        <w:trPr>
          <w:trHeight w:val="437"/>
        </w:trPr>
        <w:tc>
          <w:tcPr>
            <w:tcW w:w="2758" w:type="dxa"/>
            <w:gridSpan w:val="2"/>
          </w:tcPr>
          <w:p w:rsidR="00B90C60" w:rsidRPr="00DA0D46" w:rsidRDefault="00B90C60" w:rsidP="0090152D">
            <w:pPr>
              <w:pStyle w:val="Sinespaciado"/>
              <w:rPr>
                <w:rFonts w:ascii="Arial Narrow" w:hAnsi="Arial Narrow"/>
                <w:b/>
                <w:sz w:val="22"/>
                <w:szCs w:val="18"/>
                <w:lang w:eastAsia="en-US"/>
              </w:rPr>
            </w:pPr>
            <w:r w:rsidRPr="00DA0D46">
              <w:rPr>
                <w:rFonts w:ascii="Arial Narrow" w:hAnsi="Arial Narrow"/>
                <w:b/>
                <w:sz w:val="22"/>
                <w:szCs w:val="18"/>
                <w:lang w:eastAsia="en-US"/>
              </w:rPr>
              <w:t>Nombre del indicador</w:t>
            </w:r>
          </w:p>
        </w:tc>
        <w:tc>
          <w:tcPr>
            <w:tcW w:w="6309" w:type="dxa"/>
          </w:tcPr>
          <w:p w:rsidR="00B90C60" w:rsidRPr="00DA0D46" w:rsidRDefault="00F578B7" w:rsidP="00F578B7">
            <w:pPr>
              <w:pStyle w:val="Sinespaciado"/>
              <w:jc w:val="both"/>
              <w:rPr>
                <w:rFonts w:ascii="Arial Narrow" w:hAnsi="Arial Narrow"/>
                <w:sz w:val="22"/>
                <w:szCs w:val="18"/>
                <w:lang w:val="es-CR" w:eastAsia="en-US"/>
              </w:rPr>
            </w:pPr>
            <w:r w:rsidRPr="00F578B7">
              <w:rPr>
                <w:rFonts w:ascii="Arial Narrow" w:hAnsi="Arial Narrow"/>
                <w:sz w:val="22"/>
                <w:szCs w:val="18"/>
                <w:lang w:val="es-CR" w:eastAsia="en-US"/>
              </w:rPr>
              <w:t>Cantidad de centros colaborativos e instituciones participantes.</w:t>
            </w:r>
          </w:p>
        </w:tc>
      </w:tr>
      <w:tr w:rsidR="00B90C60" w:rsidRPr="00DA0D46" w:rsidTr="0090152D">
        <w:trPr>
          <w:trHeight w:val="437"/>
        </w:trPr>
        <w:tc>
          <w:tcPr>
            <w:tcW w:w="2758" w:type="dxa"/>
            <w:gridSpan w:val="2"/>
            <w:hideMark/>
          </w:tcPr>
          <w:p w:rsidR="00B90C60" w:rsidRPr="00DA0D46" w:rsidRDefault="00B90C60" w:rsidP="0090152D">
            <w:pPr>
              <w:pStyle w:val="Sinespaciado"/>
              <w:rPr>
                <w:rFonts w:ascii="Arial Narrow" w:hAnsi="Arial Narrow"/>
                <w:b/>
                <w:sz w:val="22"/>
                <w:szCs w:val="18"/>
                <w:lang w:val="es-CR" w:eastAsia="en-US"/>
              </w:rPr>
            </w:pPr>
            <w:r w:rsidRPr="00DA0D46">
              <w:rPr>
                <w:rFonts w:ascii="Arial Narrow" w:hAnsi="Arial Narrow"/>
                <w:b/>
                <w:sz w:val="22"/>
                <w:szCs w:val="18"/>
                <w:lang w:val="es-CR" w:eastAsia="en-US"/>
              </w:rPr>
              <w:t>Definición conceptual</w:t>
            </w:r>
          </w:p>
        </w:tc>
        <w:tc>
          <w:tcPr>
            <w:tcW w:w="6309" w:type="dxa"/>
            <w:hideMark/>
          </w:tcPr>
          <w:p w:rsidR="00F578B7" w:rsidRPr="00DA0D46" w:rsidRDefault="00F578B7" w:rsidP="0090152D">
            <w:pPr>
              <w:pStyle w:val="Sinespaciado"/>
              <w:jc w:val="both"/>
              <w:rPr>
                <w:rFonts w:ascii="Arial Narrow" w:hAnsi="Arial Narrow"/>
                <w:sz w:val="22"/>
                <w:szCs w:val="18"/>
                <w:lang w:val="es-CR" w:eastAsia="en-US"/>
              </w:rPr>
            </w:pPr>
            <w:r>
              <w:rPr>
                <w:rFonts w:ascii="Arial Narrow" w:hAnsi="Arial Narrow"/>
                <w:sz w:val="22"/>
                <w:szCs w:val="18"/>
                <w:lang w:val="es-CR" w:eastAsia="en-US"/>
              </w:rPr>
              <w:t xml:space="preserve">Centros colaborativos son las </w:t>
            </w:r>
            <w:r w:rsidRPr="00F578B7">
              <w:rPr>
                <w:rFonts w:ascii="Arial Narrow" w:hAnsi="Arial Narrow"/>
                <w:sz w:val="22"/>
                <w:szCs w:val="18"/>
                <w:lang w:val="es-CR" w:eastAsia="en-US"/>
              </w:rPr>
              <w:t>ins</w:t>
            </w:r>
            <w:r>
              <w:rPr>
                <w:rFonts w:ascii="Arial Narrow" w:hAnsi="Arial Narrow"/>
                <w:sz w:val="22"/>
                <w:szCs w:val="18"/>
                <w:lang w:val="es-CR" w:eastAsia="en-US"/>
              </w:rPr>
              <w:t>tituciones nucleares nacionales que participa</w:t>
            </w:r>
            <w:r w:rsidRPr="00F578B7">
              <w:rPr>
                <w:rFonts w:ascii="Arial Narrow" w:hAnsi="Arial Narrow"/>
                <w:sz w:val="22"/>
                <w:szCs w:val="18"/>
                <w:lang w:val="es-CR" w:eastAsia="en-US"/>
              </w:rPr>
              <w:t>n en acciones de cooperación técnica y la gestión del conocimiento.</w:t>
            </w:r>
          </w:p>
          <w:p w:rsidR="00B90C60" w:rsidRPr="00DA0D46" w:rsidRDefault="00B90C60" w:rsidP="00F578B7">
            <w:pPr>
              <w:pStyle w:val="Sinespaciado"/>
              <w:jc w:val="both"/>
              <w:rPr>
                <w:rFonts w:ascii="Arial Narrow" w:hAnsi="Arial Narrow"/>
                <w:sz w:val="22"/>
                <w:szCs w:val="18"/>
                <w:lang w:val="es-CR" w:eastAsia="en-US"/>
              </w:rPr>
            </w:pPr>
          </w:p>
        </w:tc>
      </w:tr>
      <w:tr w:rsidR="00B90C60" w:rsidRPr="00DA0D46" w:rsidTr="0090152D">
        <w:trPr>
          <w:trHeight w:val="531"/>
        </w:trPr>
        <w:tc>
          <w:tcPr>
            <w:tcW w:w="2758" w:type="dxa"/>
            <w:gridSpan w:val="2"/>
            <w:hideMark/>
          </w:tcPr>
          <w:p w:rsidR="00B90C60" w:rsidRPr="00DA0D46" w:rsidRDefault="00B90C60" w:rsidP="0090152D">
            <w:pPr>
              <w:pStyle w:val="Sinespaciado"/>
              <w:rPr>
                <w:rFonts w:ascii="Arial Narrow" w:hAnsi="Arial Narrow"/>
                <w:b/>
                <w:bCs/>
                <w:sz w:val="22"/>
                <w:szCs w:val="18"/>
                <w:lang w:eastAsia="en-US"/>
              </w:rPr>
            </w:pPr>
            <w:r w:rsidRPr="00DA0D46">
              <w:rPr>
                <w:rFonts w:ascii="Arial Narrow" w:hAnsi="Arial Narrow"/>
                <w:b/>
                <w:sz w:val="22"/>
                <w:szCs w:val="18"/>
                <w:lang w:eastAsia="en-US"/>
              </w:rPr>
              <w:t xml:space="preserve">Fórmula de cálculo </w:t>
            </w:r>
          </w:p>
        </w:tc>
        <w:tc>
          <w:tcPr>
            <w:tcW w:w="6309" w:type="dxa"/>
            <w:hideMark/>
          </w:tcPr>
          <w:p w:rsidR="00B90C60" w:rsidRDefault="00F578B7" w:rsidP="00F578B7">
            <w:pPr>
              <w:pStyle w:val="Sinespaciado"/>
              <w:jc w:val="both"/>
              <w:rPr>
                <w:rFonts w:ascii="Arial Narrow" w:hAnsi="Arial Narrow"/>
                <w:bCs/>
                <w:sz w:val="22"/>
                <w:szCs w:val="18"/>
                <w:lang w:val="es-CR" w:eastAsia="en-US"/>
              </w:rPr>
            </w:pPr>
            <w:r>
              <w:rPr>
                <w:rFonts w:ascii="Arial Narrow" w:hAnsi="Arial Narrow"/>
                <w:bCs/>
                <w:sz w:val="22"/>
                <w:szCs w:val="18"/>
                <w:lang w:val="es-CR" w:eastAsia="en-US"/>
              </w:rPr>
              <w:t xml:space="preserve">∑ I = ∑ </w:t>
            </w:r>
            <w:proofErr w:type="spellStart"/>
            <w:r>
              <w:rPr>
                <w:rFonts w:ascii="Arial Narrow" w:hAnsi="Arial Narrow"/>
                <w:bCs/>
                <w:sz w:val="22"/>
                <w:szCs w:val="18"/>
                <w:lang w:val="es-CR" w:eastAsia="en-US"/>
              </w:rPr>
              <w:t>posi</w:t>
            </w:r>
            <w:proofErr w:type="spellEnd"/>
            <w:r>
              <w:rPr>
                <w:rFonts w:ascii="Arial Narrow" w:hAnsi="Arial Narrow"/>
                <w:bCs/>
                <w:sz w:val="22"/>
                <w:szCs w:val="18"/>
                <w:lang w:val="es-CR" w:eastAsia="en-US"/>
              </w:rPr>
              <w:t xml:space="preserve"> - ∑ des. </w:t>
            </w:r>
          </w:p>
          <w:p w:rsidR="00F578B7" w:rsidRPr="00DA0D46" w:rsidRDefault="00F578B7" w:rsidP="00F578B7">
            <w:pPr>
              <w:pStyle w:val="Sinespaciado"/>
              <w:jc w:val="both"/>
              <w:rPr>
                <w:rFonts w:ascii="Arial Narrow" w:hAnsi="Arial Narrow"/>
                <w:bCs/>
                <w:sz w:val="22"/>
                <w:szCs w:val="18"/>
                <w:lang w:val="es-CR" w:eastAsia="en-US"/>
              </w:rPr>
            </w:pPr>
          </w:p>
        </w:tc>
      </w:tr>
      <w:tr w:rsidR="00B90C60" w:rsidRPr="00DA0D46" w:rsidTr="0090152D">
        <w:trPr>
          <w:trHeight w:val="340"/>
        </w:trPr>
        <w:tc>
          <w:tcPr>
            <w:tcW w:w="2758" w:type="dxa"/>
            <w:gridSpan w:val="2"/>
          </w:tcPr>
          <w:p w:rsidR="00B90C60" w:rsidRPr="00DA0D46" w:rsidRDefault="00B90C60" w:rsidP="0090152D">
            <w:pPr>
              <w:pStyle w:val="Sinespaciado"/>
              <w:rPr>
                <w:rFonts w:ascii="Arial Narrow" w:hAnsi="Arial Narrow"/>
                <w:b/>
                <w:sz w:val="22"/>
                <w:szCs w:val="18"/>
                <w:lang w:eastAsia="en-US"/>
              </w:rPr>
            </w:pPr>
            <w:r w:rsidRPr="00DA0D46">
              <w:rPr>
                <w:rFonts w:ascii="Arial Narrow" w:hAnsi="Arial Narrow"/>
                <w:b/>
                <w:sz w:val="22"/>
                <w:szCs w:val="18"/>
                <w:lang w:eastAsia="en-US"/>
              </w:rPr>
              <w:t>Componentes involucrados en la f</w:t>
            </w:r>
            <w:proofErr w:type="spellStart"/>
            <w:r w:rsidRPr="00DA0D46">
              <w:rPr>
                <w:rFonts w:ascii="Arial Narrow" w:hAnsi="Arial Narrow"/>
                <w:b/>
                <w:sz w:val="22"/>
                <w:szCs w:val="18"/>
                <w:lang w:val="es-CR" w:eastAsia="en-US"/>
              </w:rPr>
              <w:t>ó</w:t>
            </w:r>
            <w:r w:rsidRPr="00DA0D46">
              <w:rPr>
                <w:rFonts w:ascii="Arial Narrow" w:hAnsi="Arial Narrow"/>
                <w:b/>
                <w:sz w:val="22"/>
                <w:szCs w:val="18"/>
                <w:lang w:eastAsia="en-US"/>
              </w:rPr>
              <w:t>rmula</w:t>
            </w:r>
            <w:proofErr w:type="spellEnd"/>
            <w:r w:rsidRPr="00DA0D46">
              <w:rPr>
                <w:rFonts w:ascii="Arial Narrow" w:hAnsi="Arial Narrow"/>
                <w:b/>
                <w:sz w:val="22"/>
                <w:szCs w:val="18"/>
                <w:lang w:eastAsia="en-US"/>
              </w:rPr>
              <w:t xml:space="preserve"> del cálculo</w:t>
            </w:r>
          </w:p>
        </w:tc>
        <w:tc>
          <w:tcPr>
            <w:tcW w:w="6309" w:type="dxa"/>
          </w:tcPr>
          <w:p w:rsidR="00B90C60" w:rsidRPr="00DA0D46" w:rsidRDefault="0039626C" w:rsidP="00F578B7">
            <w:pPr>
              <w:pStyle w:val="Sinespaciado"/>
              <w:jc w:val="both"/>
              <w:rPr>
                <w:rFonts w:ascii="Arial Narrow" w:hAnsi="Arial Narrow"/>
                <w:bCs/>
                <w:sz w:val="22"/>
                <w:szCs w:val="18"/>
                <w:lang w:eastAsia="en-US"/>
              </w:rPr>
            </w:pPr>
            <w:r>
              <w:rPr>
                <w:rFonts w:ascii="Arial Narrow" w:hAnsi="Arial Narrow"/>
                <w:bCs/>
                <w:sz w:val="22"/>
                <w:szCs w:val="18"/>
                <w:lang w:eastAsia="en-US"/>
              </w:rPr>
              <w:t xml:space="preserve">Sumatoria de </w:t>
            </w:r>
            <w:r w:rsidR="00F578B7" w:rsidRPr="00F578B7">
              <w:rPr>
                <w:rFonts w:ascii="Arial Narrow" w:hAnsi="Arial Narrow"/>
                <w:bCs/>
                <w:sz w:val="22"/>
                <w:szCs w:val="18"/>
                <w:lang w:eastAsia="en-US"/>
              </w:rPr>
              <w:t>Entidades identifica</w:t>
            </w:r>
            <w:r>
              <w:rPr>
                <w:rFonts w:ascii="Arial Narrow" w:hAnsi="Arial Narrow"/>
                <w:bCs/>
                <w:sz w:val="22"/>
                <w:szCs w:val="18"/>
                <w:lang w:eastAsia="en-US"/>
              </w:rPr>
              <w:t>da</w:t>
            </w:r>
            <w:r w:rsidR="00F578B7" w:rsidRPr="00F578B7">
              <w:rPr>
                <w:rFonts w:ascii="Arial Narrow" w:hAnsi="Arial Narrow"/>
                <w:bCs/>
                <w:sz w:val="22"/>
                <w:szCs w:val="18"/>
                <w:lang w:eastAsia="en-US"/>
              </w:rPr>
              <w:t>s</w:t>
            </w:r>
            <w:r>
              <w:rPr>
                <w:rFonts w:ascii="Arial Narrow" w:hAnsi="Arial Narrow"/>
                <w:bCs/>
                <w:sz w:val="22"/>
                <w:szCs w:val="18"/>
                <w:lang w:eastAsia="en-US"/>
              </w:rPr>
              <w:t xml:space="preserve"> </w:t>
            </w:r>
            <w:r w:rsidR="00F578B7" w:rsidRPr="00F578B7">
              <w:rPr>
                <w:rFonts w:ascii="Arial Narrow" w:hAnsi="Arial Narrow"/>
                <w:bCs/>
                <w:sz w:val="22"/>
                <w:szCs w:val="18"/>
                <w:lang w:eastAsia="en-US"/>
              </w:rPr>
              <w:t xml:space="preserve">= </w:t>
            </w:r>
            <w:r>
              <w:rPr>
                <w:rFonts w:ascii="Arial Narrow" w:hAnsi="Arial Narrow"/>
                <w:bCs/>
                <w:sz w:val="22"/>
                <w:szCs w:val="18"/>
                <w:lang w:eastAsia="en-US"/>
              </w:rPr>
              <w:t xml:space="preserve">Sumatoria de </w:t>
            </w:r>
            <w:r w:rsidR="00F578B7" w:rsidRPr="00F578B7">
              <w:rPr>
                <w:rFonts w:ascii="Arial Narrow" w:hAnsi="Arial Narrow"/>
                <w:bCs/>
                <w:sz w:val="22"/>
                <w:szCs w:val="18"/>
                <w:lang w:eastAsia="en-US"/>
              </w:rPr>
              <w:t xml:space="preserve">Entidades posibles </w:t>
            </w:r>
            <w:r>
              <w:rPr>
                <w:rFonts w:ascii="Arial Narrow" w:hAnsi="Arial Narrow"/>
                <w:bCs/>
                <w:sz w:val="22"/>
                <w:szCs w:val="18"/>
                <w:lang w:eastAsia="en-US"/>
              </w:rPr>
              <w:t>–</w:t>
            </w:r>
            <w:r w:rsidR="00F578B7" w:rsidRPr="00F578B7">
              <w:rPr>
                <w:rFonts w:ascii="Arial Narrow" w:hAnsi="Arial Narrow"/>
                <w:bCs/>
                <w:sz w:val="22"/>
                <w:szCs w:val="18"/>
                <w:lang w:eastAsia="en-US"/>
              </w:rPr>
              <w:t xml:space="preserve"> </w:t>
            </w:r>
            <w:r>
              <w:rPr>
                <w:rFonts w:ascii="Arial Narrow" w:hAnsi="Arial Narrow"/>
                <w:bCs/>
                <w:sz w:val="22"/>
                <w:szCs w:val="18"/>
                <w:lang w:eastAsia="en-US"/>
              </w:rPr>
              <w:t xml:space="preserve">Sumatoria de </w:t>
            </w:r>
            <w:r w:rsidR="00F578B7" w:rsidRPr="00F578B7">
              <w:rPr>
                <w:rFonts w:ascii="Arial Narrow" w:hAnsi="Arial Narrow"/>
                <w:bCs/>
                <w:sz w:val="22"/>
                <w:szCs w:val="18"/>
                <w:lang w:eastAsia="en-US"/>
              </w:rPr>
              <w:t>Entidades descartadas</w:t>
            </w:r>
          </w:p>
        </w:tc>
      </w:tr>
      <w:tr w:rsidR="00B90C60" w:rsidRPr="00DA0D46" w:rsidTr="0090152D">
        <w:trPr>
          <w:trHeight w:val="340"/>
        </w:trPr>
        <w:tc>
          <w:tcPr>
            <w:tcW w:w="2758" w:type="dxa"/>
            <w:gridSpan w:val="2"/>
            <w:hideMark/>
          </w:tcPr>
          <w:p w:rsidR="00B90C60" w:rsidRPr="00DA0D46" w:rsidRDefault="00B90C60" w:rsidP="0090152D">
            <w:pPr>
              <w:pStyle w:val="Sinespaciado"/>
              <w:rPr>
                <w:rFonts w:ascii="Arial Narrow" w:hAnsi="Arial Narrow"/>
                <w:b/>
                <w:bCs/>
                <w:sz w:val="22"/>
                <w:szCs w:val="18"/>
                <w:lang w:eastAsia="en-US"/>
              </w:rPr>
            </w:pPr>
            <w:r w:rsidRPr="00DA0D46">
              <w:rPr>
                <w:rFonts w:ascii="Arial Narrow" w:hAnsi="Arial Narrow"/>
                <w:b/>
                <w:sz w:val="22"/>
                <w:szCs w:val="18"/>
                <w:lang w:eastAsia="en-US"/>
              </w:rPr>
              <w:t>Unidad de medida</w:t>
            </w:r>
          </w:p>
        </w:tc>
        <w:tc>
          <w:tcPr>
            <w:tcW w:w="6309" w:type="dxa"/>
            <w:hideMark/>
          </w:tcPr>
          <w:p w:rsidR="00B90C60" w:rsidRPr="00DA0D46" w:rsidRDefault="0039626C" w:rsidP="0090152D">
            <w:pPr>
              <w:pStyle w:val="Sinespaciado"/>
              <w:jc w:val="both"/>
              <w:rPr>
                <w:rFonts w:ascii="Arial Narrow" w:hAnsi="Arial Narrow"/>
                <w:bCs/>
                <w:sz w:val="22"/>
                <w:szCs w:val="18"/>
                <w:lang w:val="es-CR" w:eastAsia="en-US"/>
              </w:rPr>
            </w:pPr>
            <w:r>
              <w:rPr>
                <w:rFonts w:ascii="Arial Narrow" w:hAnsi="Arial Narrow"/>
                <w:bCs/>
                <w:sz w:val="22"/>
                <w:szCs w:val="18"/>
                <w:lang w:val="es-CR" w:eastAsia="en-US"/>
              </w:rPr>
              <w:t>números</w:t>
            </w:r>
          </w:p>
          <w:p w:rsidR="00B90C60" w:rsidRPr="00DA0D46" w:rsidRDefault="00B90C60" w:rsidP="0090152D">
            <w:pPr>
              <w:pStyle w:val="Sinespaciado"/>
              <w:jc w:val="both"/>
              <w:rPr>
                <w:rFonts w:ascii="Arial Narrow" w:hAnsi="Arial Narrow"/>
                <w:bCs/>
                <w:sz w:val="22"/>
                <w:szCs w:val="18"/>
                <w:lang w:val="es-CR" w:eastAsia="en-US"/>
              </w:rPr>
            </w:pPr>
          </w:p>
        </w:tc>
      </w:tr>
      <w:tr w:rsidR="00B90C60" w:rsidRPr="00DA0D46" w:rsidTr="0090152D">
        <w:trPr>
          <w:trHeight w:val="302"/>
        </w:trPr>
        <w:tc>
          <w:tcPr>
            <w:tcW w:w="2758" w:type="dxa"/>
            <w:gridSpan w:val="2"/>
            <w:hideMark/>
          </w:tcPr>
          <w:p w:rsidR="00B90C60" w:rsidRPr="00DA0D46" w:rsidRDefault="00B90C60" w:rsidP="0090152D">
            <w:pPr>
              <w:pStyle w:val="Sinespaciado"/>
              <w:rPr>
                <w:rFonts w:ascii="Arial Narrow" w:hAnsi="Arial Narrow"/>
                <w:b/>
                <w:bCs/>
                <w:sz w:val="22"/>
                <w:szCs w:val="18"/>
                <w:lang w:eastAsia="en-US"/>
              </w:rPr>
            </w:pPr>
            <w:r w:rsidRPr="00DA0D46">
              <w:rPr>
                <w:rFonts w:ascii="Arial Narrow" w:hAnsi="Arial Narrow"/>
                <w:b/>
                <w:sz w:val="22"/>
                <w:szCs w:val="18"/>
                <w:lang w:eastAsia="en-US"/>
              </w:rPr>
              <w:t>Interpretación</w:t>
            </w:r>
          </w:p>
        </w:tc>
        <w:tc>
          <w:tcPr>
            <w:tcW w:w="6309" w:type="dxa"/>
            <w:hideMark/>
          </w:tcPr>
          <w:p w:rsidR="00B90C60" w:rsidRPr="00DA0D46" w:rsidRDefault="0039626C" w:rsidP="0039626C">
            <w:pPr>
              <w:pStyle w:val="Sinespaciado"/>
              <w:jc w:val="both"/>
              <w:rPr>
                <w:rFonts w:ascii="Arial Narrow" w:hAnsi="Arial Narrow"/>
                <w:bCs/>
                <w:sz w:val="22"/>
                <w:szCs w:val="18"/>
                <w:lang w:val="es-CR" w:eastAsia="en-US"/>
              </w:rPr>
            </w:pPr>
            <w:r>
              <w:rPr>
                <w:rFonts w:ascii="Arial Narrow" w:hAnsi="Arial Narrow"/>
                <w:bCs/>
                <w:color w:val="FF0000"/>
                <w:sz w:val="22"/>
                <w:szCs w:val="18"/>
                <w:lang w:val="es-CR" w:eastAsia="en-US"/>
              </w:rPr>
              <w:t>Existen en  Costa Rica X cantidad de instituciones dedicadas a la cooperación técnica y la gestión del conocimiento en los temas de los usos pacíficos de la energía nuclear.</w:t>
            </w:r>
          </w:p>
        </w:tc>
      </w:tr>
      <w:tr w:rsidR="00B90C60" w:rsidRPr="00DA0D46" w:rsidTr="0090152D">
        <w:trPr>
          <w:trHeight w:val="240"/>
        </w:trPr>
        <w:tc>
          <w:tcPr>
            <w:tcW w:w="1417" w:type="dxa"/>
            <w:vMerge w:val="restart"/>
            <w:vAlign w:val="center"/>
            <w:hideMark/>
          </w:tcPr>
          <w:p w:rsidR="00B90C60" w:rsidRPr="00DA0D46" w:rsidRDefault="00B90C60" w:rsidP="0090152D">
            <w:pPr>
              <w:pStyle w:val="Sinespaciado"/>
              <w:rPr>
                <w:rFonts w:ascii="Arial Narrow" w:hAnsi="Arial Narrow"/>
                <w:b/>
                <w:bCs/>
                <w:sz w:val="22"/>
                <w:szCs w:val="18"/>
                <w:lang w:eastAsia="en-US"/>
              </w:rPr>
            </w:pPr>
            <w:r w:rsidRPr="00DA0D46">
              <w:rPr>
                <w:rFonts w:ascii="Arial Narrow" w:hAnsi="Arial Narrow"/>
                <w:b/>
                <w:bCs/>
                <w:sz w:val="22"/>
                <w:szCs w:val="18"/>
                <w:lang w:eastAsia="en-US"/>
              </w:rPr>
              <w:t>Desagregación</w:t>
            </w:r>
          </w:p>
        </w:tc>
        <w:tc>
          <w:tcPr>
            <w:tcW w:w="1341" w:type="dxa"/>
          </w:tcPr>
          <w:p w:rsidR="00B90C60" w:rsidRPr="00DA0D46" w:rsidRDefault="00B90C60" w:rsidP="0090152D">
            <w:pPr>
              <w:pStyle w:val="Sinespaciado"/>
              <w:rPr>
                <w:rFonts w:ascii="Arial Narrow" w:hAnsi="Arial Narrow"/>
                <w:b/>
                <w:bCs/>
                <w:sz w:val="22"/>
                <w:szCs w:val="18"/>
                <w:lang w:val="es-CR" w:eastAsia="en-US"/>
              </w:rPr>
            </w:pPr>
            <w:r w:rsidRPr="00DA0D46">
              <w:rPr>
                <w:rFonts w:ascii="Arial Narrow" w:hAnsi="Arial Narrow"/>
                <w:b/>
                <w:bCs/>
                <w:sz w:val="22"/>
                <w:szCs w:val="18"/>
                <w:lang w:val="es-CR" w:eastAsia="en-US"/>
              </w:rPr>
              <w:t>Geográfica</w:t>
            </w:r>
          </w:p>
        </w:tc>
        <w:tc>
          <w:tcPr>
            <w:tcW w:w="6309" w:type="dxa"/>
            <w:hideMark/>
          </w:tcPr>
          <w:p w:rsidR="00B90C60" w:rsidRPr="00DA0D46" w:rsidRDefault="0039626C" w:rsidP="0090152D">
            <w:pPr>
              <w:pStyle w:val="Sinespaciado"/>
              <w:jc w:val="both"/>
              <w:rPr>
                <w:rFonts w:ascii="Arial Narrow" w:hAnsi="Arial Narrow"/>
                <w:bCs/>
                <w:sz w:val="22"/>
                <w:szCs w:val="18"/>
                <w:lang w:val="es-CR" w:eastAsia="en-US"/>
              </w:rPr>
            </w:pPr>
            <w:r>
              <w:rPr>
                <w:rFonts w:ascii="Arial Narrow" w:hAnsi="Arial Narrow"/>
                <w:bCs/>
                <w:sz w:val="22"/>
                <w:szCs w:val="18"/>
                <w:lang w:val="es-CR" w:eastAsia="en-US"/>
              </w:rPr>
              <w:t>‘A nivel nacional</w:t>
            </w:r>
          </w:p>
          <w:p w:rsidR="00B90C60" w:rsidRPr="00DA0D46" w:rsidRDefault="00B90C60" w:rsidP="0090152D">
            <w:pPr>
              <w:pStyle w:val="Sinespaciado"/>
              <w:jc w:val="both"/>
              <w:rPr>
                <w:rFonts w:ascii="Arial Narrow" w:hAnsi="Arial Narrow"/>
                <w:bCs/>
                <w:sz w:val="22"/>
                <w:szCs w:val="18"/>
                <w:lang w:val="es-CR" w:eastAsia="en-US"/>
              </w:rPr>
            </w:pPr>
          </w:p>
        </w:tc>
      </w:tr>
      <w:tr w:rsidR="00B90C60" w:rsidRPr="00DA0D46" w:rsidTr="0090152D">
        <w:trPr>
          <w:trHeight w:val="240"/>
        </w:trPr>
        <w:tc>
          <w:tcPr>
            <w:tcW w:w="1417" w:type="dxa"/>
            <w:vMerge/>
          </w:tcPr>
          <w:p w:rsidR="00B90C60" w:rsidRPr="00DA0D46" w:rsidRDefault="00B90C60" w:rsidP="0090152D">
            <w:pPr>
              <w:pStyle w:val="Sinespaciado"/>
              <w:jc w:val="center"/>
              <w:rPr>
                <w:rFonts w:ascii="Arial Narrow" w:hAnsi="Arial Narrow"/>
                <w:b/>
                <w:bCs/>
                <w:sz w:val="22"/>
                <w:szCs w:val="18"/>
                <w:lang w:val="es-CR" w:eastAsia="en-US"/>
              </w:rPr>
            </w:pPr>
          </w:p>
        </w:tc>
        <w:tc>
          <w:tcPr>
            <w:tcW w:w="1341" w:type="dxa"/>
          </w:tcPr>
          <w:p w:rsidR="00B90C60" w:rsidRPr="00DA0D46" w:rsidRDefault="00B90C60" w:rsidP="0090152D">
            <w:pPr>
              <w:pStyle w:val="Sinespaciado"/>
              <w:rPr>
                <w:rFonts w:ascii="Arial Narrow" w:hAnsi="Arial Narrow"/>
                <w:b/>
                <w:bCs/>
                <w:sz w:val="22"/>
                <w:szCs w:val="18"/>
                <w:lang w:eastAsia="en-US"/>
              </w:rPr>
            </w:pPr>
            <w:r w:rsidRPr="00DA0D46">
              <w:rPr>
                <w:rFonts w:ascii="Arial Narrow" w:hAnsi="Arial Narrow"/>
                <w:b/>
                <w:bCs/>
                <w:sz w:val="22"/>
                <w:szCs w:val="18"/>
                <w:lang w:eastAsia="en-US"/>
              </w:rPr>
              <w:t>Temática</w:t>
            </w:r>
          </w:p>
        </w:tc>
        <w:tc>
          <w:tcPr>
            <w:tcW w:w="6309" w:type="dxa"/>
          </w:tcPr>
          <w:p w:rsidR="00B90C60" w:rsidRPr="00DA0D46" w:rsidRDefault="0039626C" w:rsidP="0039626C">
            <w:pPr>
              <w:pStyle w:val="Sinespaciado"/>
              <w:jc w:val="both"/>
              <w:rPr>
                <w:rFonts w:ascii="Arial Narrow" w:hAnsi="Arial Narrow"/>
                <w:sz w:val="22"/>
                <w:szCs w:val="18"/>
                <w:lang w:val="es-CR" w:eastAsia="en-US"/>
              </w:rPr>
            </w:pPr>
            <w:r>
              <w:rPr>
                <w:rFonts w:ascii="Arial Narrow" w:hAnsi="Arial Narrow"/>
                <w:sz w:val="22"/>
                <w:szCs w:val="18"/>
                <w:lang w:eastAsia="en-US"/>
              </w:rPr>
              <w:t>Co</w:t>
            </w:r>
            <w:r w:rsidRPr="0039626C">
              <w:rPr>
                <w:rFonts w:ascii="Arial Narrow" w:hAnsi="Arial Narrow"/>
                <w:sz w:val="22"/>
                <w:szCs w:val="18"/>
                <w:lang w:val="es-CR" w:eastAsia="en-US"/>
              </w:rPr>
              <w:t>operación técnica y la gestión del conocimiento en los temas de los usos pacíficos de la energía nuclear.</w:t>
            </w:r>
          </w:p>
        </w:tc>
      </w:tr>
      <w:tr w:rsidR="00B90C60" w:rsidRPr="00DA0D46" w:rsidTr="0090152D">
        <w:trPr>
          <w:trHeight w:val="475"/>
        </w:trPr>
        <w:tc>
          <w:tcPr>
            <w:tcW w:w="2758" w:type="dxa"/>
            <w:gridSpan w:val="2"/>
            <w:hideMark/>
          </w:tcPr>
          <w:p w:rsidR="00B90C60" w:rsidRPr="00DA0D46" w:rsidRDefault="00B90C60" w:rsidP="0090152D">
            <w:pPr>
              <w:pStyle w:val="Sinespaciado"/>
              <w:rPr>
                <w:rFonts w:ascii="Arial Narrow" w:hAnsi="Arial Narrow"/>
                <w:b/>
                <w:bCs/>
                <w:sz w:val="22"/>
                <w:szCs w:val="18"/>
                <w:lang w:eastAsia="en-US"/>
              </w:rPr>
            </w:pPr>
            <w:r w:rsidRPr="00DA0D46">
              <w:rPr>
                <w:rFonts w:ascii="Arial Narrow" w:hAnsi="Arial Narrow"/>
                <w:b/>
                <w:sz w:val="22"/>
                <w:szCs w:val="18"/>
                <w:lang w:eastAsia="en-US"/>
              </w:rPr>
              <w:t>Línea base</w:t>
            </w:r>
          </w:p>
        </w:tc>
        <w:tc>
          <w:tcPr>
            <w:tcW w:w="6309" w:type="dxa"/>
            <w:hideMark/>
          </w:tcPr>
          <w:p w:rsidR="00B90C60" w:rsidRPr="00DA0D46" w:rsidRDefault="008948DF" w:rsidP="008948DF">
            <w:pPr>
              <w:pStyle w:val="Sinespaciado"/>
              <w:jc w:val="both"/>
              <w:rPr>
                <w:rFonts w:ascii="Arial Narrow" w:hAnsi="Arial Narrow"/>
                <w:bCs/>
                <w:sz w:val="22"/>
                <w:szCs w:val="18"/>
                <w:lang w:val="es-CR" w:eastAsia="en-US"/>
              </w:rPr>
            </w:pPr>
            <w:r>
              <w:rPr>
                <w:rFonts w:ascii="Arial Narrow" w:hAnsi="Arial Narrow"/>
                <w:sz w:val="22"/>
                <w:szCs w:val="18"/>
                <w:lang w:val="es-CR" w:eastAsia="en-US"/>
              </w:rPr>
              <w:t xml:space="preserve">5 Actualmente se cuenta con la participación de 5 instituciones dedicadas a la  </w:t>
            </w:r>
            <w:r w:rsidRPr="008948DF">
              <w:rPr>
                <w:rFonts w:ascii="Arial Narrow" w:hAnsi="Arial Narrow"/>
                <w:sz w:val="22"/>
                <w:szCs w:val="18"/>
                <w:lang w:val="es-CR" w:eastAsia="en-US"/>
              </w:rPr>
              <w:t>cooperación técnica y la gestión del conocimiento en los temas de los usos pacíficos de la energía nuclear</w:t>
            </w:r>
          </w:p>
        </w:tc>
      </w:tr>
      <w:tr w:rsidR="00B90C60" w:rsidRPr="00DA0D46" w:rsidTr="0090152D">
        <w:trPr>
          <w:trHeight w:val="291"/>
        </w:trPr>
        <w:tc>
          <w:tcPr>
            <w:tcW w:w="2758" w:type="dxa"/>
            <w:gridSpan w:val="2"/>
            <w:hideMark/>
          </w:tcPr>
          <w:p w:rsidR="00B90C60" w:rsidRPr="00DA0D46" w:rsidRDefault="00B90C60" w:rsidP="0090152D">
            <w:pPr>
              <w:pStyle w:val="Sinespaciado"/>
              <w:rPr>
                <w:rFonts w:ascii="Arial Narrow" w:hAnsi="Arial Narrow"/>
                <w:b/>
                <w:bCs/>
                <w:sz w:val="22"/>
                <w:szCs w:val="18"/>
                <w:lang w:eastAsia="en-US"/>
              </w:rPr>
            </w:pPr>
            <w:r w:rsidRPr="00DA0D46">
              <w:rPr>
                <w:rFonts w:ascii="Arial Narrow" w:hAnsi="Arial Narrow"/>
                <w:b/>
                <w:sz w:val="22"/>
                <w:szCs w:val="18"/>
                <w:lang w:eastAsia="en-US"/>
              </w:rPr>
              <w:t>Meta</w:t>
            </w:r>
          </w:p>
        </w:tc>
        <w:tc>
          <w:tcPr>
            <w:tcW w:w="6309" w:type="dxa"/>
            <w:hideMark/>
          </w:tcPr>
          <w:p w:rsidR="00B90C60" w:rsidRPr="00DA0D46" w:rsidRDefault="008948DF" w:rsidP="0090152D">
            <w:pPr>
              <w:pStyle w:val="Sinespaciado"/>
              <w:jc w:val="both"/>
              <w:rPr>
                <w:rFonts w:ascii="Arial Narrow" w:hAnsi="Arial Narrow"/>
                <w:sz w:val="22"/>
                <w:szCs w:val="18"/>
                <w:lang w:val="es-CR" w:eastAsia="en-US"/>
              </w:rPr>
            </w:pPr>
            <w:r w:rsidRPr="008948DF">
              <w:rPr>
                <w:rFonts w:ascii="Arial Narrow" w:hAnsi="Arial Narrow"/>
                <w:sz w:val="22"/>
                <w:szCs w:val="18"/>
                <w:lang w:val="es-CR" w:eastAsia="en-US"/>
              </w:rPr>
              <w:t>Establecer una red interinstitucional de colabo</w:t>
            </w:r>
            <w:r>
              <w:rPr>
                <w:rFonts w:ascii="Arial Narrow" w:hAnsi="Arial Narrow"/>
                <w:sz w:val="22"/>
                <w:szCs w:val="18"/>
                <w:lang w:val="es-CR" w:eastAsia="en-US"/>
              </w:rPr>
              <w:t xml:space="preserve">ración científica y tecnológica que cuente con 20  instituciones nacionales  </w:t>
            </w:r>
            <w:r w:rsidR="00B90C60" w:rsidRPr="00DA0D46">
              <w:rPr>
                <w:rFonts w:ascii="Arial Narrow" w:hAnsi="Arial Narrow"/>
                <w:sz w:val="22"/>
                <w:szCs w:val="18"/>
                <w:lang w:val="es-CR" w:eastAsia="en-US"/>
              </w:rPr>
              <w:t xml:space="preserve">en el período 2019-2022. </w:t>
            </w:r>
          </w:p>
          <w:p w:rsidR="00B90C60" w:rsidRPr="00DA0D46" w:rsidRDefault="00B90C60" w:rsidP="0090152D">
            <w:pPr>
              <w:pStyle w:val="Sinespaciado"/>
              <w:jc w:val="both"/>
              <w:rPr>
                <w:rFonts w:ascii="Arial Narrow" w:hAnsi="Arial Narrow"/>
                <w:bCs/>
                <w:sz w:val="22"/>
                <w:szCs w:val="18"/>
                <w:lang w:val="es-CR" w:eastAsia="en-US"/>
              </w:rPr>
            </w:pPr>
          </w:p>
        </w:tc>
      </w:tr>
      <w:tr w:rsidR="00B90C60" w:rsidRPr="00DA0D46" w:rsidTr="0090152D">
        <w:trPr>
          <w:trHeight w:val="531"/>
        </w:trPr>
        <w:tc>
          <w:tcPr>
            <w:tcW w:w="2758" w:type="dxa"/>
            <w:gridSpan w:val="2"/>
            <w:hideMark/>
          </w:tcPr>
          <w:p w:rsidR="00B90C60" w:rsidRPr="00DA0D46" w:rsidRDefault="00B90C60" w:rsidP="0090152D">
            <w:pPr>
              <w:pStyle w:val="Sinespaciado"/>
              <w:rPr>
                <w:rFonts w:ascii="Arial Narrow" w:hAnsi="Arial Narrow"/>
                <w:b/>
                <w:bCs/>
                <w:sz w:val="22"/>
                <w:szCs w:val="18"/>
                <w:lang w:eastAsia="en-US"/>
              </w:rPr>
            </w:pPr>
            <w:r w:rsidRPr="00DA0D46">
              <w:rPr>
                <w:rFonts w:ascii="Arial Narrow" w:hAnsi="Arial Narrow"/>
                <w:b/>
                <w:bCs/>
                <w:sz w:val="22"/>
                <w:szCs w:val="18"/>
                <w:lang w:eastAsia="en-US"/>
              </w:rPr>
              <w:t xml:space="preserve">Periodicidad </w:t>
            </w:r>
          </w:p>
        </w:tc>
        <w:tc>
          <w:tcPr>
            <w:tcW w:w="6309" w:type="dxa"/>
            <w:hideMark/>
          </w:tcPr>
          <w:p w:rsidR="00B90C60" w:rsidRPr="00DA0D46" w:rsidRDefault="008948DF" w:rsidP="008948DF">
            <w:pPr>
              <w:pStyle w:val="Sinespaciado"/>
              <w:jc w:val="both"/>
              <w:rPr>
                <w:rFonts w:ascii="Arial Narrow" w:hAnsi="Arial Narrow"/>
                <w:bCs/>
                <w:sz w:val="22"/>
                <w:szCs w:val="18"/>
                <w:lang w:eastAsia="en-US"/>
              </w:rPr>
            </w:pPr>
            <w:r>
              <w:rPr>
                <w:rFonts w:ascii="Arial Narrow" w:hAnsi="Arial Narrow"/>
                <w:bCs/>
                <w:sz w:val="22"/>
                <w:szCs w:val="18"/>
                <w:lang w:eastAsia="en-US"/>
              </w:rPr>
              <w:t>Anual</w:t>
            </w:r>
          </w:p>
        </w:tc>
      </w:tr>
      <w:tr w:rsidR="00B90C60" w:rsidRPr="008948DF" w:rsidTr="0090152D">
        <w:trPr>
          <w:trHeight w:val="453"/>
        </w:trPr>
        <w:tc>
          <w:tcPr>
            <w:tcW w:w="2758" w:type="dxa"/>
            <w:gridSpan w:val="2"/>
            <w:hideMark/>
          </w:tcPr>
          <w:p w:rsidR="00B90C60" w:rsidRPr="00DA0D46" w:rsidRDefault="00B90C60" w:rsidP="0090152D">
            <w:pPr>
              <w:pStyle w:val="Sinespaciado"/>
              <w:rPr>
                <w:rFonts w:ascii="Arial Narrow" w:hAnsi="Arial Narrow"/>
                <w:b/>
                <w:bCs/>
                <w:sz w:val="22"/>
                <w:szCs w:val="18"/>
                <w:lang w:eastAsia="en-US"/>
              </w:rPr>
            </w:pPr>
            <w:r w:rsidRPr="00DA0D46">
              <w:rPr>
                <w:rFonts w:ascii="Arial Narrow" w:hAnsi="Arial Narrow"/>
                <w:b/>
                <w:bCs/>
                <w:sz w:val="22"/>
                <w:szCs w:val="18"/>
                <w:lang w:eastAsia="en-US"/>
              </w:rPr>
              <w:t>Fuente de información</w:t>
            </w:r>
          </w:p>
        </w:tc>
        <w:tc>
          <w:tcPr>
            <w:tcW w:w="6309" w:type="dxa"/>
          </w:tcPr>
          <w:p w:rsidR="00B90C60" w:rsidRPr="008948DF" w:rsidRDefault="008948DF" w:rsidP="008948DF">
            <w:pPr>
              <w:rPr>
                <w:rFonts w:ascii="Arial Narrow" w:hAnsi="Arial Narrow"/>
                <w:bCs/>
                <w:strike/>
                <w:sz w:val="22"/>
                <w:szCs w:val="18"/>
                <w:lang w:val="pt-PT"/>
              </w:rPr>
            </w:pPr>
            <w:r w:rsidRPr="008948DF">
              <w:rPr>
                <w:rFonts w:ascii="Arial Narrow" w:hAnsi="Arial Narrow"/>
                <w:bCs/>
                <w:sz w:val="22"/>
                <w:szCs w:val="18"/>
                <w:lang w:val="pt-PT"/>
              </w:rPr>
              <w:t xml:space="preserve">Informes entregadoa a la Junta directiva </w:t>
            </w:r>
            <w:r>
              <w:rPr>
                <w:rFonts w:ascii="Arial Narrow" w:hAnsi="Arial Narrow"/>
                <w:bCs/>
                <w:sz w:val="22"/>
                <w:szCs w:val="18"/>
                <w:lang w:val="pt-PT"/>
              </w:rPr>
              <w:t>y Actas de Sesión de Junta Directiva.</w:t>
            </w:r>
          </w:p>
        </w:tc>
      </w:tr>
      <w:tr w:rsidR="00B90C60" w:rsidRPr="00DA0D46" w:rsidTr="0090152D">
        <w:trPr>
          <w:trHeight w:val="290"/>
        </w:trPr>
        <w:tc>
          <w:tcPr>
            <w:tcW w:w="2758" w:type="dxa"/>
            <w:gridSpan w:val="2"/>
            <w:hideMark/>
          </w:tcPr>
          <w:p w:rsidR="00B90C60" w:rsidRPr="00DA0D46" w:rsidRDefault="00B90C60" w:rsidP="0090152D">
            <w:pPr>
              <w:pStyle w:val="Sinespaciado"/>
              <w:rPr>
                <w:rFonts w:ascii="Arial Narrow" w:hAnsi="Arial Narrow"/>
                <w:b/>
                <w:bCs/>
                <w:sz w:val="22"/>
                <w:szCs w:val="18"/>
                <w:lang w:eastAsia="en-US"/>
              </w:rPr>
            </w:pPr>
            <w:r w:rsidRPr="00DA0D46">
              <w:rPr>
                <w:rFonts w:ascii="Arial Narrow" w:hAnsi="Arial Narrow"/>
                <w:b/>
                <w:sz w:val="22"/>
                <w:szCs w:val="18"/>
                <w:lang w:eastAsia="en-US"/>
              </w:rPr>
              <w:t>Clasificación</w:t>
            </w:r>
          </w:p>
        </w:tc>
        <w:tc>
          <w:tcPr>
            <w:tcW w:w="6309" w:type="dxa"/>
            <w:hideMark/>
          </w:tcPr>
          <w:p w:rsidR="00B90C60" w:rsidRPr="00DA0D46" w:rsidRDefault="00B90C60" w:rsidP="0090152D">
            <w:pPr>
              <w:pStyle w:val="Sinespaciado"/>
              <w:jc w:val="both"/>
              <w:rPr>
                <w:rFonts w:ascii="Arial Narrow" w:hAnsi="Arial Narrow"/>
                <w:bCs/>
                <w:sz w:val="22"/>
                <w:szCs w:val="18"/>
                <w:lang w:eastAsia="en-US"/>
              </w:rPr>
            </w:pPr>
            <w:r w:rsidRPr="00DA0D46">
              <w:rPr>
                <w:rFonts w:ascii="Arial Narrow" w:hAnsi="Arial Narrow"/>
                <w:bCs/>
                <w:sz w:val="22"/>
                <w:szCs w:val="18"/>
                <w:lang w:eastAsia="en-US"/>
              </w:rPr>
              <w:t>( ) Impacto.</w:t>
            </w:r>
          </w:p>
          <w:p w:rsidR="00B90C60" w:rsidRPr="00DA0D46" w:rsidRDefault="00B90C60" w:rsidP="0090152D">
            <w:pPr>
              <w:pStyle w:val="Sinespaciado"/>
              <w:jc w:val="both"/>
              <w:rPr>
                <w:rFonts w:ascii="Arial Narrow" w:hAnsi="Arial Narrow"/>
                <w:bCs/>
                <w:sz w:val="22"/>
                <w:szCs w:val="18"/>
                <w:lang w:eastAsia="en-US"/>
              </w:rPr>
            </w:pPr>
            <w:r w:rsidRPr="00DA0D46">
              <w:rPr>
                <w:rFonts w:ascii="Arial Narrow" w:hAnsi="Arial Narrow"/>
                <w:bCs/>
                <w:sz w:val="22"/>
                <w:szCs w:val="18"/>
                <w:lang w:eastAsia="en-US"/>
              </w:rPr>
              <w:t>( ) Efecto.</w:t>
            </w:r>
          </w:p>
          <w:p w:rsidR="00B90C60" w:rsidRPr="00DA0D46" w:rsidRDefault="00B90C60" w:rsidP="0090152D">
            <w:pPr>
              <w:pStyle w:val="Sinespaciado"/>
              <w:jc w:val="both"/>
              <w:rPr>
                <w:rFonts w:ascii="Arial Narrow" w:hAnsi="Arial Narrow"/>
                <w:bCs/>
                <w:sz w:val="22"/>
                <w:szCs w:val="18"/>
                <w:lang w:eastAsia="en-US"/>
              </w:rPr>
            </w:pPr>
            <w:r w:rsidRPr="00DA0D46">
              <w:rPr>
                <w:rFonts w:ascii="Arial Narrow" w:hAnsi="Arial Narrow"/>
                <w:bCs/>
                <w:sz w:val="22"/>
                <w:szCs w:val="18"/>
                <w:lang w:eastAsia="en-US"/>
              </w:rPr>
              <w:t>(</w:t>
            </w:r>
            <w:proofErr w:type="gramStart"/>
            <w:r w:rsidR="008948DF">
              <w:rPr>
                <w:rFonts w:ascii="Arial Narrow" w:hAnsi="Arial Narrow"/>
                <w:bCs/>
                <w:sz w:val="22"/>
                <w:szCs w:val="18"/>
                <w:lang w:eastAsia="en-US"/>
              </w:rPr>
              <w:t>x</w:t>
            </w:r>
            <w:r w:rsidRPr="00DA0D46">
              <w:rPr>
                <w:rFonts w:ascii="Arial Narrow" w:hAnsi="Arial Narrow"/>
                <w:bCs/>
                <w:sz w:val="22"/>
                <w:szCs w:val="18"/>
                <w:lang w:eastAsia="en-US"/>
              </w:rPr>
              <w:t xml:space="preserve"> )</w:t>
            </w:r>
            <w:proofErr w:type="gramEnd"/>
            <w:r w:rsidRPr="00DA0D46">
              <w:rPr>
                <w:rFonts w:ascii="Arial Narrow" w:hAnsi="Arial Narrow"/>
                <w:bCs/>
                <w:sz w:val="22"/>
                <w:szCs w:val="18"/>
                <w:lang w:eastAsia="en-US"/>
              </w:rPr>
              <w:t xml:space="preserve"> Producto.</w:t>
            </w:r>
          </w:p>
          <w:p w:rsidR="00B90C60" w:rsidRPr="00DA0D46" w:rsidRDefault="00B90C60" w:rsidP="0090152D">
            <w:pPr>
              <w:pStyle w:val="Sinespaciado"/>
              <w:jc w:val="both"/>
              <w:rPr>
                <w:rFonts w:ascii="Arial Narrow" w:hAnsi="Arial Narrow"/>
                <w:bCs/>
                <w:sz w:val="22"/>
                <w:szCs w:val="18"/>
                <w:lang w:eastAsia="en-US"/>
              </w:rPr>
            </w:pPr>
          </w:p>
        </w:tc>
      </w:tr>
      <w:tr w:rsidR="00B90C60" w:rsidRPr="00DA0D46" w:rsidTr="0090152D">
        <w:trPr>
          <w:trHeight w:val="393"/>
        </w:trPr>
        <w:tc>
          <w:tcPr>
            <w:tcW w:w="2758" w:type="dxa"/>
            <w:gridSpan w:val="2"/>
            <w:hideMark/>
          </w:tcPr>
          <w:p w:rsidR="00B90C60" w:rsidRPr="00DA0D46" w:rsidRDefault="00B90C60" w:rsidP="0090152D">
            <w:pPr>
              <w:pStyle w:val="Sinespaciado"/>
              <w:rPr>
                <w:rFonts w:ascii="Arial Narrow" w:hAnsi="Arial Narrow"/>
                <w:b/>
                <w:bCs/>
                <w:sz w:val="22"/>
                <w:szCs w:val="18"/>
                <w:lang w:eastAsia="en-US"/>
              </w:rPr>
            </w:pPr>
            <w:r w:rsidRPr="00DA0D46">
              <w:rPr>
                <w:rFonts w:ascii="Arial Narrow" w:hAnsi="Arial Narrow"/>
                <w:b/>
                <w:sz w:val="22"/>
                <w:szCs w:val="18"/>
                <w:lang w:eastAsia="en-US"/>
              </w:rPr>
              <w:t>Tipo de operación estadística</w:t>
            </w:r>
          </w:p>
        </w:tc>
        <w:tc>
          <w:tcPr>
            <w:tcW w:w="6309" w:type="dxa"/>
            <w:hideMark/>
          </w:tcPr>
          <w:p w:rsidR="00B90C60" w:rsidRPr="00DA0D46" w:rsidRDefault="008948DF" w:rsidP="0090152D">
            <w:pPr>
              <w:pStyle w:val="Sinespaciado"/>
              <w:jc w:val="both"/>
              <w:rPr>
                <w:rFonts w:ascii="Arial Narrow" w:hAnsi="Arial Narrow"/>
                <w:bCs/>
                <w:sz w:val="22"/>
                <w:szCs w:val="18"/>
                <w:lang w:val="es-CR" w:eastAsia="en-US"/>
              </w:rPr>
            </w:pPr>
            <w:r>
              <w:rPr>
                <w:rFonts w:ascii="Arial Narrow" w:hAnsi="Arial Narrow"/>
                <w:bCs/>
                <w:sz w:val="22"/>
                <w:szCs w:val="18"/>
                <w:lang w:eastAsia="en-US"/>
              </w:rPr>
              <w:t>Registro administrativo</w:t>
            </w:r>
          </w:p>
          <w:p w:rsidR="00B90C60" w:rsidRPr="00DA0D46" w:rsidRDefault="00B90C60" w:rsidP="0090152D">
            <w:pPr>
              <w:pStyle w:val="Sinespaciado"/>
              <w:jc w:val="both"/>
              <w:rPr>
                <w:rFonts w:ascii="Arial Narrow" w:hAnsi="Arial Narrow"/>
                <w:bCs/>
                <w:sz w:val="22"/>
                <w:szCs w:val="18"/>
                <w:lang w:val="es-CR" w:eastAsia="en-US"/>
              </w:rPr>
            </w:pPr>
          </w:p>
        </w:tc>
      </w:tr>
      <w:tr w:rsidR="00B90C60" w:rsidRPr="00DA0D46" w:rsidTr="0090152D">
        <w:trPr>
          <w:trHeight w:val="522"/>
        </w:trPr>
        <w:tc>
          <w:tcPr>
            <w:tcW w:w="2758" w:type="dxa"/>
            <w:gridSpan w:val="2"/>
            <w:hideMark/>
          </w:tcPr>
          <w:p w:rsidR="00B90C60" w:rsidRPr="00DA0D46" w:rsidRDefault="00B90C60" w:rsidP="0090152D">
            <w:pPr>
              <w:pStyle w:val="Sinespaciado"/>
              <w:rPr>
                <w:rFonts w:ascii="Arial Narrow" w:hAnsi="Arial Narrow"/>
                <w:b/>
                <w:bCs/>
                <w:sz w:val="22"/>
                <w:szCs w:val="18"/>
                <w:lang w:eastAsia="en-US"/>
              </w:rPr>
            </w:pPr>
            <w:r w:rsidRPr="00DA0D46">
              <w:rPr>
                <w:rFonts w:ascii="Arial Narrow" w:hAnsi="Arial Narrow"/>
                <w:b/>
                <w:sz w:val="22"/>
                <w:szCs w:val="18"/>
                <w:lang w:eastAsia="en-US"/>
              </w:rPr>
              <w:t>Comentarios generales</w:t>
            </w:r>
          </w:p>
        </w:tc>
        <w:tc>
          <w:tcPr>
            <w:tcW w:w="6309" w:type="dxa"/>
            <w:hideMark/>
          </w:tcPr>
          <w:p w:rsidR="002E3133" w:rsidRPr="002E3133" w:rsidRDefault="002E3133" w:rsidP="002E3133">
            <w:pPr>
              <w:jc w:val="both"/>
              <w:rPr>
                <w:rFonts w:ascii="Arial Narrow" w:hAnsi="Arial Narrow"/>
                <w:bCs/>
                <w:sz w:val="22"/>
                <w:szCs w:val="18"/>
                <w:lang w:val="es-CR" w:eastAsia="en-US"/>
              </w:rPr>
            </w:pPr>
            <w:r w:rsidRPr="002E3133">
              <w:rPr>
                <w:rFonts w:ascii="Arial Narrow" w:hAnsi="Arial Narrow"/>
                <w:bCs/>
                <w:sz w:val="22"/>
                <w:szCs w:val="18"/>
                <w:lang w:val="es-CR" w:eastAsia="en-US"/>
              </w:rPr>
              <w:t>Para la definición del servicio y/o producto de la institución, se consideró lo dispuesto en: La ley Básica de Usos Pacíficos de la Energía Atómica, Ley 4383.</w:t>
            </w:r>
          </w:p>
          <w:p w:rsidR="002E3133" w:rsidRPr="002E3133" w:rsidRDefault="002E3133" w:rsidP="002E3133">
            <w:pPr>
              <w:jc w:val="both"/>
              <w:rPr>
                <w:rFonts w:ascii="Arial Narrow" w:hAnsi="Arial Narrow"/>
                <w:bCs/>
                <w:sz w:val="22"/>
                <w:szCs w:val="18"/>
                <w:lang w:val="es-CR" w:eastAsia="en-US"/>
              </w:rPr>
            </w:pPr>
            <w:r w:rsidRPr="002E3133">
              <w:rPr>
                <w:rFonts w:ascii="Arial Narrow" w:hAnsi="Arial Narrow"/>
                <w:bCs/>
                <w:sz w:val="22"/>
                <w:szCs w:val="18"/>
                <w:lang w:val="es-CR" w:eastAsia="en-US"/>
              </w:rPr>
              <w:t>Con base en los objetivos y funciones asignadas por ley, los servicios que ofrece la Comisión de Energía Atómica están dirigidos principalmente, a satisfacer:</w:t>
            </w:r>
          </w:p>
          <w:p w:rsidR="002E3133" w:rsidRPr="002E3133" w:rsidRDefault="002E3133" w:rsidP="002E3133">
            <w:pPr>
              <w:jc w:val="both"/>
              <w:rPr>
                <w:rFonts w:ascii="Arial Narrow" w:hAnsi="Arial Narrow"/>
                <w:bCs/>
                <w:sz w:val="22"/>
                <w:szCs w:val="18"/>
                <w:lang w:val="es-CR" w:eastAsia="en-US"/>
              </w:rPr>
            </w:pPr>
            <w:r w:rsidRPr="002E3133">
              <w:rPr>
                <w:rFonts w:ascii="Arial Narrow" w:hAnsi="Arial Narrow"/>
                <w:bCs/>
                <w:sz w:val="22"/>
                <w:szCs w:val="18"/>
                <w:lang w:val="es-CR" w:eastAsia="en-US"/>
              </w:rPr>
              <w:t></w:t>
            </w:r>
            <w:r w:rsidRPr="002E3133">
              <w:rPr>
                <w:rFonts w:ascii="Arial Narrow" w:hAnsi="Arial Narrow"/>
                <w:bCs/>
                <w:sz w:val="22"/>
                <w:szCs w:val="18"/>
                <w:lang w:val="es-CR" w:eastAsia="en-US"/>
              </w:rPr>
              <w:tab/>
              <w:t>La necesidad de información y acceso a las aplicaciones, así como al desarrollo de los conocimientos nucleares básicos para mejorar la vida diaria y el bienestar de la población.</w:t>
            </w:r>
          </w:p>
          <w:p w:rsidR="002E3133" w:rsidRPr="002E3133" w:rsidRDefault="002E3133" w:rsidP="002E3133">
            <w:pPr>
              <w:jc w:val="both"/>
              <w:rPr>
                <w:rFonts w:ascii="Arial Narrow" w:hAnsi="Arial Narrow"/>
                <w:bCs/>
                <w:sz w:val="22"/>
                <w:szCs w:val="18"/>
                <w:lang w:val="es-CR" w:eastAsia="en-US"/>
              </w:rPr>
            </w:pPr>
            <w:r w:rsidRPr="002E3133">
              <w:rPr>
                <w:rFonts w:ascii="Arial Narrow" w:hAnsi="Arial Narrow"/>
                <w:bCs/>
                <w:sz w:val="22"/>
                <w:szCs w:val="18"/>
                <w:lang w:val="es-CR" w:eastAsia="en-US"/>
              </w:rPr>
              <w:lastRenderedPageBreak/>
              <w:t></w:t>
            </w:r>
            <w:r w:rsidRPr="002E3133">
              <w:rPr>
                <w:rFonts w:ascii="Arial Narrow" w:hAnsi="Arial Narrow"/>
                <w:bCs/>
                <w:sz w:val="22"/>
                <w:szCs w:val="18"/>
                <w:lang w:val="es-CR" w:eastAsia="en-US"/>
              </w:rPr>
              <w:tab/>
              <w:t>Las necesidades de las instituciones nacionales para resolver problemas prioritarios que no pueden ser resueltos con las técnicas convencionales.</w:t>
            </w:r>
          </w:p>
          <w:p w:rsidR="002E3133" w:rsidRPr="002E3133" w:rsidRDefault="002E3133" w:rsidP="002E3133">
            <w:pPr>
              <w:jc w:val="both"/>
              <w:rPr>
                <w:rFonts w:ascii="Arial Narrow" w:hAnsi="Arial Narrow"/>
                <w:bCs/>
                <w:sz w:val="22"/>
                <w:szCs w:val="18"/>
                <w:lang w:val="es-CR" w:eastAsia="en-US"/>
              </w:rPr>
            </w:pPr>
            <w:r w:rsidRPr="002E3133">
              <w:rPr>
                <w:rFonts w:ascii="Arial Narrow" w:hAnsi="Arial Narrow"/>
                <w:bCs/>
                <w:sz w:val="22"/>
                <w:szCs w:val="18"/>
                <w:lang w:val="es-CR" w:eastAsia="en-US"/>
              </w:rPr>
              <w:t></w:t>
            </w:r>
            <w:r w:rsidRPr="002E3133">
              <w:rPr>
                <w:rFonts w:ascii="Arial Narrow" w:hAnsi="Arial Narrow"/>
                <w:bCs/>
                <w:sz w:val="22"/>
                <w:szCs w:val="18"/>
                <w:lang w:val="es-CR" w:eastAsia="en-US"/>
              </w:rPr>
              <w:tab/>
              <w:t>Los requerimientos de capacitación y formación de recurso humano especializado en los diversos campos de las aplicaciones de la tecnología nuclear.</w:t>
            </w:r>
          </w:p>
          <w:p w:rsidR="002E3133" w:rsidRPr="002E3133" w:rsidRDefault="002E3133" w:rsidP="002E3133">
            <w:pPr>
              <w:jc w:val="both"/>
              <w:rPr>
                <w:rFonts w:ascii="Arial Narrow" w:hAnsi="Arial Narrow"/>
                <w:bCs/>
                <w:sz w:val="22"/>
                <w:szCs w:val="18"/>
                <w:lang w:val="es-CR" w:eastAsia="en-US"/>
              </w:rPr>
            </w:pPr>
            <w:r w:rsidRPr="002E3133">
              <w:rPr>
                <w:rFonts w:ascii="Arial Narrow" w:hAnsi="Arial Narrow"/>
                <w:bCs/>
                <w:sz w:val="22"/>
                <w:szCs w:val="18"/>
                <w:lang w:val="es-CR" w:eastAsia="en-US"/>
              </w:rPr>
              <w:t></w:t>
            </w:r>
            <w:r w:rsidRPr="002E3133">
              <w:rPr>
                <w:rFonts w:ascii="Arial Narrow" w:hAnsi="Arial Narrow"/>
                <w:bCs/>
                <w:sz w:val="22"/>
                <w:szCs w:val="18"/>
                <w:lang w:val="es-CR" w:eastAsia="en-US"/>
              </w:rPr>
              <w:tab/>
              <w:t>Apoyar a las instituciones para el logro de las prioridades nacionales de desarrollo, la consecución de los Objetivos de Desarrollo del Milenio, mediante el uso de la tecnología nuclear como la opción especializada efectiva y eficaz.</w:t>
            </w:r>
          </w:p>
          <w:p w:rsidR="002E3133" w:rsidRPr="002E3133" w:rsidRDefault="002E3133" w:rsidP="002E3133">
            <w:pPr>
              <w:jc w:val="both"/>
              <w:rPr>
                <w:rFonts w:ascii="Arial Narrow" w:hAnsi="Arial Narrow"/>
                <w:bCs/>
                <w:sz w:val="22"/>
                <w:szCs w:val="18"/>
                <w:lang w:val="es-CR" w:eastAsia="en-US"/>
              </w:rPr>
            </w:pPr>
            <w:r w:rsidRPr="002E3133">
              <w:rPr>
                <w:rFonts w:ascii="Arial Narrow" w:hAnsi="Arial Narrow"/>
                <w:bCs/>
                <w:sz w:val="22"/>
                <w:szCs w:val="18"/>
                <w:lang w:val="es-CR" w:eastAsia="en-US"/>
              </w:rPr>
              <w:t></w:t>
            </w:r>
            <w:r w:rsidRPr="002E3133">
              <w:rPr>
                <w:rFonts w:ascii="Arial Narrow" w:hAnsi="Arial Narrow"/>
                <w:bCs/>
                <w:sz w:val="22"/>
                <w:szCs w:val="18"/>
                <w:lang w:val="es-CR" w:eastAsia="en-US"/>
              </w:rPr>
              <w:tab/>
              <w:t xml:space="preserve">Asesorar y orientar a las instituciones del Poder Ejecutivo en la formulación, ejecución y evaluación de las políticas y directrices que permitan el desarrollo, la promoción de la ciencia y la tecnología nuclear a fin de dar respuesta a las necesidades del desarrollo de los sectores. </w:t>
            </w:r>
          </w:p>
          <w:p w:rsidR="002E3133" w:rsidRPr="002E3133" w:rsidRDefault="002E3133" w:rsidP="002E3133">
            <w:pPr>
              <w:jc w:val="both"/>
              <w:rPr>
                <w:rFonts w:ascii="Arial Narrow" w:hAnsi="Arial Narrow"/>
                <w:bCs/>
                <w:sz w:val="22"/>
                <w:szCs w:val="18"/>
                <w:lang w:val="es-CR" w:eastAsia="en-US"/>
              </w:rPr>
            </w:pPr>
            <w:r w:rsidRPr="002E3133">
              <w:rPr>
                <w:rFonts w:ascii="Arial Narrow" w:hAnsi="Arial Narrow"/>
                <w:bCs/>
                <w:sz w:val="22"/>
                <w:szCs w:val="18"/>
                <w:lang w:val="es-CR" w:eastAsia="en-US"/>
              </w:rPr>
              <w:t></w:t>
            </w:r>
            <w:r w:rsidRPr="002E3133">
              <w:rPr>
                <w:rFonts w:ascii="Arial Narrow" w:hAnsi="Arial Narrow"/>
                <w:bCs/>
                <w:sz w:val="22"/>
                <w:szCs w:val="18"/>
                <w:lang w:val="es-CR" w:eastAsia="en-US"/>
              </w:rPr>
              <w:tab/>
              <w:t xml:space="preserve">La normativa y los requerimientos establecidos a nivel nacional e internacional para garantizar el uso seguro de la tecnología nuclear en beneficio de la población. </w:t>
            </w:r>
          </w:p>
          <w:p w:rsidR="00B90C60" w:rsidRDefault="002E3133" w:rsidP="002E3133">
            <w:pPr>
              <w:jc w:val="both"/>
              <w:rPr>
                <w:rFonts w:ascii="Arial Narrow" w:hAnsi="Arial Narrow"/>
                <w:bCs/>
                <w:sz w:val="22"/>
                <w:szCs w:val="18"/>
                <w:lang w:val="es-CR" w:eastAsia="en-US"/>
              </w:rPr>
            </w:pPr>
            <w:r w:rsidRPr="002E3133">
              <w:rPr>
                <w:rFonts w:ascii="Arial Narrow" w:hAnsi="Arial Narrow"/>
                <w:bCs/>
                <w:sz w:val="22"/>
                <w:szCs w:val="18"/>
                <w:lang w:val="es-CR" w:eastAsia="en-US"/>
              </w:rPr>
              <w:t xml:space="preserve">Lo cual se logra mediante el apoyo financiero del Organismo Internacional de Energía Atómica (OIEA), agencia del Sistema de las Naciones Unidas quien cuenta con programas de cooperación técnica dirigidos a </w:t>
            </w:r>
            <w:r>
              <w:rPr>
                <w:rFonts w:ascii="Arial Narrow" w:hAnsi="Arial Narrow"/>
                <w:bCs/>
                <w:sz w:val="22"/>
                <w:szCs w:val="18"/>
                <w:lang w:val="es-CR" w:eastAsia="en-US"/>
              </w:rPr>
              <w:t>los Estados Miembros.</w:t>
            </w:r>
          </w:p>
          <w:p w:rsidR="002E3133" w:rsidRPr="00DA0D46" w:rsidRDefault="002E3133" w:rsidP="002E3133">
            <w:pPr>
              <w:jc w:val="both"/>
              <w:rPr>
                <w:rFonts w:ascii="Arial Narrow" w:hAnsi="Arial Narrow"/>
                <w:bCs/>
                <w:sz w:val="22"/>
                <w:szCs w:val="18"/>
                <w:lang w:val="es-CR" w:eastAsia="en-US"/>
              </w:rPr>
            </w:pPr>
          </w:p>
        </w:tc>
      </w:tr>
    </w:tbl>
    <w:p w:rsidR="00B90C60" w:rsidRPr="00DA0D46" w:rsidRDefault="00B90C60">
      <w:pPr>
        <w:rPr>
          <w:sz w:val="32"/>
        </w:rPr>
      </w:pPr>
    </w:p>
    <w:sectPr w:rsidR="00B90C60" w:rsidRPr="00DA0D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C60"/>
    <w:rsid w:val="002E3133"/>
    <w:rsid w:val="0039626C"/>
    <w:rsid w:val="004D3EB7"/>
    <w:rsid w:val="00715B74"/>
    <w:rsid w:val="008948DF"/>
    <w:rsid w:val="00B90C60"/>
    <w:rsid w:val="00D10B4F"/>
    <w:rsid w:val="00DA0D46"/>
    <w:rsid w:val="00F578B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9A99D-DE0A-4971-A0F2-42510093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C6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90C60"/>
    <w:pPr>
      <w:spacing w:after="0" w:line="240" w:lineRule="auto"/>
    </w:pPr>
    <w:rPr>
      <w:rFonts w:ascii="Times New Roman" w:eastAsia="Times New Roman" w:hAnsi="Times New Roman" w:cs="Times New Roman"/>
      <w:sz w:val="24"/>
      <w:szCs w:val="24"/>
      <w:lang w:val="es-ES" w:eastAsia="es-ES"/>
    </w:rPr>
  </w:style>
  <w:style w:type="table" w:customStyle="1" w:styleId="GFATableGrid1">
    <w:name w:val="GFA Table Grid1"/>
    <w:basedOn w:val="Tablanormal"/>
    <w:next w:val="Tablaconcuadrcula"/>
    <w:uiPriority w:val="59"/>
    <w:rsid w:val="00B90C60"/>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B90C60"/>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B9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2805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Barboza Calvo</dc:creator>
  <cp:keywords/>
  <dc:description/>
  <cp:lastModifiedBy>Usuario de Windows</cp:lastModifiedBy>
  <cp:revision>2</cp:revision>
  <dcterms:created xsi:type="dcterms:W3CDTF">2019-05-31T20:12:00Z</dcterms:created>
  <dcterms:modified xsi:type="dcterms:W3CDTF">2019-05-31T20:12:00Z</dcterms:modified>
</cp:coreProperties>
</file>