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5CEF1" w14:textId="24F5B2CD" w:rsidR="00EE3174" w:rsidRDefault="00EE3174" w:rsidP="00EE3174">
      <w:pPr>
        <w:jc w:val="both"/>
        <w:rPr>
          <w:rFonts w:ascii="Arial" w:hAnsi="Arial" w:cs="Arial"/>
        </w:rPr>
      </w:pPr>
      <w:r>
        <w:rPr>
          <w:rFonts w:ascii="Arial" w:hAnsi="Arial" w:cs="Arial"/>
        </w:rPr>
        <w:t xml:space="preserve">Agradecemos sus aportes a la </w:t>
      </w:r>
      <w:r w:rsidRPr="00132532">
        <w:rPr>
          <w:rFonts w:ascii="Arial" w:hAnsi="Arial" w:cs="Arial"/>
        </w:rPr>
        <w:t>Política Nacional de Sociedad y Economía Basadas en el Conocimiento</w:t>
      </w:r>
      <w:r>
        <w:rPr>
          <w:rFonts w:ascii="Arial" w:hAnsi="Arial" w:cs="Arial"/>
        </w:rPr>
        <w:t>, en caso de tener</w:t>
      </w:r>
      <w:r w:rsidRPr="001E6ED9">
        <w:rPr>
          <w:rFonts w:ascii="Arial" w:hAnsi="Arial" w:cs="Arial"/>
        </w:rPr>
        <w:t xml:space="preserve"> observaci</w:t>
      </w:r>
      <w:r>
        <w:rPr>
          <w:rFonts w:ascii="Arial" w:hAnsi="Arial" w:cs="Arial"/>
        </w:rPr>
        <w:t>ones</w:t>
      </w:r>
      <w:r w:rsidRPr="001E6ED9">
        <w:rPr>
          <w:rFonts w:ascii="Arial" w:hAnsi="Arial" w:cs="Arial"/>
        </w:rPr>
        <w:t>, comentario</w:t>
      </w:r>
      <w:r>
        <w:rPr>
          <w:rFonts w:ascii="Arial" w:hAnsi="Arial" w:cs="Arial"/>
        </w:rPr>
        <w:t>s</w:t>
      </w:r>
      <w:r w:rsidRPr="001E6ED9">
        <w:rPr>
          <w:rFonts w:ascii="Arial" w:hAnsi="Arial" w:cs="Arial"/>
        </w:rPr>
        <w:t xml:space="preserve"> o propuesta</w:t>
      </w:r>
      <w:r>
        <w:rPr>
          <w:rFonts w:ascii="Arial" w:hAnsi="Arial" w:cs="Arial"/>
        </w:rPr>
        <w:t>s</w:t>
      </w:r>
      <w:r w:rsidRPr="001E6ED9">
        <w:rPr>
          <w:rFonts w:ascii="Arial" w:hAnsi="Arial" w:cs="Arial"/>
        </w:rPr>
        <w:t xml:space="preserve"> de ajuste por favor realizarlo en </w:t>
      </w:r>
      <w:r>
        <w:rPr>
          <w:rFonts w:ascii="Arial" w:hAnsi="Arial" w:cs="Arial"/>
        </w:rPr>
        <w:t xml:space="preserve">el siguiente cuadro: </w:t>
      </w:r>
    </w:p>
    <w:p w14:paraId="00D9325A" w14:textId="77777777" w:rsidR="001F0BAD" w:rsidRDefault="001F0BAD" w:rsidP="00EE3174">
      <w:pPr>
        <w:jc w:val="both"/>
        <w:rPr>
          <w:rFonts w:ascii="Arial" w:hAnsi="Arial" w:cs="Arial"/>
        </w:rPr>
      </w:pPr>
    </w:p>
    <w:tbl>
      <w:tblPr>
        <w:tblStyle w:val="Tablaconcuadrcula"/>
        <w:tblW w:w="13180" w:type="dxa"/>
        <w:tblLook w:val="04A0" w:firstRow="1" w:lastRow="0" w:firstColumn="1" w:lastColumn="0" w:noHBand="0" w:noVBand="1"/>
      </w:tblPr>
      <w:tblGrid>
        <w:gridCol w:w="3375"/>
        <w:gridCol w:w="5851"/>
        <w:gridCol w:w="3954"/>
      </w:tblGrid>
      <w:tr w:rsidR="00EE3174" w:rsidRPr="001E6ED9" w14:paraId="5F709306" w14:textId="77777777" w:rsidTr="00264E79">
        <w:trPr>
          <w:trHeight w:val="558"/>
        </w:trPr>
        <w:tc>
          <w:tcPr>
            <w:tcW w:w="4195" w:type="dxa"/>
            <w:shd w:val="clear" w:color="auto" w:fill="1F3864" w:themeFill="accent1" w:themeFillShade="80"/>
            <w:vAlign w:val="center"/>
          </w:tcPr>
          <w:p w14:paraId="72E0CE5C" w14:textId="0E775040" w:rsidR="00EE3174" w:rsidRPr="00EE3174" w:rsidRDefault="00EE3174" w:rsidP="00582303">
            <w:pPr>
              <w:spacing w:line="276" w:lineRule="auto"/>
              <w:jc w:val="center"/>
              <w:rPr>
                <w:rFonts w:ascii="Arial" w:hAnsi="Arial" w:cs="Arial"/>
                <w:b/>
                <w:bCs/>
              </w:rPr>
            </w:pPr>
            <w:r w:rsidRPr="00EE3174">
              <w:rPr>
                <w:rFonts w:ascii="Arial" w:hAnsi="Arial" w:cs="Arial"/>
                <w:b/>
                <w:bCs/>
              </w:rPr>
              <w:t>Indique el apartado</w:t>
            </w:r>
          </w:p>
        </w:tc>
        <w:tc>
          <w:tcPr>
            <w:tcW w:w="3880" w:type="dxa"/>
            <w:shd w:val="clear" w:color="auto" w:fill="1F3864" w:themeFill="accent1" w:themeFillShade="80"/>
            <w:vAlign w:val="center"/>
          </w:tcPr>
          <w:p w14:paraId="3559A552" w14:textId="77777777" w:rsidR="00EE3174" w:rsidRPr="00EE3174" w:rsidRDefault="00EE3174" w:rsidP="00582303">
            <w:pPr>
              <w:spacing w:line="276" w:lineRule="auto"/>
              <w:jc w:val="center"/>
              <w:rPr>
                <w:rFonts w:ascii="Arial" w:hAnsi="Arial" w:cs="Arial"/>
                <w:b/>
                <w:bCs/>
              </w:rPr>
            </w:pPr>
            <w:r w:rsidRPr="00EE3174">
              <w:rPr>
                <w:rFonts w:ascii="Arial" w:hAnsi="Arial" w:cs="Arial"/>
                <w:b/>
                <w:bCs/>
              </w:rPr>
              <w:t>Observación, Comentario o propuesta de Ajuste</w:t>
            </w:r>
          </w:p>
        </w:tc>
        <w:tc>
          <w:tcPr>
            <w:tcW w:w="5105" w:type="dxa"/>
            <w:shd w:val="clear" w:color="auto" w:fill="1F3864" w:themeFill="accent1" w:themeFillShade="80"/>
            <w:vAlign w:val="center"/>
          </w:tcPr>
          <w:p w14:paraId="4B28050B" w14:textId="77777777" w:rsidR="00EE3174" w:rsidRPr="00EE3174" w:rsidRDefault="00EE3174" w:rsidP="00582303">
            <w:pPr>
              <w:spacing w:line="276" w:lineRule="auto"/>
              <w:jc w:val="center"/>
              <w:rPr>
                <w:rFonts w:ascii="Arial" w:hAnsi="Arial" w:cs="Arial"/>
                <w:b/>
                <w:bCs/>
              </w:rPr>
            </w:pPr>
            <w:r w:rsidRPr="00EE3174">
              <w:rPr>
                <w:rFonts w:ascii="Arial" w:hAnsi="Arial" w:cs="Arial"/>
                <w:b/>
                <w:bCs/>
              </w:rPr>
              <w:t>Justificación razonada</w:t>
            </w:r>
          </w:p>
          <w:p w14:paraId="5956510F" w14:textId="77777777" w:rsidR="00EE3174" w:rsidRPr="00EE3174" w:rsidRDefault="00EE3174" w:rsidP="00582303">
            <w:pPr>
              <w:spacing w:line="276" w:lineRule="auto"/>
              <w:jc w:val="center"/>
              <w:rPr>
                <w:rFonts w:ascii="Arial" w:hAnsi="Arial" w:cs="Arial"/>
                <w:b/>
                <w:bCs/>
              </w:rPr>
            </w:pPr>
          </w:p>
        </w:tc>
      </w:tr>
      <w:tr w:rsidR="00CE3E22" w:rsidRPr="001E6ED9" w14:paraId="13863D7A" w14:textId="77777777" w:rsidTr="00264E79">
        <w:trPr>
          <w:trHeight w:val="978"/>
        </w:trPr>
        <w:tc>
          <w:tcPr>
            <w:tcW w:w="4195" w:type="dxa"/>
          </w:tcPr>
          <w:p w14:paraId="1CE1A84D" w14:textId="7EA4D90F" w:rsidR="00885BBD" w:rsidRPr="0028550A" w:rsidRDefault="00885BBD" w:rsidP="47C3D11B">
            <w:pPr>
              <w:spacing w:line="276" w:lineRule="auto"/>
              <w:jc w:val="both"/>
              <w:rPr>
                <w:rFonts w:cstheme="minorHAnsi"/>
                <w:sz w:val="24"/>
                <w:szCs w:val="24"/>
              </w:rPr>
            </w:pPr>
            <w:r w:rsidRPr="0028550A">
              <w:rPr>
                <w:rFonts w:cstheme="minorHAnsi"/>
                <w:sz w:val="24"/>
                <w:szCs w:val="24"/>
              </w:rPr>
              <w:t xml:space="preserve">4.1. Objetivos </w:t>
            </w:r>
          </w:p>
          <w:p w14:paraId="3ECC8F7C" w14:textId="77777777" w:rsidR="00885BBD" w:rsidRPr="0028550A" w:rsidRDefault="00885BBD" w:rsidP="47C3D11B">
            <w:pPr>
              <w:spacing w:line="276" w:lineRule="auto"/>
              <w:jc w:val="both"/>
              <w:rPr>
                <w:rFonts w:cstheme="minorHAnsi"/>
                <w:sz w:val="24"/>
                <w:szCs w:val="24"/>
              </w:rPr>
            </w:pPr>
          </w:p>
          <w:p w14:paraId="542F0F6D" w14:textId="4F6CD2D9" w:rsidR="00CE3E22" w:rsidRPr="0028550A" w:rsidRDefault="000C2392" w:rsidP="47C3D11B">
            <w:pPr>
              <w:spacing w:line="276" w:lineRule="auto"/>
              <w:jc w:val="both"/>
              <w:rPr>
                <w:rFonts w:cstheme="minorHAnsi"/>
                <w:sz w:val="24"/>
                <w:szCs w:val="24"/>
              </w:rPr>
            </w:pPr>
            <w:r w:rsidRPr="0028550A">
              <w:rPr>
                <w:rFonts w:cstheme="minorHAnsi"/>
                <w:sz w:val="24"/>
                <w:szCs w:val="24"/>
              </w:rPr>
              <w:t>4.1.2.</w:t>
            </w:r>
            <w:r w:rsidR="00885BBD" w:rsidRPr="0028550A">
              <w:rPr>
                <w:rFonts w:cstheme="minorHAnsi"/>
                <w:sz w:val="24"/>
                <w:szCs w:val="24"/>
              </w:rPr>
              <w:t xml:space="preserve"> Objetivos específicos </w:t>
            </w:r>
          </w:p>
        </w:tc>
        <w:tc>
          <w:tcPr>
            <w:tcW w:w="3880" w:type="dxa"/>
          </w:tcPr>
          <w:p w14:paraId="1BBEF085" w14:textId="0C78CFD3" w:rsidR="00AC6274" w:rsidRPr="0028550A" w:rsidRDefault="00112949" w:rsidP="004E38F9">
            <w:pPr>
              <w:autoSpaceDE w:val="0"/>
              <w:autoSpaceDN w:val="0"/>
              <w:adjustRightInd w:val="0"/>
              <w:jc w:val="both"/>
              <w:rPr>
                <w:rFonts w:cstheme="minorHAnsi"/>
                <w:sz w:val="24"/>
                <w:szCs w:val="24"/>
              </w:rPr>
            </w:pPr>
            <w:r w:rsidRPr="0028550A">
              <w:rPr>
                <w:rFonts w:cstheme="minorHAnsi"/>
                <w:sz w:val="24"/>
                <w:szCs w:val="24"/>
              </w:rPr>
              <w:t>Fomentar la generación, aplicación y transferencia de conocimiento hacia la sociedad y el sector productivo</w:t>
            </w:r>
            <w:r w:rsidR="00723618" w:rsidRPr="0028550A">
              <w:rPr>
                <w:rFonts w:cstheme="minorHAnsi"/>
                <w:sz w:val="24"/>
                <w:szCs w:val="24"/>
              </w:rPr>
              <w:t xml:space="preserve"> que catalicen </w:t>
            </w:r>
            <w:r w:rsidR="00D01D30" w:rsidRPr="0028550A">
              <w:rPr>
                <w:rFonts w:cstheme="minorHAnsi"/>
                <w:sz w:val="24"/>
                <w:szCs w:val="24"/>
              </w:rPr>
              <w:t xml:space="preserve">la </w:t>
            </w:r>
            <w:r w:rsidR="00544DC2" w:rsidRPr="0028550A">
              <w:rPr>
                <w:rFonts w:cstheme="minorHAnsi"/>
                <w:sz w:val="24"/>
                <w:szCs w:val="24"/>
              </w:rPr>
              <w:t>competitividad</w:t>
            </w:r>
            <w:r w:rsidR="00D01D30" w:rsidRPr="0028550A">
              <w:rPr>
                <w:rFonts w:cstheme="minorHAnsi"/>
                <w:sz w:val="24"/>
                <w:szCs w:val="24"/>
              </w:rPr>
              <w:t xml:space="preserve"> del país y </w:t>
            </w:r>
            <w:r w:rsidR="005709E0" w:rsidRPr="0028550A">
              <w:rPr>
                <w:rFonts w:cstheme="minorHAnsi"/>
                <w:sz w:val="24"/>
                <w:szCs w:val="24"/>
              </w:rPr>
              <w:t xml:space="preserve">el desarrollo </w:t>
            </w:r>
            <w:r w:rsidR="009256D2" w:rsidRPr="0028550A">
              <w:rPr>
                <w:rFonts w:cstheme="minorHAnsi"/>
                <w:sz w:val="24"/>
                <w:szCs w:val="24"/>
              </w:rPr>
              <w:t>inclusivo, sostenible y re</w:t>
            </w:r>
            <w:r w:rsidR="00544DC2" w:rsidRPr="0028550A">
              <w:rPr>
                <w:rFonts w:cstheme="minorHAnsi"/>
                <w:sz w:val="24"/>
                <w:szCs w:val="24"/>
              </w:rPr>
              <w:t>siliente.</w:t>
            </w:r>
          </w:p>
          <w:p w14:paraId="215EC3E2" w14:textId="77777777" w:rsidR="00AC6274" w:rsidRPr="0028550A" w:rsidRDefault="00AC6274" w:rsidP="004E38F9">
            <w:pPr>
              <w:autoSpaceDE w:val="0"/>
              <w:autoSpaceDN w:val="0"/>
              <w:adjustRightInd w:val="0"/>
              <w:jc w:val="both"/>
              <w:rPr>
                <w:rFonts w:cstheme="minorHAnsi"/>
                <w:sz w:val="24"/>
                <w:szCs w:val="24"/>
              </w:rPr>
            </w:pPr>
          </w:p>
          <w:p w14:paraId="2C6FAB94" w14:textId="0FF60DED" w:rsidR="006E7AF8" w:rsidRPr="0028550A" w:rsidRDefault="00AC6274" w:rsidP="00855133">
            <w:pPr>
              <w:autoSpaceDE w:val="0"/>
              <w:autoSpaceDN w:val="0"/>
              <w:adjustRightInd w:val="0"/>
              <w:rPr>
                <w:rFonts w:cstheme="minorHAnsi"/>
                <w:sz w:val="24"/>
                <w:szCs w:val="24"/>
              </w:rPr>
            </w:pPr>
            <w:r w:rsidRPr="0028550A">
              <w:rPr>
                <w:rFonts w:cstheme="minorHAnsi"/>
                <w:sz w:val="24"/>
                <w:szCs w:val="24"/>
              </w:rPr>
              <w:t>Potenciar los procesos de innovación y el desarrollo de capacidades tecnológicas para el incremento de la productividad y contribuir a un desarrollo más inclusivo y sustentable</w:t>
            </w:r>
            <w:r w:rsidR="006E7AF8" w:rsidRPr="0028550A">
              <w:rPr>
                <w:rFonts w:cstheme="minorHAnsi"/>
                <w:sz w:val="24"/>
                <w:szCs w:val="24"/>
              </w:rPr>
              <w:t xml:space="preserve">. </w:t>
            </w:r>
          </w:p>
        </w:tc>
        <w:tc>
          <w:tcPr>
            <w:tcW w:w="5105" w:type="dxa"/>
          </w:tcPr>
          <w:p w14:paraId="53162495" w14:textId="79B49399" w:rsidR="00CE3E22" w:rsidRPr="0028550A" w:rsidRDefault="00F22841" w:rsidP="00855133">
            <w:pPr>
              <w:jc w:val="both"/>
              <w:rPr>
                <w:rFonts w:cstheme="minorHAnsi"/>
                <w:sz w:val="24"/>
                <w:szCs w:val="24"/>
              </w:rPr>
            </w:pPr>
            <w:r w:rsidRPr="0028550A">
              <w:rPr>
                <w:rFonts w:cstheme="minorHAnsi"/>
                <w:sz w:val="24"/>
                <w:szCs w:val="24"/>
              </w:rPr>
              <w:t>La senda hacia el cre</w:t>
            </w:r>
            <w:r w:rsidR="006B5F83" w:rsidRPr="0028550A">
              <w:rPr>
                <w:rFonts w:cstheme="minorHAnsi"/>
                <w:sz w:val="24"/>
                <w:szCs w:val="24"/>
              </w:rPr>
              <w:t>cimiento más sostenido e inclusiv</w:t>
            </w:r>
            <w:r w:rsidR="005712C6" w:rsidRPr="0028550A">
              <w:rPr>
                <w:rFonts w:cstheme="minorHAnsi"/>
                <w:sz w:val="24"/>
                <w:szCs w:val="24"/>
              </w:rPr>
              <w:t>o</w:t>
            </w:r>
            <w:r w:rsidR="00612F33" w:rsidRPr="0028550A">
              <w:rPr>
                <w:rFonts w:cstheme="minorHAnsi"/>
                <w:sz w:val="24"/>
                <w:szCs w:val="24"/>
              </w:rPr>
              <w:t xml:space="preserve"> requiere necesariamente de incrementos al desempeño de la productividad</w:t>
            </w:r>
            <w:r w:rsidR="00044881" w:rsidRPr="0028550A">
              <w:rPr>
                <w:rFonts w:cstheme="minorHAnsi"/>
                <w:sz w:val="24"/>
                <w:szCs w:val="24"/>
              </w:rPr>
              <w:t xml:space="preserve"> para evitar la trampa de renta media</w:t>
            </w:r>
            <w:r w:rsidR="00BA6599" w:rsidRPr="0028550A">
              <w:rPr>
                <w:rFonts w:cstheme="minorHAnsi"/>
                <w:sz w:val="24"/>
                <w:szCs w:val="24"/>
              </w:rPr>
              <w:t>.</w:t>
            </w:r>
            <w:r w:rsidR="001271BD" w:rsidRPr="0028550A">
              <w:rPr>
                <w:rFonts w:cstheme="minorHAnsi"/>
                <w:sz w:val="24"/>
                <w:szCs w:val="24"/>
              </w:rPr>
              <w:t xml:space="preserve"> Es fundamental que Costa Rica revitalice las condiciones empresariales e institucionales para el crecimiento de la productividad.</w:t>
            </w:r>
            <w:r w:rsidR="00BA6599" w:rsidRPr="0028550A">
              <w:rPr>
                <w:rFonts w:cstheme="minorHAnsi"/>
                <w:sz w:val="24"/>
                <w:szCs w:val="24"/>
              </w:rPr>
              <w:t xml:space="preserve"> Esto será posible mediante la promoción de la innovación</w:t>
            </w:r>
            <w:r w:rsidR="00125287" w:rsidRPr="0028550A">
              <w:rPr>
                <w:rFonts w:cstheme="minorHAnsi"/>
                <w:sz w:val="24"/>
                <w:szCs w:val="24"/>
              </w:rPr>
              <w:t>, donde las actividades de I+D</w:t>
            </w:r>
            <w:r w:rsidR="007879ED" w:rsidRPr="0028550A">
              <w:rPr>
                <w:rFonts w:cstheme="minorHAnsi"/>
                <w:sz w:val="24"/>
                <w:szCs w:val="24"/>
              </w:rPr>
              <w:t xml:space="preserve"> y desarrollo de capacidades tecnológicas</w:t>
            </w:r>
            <w:r w:rsidR="00125287" w:rsidRPr="0028550A">
              <w:rPr>
                <w:rFonts w:cstheme="minorHAnsi"/>
                <w:sz w:val="24"/>
                <w:szCs w:val="24"/>
              </w:rPr>
              <w:t xml:space="preserve"> juegan un papel crucial dado que estos no solo estimulan la innovación, sino que además favorecen las transferencias de tecnología.</w:t>
            </w:r>
            <w:r w:rsidR="00AD2E1A" w:rsidRPr="0028550A">
              <w:rPr>
                <w:rFonts w:cstheme="minorHAnsi"/>
                <w:sz w:val="24"/>
                <w:szCs w:val="24"/>
              </w:rPr>
              <w:t xml:space="preserve"> Para un país como Costa Rica es indispensable facilitar y crear las capacidades necesarias para identificar, absorber y adaptar nuevas tecnologías a través de la transferencia de tecnología internacional y fortalecer gradualmente las capacidades para </w:t>
            </w:r>
            <w:r w:rsidR="00AD2E1A" w:rsidRPr="0028550A">
              <w:rPr>
                <w:rFonts w:cstheme="minorHAnsi"/>
                <w:sz w:val="24"/>
                <w:szCs w:val="24"/>
              </w:rPr>
              <w:lastRenderedPageBreak/>
              <w:t>generar nuevas soluciones tecnológicas para el país.</w:t>
            </w:r>
            <w:r w:rsidR="00125287" w:rsidRPr="0028550A">
              <w:rPr>
                <w:rFonts w:cstheme="minorHAnsi"/>
                <w:sz w:val="24"/>
                <w:szCs w:val="24"/>
              </w:rPr>
              <w:t xml:space="preserve"> </w:t>
            </w:r>
            <w:r w:rsidR="00612F33" w:rsidRPr="0028550A">
              <w:rPr>
                <w:rFonts w:cstheme="minorHAnsi"/>
                <w:sz w:val="24"/>
                <w:szCs w:val="24"/>
              </w:rPr>
              <w:t xml:space="preserve">(OCDE, </w:t>
            </w:r>
            <w:r w:rsidR="00E501EF" w:rsidRPr="0028550A">
              <w:rPr>
                <w:rFonts w:cstheme="minorHAnsi"/>
                <w:sz w:val="24"/>
                <w:szCs w:val="24"/>
              </w:rPr>
              <w:t xml:space="preserve">2017; OCDE, </w:t>
            </w:r>
            <w:r w:rsidR="00612F33" w:rsidRPr="0028550A">
              <w:rPr>
                <w:rFonts w:cstheme="minorHAnsi"/>
                <w:sz w:val="24"/>
                <w:szCs w:val="24"/>
              </w:rPr>
              <w:t>20</w:t>
            </w:r>
            <w:r w:rsidR="00CA35E4" w:rsidRPr="0028550A">
              <w:rPr>
                <w:rFonts w:cstheme="minorHAnsi"/>
                <w:sz w:val="24"/>
                <w:szCs w:val="24"/>
              </w:rPr>
              <w:t>18</w:t>
            </w:r>
            <w:r w:rsidR="00612F33" w:rsidRPr="0028550A">
              <w:rPr>
                <w:rFonts w:cstheme="minorHAnsi"/>
                <w:sz w:val="24"/>
                <w:szCs w:val="24"/>
              </w:rPr>
              <w:t>)</w:t>
            </w:r>
            <w:r w:rsidR="007E0693" w:rsidRPr="0028550A">
              <w:rPr>
                <w:rFonts w:cstheme="minorHAnsi"/>
                <w:sz w:val="24"/>
                <w:szCs w:val="24"/>
              </w:rPr>
              <w:footnoteReference w:id="2"/>
            </w:r>
            <w:r w:rsidR="00612F33" w:rsidRPr="0028550A">
              <w:rPr>
                <w:rFonts w:cstheme="minorHAnsi"/>
                <w:sz w:val="24"/>
                <w:szCs w:val="24"/>
              </w:rPr>
              <w:t xml:space="preserve">. </w:t>
            </w:r>
          </w:p>
        </w:tc>
      </w:tr>
      <w:tr w:rsidR="009D21EA" w:rsidRPr="001E6ED9" w14:paraId="13AE9AD5" w14:textId="77777777" w:rsidTr="00264E79">
        <w:trPr>
          <w:trHeight w:val="978"/>
        </w:trPr>
        <w:tc>
          <w:tcPr>
            <w:tcW w:w="4195" w:type="dxa"/>
          </w:tcPr>
          <w:p w14:paraId="7C8451C0" w14:textId="71B73652" w:rsidR="009D21EA" w:rsidRPr="0028550A" w:rsidRDefault="009D21EA" w:rsidP="009D21EA">
            <w:pPr>
              <w:spacing w:line="276" w:lineRule="auto"/>
              <w:jc w:val="both"/>
              <w:rPr>
                <w:rFonts w:cstheme="minorHAnsi"/>
                <w:sz w:val="24"/>
                <w:szCs w:val="24"/>
              </w:rPr>
            </w:pPr>
            <w:r w:rsidRPr="0028550A">
              <w:rPr>
                <w:rFonts w:cstheme="minorHAnsi"/>
                <w:sz w:val="24"/>
                <w:szCs w:val="24"/>
              </w:rPr>
              <w:lastRenderedPageBreak/>
              <w:t>4.3.2. Ejes habilitadores</w:t>
            </w:r>
          </w:p>
          <w:p w14:paraId="4F319351" w14:textId="77777777" w:rsidR="009D21EA" w:rsidRPr="0028550A" w:rsidRDefault="009D21EA" w:rsidP="47C3D11B">
            <w:pPr>
              <w:spacing w:line="276" w:lineRule="auto"/>
              <w:jc w:val="both"/>
              <w:rPr>
                <w:rFonts w:cstheme="minorHAnsi"/>
                <w:sz w:val="24"/>
                <w:szCs w:val="24"/>
              </w:rPr>
            </w:pPr>
          </w:p>
        </w:tc>
        <w:tc>
          <w:tcPr>
            <w:tcW w:w="3880" w:type="dxa"/>
          </w:tcPr>
          <w:p w14:paraId="614463E9" w14:textId="0E95BE36" w:rsidR="009D21EA" w:rsidRPr="0028550A" w:rsidRDefault="009115D6" w:rsidP="00855133">
            <w:pPr>
              <w:autoSpaceDE w:val="0"/>
              <w:autoSpaceDN w:val="0"/>
              <w:adjustRightInd w:val="0"/>
              <w:jc w:val="both"/>
              <w:rPr>
                <w:rFonts w:cstheme="minorHAnsi"/>
                <w:sz w:val="24"/>
                <w:szCs w:val="24"/>
                <w:u w:val="single"/>
              </w:rPr>
            </w:pPr>
            <w:r w:rsidRPr="0028550A">
              <w:rPr>
                <w:rFonts w:cstheme="minorHAnsi"/>
                <w:sz w:val="24"/>
                <w:szCs w:val="24"/>
              </w:rPr>
              <w:t xml:space="preserve">Considerar incorporar un eje sobre </w:t>
            </w:r>
            <w:r w:rsidRPr="0028550A">
              <w:rPr>
                <w:rFonts w:cstheme="minorHAnsi"/>
                <w:sz w:val="24"/>
                <w:szCs w:val="24"/>
                <w:u w:val="single"/>
              </w:rPr>
              <w:t>disponibilidad de información oportuna, robusta y confiable sobre ciencia, tecnología e innovación</w:t>
            </w:r>
            <w:r w:rsidR="00246845" w:rsidRPr="0028550A">
              <w:rPr>
                <w:rFonts w:cstheme="minorHAnsi"/>
                <w:sz w:val="24"/>
                <w:szCs w:val="24"/>
                <w:u w:val="single"/>
              </w:rPr>
              <w:t xml:space="preserve"> para la toma de decisiones basada en evidencia. </w:t>
            </w:r>
          </w:p>
          <w:p w14:paraId="4F036B8F" w14:textId="77777777" w:rsidR="00692B0F" w:rsidRPr="0028550A" w:rsidRDefault="00692B0F" w:rsidP="00855133">
            <w:pPr>
              <w:autoSpaceDE w:val="0"/>
              <w:autoSpaceDN w:val="0"/>
              <w:adjustRightInd w:val="0"/>
              <w:jc w:val="both"/>
              <w:rPr>
                <w:rFonts w:cstheme="minorHAnsi"/>
                <w:sz w:val="24"/>
                <w:szCs w:val="24"/>
              </w:rPr>
            </w:pPr>
          </w:p>
          <w:p w14:paraId="4A369BCA" w14:textId="77777777" w:rsidR="00246845" w:rsidRPr="0028550A" w:rsidRDefault="009E4062" w:rsidP="00855133">
            <w:pPr>
              <w:autoSpaceDE w:val="0"/>
              <w:autoSpaceDN w:val="0"/>
              <w:adjustRightInd w:val="0"/>
              <w:jc w:val="both"/>
              <w:rPr>
                <w:rFonts w:cstheme="minorHAnsi"/>
                <w:sz w:val="24"/>
                <w:szCs w:val="24"/>
              </w:rPr>
            </w:pPr>
            <w:r w:rsidRPr="0028550A">
              <w:rPr>
                <w:rFonts w:cstheme="minorHAnsi"/>
                <w:sz w:val="24"/>
                <w:szCs w:val="24"/>
              </w:rPr>
              <w:t xml:space="preserve">La </w:t>
            </w:r>
            <w:r w:rsidR="00692B0F" w:rsidRPr="0028550A">
              <w:rPr>
                <w:rFonts w:cstheme="minorHAnsi"/>
                <w:sz w:val="24"/>
                <w:szCs w:val="24"/>
              </w:rPr>
              <w:t>Evaluación de la OCDE sobre el sistema estadístico y estadísticas oficiales clave de Costa Rica</w:t>
            </w:r>
            <w:r w:rsidRPr="0028550A">
              <w:rPr>
                <w:rFonts w:cstheme="minorHAnsi"/>
                <w:sz w:val="24"/>
                <w:szCs w:val="24"/>
              </w:rPr>
              <w:t xml:space="preserve"> (OCDE, 2020)</w:t>
            </w:r>
            <w:r w:rsidRPr="0028550A">
              <w:rPr>
                <w:rFonts w:cstheme="minorHAnsi"/>
                <w:sz w:val="24"/>
                <w:szCs w:val="24"/>
              </w:rPr>
              <w:footnoteReference w:id="3"/>
            </w:r>
            <w:r w:rsidR="007B338A" w:rsidRPr="0028550A">
              <w:rPr>
                <w:rFonts w:cstheme="minorHAnsi"/>
                <w:sz w:val="24"/>
                <w:szCs w:val="24"/>
              </w:rPr>
              <w:t xml:space="preserve">, realiza un resumen sobre el estado de las </w:t>
            </w:r>
            <w:r w:rsidR="00285510" w:rsidRPr="0028550A">
              <w:rPr>
                <w:rFonts w:cstheme="minorHAnsi"/>
                <w:sz w:val="24"/>
                <w:szCs w:val="24"/>
              </w:rPr>
              <w:t xml:space="preserve">estadísticas sobre I+D, innovación, ciencia y tecnología de la </w:t>
            </w:r>
            <w:r w:rsidR="00280860" w:rsidRPr="0028550A">
              <w:rPr>
                <w:rFonts w:cstheme="minorHAnsi"/>
                <w:sz w:val="24"/>
                <w:szCs w:val="24"/>
              </w:rPr>
              <w:t xml:space="preserve">información y las comunicaciones. </w:t>
            </w:r>
          </w:p>
          <w:p w14:paraId="18976A2D" w14:textId="77777777" w:rsidR="00246845" w:rsidRPr="0028550A" w:rsidRDefault="00246845" w:rsidP="00855133">
            <w:pPr>
              <w:autoSpaceDE w:val="0"/>
              <w:autoSpaceDN w:val="0"/>
              <w:adjustRightInd w:val="0"/>
              <w:jc w:val="both"/>
              <w:rPr>
                <w:rFonts w:cstheme="minorHAnsi"/>
                <w:sz w:val="24"/>
                <w:szCs w:val="24"/>
              </w:rPr>
            </w:pPr>
          </w:p>
          <w:p w14:paraId="3BED695C" w14:textId="554A1898" w:rsidR="00692B0F" w:rsidRPr="0028550A" w:rsidRDefault="005C6DAB" w:rsidP="00855133">
            <w:pPr>
              <w:autoSpaceDE w:val="0"/>
              <w:autoSpaceDN w:val="0"/>
              <w:adjustRightInd w:val="0"/>
              <w:jc w:val="both"/>
              <w:rPr>
                <w:rFonts w:cstheme="minorHAnsi"/>
                <w:sz w:val="24"/>
                <w:szCs w:val="24"/>
              </w:rPr>
            </w:pPr>
            <w:r w:rsidRPr="0028550A">
              <w:rPr>
                <w:rFonts w:cstheme="minorHAnsi"/>
                <w:sz w:val="24"/>
                <w:szCs w:val="24"/>
              </w:rPr>
              <w:t>Uno de los compromisos adquiridos en el marco de</w:t>
            </w:r>
            <w:r w:rsidR="00280860" w:rsidRPr="0028550A">
              <w:rPr>
                <w:rFonts w:cstheme="minorHAnsi"/>
                <w:sz w:val="24"/>
                <w:szCs w:val="24"/>
              </w:rPr>
              <w:t xml:space="preserve"> la </w:t>
            </w:r>
            <w:r w:rsidR="000826C3" w:rsidRPr="0028550A">
              <w:rPr>
                <w:rFonts w:cstheme="minorHAnsi"/>
                <w:sz w:val="24"/>
                <w:szCs w:val="24"/>
              </w:rPr>
              <w:t xml:space="preserve">adhesión a la </w:t>
            </w:r>
            <w:r w:rsidR="00280860" w:rsidRPr="0028550A">
              <w:rPr>
                <w:rFonts w:cstheme="minorHAnsi"/>
                <w:sz w:val="24"/>
                <w:szCs w:val="24"/>
              </w:rPr>
              <w:t>OCDE</w:t>
            </w:r>
            <w:r w:rsidR="002007A9" w:rsidRPr="0028550A">
              <w:rPr>
                <w:rFonts w:cstheme="minorHAnsi"/>
                <w:sz w:val="24"/>
                <w:szCs w:val="24"/>
              </w:rPr>
              <w:t>,</w:t>
            </w:r>
            <w:r w:rsidR="008A3407" w:rsidRPr="0028550A">
              <w:rPr>
                <w:rFonts w:cstheme="minorHAnsi"/>
                <w:sz w:val="24"/>
                <w:szCs w:val="24"/>
              </w:rPr>
              <w:t xml:space="preserve"> </w:t>
            </w:r>
            <w:r w:rsidR="002007A9" w:rsidRPr="0028550A">
              <w:rPr>
                <w:rFonts w:cstheme="minorHAnsi"/>
                <w:sz w:val="24"/>
                <w:szCs w:val="24"/>
              </w:rPr>
              <w:t xml:space="preserve">a cargo </w:t>
            </w:r>
            <w:r w:rsidR="0040752E" w:rsidRPr="0028550A">
              <w:rPr>
                <w:rFonts w:cstheme="minorHAnsi"/>
                <w:sz w:val="24"/>
                <w:szCs w:val="24"/>
              </w:rPr>
              <w:t>d</w:t>
            </w:r>
            <w:r w:rsidR="00E904AF" w:rsidRPr="0028550A">
              <w:rPr>
                <w:rFonts w:cstheme="minorHAnsi"/>
                <w:sz w:val="24"/>
                <w:szCs w:val="24"/>
              </w:rPr>
              <w:t>el MICITT</w:t>
            </w:r>
            <w:r w:rsidR="0040752E" w:rsidRPr="0028550A">
              <w:rPr>
                <w:rFonts w:cstheme="minorHAnsi"/>
                <w:sz w:val="24"/>
                <w:szCs w:val="24"/>
              </w:rPr>
              <w:t xml:space="preserve">, </w:t>
            </w:r>
            <w:r w:rsidR="008A3407" w:rsidRPr="0028550A">
              <w:rPr>
                <w:rFonts w:cstheme="minorHAnsi"/>
                <w:sz w:val="24"/>
                <w:szCs w:val="24"/>
              </w:rPr>
              <w:t>se refiere a</w:t>
            </w:r>
            <w:r w:rsidR="00280860" w:rsidRPr="0028550A">
              <w:rPr>
                <w:rFonts w:cstheme="minorHAnsi"/>
                <w:sz w:val="24"/>
                <w:szCs w:val="24"/>
              </w:rPr>
              <w:t xml:space="preserve"> avanzar en la implementación de un plan de acción para atender las recomendaciones de la OCDE en materia de </w:t>
            </w:r>
            <w:r w:rsidR="00737A98" w:rsidRPr="0028550A">
              <w:rPr>
                <w:rFonts w:cstheme="minorHAnsi"/>
                <w:sz w:val="24"/>
                <w:szCs w:val="24"/>
              </w:rPr>
              <w:t xml:space="preserve">estos </w:t>
            </w:r>
            <w:r w:rsidR="00280860" w:rsidRPr="0028550A">
              <w:rPr>
                <w:rFonts w:cstheme="minorHAnsi"/>
                <w:sz w:val="24"/>
                <w:szCs w:val="24"/>
              </w:rPr>
              <w:t>indicadores</w:t>
            </w:r>
            <w:r w:rsidR="00737A98" w:rsidRPr="0028550A">
              <w:rPr>
                <w:rFonts w:cstheme="minorHAnsi"/>
                <w:sz w:val="24"/>
                <w:szCs w:val="24"/>
              </w:rPr>
              <w:t xml:space="preserve">. </w:t>
            </w:r>
            <w:r w:rsidR="00040718" w:rsidRPr="0028550A">
              <w:rPr>
                <w:rFonts w:cstheme="minorHAnsi"/>
                <w:sz w:val="24"/>
                <w:szCs w:val="24"/>
              </w:rPr>
              <w:t>Estas recomendaciones tienen por objetivo elevar la calidad y cantidad de la producción estadística</w:t>
            </w:r>
            <w:r w:rsidR="00D95E29" w:rsidRPr="0028550A">
              <w:rPr>
                <w:rFonts w:cstheme="minorHAnsi"/>
                <w:sz w:val="24"/>
                <w:szCs w:val="24"/>
              </w:rPr>
              <w:t xml:space="preserve"> nacional</w:t>
            </w:r>
            <w:r w:rsidR="00040718" w:rsidRPr="0028550A">
              <w:rPr>
                <w:rFonts w:cstheme="minorHAnsi"/>
                <w:sz w:val="24"/>
                <w:szCs w:val="24"/>
              </w:rPr>
              <w:t xml:space="preserve"> </w:t>
            </w:r>
            <w:r w:rsidR="00737A98" w:rsidRPr="0028550A">
              <w:rPr>
                <w:rFonts w:cstheme="minorHAnsi"/>
                <w:sz w:val="24"/>
                <w:szCs w:val="24"/>
              </w:rPr>
              <w:t xml:space="preserve">siguiendo las mejores prácticas internacionales. </w:t>
            </w:r>
          </w:p>
        </w:tc>
        <w:tc>
          <w:tcPr>
            <w:tcW w:w="5105" w:type="dxa"/>
          </w:tcPr>
          <w:p w14:paraId="1DEFCD95" w14:textId="79481716" w:rsidR="009D21EA" w:rsidRPr="0028550A" w:rsidRDefault="00710450" w:rsidP="00855133">
            <w:pPr>
              <w:jc w:val="both"/>
              <w:rPr>
                <w:rFonts w:cstheme="minorHAnsi"/>
                <w:sz w:val="24"/>
                <w:szCs w:val="24"/>
              </w:rPr>
            </w:pPr>
            <w:r w:rsidRPr="0028550A">
              <w:rPr>
                <w:rFonts w:cstheme="minorHAnsi"/>
                <w:sz w:val="24"/>
                <w:szCs w:val="24"/>
              </w:rPr>
              <w:t>La toma de decisiones oportuna y asertiva depende de la calidad y disponibilidad de evidencia, información e indicadores confiables</w:t>
            </w:r>
            <w:r w:rsidR="008D0EB5" w:rsidRPr="0028550A">
              <w:rPr>
                <w:rFonts w:cstheme="minorHAnsi"/>
                <w:sz w:val="24"/>
                <w:szCs w:val="24"/>
              </w:rPr>
              <w:t xml:space="preserve"> y actualizados. Todos los esfuerzos que desde la </w:t>
            </w:r>
            <w:r w:rsidR="00A37D45" w:rsidRPr="0028550A">
              <w:rPr>
                <w:rFonts w:cstheme="minorHAnsi"/>
                <w:sz w:val="24"/>
                <w:szCs w:val="24"/>
              </w:rPr>
              <w:t xml:space="preserve">Política se consideren para mejorar la disponibilidad de información para la toma de decisiones basadas en evidencia contribuyen </w:t>
            </w:r>
            <w:r w:rsidR="002B702C" w:rsidRPr="0028550A">
              <w:rPr>
                <w:rFonts w:cstheme="minorHAnsi"/>
                <w:sz w:val="24"/>
                <w:szCs w:val="24"/>
              </w:rPr>
              <w:t xml:space="preserve">al éxito de esta Política y su respetivo ejercicio de evaluación y rendición de cuentas. </w:t>
            </w:r>
          </w:p>
        </w:tc>
      </w:tr>
      <w:tr w:rsidR="007F3C88" w:rsidRPr="001E6ED9" w14:paraId="56465303" w14:textId="77777777" w:rsidTr="00264E79">
        <w:trPr>
          <w:trHeight w:val="978"/>
        </w:trPr>
        <w:tc>
          <w:tcPr>
            <w:tcW w:w="4195" w:type="dxa"/>
          </w:tcPr>
          <w:p w14:paraId="2499CEDA" w14:textId="77777777" w:rsidR="007F3C88" w:rsidRPr="0028550A" w:rsidRDefault="007F3C88" w:rsidP="47C3D11B">
            <w:pPr>
              <w:spacing w:line="276" w:lineRule="auto"/>
              <w:jc w:val="both"/>
              <w:rPr>
                <w:rFonts w:cstheme="minorHAnsi"/>
                <w:sz w:val="24"/>
                <w:szCs w:val="24"/>
              </w:rPr>
            </w:pPr>
            <w:r w:rsidRPr="0028550A">
              <w:rPr>
                <w:rFonts w:cstheme="minorHAnsi"/>
                <w:sz w:val="24"/>
                <w:szCs w:val="24"/>
              </w:rPr>
              <w:t>4.3.2 Ejes habilitadores</w:t>
            </w:r>
          </w:p>
          <w:p w14:paraId="3406A9CB" w14:textId="77777777" w:rsidR="00A221D6" w:rsidRPr="0028550A" w:rsidRDefault="00A221D6" w:rsidP="47C3D11B">
            <w:pPr>
              <w:spacing w:line="276" w:lineRule="auto"/>
              <w:jc w:val="both"/>
              <w:rPr>
                <w:rFonts w:cstheme="minorHAnsi"/>
                <w:sz w:val="24"/>
                <w:szCs w:val="24"/>
              </w:rPr>
            </w:pPr>
          </w:p>
          <w:p w14:paraId="6702A7D9" w14:textId="57BBB386" w:rsidR="007F3C88" w:rsidRPr="0028550A" w:rsidRDefault="00A221D6" w:rsidP="47C3D11B">
            <w:pPr>
              <w:spacing w:line="276" w:lineRule="auto"/>
              <w:jc w:val="both"/>
              <w:rPr>
                <w:rFonts w:cstheme="minorHAnsi"/>
                <w:sz w:val="24"/>
                <w:szCs w:val="24"/>
              </w:rPr>
            </w:pPr>
            <w:r w:rsidRPr="0028550A">
              <w:rPr>
                <w:rFonts w:cstheme="minorHAnsi"/>
                <w:sz w:val="24"/>
                <w:szCs w:val="24"/>
              </w:rPr>
              <w:lastRenderedPageBreak/>
              <w:t>4.3.2.1 Normativa</w:t>
            </w:r>
            <w:r w:rsidR="00FA65E5" w:rsidRPr="0028550A">
              <w:rPr>
                <w:rFonts w:cstheme="minorHAnsi"/>
                <w:sz w:val="24"/>
                <w:szCs w:val="24"/>
              </w:rPr>
              <w:t>, Figura 4.2</w:t>
            </w:r>
          </w:p>
        </w:tc>
        <w:tc>
          <w:tcPr>
            <w:tcW w:w="3880" w:type="dxa"/>
          </w:tcPr>
          <w:p w14:paraId="6BEE0F23" w14:textId="65930370" w:rsidR="007F3C88" w:rsidRPr="0028550A" w:rsidRDefault="00FA65E5" w:rsidP="00855133">
            <w:pPr>
              <w:autoSpaceDE w:val="0"/>
              <w:autoSpaceDN w:val="0"/>
              <w:adjustRightInd w:val="0"/>
              <w:jc w:val="both"/>
              <w:rPr>
                <w:rFonts w:cstheme="minorHAnsi"/>
                <w:sz w:val="24"/>
                <w:szCs w:val="24"/>
              </w:rPr>
            </w:pPr>
            <w:r w:rsidRPr="0028550A">
              <w:rPr>
                <w:rFonts w:cstheme="minorHAnsi"/>
                <w:sz w:val="24"/>
                <w:szCs w:val="24"/>
              </w:rPr>
              <w:lastRenderedPageBreak/>
              <w:t xml:space="preserve">Considerar incluir en la figura </w:t>
            </w:r>
            <w:r w:rsidR="00055B6B" w:rsidRPr="0028550A">
              <w:rPr>
                <w:rFonts w:cstheme="minorHAnsi"/>
                <w:sz w:val="24"/>
                <w:szCs w:val="24"/>
              </w:rPr>
              <w:t>de aspectos normativos por revisar desde la PN</w:t>
            </w:r>
            <w:r w:rsidR="0076457B" w:rsidRPr="0028550A">
              <w:rPr>
                <w:rFonts w:cstheme="minorHAnsi"/>
                <w:sz w:val="24"/>
                <w:szCs w:val="24"/>
              </w:rPr>
              <w:t>SEBC</w:t>
            </w:r>
            <w:r w:rsidR="00012264" w:rsidRPr="0028550A">
              <w:rPr>
                <w:rFonts w:cstheme="minorHAnsi"/>
                <w:sz w:val="24"/>
                <w:szCs w:val="24"/>
              </w:rPr>
              <w:t xml:space="preserve"> el marco jurídico habilitador </w:t>
            </w:r>
            <w:r w:rsidR="002554FF" w:rsidRPr="0028550A">
              <w:rPr>
                <w:rFonts w:cstheme="minorHAnsi"/>
                <w:sz w:val="24"/>
                <w:szCs w:val="24"/>
              </w:rPr>
              <w:t>del comercio electrónico.</w:t>
            </w:r>
          </w:p>
        </w:tc>
        <w:tc>
          <w:tcPr>
            <w:tcW w:w="5105" w:type="dxa"/>
          </w:tcPr>
          <w:p w14:paraId="7D25C8D6" w14:textId="77777777" w:rsidR="00CD565D" w:rsidRPr="0028550A" w:rsidRDefault="008C72D9" w:rsidP="00855133">
            <w:pPr>
              <w:jc w:val="both"/>
              <w:rPr>
                <w:rFonts w:cstheme="minorHAnsi"/>
                <w:sz w:val="24"/>
                <w:szCs w:val="24"/>
              </w:rPr>
            </w:pPr>
            <w:r w:rsidRPr="0028550A">
              <w:rPr>
                <w:rFonts w:cstheme="minorHAnsi"/>
                <w:sz w:val="24"/>
                <w:szCs w:val="24"/>
              </w:rPr>
              <w:t xml:space="preserve">El comercio electrónico es vital para las empresas </w:t>
            </w:r>
            <w:r w:rsidR="00317018" w:rsidRPr="0028550A">
              <w:rPr>
                <w:rFonts w:cstheme="minorHAnsi"/>
                <w:sz w:val="24"/>
                <w:szCs w:val="24"/>
              </w:rPr>
              <w:t xml:space="preserve">hoy en día y los países deben </w:t>
            </w:r>
            <w:r w:rsidR="00806C48" w:rsidRPr="0028550A">
              <w:rPr>
                <w:rFonts w:cstheme="minorHAnsi"/>
                <w:sz w:val="24"/>
                <w:szCs w:val="24"/>
              </w:rPr>
              <w:t xml:space="preserve">tener marcos normativos que </w:t>
            </w:r>
            <w:r w:rsidR="00806C48" w:rsidRPr="0028550A">
              <w:rPr>
                <w:rFonts w:cstheme="minorHAnsi"/>
                <w:sz w:val="24"/>
                <w:szCs w:val="24"/>
              </w:rPr>
              <w:lastRenderedPageBreak/>
              <w:t>promuevan el comercio</w:t>
            </w:r>
            <w:r w:rsidR="0020414A" w:rsidRPr="0028550A">
              <w:rPr>
                <w:rFonts w:cstheme="minorHAnsi"/>
                <w:sz w:val="24"/>
                <w:szCs w:val="24"/>
              </w:rPr>
              <w:t xml:space="preserve"> por este medio</w:t>
            </w:r>
            <w:r w:rsidR="00806C48" w:rsidRPr="0028550A">
              <w:rPr>
                <w:rFonts w:cstheme="minorHAnsi"/>
                <w:sz w:val="24"/>
                <w:szCs w:val="24"/>
              </w:rPr>
              <w:t xml:space="preserve">, fortalezcan la confianza del consumidor y </w:t>
            </w:r>
            <w:r w:rsidR="0046228B" w:rsidRPr="0028550A">
              <w:rPr>
                <w:rFonts w:cstheme="minorHAnsi"/>
                <w:sz w:val="24"/>
                <w:szCs w:val="24"/>
              </w:rPr>
              <w:t xml:space="preserve">reconozcan </w:t>
            </w:r>
            <w:r w:rsidR="00B41DC2" w:rsidRPr="0028550A">
              <w:rPr>
                <w:rFonts w:cstheme="minorHAnsi"/>
                <w:sz w:val="24"/>
                <w:szCs w:val="24"/>
              </w:rPr>
              <w:t xml:space="preserve">la </w:t>
            </w:r>
            <w:r w:rsidR="000B0D85" w:rsidRPr="0028550A">
              <w:rPr>
                <w:rFonts w:cstheme="minorHAnsi"/>
                <w:sz w:val="24"/>
                <w:szCs w:val="24"/>
              </w:rPr>
              <w:t>equivalencia funcional</w:t>
            </w:r>
            <w:r w:rsidR="00B41DC2" w:rsidRPr="0028550A">
              <w:rPr>
                <w:rFonts w:cstheme="minorHAnsi"/>
                <w:sz w:val="24"/>
                <w:szCs w:val="24"/>
              </w:rPr>
              <w:t xml:space="preserve"> </w:t>
            </w:r>
            <w:r w:rsidR="00266952" w:rsidRPr="0028550A">
              <w:rPr>
                <w:rFonts w:cstheme="minorHAnsi"/>
                <w:sz w:val="24"/>
                <w:szCs w:val="24"/>
              </w:rPr>
              <w:t>entre</w:t>
            </w:r>
            <w:r w:rsidR="00B41DC2" w:rsidRPr="0028550A">
              <w:rPr>
                <w:rFonts w:cstheme="minorHAnsi"/>
                <w:sz w:val="24"/>
                <w:szCs w:val="24"/>
              </w:rPr>
              <w:t xml:space="preserve"> </w:t>
            </w:r>
            <w:r w:rsidR="00725A30" w:rsidRPr="0028550A">
              <w:rPr>
                <w:rFonts w:cstheme="minorHAnsi"/>
                <w:sz w:val="24"/>
                <w:szCs w:val="24"/>
              </w:rPr>
              <w:t xml:space="preserve">herramientas </w:t>
            </w:r>
            <w:r w:rsidR="00104A82" w:rsidRPr="0028550A">
              <w:rPr>
                <w:rFonts w:cstheme="minorHAnsi"/>
                <w:sz w:val="24"/>
                <w:szCs w:val="24"/>
              </w:rPr>
              <w:t>digitales y físicas.</w:t>
            </w:r>
            <w:r w:rsidR="00A94510" w:rsidRPr="0028550A">
              <w:rPr>
                <w:rFonts w:cstheme="minorHAnsi"/>
                <w:sz w:val="24"/>
                <w:szCs w:val="24"/>
              </w:rPr>
              <w:t xml:space="preserve"> </w:t>
            </w:r>
          </w:p>
          <w:p w14:paraId="0C4B34F0" w14:textId="77777777" w:rsidR="00CD565D" w:rsidRPr="0028550A" w:rsidRDefault="00CD565D" w:rsidP="00855133">
            <w:pPr>
              <w:jc w:val="both"/>
              <w:rPr>
                <w:rFonts w:cstheme="minorHAnsi"/>
                <w:sz w:val="24"/>
                <w:szCs w:val="24"/>
              </w:rPr>
            </w:pPr>
          </w:p>
          <w:p w14:paraId="26C7B3B8" w14:textId="1325AF21" w:rsidR="007F3C88" w:rsidRPr="0028550A" w:rsidRDefault="00697276" w:rsidP="00855133">
            <w:pPr>
              <w:jc w:val="both"/>
              <w:rPr>
                <w:rFonts w:cstheme="minorHAnsi"/>
                <w:sz w:val="24"/>
                <w:szCs w:val="24"/>
              </w:rPr>
            </w:pPr>
            <w:r w:rsidRPr="0028550A">
              <w:rPr>
                <w:rFonts w:cstheme="minorHAnsi"/>
                <w:sz w:val="24"/>
                <w:szCs w:val="24"/>
              </w:rPr>
              <w:t>Si bien la figura ya menciona algunos aspectos que tienen un impacto en el marco habilitador del comercio electrónico</w:t>
            </w:r>
            <w:r w:rsidR="00655FAB" w:rsidRPr="0028550A">
              <w:rPr>
                <w:rFonts w:cstheme="minorHAnsi"/>
                <w:sz w:val="24"/>
                <w:szCs w:val="24"/>
              </w:rPr>
              <w:t xml:space="preserve"> (protección de datos personales, ciberseguridad</w:t>
            </w:r>
            <w:r w:rsidR="005C1514" w:rsidRPr="0028550A">
              <w:rPr>
                <w:rFonts w:cstheme="minorHAnsi"/>
                <w:sz w:val="24"/>
                <w:szCs w:val="24"/>
              </w:rPr>
              <w:t xml:space="preserve">, infraestructura de </w:t>
            </w:r>
            <w:r w:rsidR="0018390A" w:rsidRPr="0028550A">
              <w:rPr>
                <w:rFonts w:cstheme="minorHAnsi"/>
                <w:sz w:val="24"/>
                <w:szCs w:val="24"/>
              </w:rPr>
              <w:t>telecomunicaciones</w:t>
            </w:r>
            <w:r w:rsidR="00BE6414" w:rsidRPr="0028550A">
              <w:rPr>
                <w:rFonts w:cstheme="minorHAnsi"/>
                <w:sz w:val="24"/>
                <w:szCs w:val="24"/>
              </w:rPr>
              <w:t>)</w:t>
            </w:r>
            <w:r w:rsidR="00A97765" w:rsidRPr="0028550A">
              <w:rPr>
                <w:rFonts w:cstheme="minorHAnsi"/>
                <w:sz w:val="24"/>
                <w:szCs w:val="24"/>
              </w:rPr>
              <w:t>; este es mucho más amplio y exige el anál</w:t>
            </w:r>
            <w:r w:rsidR="000C0782" w:rsidRPr="0028550A">
              <w:rPr>
                <w:rFonts w:cstheme="minorHAnsi"/>
                <w:sz w:val="24"/>
                <w:szCs w:val="24"/>
              </w:rPr>
              <w:t xml:space="preserve">isis y </w:t>
            </w:r>
            <w:r w:rsidR="00D844A3" w:rsidRPr="0028550A">
              <w:rPr>
                <w:rFonts w:cstheme="minorHAnsi"/>
                <w:sz w:val="24"/>
                <w:szCs w:val="24"/>
              </w:rPr>
              <w:t>desarrollo</w:t>
            </w:r>
            <w:r w:rsidR="0018143B" w:rsidRPr="0028550A">
              <w:rPr>
                <w:rFonts w:cstheme="minorHAnsi"/>
                <w:sz w:val="24"/>
                <w:szCs w:val="24"/>
              </w:rPr>
              <w:t xml:space="preserve"> normativo integral desde muchos </w:t>
            </w:r>
            <w:r w:rsidR="00447F63" w:rsidRPr="0028550A">
              <w:rPr>
                <w:rFonts w:cstheme="minorHAnsi"/>
                <w:sz w:val="24"/>
                <w:szCs w:val="24"/>
              </w:rPr>
              <w:t xml:space="preserve">otros campos (por citar algunos ejemplos: </w:t>
            </w:r>
            <w:r w:rsidR="00852932" w:rsidRPr="0028550A">
              <w:rPr>
                <w:rFonts w:cstheme="minorHAnsi"/>
                <w:sz w:val="24"/>
                <w:szCs w:val="24"/>
              </w:rPr>
              <w:t>acceso a Internet, protección del consumidor, firma digital</w:t>
            </w:r>
            <w:r w:rsidR="007C4CFB" w:rsidRPr="0028550A">
              <w:rPr>
                <w:rFonts w:cstheme="minorHAnsi"/>
                <w:sz w:val="24"/>
                <w:szCs w:val="24"/>
              </w:rPr>
              <w:t>, contrat</w:t>
            </w:r>
            <w:r w:rsidR="00DA01AC" w:rsidRPr="0028550A">
              <w:rPr>
                <w:rFonts w:cstheme="minorHAnsi"/>
                <w:sz w:val="24"/>
                <w:szCs w:val="24"/>
              </w:rPr>
              <w:t>os en línea</w:t>
            </w:r>
            <w:r w:rsidR="00BA64AF" w:rsidRPr="0028550A">
              <w:rPr>
                <w:rFonts w:cstheme="minorHAnsi"/>
                <w:sz w:val="24"/>
                <w:szCs w:val="24"/>
              </w:rPr>
              <w:t>, flujo de datos</w:t>
            </w:r>
            <w:r w:rsidR="00B2479E" w:rsidRPr="0028550A">
              <w:rPr>
                <w:rFonts w:cstheme="minorHAnsi"/>
                <w:sz w:val="24"/>
                <w:szCs w:val="24"/>
              </w:rPr>
              <w:t>, interoperabilidad de sistemas</w:t>
            </w:r>
            <w:r w:rsidR="00BA64AF" w:rsidRPr="0028550A">
              <w:rPr>
                <w:rFonts w:cstheme="minorHAnsi"/>
                <w:sz w:val="24"/>
                <w:szCs w:val="24"/>
              </w:rPr>
              <w:t>)</w:t>
            </w:r>
            <w:r w:rsidR="00D844A3" w:rsidRPr="0028550A">
              <w:rPr>
                <w:rFonts w:cstheme="minorHAnsi"/>
                <w:sz w:val="24"/>
                <w:szCs w:val="24"/>
              </w:rPr>
              <w:t>.</w:t>
            </w:r>
          </w:p>
        </w:tc>
      </w:tr>
      <w:tr w:rsidR="00C96EF0" w:rsidRPr="001E6ED9" w14:paraId="36144B8B" w14:textId="77777777" w:rsidTr="00264E79">
        <w:trPr>
          <w:trHeight w:val="978"/>
        </w:trPr>
        <w:tc>
          <w:tcPr>
            <w:tcW w:w="4195" w:type="dxa"/>
          </w:tcPr>
          <w:p w14:paraId="0BE94BFB" w14:textId="1143F41C" w:rsidR="00C96EF0" w:rsidRPr="0028550A" w:rsidRDefault="00C96EF0" w:rsidP="47C3D11B">
            <w:pPr>
              <w:spacing w:line="276" w:lineRule="auto"/>
              <w:jc w:val="both"/>
              <w:rPr>
                <w:rFonts w:cstheme="minorHAnsi"/>
                <w:sz w:val="24"/>
                <w:szCs w:val="24"/>
              </w:rPr>
            </w:pPr>
            <w:r w:rsidRPr="0028550A">
              <w:rPr>
                <w:rFonts w:cstheme="minorHAnsi"/>
                <w:sz w:val="24"/>
                <w:szCs w:val="24"/>
              </w:rPr>
              <w:lastRenderedPageBreak/>
              <w:t>4.3.2. Ejes habilitadores</w:t>
            </w:r>
          </w:p>
          <w:p w14:paraId="03059379" w14:textId="77777777" w:rsidR="00C96EF0" w:rsidRPr="0028550A" w:rsidRDefault="00C96EF0" w:rsidP="47C3D11B">
            <w:pPr>
              <w:spacing w:line="276" w:lineRule="auto"/>
              <w:jc w:val="both"/>
              <w:rPr>
                <w:rFonts w:cstheme="minorHAnsi"/>
                <w:sz w:val="24"/>
                <w:szCs w:val="24"/>
              </w:rPr>
            </w:pPr>
          </w:p>
          <w:p w14:paraId="424BE494" w14:textId="1B257E4D" w:rsidR="00C96EF0" w:rsidRPr="0028550A" w:rsidRDefault="002A19FD" w:rsidP="47C3D11B">
            <w:pPr>
              <w:spacing w:line="276" w:lineRule="auto"/>
              <w:jc w:val="both"/>
              <w:rPr>
                <w:rFonts w:cstheme="minorHAnsi"/>
                <w:sz w:val="24"/>
                <w:szCs w:val="24"/>
              </w:rPr>
            </w:pPr>
            <w:r w:rsidRPr="0028550A">
              <w:rPr>
                <w:rFonts w:cstheme="minorHAnsi"/>
                <w:sz w:val="24"/>
                <w:szCs w:val="24"/>
              </w:rPr>
              <w:t xml:space="preserve">4.3.2.3 </w:t>
            </w:r>
            <w:r w:rsidR="00470AFF" w:rsidRPr="0028550A">
              <w:rPr>
                <w:rFonts w:cstheme="minorHAnsi"/>
                <w:sz w:val="24"/>
                <w:szCs w:val="24"/>
              </w:rPr>
              <w:t>Cooperación nacional e internacional</w:t>
            </w:r>
          </w:p>
        </w:tc>
        <w:tc>
          <w:tcPr>
            <w:tcW w:w="3880" w:type="dxa"/>
          </w:tcPr>
          <w:p w14:paraId="2349B6B0" w14:textId="4B52283A" w:rsidR="003A0209" w:rsidRPr="0028550A" w:rsidRDefault="00470AFF" w:rsidP="00855133">
            <w:pPr>
              <w:autoSpaceDE w:val="0"/>
              <w:autoSpaceDN w:val="0"/>
              <w:adjustRightInd w:val="0"/>
              <w:jc w:val="both"/>
              <w:rPr>
                <w:rFonts w:cstheme="minorHAnsi"/>
                <w:sz w:val="24"/>
                <w:szCs w:val="24"/>
              </w:rPr>
            </w:pPr>
            <w:r w:rsidRPr="0028550A">
              <w:rPr>
                <w:rFonts w:cstheme="minorHAnsi"/>
                <w:sz w:val="24"/>
                <w:szCs w:val="24"/>
              </w:rPr>
              <w:t>Considerar la reciente incorporación de Costa Rica a la OCDE</w:t>
            </w:r>
            <w:r w:rsidR="00A163B3" w:rsidRPr="0028550A">
              <w:rPr>
                <w:rFonts w:cstheme="minorHAnsi"/>
                <w:sz w:val="24"/>
                <w:szCs w:val="24"/>
              </w:rPr>
              <w:t xml:space="preserve"> y su aprovechamiento activo y efectivo</w:t>
            </w:r>
            <w:r w:rsidRPr="0028550A">
              <w:rPr>
                <w:rFonts w:cstheme="minorHAnsi"/>
                <w:sz w:val="24"/>
                <w:szCs w:val="24"/>
              </w:rPr>
              <w:t xml:space="preserve"> </w:t>
            </w:r>
            <w:r w:rsidR="00247A1A" w:rsidRPr="0028550A">
              <w:rPr>
                <w:rFonts w:cstheme="minorHAnsi"/>
                <w:sz w:val="24"/>
                <w:szCs w:val="24"/>
              </w:rPr>
              <w:t>en el marco de este eje habilitador</w:t>
            </w:r>
            <w:r w:rsidR="000F0BA0" w:rsidRPr="0028550A">
              <w:rPr>
                <w:rFonts w:cstheme="minorHAnsi"/>
                <w:sz w:val="24"/>
                <w:szCs w:val="24"/>
              </w:rPr>
              <w:t xml:space="preserve"> como elemento clave para el logro de los objetivos planteados en esta </w:t>
            </w:r>
            <w:r w:rsidR="00A163B3" w:rsidRPr="0028550A">
              <w:rPr>
                <w:rFonts w:cstheme="minorHAnsi"/>
                <w:sz w:val="24"/>
                <w:szCs w:val="24"/>
              </w:rPr>
              <w:t>Política</w:t>
            </w:r>
            <w:r w:rsidR="000F0BA0" w:rsidRPr="0028550A">
              <w:rPr>
                <w:rFonts w:cstheme="minorHAnsi"/>
                <w:sz w:val="24"/>
                <w:szCs w:val="24"/>
              </w:rPr>
              <w:t>. La OCDE es</w:t>
            </w:r>
            <w:r w:rsidR="00247A1A" w:rsidRPr="0028550A">
              <w:rPr>
                <w:rFonts w:cstheme="minorHAnsi"/>
                <w:sz w:val="24"/>
                <w:szCs w:val="24"/>
              </w:rPr>
              <w:t xml:space="preserve"> </w:t>
            </w:r>
            <w:r w:rsidR="006A4439" w:rsidRPr="0028550A">
              <w:rPr>
                <w:rFonts w:cstheme="minorHAnsi"/>
                <w:sz w:val="24"/>
                <w:szCs w:val="24"/>
              </w:rPr>
              <w:t>un centro de conocimientos para la recopilación de datos y el análisis, el intercambio de experiencias y de buenas prácticas.</w:t>
            </w:r>
            <w:r w:rsidR="00073FDE" w:rsidRPr="0028550A">
              <w:rPr>
                <w:rFonts w:cstheme="minorHAnsi"/>
                <w:sz w:val="24"/>
                <w:szCs w:val="24"/>
              </w:rPr>
              <w:t xml:space="preserve"> Además, </w:t>
            </w:r>
            <w:r w:rsidR="00E348DD" w:rsidRPr="0028550A">
              <w:rPr>
                <w:rFonts w:cstheme="minorHAnsi"/>
                <w:sz w:val="24"/>
                <w:szCs w:val="24"/>
              </w:rPr>
              <w:t>la OCDE e</w:t>
            </w:r>
            <w:r w:rsidR="00073FDE" w:rsidRPr="0028550A">
              <w:rPr>
                <w:rFonts w:cstheme="minorHAnsi"/>
                <w:sz w:val="24"/>
                <w:szCs w:val="24"/>
              </w:rPr>
              <w:t xml:space="preserve">n colaboración con gobiernos, responsables de políticas públicas y ciudadanos, trabaja para establecer estándares internacionales y proponer soluciones basadas en datos </w:t>
            </w:r>
            <w:r w:rsidR="00073FDE" w:rsidRPr="0028550A">
              <w:rPr>
                <w:rFonts w:cstheme="minorHAnsi"/>
                <w:sz w:val="24"/>
                <w:szCs w:val="24"/>
              </w:rPr>
              <w:lastRenderedPageBreak/>
              <w:t>empíricos a diversos retos sociales, económicos y medioambientales</w:t>
            </w:r>
            <w:r w:rsidR="003A0209" w:rsidRPr="0028550A">
              <w:rPr>
                <w:rFonts w:cstheme="minorHAnsi"/>
                <w:sz w:val="24"/>
                <w:szCs w:val="24"/>
              </w:rPr>
              <w:t xml:space="preserve">. Todo esto con el objetivo promover políticas que favorezcan la prosperidad, la igualdad, las oportunidades y el bienestar para todas las personas. </w:t>
            </w:r>
          </w:p>
          <w:p w14:paraId="2A75BED1" w14:textId="77777777" w:rsidR="008A6F7B" w:rsidRPr="0028550A" w:rsidRDefault="008A6F7B" w:rsidP="00855133">
            <w:pPr>
              <w:autoSpaceDE w:val="0"/>
              <w:autoSpaceDN w:val="0"/>
              <w:adjustRightInd w:val="0"/>
              <w:jc w:val="both"/>
              <w:rPr>
                <w:rFonts w:cstheme="minorHAnsi"/>
                <w:sz w:val="24"/>
                <w:szCs w:val="24"/>
              </w:rPr>
            </w:pPr>
          </w:p>
          <w:p w14:paraId="2F2D3CB0" w14:textId="5B4672B3" w:rsidR="00C72C5A" w:rsidRPr="0028550A" w:rsidRDefault="00C72C5A" w:rsidP="00855133">
            <w:pPr>
              <w:autoSpaceDE w:val="0"/>
              <w:autoSpaceDN w:val="0"/>
              <w:adjustRightInd w:val="0"/>
              <w:jc w:val="both"/>
              <w:rPr>
                <w:rFonts w:cstheme="minorHAnsi"/>
                <w:sz w:val="24"/>
                <w:szCs w:val="24"/>
              </w:rPr>
            </w:pPr>
            <w:r w:rsidRPr="0028550A">
              <w:rPr>
                <w:rFonts w:cstheme="minorHAnsi"/>
                <w:sz w:val="24"/>
                <w:szCs w:val="24"/>
              </w:rPr>
              <w:t xml:space="preserve">En este sentido, es importante </w:t>
            </w:r>
            <w:r w:rsidR="00497108" w:rsidRPr="0028550A">
              <w:rPr>
                <w:rFonts w:cstheme="minorHAnsi"/>
                <w:sz w:val="24"/>
                <w:szCs w:val="24"/>
              </w:rPr>
              <w:t xml:space="preserve">catalizar acciones que promuevan </w:t>
            </w:r>
            <w:r w:rsidR="00B661C2" w:rsidRPr="0028550A">
              <w:rPr>
                <w:rFonts w:cstheme="minorHAnsi"/>
                <w:sz w:val="24"/>
                <w:szCs w:val="24"/>
              </w:rPr>
              <w:t>la implementación y diseminación</w:t>
            </w:r>
            <w:r w:rsidR="00497108" w:rsidRPr="0028550A">
              <w:rPr>
                <w:rFonts w:cstheme="minorHAnsi"/>
                <w:sz w:val="24"/>
                <w:szCs w:val="24"/>
              </w:rPr>
              <w:t xml:space="preserve"> de las buenas prácticas internacionales promovidas por la organiza</w:t>
            </w:r>
            <w:r w:rsidR="00B60376" w:rsidRPr="0028550A">
              <w:rPr>
                <w:rFonts w:cstheme="minorHAnsi"/>
                <w:sz w:val="24"/>
                <w:szCs w:val="24"/>
              </w:rPr>
              <w:t>ción</w:t>
            </w:r>
            <w:r w:rsidR="007563A0" w:rsidRPr="0028550A">
              <w:rPr>
                <w:rFonts w:cstheme="minorHAnsi"/>
                <w:sz w:val="24"/>
                <w:szCs w:val="24"/>
              </w:rPr>
              <w:t xml:space="preserve"> en materia de ciencia, tecnología, innovación y economía digital.</w:t>
            </w:r>
            <w:r w:rsidR="00F05ADE" w:rsidRPr="0028550A">
              <w:rPr>
                <w:rFonts w:cstheme="minorHAnsi"/>
                <w:sz w:val="24"/>
                <w:szCs w:val="24"/>
              </w:rPr>
              <w:t xml:space="preserve"> </w:t>
            </w:r>
            <w:r w:rsidR="003A7C44" w:rsidRPr="0028550A">
              <w:rPr>
                <w:rFonts w:cstheme="minorHAnsi"/>
                <w:sz w:val="24"/>
                <w:szCs w:val="24"/>
              </w:rPr>
              <w:t>Los estándares de la organización se reflejan por medio de instrumentos legales</w:t>
            </w:r>
            <w:r w:rsidR="0010789A" w:rsidRPr="0028550A">
              <w:rPr>
                <w:rStyle w:val="Refdenotaalpie"/>
                <w:rFonts w:cstheme="minorHAnsi"/>
                <w:sz w:val="24"/>
                <w:szCs w:val="24"/>
              </w:rPr>
              <w:footnoteReference w:id="4"/>
            </w:r>
            <w:r w:rsidR="003A7C44" w:rsidRPr="0028550A">
              <w:rPr>
                <w:rFonts w:cstheme="minorHAnsi"/>
                <w:sz w:val="24"/>
                <w:szCs w:val="24"/>
              </w:rPr>
              <w:t>, reportes comparativos y estudios específicos</w:t>
            </w:r>
            <w:r w:rsidR="0010789A" w:rsidRPr="0028550A">
              <w:rPr>
                <w:rFonts w:cstheme="minorHAnsi"/>
                <w:sz w:val="24"/>
                <w:szCs w:val="24"/>
              </w:rPr>
              <w:t xml:space="preserve"> constantemente publicados por la organización</w:t>
            </w:r>
            <w:r w:rsidR="003A7C44" w:rsidRPr="0028550A">
              <w:rPr>
                <w:rFonts w:cstheme="minorHAnsi"/>
                <w:sz w:val="24"/>
                <w:szCs w:val="24"/>
              </w:rPr>
              <w:t>.</w:t>
            </w:r>
            <w:r w:rsidR="00C94564" w:rsidRPr="0028550A">
              <w:rPr>
                <w:rFonts w:cstheme="minorHAnsi"/>
                <w:sz w:val="24"/>
                <w:szCs w:val="24"/>
              </w:rPr>
              <w:t xml:space="preserve"> Todos estos estándares deberían ser considerados en esta política como elementos orientadores de las acciones de política aquí señaladas</w:t>
            </w:r>
            <w:r w:rsidR="00684F03" w:rsidRPr="0028550A">
              <w:rPr>
                <w:rFonts w:cstheme="minorHAnsi"/>
                <w:sz w:val="24"/>
                <w:szCs w:val="24"/>
              </w:rPr>
              <w:t xml:space="preserve"> en las secciones subsiguientes</w:t>
            </w:r>
            <w:r w:rsidR="00C94564" w:rsidRPr="0028550A">
              <w:rPr>
                <w:rFonts w:cstheme="minorHAnsi"/>
                <w:sz w:val="24"/>
                <w:szCs w:val="24"/>
              </w:rPr>
              <w:t>.</w:t>
            </w:r>
            <w:r w:rsidR="003A7C44" w:rsidRPr="0028550A">
              <w:rPr>
                <w:rFonts w:cstheme="minorHAnsi"/>
                <w:sz w:val="24"/>
                <w:szCs w:val="24"/>
              </w:rPr>
              <w:t xml:space="preserve"> </w:t>
            </w:r>
            <w:r w:rsidR="00F05ADE" w:rsidRPr="0028550A">
              <w:rPr>
                <w:rFonts w:cstheme="minorHAnsi"/>
                <w:sz w:val="24"/>
                <w:szCs w:val="24"/>
              </w:rPr>
              <w:t xml:space="preserve"> </w:t>
            </w:r>
          </w:p>
          <w:p w14:paraId="00B97F19" w14:textId="77777777" w:rsidR="00C96EF0" w:rsidRPr="0028550A" w:rsidRDefault="00C96EF0" w:rsidP="00855133">
            <w:pPr>
              <w:autoSpaceDE w:val="0"/>
              <w:autoSpaceDN w:val="0"/>
              <w:adjustRightInd w:val="0"/>
              <w:jc w:val="both"/>
              <w:rPr>
                <w:rFonts w:cstheme="minorHAnsi"/>
                <w:sz w:val="24"/>
                <w:szCs w:val="24"/>
              </w:rPr>
            </w:pPr>
          </w:p>
          <w:p w14:paraId="674D9734" w14:textId="62008075" w:rsidR="00DC2F6A" w:rsidRPr="0028550A" w:rsidRDefault="00DC2F6A" w:rsidP="00DC2F6A">
            <w:pPr>
              <w:autoSpaceDE w:val="0"/>
              <w:autoSpaceDN w:val="0"/>
              <w:adjustRightInd w:val="0"/>
              <w:jc w:val="both"/>
              <w:rPr>
                <w:rFonts w:cstheme="minorHAnsi"/>
                <w:sz w:val="24"/>
                <w:szCs w:val="24"/>
              </w:rPr>
            </w:pPr>
            <w:r w:rsidRPr="0028550A">
              <w:rPr>
                <w:rFonts w:cstheme="minorHAnsi"/>
                <w:sz w:val="24"/>
                <w:szCs w:val="24"/>
              </w:rPr>
              <w:t>Adicionalmente se debería de considerar el instrumento legal de la OCDE sobre este tema:</w:t>
            </w:r>
            <w:r w:rsidR="00B90F33" w:rsidRPr="0028550A">
              <w:rPr>
                <w:rFonts w:cstheme="minorHAnsi"/>
                <w:sz w:val="24"/>
                <w:szCs w:val="24"/>
              </w:rPr>
              <w:t xml:space="preserve"> </w:t>
            </w:r>
            <w:hyperlink r:id="rId8" w:history="1">
              <w:r w:rsidR="00B90F33" w:rsidRPr="0028550A">
                <w:rPr>
                  <w:rStyle w:val="Hipervnculo"/>
                  <w:rFonts w:cstheme="minorHAnsi"/>
                  <w:sz w:val="24"/>
                  <w:szCs w:val="24"/>
                </w:rPr>
                <w:t>https://legalinstruments.oecd.org/en/instruments/OECD-LEGAL-0237</w:t>
              </w:r>
            </w:hyperlink>
            <w:r w:rsidR="00B90F33" w:rsidRPr="0028550A">
              <w:rPr>
                <w:rFonts w:cstheme="minorHAnsi"/>
                <w:sz w:val="24"/>
                <w:szCs w:val="24"/>
              </w:rPr>
              <w:t xml:space="preserve"> </w:t>
            </w:r>
            <w:r w:rsidRPr="0028550A">
              <w:rPr>
                <w:rFonts w:cstheme="minorHAnsi"/>
                <w:sz w:val="24"/>
                <w:szCs w:val="24"/>
              </w:rPr>
              <w:t xml:space="preserve"> </w:t>
            </w:r>
          </w:p>
          <w:p w14:paraId="748CE079" w14:textId="287A8E80" w:rsidR="00DC2F6A" w:rsidRPr="0028550A" w:rsidRDefault="00DC2F6A" w:rsidP="00855133">
            <w:pPr>
              <w:autoSpaceDE w:val="0"/>
              <w:autoSpaceDN w:val="0"/>
              <w:adjustRightInd w:val="0"/>
              <w:jc w:val="both"/>
              <w:rPr>
                <w:rFonts w:cstheme="minorHAnsi"/>
                <w:sz w:val="24"/>
                <w:szCs w:val="24"/>
              </w:rPr>
            </w:pPr>
          </w:p>
        </w:tc>
        <w:tc>
          <w:tcPr>
            <w:tcW w:w="5105" w:type="dxa"/>
          </w:tcPr>
          <w:p w14:paraId="5874BAD2" w14:textId="169E55C4" w:rsidR="00DC38DC" w:rsidRPr="0028550A" w:rsidRDefault="00556A6B" w:rsidP="00855133">
            <w:pPr>
              <w:jc w:val="both"/>
              <w:rPr>
                <w:rFonts w:cstheme="minorHAnsi"/>
                <w:sz w:val="24"/>
                <w:szCs w:val="24"/>
              </w:rPr>
            </w:pPr>
            <w:r w:rsidRPr="0028550A">
              <w:rPr>
                <w:rFonts w:cstheme="minorHAnsi"/>
                <w:sz w:val="24"/>
                <w:szCs w:val="24"/>
              </w:rPr>
              <w:lastRenderedPageBreak/>
              <w:t xml:space="preserve">La OCDE cuenta con </w:t>
            </w:r>
            <w:r w:rsidR="005B640F" w:rsidRPr="0028550A">
              <w:rPr>
                <w:rFonts w:cstheme="minorHAnsi"/>
                <w:sz w:val="24"/>
                <w:szCs w:val="24"/>
              </w:rPr>
              <w:t>más</w:t>
            </w:r>
            <w:r w:rsidRPr="0028550A">
              <w:rPr>
                <w:rFonts w:cstheme="minorHAnsi"/>
                <w:sz w:val="24"/>
                <w:szCs w:val="24"/>
              </w:rPr>
              <w:t xml:space="preserve"> de 300 comités y grupos de trabajo</w:t>
            </w:r>
            <w:r w:rsidR="00B57D29" w:rsidRPr="0028550A">
              <w:rPr>
                <w:rFonts w:cstheme="minorHAnsi"/>
                <w:sz w:val="24"/>
                <w:szCs w:val="24"/>
              </w:rPr>
              <w:t>. En este sentido, se sugiere considerar el trabajo que desarrolla el Comité de Políticas en Ciencia y Tecnología</w:t>
            </w:r>
            <w:r w:rsidRPr="0028550A">
              <w:rPr>
                <w:rFonts w:cstheme="minorHAnsi"/>
                <w:sz w:val="24"/>
                <w:szCs w:val="24"/>
              </w:rPr>
              <w:t xml:space="preserve"> </w:t>
            </w:r>
            <w:r w:rsidR="0029555C" w:rsidRPr="0028550A">
              <w:rPr>
                <w:rFonts w:cstheme="minorHAnsi"/>
                <w:sz w:val="24"/>
                <w:szCs w:val="24"/>
              </w:rPr>
              <w:t xml:space="preserve"> </w:t>
            </w:r>
            <w:r w:rsidRPr="0028550A">
              <w:rPr>
                <w:rFonts w:cstheme="minorHAnsi"/>
                <w:sz w:val="24"/>
                <w:szCs w:val="24"/>
              </w:rPr>
              <w:t xml:space="preserve">y sus respectivos grupos de trabajo en áreas como políticas de innovación, </w:t>
            </w:r>
            <w:r w:rsidR="00B12AD8" w:rsidRPr="0028550A">
              <w:rPr>
                <w:rFonts w:cstheme="minorHAnsi"/>
                <w:sz w:val="24"/>
                <w:szCs w:val="24"/>
              </w:rPr>
              <w:t>políticas en biotecnología, nanotecnología y tecnologías convergentes,</w:t>
            </w:r>
            <w:r w:rsidR="0029555C" w:rsidRPr="0028550A">
              <w:rPr>
                <w:rFonts w:cstheme="minorHAnsi"/>
                <w:sz w:val="24"/>
                <w:szCs w:val="24"/>
              </w:rPr>
              <w:t xml:space="preserve"> es responsable de fomentar la </w:t>
            </w:r>
            <w:r w:rsidR="0029555C" w:rsidRPr="0028550A">
              <w:rPr>
                <w:rFonts w:cstheme="minorHAnsi"/>
                <w:sz w:val="24"/>
                <w:szCs w:val="24"/>
              </w:rPr>
              <w:lastRenderedPageBreak/>
              <w:t>cooperación entre los miembros y, según proceda, con los socios, en el ámbito de la política de ciencia, tecnología e innovación (CTI), con miras a contribuir al logro de los objetivos económicos, sociales y científicos</w:t>
            </w:r>
            <w:r w:rsidR="00246239" w:rsidRPr="0028550A">
              <w:rPr>
                <w:rFonts w:cstheme="minorHAnsi"/>
                <w:sz w:val="24"/>
                <w:szCs w:val="24"/>
              </w:rPr>
              <w:t>,</w:t>
            </w:r>
            <w:r w:rsidR="0029555C" w:rsidRPr="0028550A">
              <w:rPr>
                <w:rFonts w:cstheme="minorHAnsi"/>
                <w:sz w:val="24"/>
                <w:szCs w:val="24"/>
              </w:rPr>
              <w:t xml:space="preserve"> incluido el crecimiento y la creación de empleo, el desarrollo sostenible, la mejora del bienestar de sus ciudadanos y el avance de las fronteras del conocimiento. </w:t>
            </w:r>
            <w:r w:rsidR="00BD72AE" w:rsidRPr="0028550A">
              <w:rPr>
                <w:rFonts w:cstheme="minorHAnsi"/>
                <w:sz w:val="24"/>
                <w:szCs w:val="24"/>
              </w:rPr>
              <w:t xml:space="preserve">Utilizar la OCDE como plataforma de cooperación por medio de la participación. </w:t>
            </w:r>
            <w:r w:rsidR="0029555C" w:rsidRPr="0028550A">
              <w:rPr>
                <w:rFonts w:cstheme="minorHAnsi"/>
                <w:sz w:val="24"/>
                <w:szCs w:val="24"/>
              </w:rPr>
              <w:t>Prestar especial atención a la integración de la política de ciencia, tecnología e innovación con otros aspectos de la política gubernamental, que reviste una importancia creciente en el desarrollo de economías del conocimiento cada vez más globalizadas.</w:t>
            </w:r>
          </w:p>
          <w:p w14:paraId="7694690B" w14:textId="77777777" w:rsidR="00DC38DC" w:rsidRPr="0028550A" w:rsidRDefault="00DC38DC" w:rsidP="00855133">
            <w:pPr>
              <w:jc w:val="both"/>
              <w:rPr>
                <w:rFonts w:cstheme="minorHAnsi"/>
                <w:sz w:val="24"/>
                <w:szCs w:val="24"/>
              </w:rPr>
            </w:pPr>
          </w:p>
          <w:p w14:paraId="5B8C7293" w14:textId="60E42DE0" w:rsidR="00C96EF0" w:rsidRPr="0028550A" w:rsidRDefault="00527996" w:rsidP="00855133">
            <w:pPr>
              <w:jc w:val="both"/>
              <w:rPr>
                <w:rFonts w:cstheme="minorHAnsi"/>
                <w:sz w:val="24"/>
                <w:szCs w:val="24"/>
              </w:rPr>
            </w:pPr>
            <w:r w:rsidRPr="0028550A">
              <w:rPr>
                <w:rFonts w:cstheme="minorHAnsi"/>
                <w:sz w:val="24"/>
                <w:szCs w:val="24"/>
              </w:rPr>
              <w:t xml:space="preserve">Además, el Comité de Política de Economía Digital </w:t>
            </w:r>
            <w:r w:rsidR="00A35F0C" w:rsidRPr="0028550A">
              <w:rPr>
                <w:rFonts w:cstheme="minorHAnsi"/>
                <w:sz w:val="24"/>
                <w:szCs w:val="24"/>
              </w:rPr>
              <w:t>desarrolla</w:t>
            </w:r>
            <w:r w:rsidRPr="0028550A">
              <w:rPr>
                <w:rFonts w:cstheme="minorHAnsi"/>
                <w:sz w:val="24"/>
                <w:szCs w:val="24"/>
              </w:rPr>
              <w:t xml:space="preserve"> políticas basadas en evidencia a través de procesos de múltiples partes interesadas que: i) estimulen el crecimiento de una economía digital </w:t>
            </w:r>
            <w:r w:rsidRPr="0028550A">
              <w:rPr>
                <w:rFonts w:cstheme="minorHAnsi"/>
                <w:sz w:val="24"/>
                <w:szCs w:val="24"/>
              </w:rPr>
              <w:lastRenderedPageBreak/>
              <w:t xml:space="preserve">accesible, innovadora, abierta, inclusiva y confiable para una prosperidad sostenida; y </w:t>
            </w:r>
            <w:proofErr w:type="spellStart"/>
            <w:r w:rsidRPr="0028550A">
              <w:rPr>
                <w:rFonts w:cstheme="minorHAnsi"/>
                <w:sz w:val="24"/>
                <w:szCs w:val="24"/>
              </w:rPr>
              <w:t>ii</w:t>
            </w:r>
            <w:proofErr w:type="spellEnd"/>
            <w:r w:rsidRPr="0028550A">
              <w:rPr>
                <w:rFonts w:cstheme="minorHAnsi"/>
                <w:sz w:val="24"/>
                <w:szCs w:val="24"/>
              </w:rPr>
              <w:t>) proporcionar a los responsables de la formulación de políticas las herramientas necesarias para desarrollar una respuesta política de todo el gobierno con visión de futuro que aproveche el potencial de la digitalización para el crecimiento y el bienestar en todas las áreas de políticas.</w:t>
            </w:r>
            <w:r w:rsidR="00E26E72" w:rsidRPr="0028550A">
              <w:rPr>
                <w:rFonts w:cstheme="minorHAnsi"/>
                <w:sz w:val="24"/>
                <w:szCs w:val="24"/>
              </w:rPr>
              <w:t xml:space="preserve"> Adicionalmente, busca </w:t>
            </w:r>
            <w:r w:rsidRPr="0028550A">
              <w:rPr>
                <w:rFonts w:cstheme="minorHAnsi"/>
                <w:sz w:val="24"/>
                <w:szCs w:val="24"/>
              </w:rPr>
              <w:t>fortalecer la cooperación en estas áreas entre los miembros de la OCDE y con los socios, de conformidad con la estrategia global de relaciones del Comité, con miras a fomentar el intercambio de experiencias y la coordinación de políticas a nivel nacional e internacional.</w:t>
            </w:r>
          </w:p>
        </w:tc>
      </w:tr>
      <w:tr w:rsidR="00EE3174" w:rsidRPr="001E6ED9" w14:paraId="164B9BB7" w14:textId="77777777" w:rsidTr="00264E79">
        <w:trPr>
          <w:trHeight w:val="978"/>
        </w:trPr>
        <w:tc>
          <w:tcPr>
            <w:tcW w:w="4195" w:type="dxa"/>
          </w:tcPr>
          <w:p w14:paraId="7412BE70" w14:textId="4343339D" w:rsidR="00EE3174" w:rsidRPr="0028550A" w:rsidRDefault="196A6254" w:rsidP="47C3D11B">
            <w:pPr>
              <w:spacing w:line="276" w:lineRule="auto"/>
              <w:jc w:val="both"/>
              <w:rPr>
                <w:rFonts w:cstheme="minorHAnsi"/>
                <w:sz w:val="24"/>
                <w:szCs w:val="24"/>
              </w:rPr>
            </w:pPr>
            <w:r w:rsidRPr="0028550A">
              <w:rPr>
                <w:rFonts w:cstheme="minorHAnsi"/>
                <w:sz w:val="24"/>
                <w:szCs w:val="24"/>
              </w:rPr>
              <w:lastRenderedPageBreak/>
              <w:t>4.3.2.2. Institucionalidad</w:t>
            </w:r>
            <w:r w:rsidR="6CF91502" w:rsidRPr="0028550A">
              <w:rPr>
                <w:rFonts w:cstheme="minorHAnsi"/>
                <w:sz w:val="24"/>
                <w:szCs w:val="24"/>
              </w:rPr>
              <w:t>;</w:t>
            </w:r>
          </w:p>
          <w:p w14:paraId="552751B1" w14:textId="5BFF0E56" w:rsidR="00EE3174" w:rsidRPr="0028550A" w:rsidRDefault="00EE3174" w:rsidP="47C3D11B">
            <w:pPr>
              <w:spacing w:line="276" w:lineRule="auto"/>
              <w:jc w:val="both"/>
              <w:rPr>
                <w:rFonts w:cstheme="minorHAnsi"/>
                <w:sz w:val="24"/>
                <w:szCs w:val="24"/>
              </w:rPr>
            </w:pPr>
          </w:p>
          <w:p w14:paraId="7CC54091" w14:textId="09CC1673" w:rsidR="00EE3174" w:rsidRPr="0028550A" w:rsidRDefault="6CF91502" w:rsidP="47C3D11B">
            <w:pPr>
              <w:spacing w:line="276" w:lineRule="auto"/>
              <w:jc w:val="both"/>
              <w:rPr>
                <w:rFonts w:cstheme="minorHAnsi"/>
                <w:sz w:val="24"/>
                <w:szCs w:val="24"/>
              </w:rPr>
            </w:pPr>
            <w:r w:rsidRPr="0028550A">
              <w:rPr>
                <w:rFonts w:cstheme="minorHAnsi"/>
                <w:sz w:val="24"/>
                <w:szCs w:val="24"/>
              </w:rPr>
              <w:t>4.4.1. Talento humano</w:t>
            </w:r>
          </w:p>
        </w:tc>
        <w:tc>
          <w:tcPr>
            <w:tcW w:w="3880" w:type="dxa"/>
          </w:tcPr>
          <w:p w14:paraId="364AF064" w14:textId="6539BA46" w:rsidR="00EE3174" w:rsidRPr="0028550A" w:rsidRDefault="59D38AF0" w:rsidP="00855133">
            <w:pPr>
              <w:jc w:val="both"/>
              <w:rPr>
                <w:rFonts w:cstheme="minorHAnsi"/>
                <w:sz w:val="24"/>
                <w:szCs w:val="24"/>
              </w:rPr>
            </w:pPr>
            <w:r w:rsidRPr="0028550A">
              <w:rPr>
                <w:rFonts w:cstheme="minorHAnsi"/>
                <w:sz w:val="24"/>
                <w:szCs w:val="24"/>
              </w:rPr>
              <w:t>Tomar en cuenta los beneficios de atracción de Inversión Extranjera Directa</w:t>
            </w:r>
            <w:r w:rsidR="6273552D" w:rsidRPr="0028550A">
              <w:rPr>
                <w:rFonts w:cstheme="minorHAnsi"/>
                <w:sz w:val="24"/>
                <w:szCs w:val="24"/>
              </w:rPr>
              <w:t>,</w:t>
            </w:r>
            <w:r w:rsidRPr="0028550A">
              <w:rPr>
                <w:rFonts w:cstheme="minorHAnsi"/>
                <w:sz w:val="24"/>
                <w:szCs w:val="24"/>
              </w:rPr>
              <w:t xml:space="preserve"> en el marco de ejecución de política pública</w:t>
            </w:r>
            <w:r w:rsidR="538B03AC" w:rsidRPr="0028550A">
              <w:rPr>
                <w:rFonts w:cstheme="minorHAnsi"/>
                <w:sz w:val="24"/>
                <w:szCs w:val="24"/>
              </w:rPr>
              <w:t>, para el fomento de capacidades y conocimiento que responda a las necesidades de un mundo globalizado</w:t>
            </w:r>
            <w:r w:rsidR="16B53551" w:rsidRPr="0028550A">
              <w:rPr>
                <w:rFonts w:cstheme="minorHAnsi"/>
                <w:sz w:val="24"/>
                <w:szCs w:val="24"/>
              </w:rPr>
              <w:t xml:space="preserve">; así como la formación de alianzas </w:t>
            </w:r>
            <w:r w:rsidR="7D140EA1" w:rsidRPr="0028550A">
              <w:rPr>
                <w:rFonts w:cstheme="minorHAnsi"/>
                <w:sz w:val="24"/>
                <w:szCs w:val="24"/>
              </w:rPr>
              <w:t>público-privadas</w:t>
            </w:r>
            <w:r w:rsidR="16B53551" w:rsidRPr="0028550A">
              <w:rPr>
                <w:rFonts w:cstheme="minorHAnsi"/>
                <w:sz w:val="24"/>
                <w:szCs w:val="24"/>
              </w:rPr>
              <w:t xml:space="preserve"> para la capacitación de personal, detener la fuga de conocimiento, entre otras.</w:t>
            </w:r>
          </w:p>
        </w:tc>
        <w:tc>
          <w:tcPr>
            <w:tcW w:w="5105" w:type="dxa"/>
          </w:tcPr>
          <w:p w14:paraId="76C062EF" w14:textId="3BF1E73A" w:rsidR="00EE3174" w:rsidRPr="0028550A" w:rsidRDefault="538B03AC" w:rsidP="00855133">
            <w:pPr>
              <w:jc w:val="both"/>
              <w:rPr>
                <w:rFonts w:cstheme="minorHAnsi"/>
                <w:sz w:val="24"/>
                <w:szCs w:val="24"/>
              </w:rPr>
            </w:pPr>
            <w:r w:rsidRPr="0028550A">
              <w:rPr>
                <w:rFonts w:cstheme="minorHAnsi"/>
                <w:sz w:val="24"/>
                <w:szCs w:val="24"/>
              </w:rPr>
              <w:t>La interacción con las empresas multinacionales y la información sobre las necesidades técnicas que requieren para su personal es de gran relevancia para la formación de profesionales que puedan encontrar trabajo de conformidad con las demandas empresariales.</w:t>
            </w:r>
          </w:p>
          <w:p w14:paraId="0EFD992F" w14:textId="7CF71199" w:rsidR="00EE3174" w:rsidRPr="0028550A" w:rsidRDefault="00EE3174" w:rsidP="00855133">
            <w:pPr>
              <w:jc w:val="both"/>
              <w:rPr>
                <w:rFonts w:cstheme="minorHAnsi"/>
                <w:sz w:val="24"/>
                <w:szCs w:val="24"/>
              </w:rPr>
            </w:pPr>
          </w:p>
          <w:p w14:paraId="17C2C5B6" w14:textId="668B6CD8" w:rsidR="00EE3174" w:rsidRPr="0028550A" w:rsidRDefault="538B03AC" w:rsidP="00855133">
            <w:pPr>
              <w:jc w:val="both"/>
              <w:rPr>
                <w:rFonts w:cstheme="minorHAnsi"/>
                <w:sz w:val="24"/>
                <w:szCs w:val="24"/>
              </w:rPr>
            </w:pPr>
            <w:r w:rsidRPr="0028550A">
              <w:rPr>
                <w:rFonts w:cstheme="minorHAnsi"/>
                <w:sz w:val="24"/>
                <w:szCs w:val="24"/>
              </w:rPr>
              <w:lastRenderedPageBreak/>
              <w:t>El continuo y estrecho trabajo de CINDE y PROCOMER con las empresas permite tener un acercamiento oportuno</w:t>
            </w:r>
            <w:r w:rsidR="3A9D2A77" w:rsidRPr="0028550A">
              <w:rPr>
                <w:rFonts w:cstheme="minorHAnsi"/>
                <w:sz w:val="24"/>
                <w:szCs w:val="24"/>
              </w:rPr>
              <w:t xml:space="preserve"> de</w:t>
            </w:r>
            <w:r w:rsidRPr="0028550A">
              <w:rPr>
                <w:rFonts w:cstheme="minorHAnsi"/>
                <w:sz w:val="24"/>
                <w:szCs w:val="24"/>
              </w:rPr>
              <w:t xml:space="preserve"> </w:t>
            </w:r>
            <w:r w:rsidR="50A8FEC0" w:rsidRPr="0028550A">
              <w:rPr>
                <w:rFonts w:cstheme="minorHAnsi"/>
                <w:sz w:val="24"/>
                <w:szCs w:val="24"/>
              </w:rPr>
              <w:t xml:space="preserve">formación e </w:t>
            </w:r>
            <w:r w:rsidRPr="0028550A">
              <w:rPr>
                <w:rFonts w:cstheme="minorHAnsi"/>
                <w:sz w:val="24"/>
                <w:szCs w:val="24"/>
              </w:rPr>
              <w:t>intercambio de información</w:t>
            </w:r>
            <w:r w:rsidR="6127A36F" w:rsidRPr="0028550A">
              <w:rPr>
                <w:rFonts w:cstheme="minorHAnsi"/>
                <w:sz w:val="24"/>
                <w:szCs w:val="24"/>
              </w:rPr>
              <w:t xml:space="preserve"> relevante para la toma de decisión de política pública.</w:t>
            </w:r>
          </w:p>
          <w:p w14:paraId="4734E1BB" w14:textId="4E2B22DD" w:rsidR="00EE3174" w:rsidRPr="0028550A" w:rsidRDefault="00EE3174" w:rsidP="00855133">
            <w:pPr>
              <w:jc w:val="both"/>
              <w:rPr>
                <w:rFonts w:cstheme="minorHAnsi"/>
                <w:sz w:val="24"/>
                <w:szCs w:val="24"/>
              </w:rPr>
            </w:pPr>
          </w:p>
          <w:p w14:paraId="73F4ED96" w14:textId="14A599F2" w:rsidR="00EE3174" w:rsidRPr="0028550A" w:rsidRDefault="2B8785D6" w:rsidP="00855133">
            <w:pPr>
              <w:jc w:val="both"/>
              <w:rPr>
                <w:rFonts w:cstheme="minorHAnsi"/>
                <w:sz w:val="24"/>
                <w:szCs w:val="24"/>
              </w:rPr>
            </w:pPr>
            <w:r w:rsidRPr="0028550A">
              <w:rPr>
                <w:rFonts w:cstheme="minorHAnsi"/>
                <w:sz w:val="24"/>
                <w:szCs w:val="24"/>
              </w:rPr>
              <w:t>La creación de convenios y enlaces con este sector permitiría un encadenamiento de oportunidades de formación y de preparación profesional que pueda vincular tanto a estudiantes como a profesionales en empresas co</w:t>
            </w:r>
            <w:r w:rsidR="67F3372E" w:rsidRPr="0028550A">
              <w:rPr>
                <w:rFonts w:cstheme="minorHAnsi"/>
                <w:sz w:val="24"/>
                <w:szCs w:val="24"/>
              </w:rPr>
              <w:t>n posicionamiento global, lo cual fomenta, por ejemplo, pasantías tanto locales como en el extranjero.</w:t>
            </w:r>
          </w:p>
        </w:tc>
      </w:tr>
      <w:tr w:rsidR="00836CCF" w:rsidRPr="001E6ED9" w14:paraId="4B519394" w14:textId="77777777" w:rsidTr="00264E79">
        <w:trPr>
          <w:trHeight w:val="978"/>
        </w:trPr>
        <w:tc>
          <w:tcPr>
            <w:tcW w:w="4195" w:type="dxa"/>
          </w:tcPr>
          <w:p w14:paraId="36DF04BE" w14:textId="6538B0B4" w:rsidR="00836CCF" w:rsidRPr="0028550A" w:rsidRDefault="00DA3C96" w:rsidP="00CC2966">
            <w:pPr>
              <w:spacing w:line="276" w:lineRule="auto"/>
              <w:jc w:val="both"/>
              <w:rPr>
                <w:rFonts w:cstheme="minorHAnsi"/>
                <w:sz w:val="24"/>
                <w:szCs w:val="24"/>
              </w:rPr>
            </w:pPr>
            <w:r w:rsidRPr="0028550A">
              <w:rPr>
                <w:rFonts w:cstheme="minorHAnsi"/>
                <w:sz w:val="24"/>
                <w:szCs w:val="24"/>
              </w:rPr>
              <w:lastRenderedPageBreak/>
              <w:t>4.4 Áreas Estratégicas</w:t>
            </w:r>
          </w:p>
        </w:tc>
        <w:tc>
          <w:tcPr>
            <w:tcW w:w="3880" w:type="dxa"/>
          </w:tcPr>
          <w:p w14:paraId="65974C47" w14:textId="6FC3F771" w:rsidR="00836CCF" w:rsidRPr="0028550A" w:rsidRDefault="00DA3C96" w:rsidP="00855133">
            <w:pPr>
              <w:jc w:val="both"/>
              <w:rPr>
                <w:rFonts w:cstheme="minorHAnsi"/>
                <w:sz w:val="24"/>
                <w:szCs w:val="24"/>
              </w:rPr>
            </w:pPr>
            <w:r w:rsidRPr="0028550A">
              <w:rPr>
                <w:rFonts w:cstheme="minorHAnsi"/>
                <w:sz w:val="24"/>
                <w:szCs w:val="24"/>
              </w:rPr>
              <w:t xml:space="preserve">Considerar incluir </w:t>
            </w:r>
            <w:r w:rsidR="004B7F10" w:rsidRPr="0028550A">
              <w:rPr>
                <w:rFonts w:cstheme="minorHAnsi"/>
                <w:sz w:val="24"/>
                <w:szCs w:val="24"/>
              </w:rPr>
              <w:t>objetivos específicos</w:t>
            </w:r>
            <w:r w:rsidRPr="0028550A">
              <w:rPr>
                <w:rFonts w:cstheme="minorHAnsi"/>
                <w:sz w:val="24"/>
                <w:szCs w:val="24"/>
              </w:rPr>
              <w:t xml:space="preserve"> en las áreas estratégicas el cumplimiento de las recomendaciones de la OCDE </w:t>
            </w:r>
            <w:r w:rsidR="00FA7B8A" w:rsidRPr="0028550A">
              <w:rPr>
                <w:rFonts w:cstheme="minorHAnsi"/>
                <w:sz w:val="24"/>
                <w:szCs w:val="24"/>
              </w:rPr>
              <w:t xml:space="preserve">que se plasman </w:t>
            </w:r>
            <w:r w:rsidRPr="0028550A">
              <w:rPr>
                <w:rFonts w:cstheme="minorHAnsi"/>
                <w:sz w:val="24"/>
                <w:szCs w:val="24"/>
              </w:rPr>
              <w:t xml:space="preserve">en </w:t>
            </w:r>
            <w:r w:rsidR="00F94D52" w:rsidRPr="0028550A">
              <w:rPr>
                <w:rFonts w:cstheme="minorHAnsi"/>
                <w:sz w:val="24"/>
                <w:szCs w:val="24"/>
              </w:rPr>
              <w:t xml:space="preserve">el informe </w:t>
            </w:r>
            <w:r w:rsidR="00A82107" w:rsidRPr="0028550A">
              <w:rPr>
                <w:rFonts w:cstheme="minorHAnsi"/>
                <w:sz w:val="24"/>
                <w:szCs w:val="24"/>
              </w:rPr>
              <w:t>P</w:t>
            </w:r>
            <w:r w:rsidR="00F94D52" w:rsidRPr="0028550A">
              <w:rPr>
                <w:rFonts w:cstheme="minorHAnsi"/>
                <w:sz w:val="24"/>
                <w:szCs w:val="24"/>
              </w:rPr>
              <w:t xml:space="preserve">olíticas para la </w:t>
            </w:r>
            <w:r w:rsidRPr="0028550A">
              <w:rPr>
                <w:rFonts w:cstheme="minorHAnsi"/>
                <w:sz w:val="24"/>
                <w:szCs w:val="24"/>
              </w:rPr>
              <w:t>economía digital</w:t>
            </w:r>
            <w:r w:rsidR="00F94D52" w:rsidRPr="0028550A">
              <w:rPr>
                <w:rFonts w:cstheme="minorHAnsi"/>
                <w:sz w:val="24"/>
                <w:szCs w:val="24"/>
              </w:rPr>
              <w:t xml:space="preserve"> en Costa Rica</w:t>
            </w:r>
            <w:r w:rsidR="00243931" w:rsidRPr="0028550A">
              <w:rPr>
                <w:rFonts w:cstheme="minorHAnsi"/>
                <w:sz w:val="24"/>
                <w:szCs w:val="24"/>
              </w:rPr>
              <w:t xml:space="preserve"> (</w:t>
            </w:r>
            <w:hyperlink r:id="rId9" w:history="1">
              <w:r w:rsidR="00243931" w:rsidRPr="0028550A">
                <w:rPr>
                  <w:rStyle w:val="Hipervnculo"/>
                  <w:rFonts w:cstheme="minorHAnsi"/>
                  <w:sz w:val="24"/>
                  <w:szCs w:val="24"/>
                </w:rPr>
                <w:t>https://www.comex.go.cr/media/8513/201112-7-digital-economy-policy-in-costa-rica_es_revp1-41-rev2107-vf.pdf</w:t>
              </w:r>
            </w:hyperlink>
            <w:r w:rsidR="00243931" w:rsidRPr="0028550A">
              <w:rPr>
                <w:rFonts w:cstheme="minorHAnsi"/>
                <w:sz w:val="24"/>
                <w:szCs w:val="24"/>
              </w:rPr>
              <w:t>)</w:t>
            </w:r>
            <w:r w:rsidR="00F94D52" w:rsidRPr="0028550A">
              <w:rPr>
                <w:rFonts w:cstheme="minorHAnsi"/>
                <w:sz w:val="24"/>
                <w:szCs w:val="24"/>
              </w:rPr>
              <w:t>.</w:t>
            </w:r>
            <w:r w:rsidR="00243931" w:rsidRPr="0028550A">
              <w:rPr>
                <w:rFonts w:cstheme="minorHAnsi"/>
                <w:sz w:val="24"/>
                <w:szCs w:val="24"/>
              </w:rPr>
              <w:t xml:space="preserve"> </w:t>
            </w:r>
          </w:p>
          <w:p w14:paraId="24C5C55E" w14:textId="71D5D3CE" w:rsidR="00EA11C9" w:rsidRPr="0028550A" w:rsidRDefault="00EA11C9" w:rsidP="00855133">
            <w:pPr>
              <w:jc w:val="both"/>
              <w:rPr>
                <w:rFonts w:cstheme="minorHAnsi"/>
                <w:sz w:val="24"/>
                <w:szCs w:val="24"/>
              </w:rPr>
            </w:pPr>
          </w:p>
        </w:tc>
        <w:tc>
          <w:tcPr>
            <w:tcW w:w="5105" w:type="dxa"/>
          </w:tcPr>
          <w:p w14:paraId="59E89348" w14:textId="116D7AAB" w:rsidR="009D2D31" w:rsidRPr="0028550A" w:rsidRDefault="009D2D31" w:rsidP="009D2D31">
            <w:pPr>
              <w:jc w:val="both"/>
              <w:rPr>
                <w:rFonts w:cstheme="minorHAnsi"/>
                <w:sz w:val="24"/>
                <w:szCs w:val="24"/>
              </w:rPr>
            </w:pPr>
            <w:r w:rsidRPr="0028550A">
              <w:rPr>
                <w:rFonts w:cstheme="minorHAnsi"/>
                <w:sz w:val="24"/>
                <w:szCs w:val="24"/>
              </w:rPr>
              <w:t>Si bien el país fue evaluado positivamente en el proceso de adhesión a la OCDE con respecto a los distintos instrumentos de la organización en materia</w:t>
            </w:r>
            <w:r w:rsidR="003D1CDD" w:rsidRPr="0028550A">
              <w:rPr>
                <w:rFonts w:cstheme="minorHAnsi"/>
                <w:sz w:val="24"/>
                <w:szCs w:val="24"/>
              </w:rPr>
              <w:t xml:space="preserve"> de políticas para la economía digital</w:t>
            </w:r>
            <w:r w:rsidRPr="0028550A">
              <w:rPr>
                <w:rFonts w:cstheme="minorHAnsi"/>
                <w:sz w:val="24"/>
                <w:szCs w:val="24"/>
              </w:rPr>
              <w:t>, se identificaron áreas de mejora.</w:t>
            </w:r>
          </w:p>
          <w:p w14:paraId="1E577C85" w14:textId="77777777" w:rsidR="009D2D31" w:rsidRPr="0028550A" w:rsidRDefault="009D2D31" w:rsidP="009D2D31">
            <w:pPr>
              <w:jc w:val="both"/>
              <w:rPr>
                <w:rFonts w:cstheme="minorHAnsi"/>
                <w:sz w:val="24"/>
                <w:szCs w:val="24"/>
              </w:rPr>
            </w:pPr>
          </w:p>
          <w:p w14:paraId="6F6596AC" w14:textId="23BB0300" w:rsidR="00213FE4" w:rsidRPr="0028550A" w:rsidRDefault="00674CE5" w:rsidP="00855133">
            <w:pPr>
              <w:jc w:val="both"/>
              <w:rPr>
                <w:rFonts w:cstheme="minorHAnsi"/>
                <w:sz w:val="24"/>
                <w:szCs w:val="24"/>
              </w:rPr>
            </w:pPr>
            <w:r w:rsidRPr="0028550A">
              <w:rPr>
                <w:rFonts w:cstheme="minorHAnsi"/>
                <w:sz w:val="24"/>
                <w:szCs w:val="24"/>
              </w:rPr>
              <w:t>La PN</w:t>
            </w:r>
            <w:r w:rsidR="007741F5" w:rsidRPr="0028550A">
              <w:rPr>
                <w:rFonts w:cstheme="minorHAnsi"/>
                <w:sz w:val="24"/>
                <w:szCs w:val="24"/>
              </w:rPr>
              <w:t xml:space="preserve">SEBC podría ser un vehículo para impulsar el cumplimiento de las recomendaciones de la OCDE de forma articulada con las metas del país </w:t>
            </w:r>
            <w:r w:rsidR="00872707" w:rsidRPr="0028550A">
              <w:rPr>
                <w:rFonts w:cstheme="minorHAnsi"/>
                <w:sz w:val="24"/>
                <w:szCs w:val="24"/>
              </w:rPr>
              <w:t xml:space="preserve">para la sociedad y economía basada en </w:t>
            </w:r>
            <w:r w:rsidR="00872707" w:rsidRPr="0028550A">
              <w:rPr>
                <w:rFonts w:cstheme="minorHAnsi"/>
                <w:sz w:val="24"/>
                <w:szCs w:val="24"/>
              </w:rPr>
              <w:lastRenderedPageBreak/>
              <w:t xml:space="preserve">el conocimiento. Las recomendaciones derivan de </w:t>
            </w:r>
            <w:r w:rsidR="00891D2A" w:rsidRPr="0028550A">
              <w:rPr>
                <w:rFonts w:cstheme="minorHAnsi"/>
                <w:sz w:val="24"/>
                <w:szCs w:val="24"/>
              </w:rPr>
              <w:t xml:space="preserve">las mejores prácticas y estándares internacionales que se plasman en los distintos instrumentos </w:t>
            </w:r>
            <w:r w:rsidR="00213FE4" w:rsidRPr="0028550A">
              <w:rPr>
                <w:rFonts w:cstheme="minorHAnsi"/>
                <w:sz w:val="24"/>
                <w:szCs w:val="24"/>
              </w:rPr>
              <w:t>de la OCDE en el área de economía digital.</w:t>
            </w:r>
          </w:p>
          <w:p w14:paraId="5231608B" w14:textId="30D4D113" w:rsidR="00213FE4" w:rsidRPr="0028550A" w:rsidRDefault="00213FE4" w:rsidP="00855133">
            <w:pPr>
              <w:jc w:val="both"/>
              <w:rPr>
                <w:rFonts w:cstheme="minorHAnsi"/>
                <w:sz w:val="24"/>
                <w:szCs w:val="24"/>
              </w:rPr>
            </w:pPr>
          </w:p>
        </w:tc>
      </w:tr>
      <w:tr w:rsidR="00EE3174" w:rsidRPr="001E6ED9" w14:paraId="649642D4" w14:textId="77777777" w:rsidTr="00264E79">
        <w:trPr>
          <w:trHeight w:val="978"/>
        </w:trPr>
        <w:tc>
          <w:tcPr>
            <w:tcW w:w="4195" w:type="dxa"/>
          </w:tcPr>
          <w:p w14:paraId="1B413C34" w14:textId="4E6E240B" w:rsidR="00EE3174" w:rsidRPr="0028550A" w:rsidRDefault="00D31E5F" w:rsidP="00582303">
            <w:pPr>
              <w:spacing w:line="276" w:lineRule="auto"/>
              <w:jc w:val="both"/>
              <w:rPr>
                <w:rFonts w:cstheme="minorHAnsi"/>
                <w:sz w:val="24"/>
                <w:szCs w:val="24"/>
              </w:rPr>
            </w:pPr>
            <w:r w:rsidRPr="0028550A">
              <w:rPr>
                <w:rFonts w:cstheme="minorHAnsi"/>
                <w:sz w:val="24"/>
                <w:szCs w:val="24"/>
              </w:rPr>
              <w:lastRenderedPageBreak/>
              <w:t>4.4.1. Talento humano</w:t>
            </w:r>
          </w:p>
        </w:tc>
        <w:tc>
          <w:tcPr>
            <w:tcW w:w="3880" w:type="dxa"/>
          </w:tcPr>
          <w:p w14:paraId="3D826EED" w14:textId="34A467B9" w:rsidR="00FA7209" w:rsidRPr="0028550A" w:rsidRDefault="00D31E5F" w:rsidP="00855133">
            <w:pPr>
              <w:jc w:val="both"/>
              <w:rPr>
                <w:rFonts w:cstheme="minorHAnsi"/>
                <w:i/>
                <w:iCs/>
                <w:sz w:val="24"/>
                <w:szCs w:val="24"/>
              </w:rPr>
            </w:pPr>
            <w:r w:rsidRPr="0028550A">
              <w:rPr>
                <w:rFonts w:cstheme="minorHAnsi"/>
                <w:sz w:val="24"/>
                <w:szCs w:val="24"/>
              </w:rPr>
              <w:t>Considerar</w:t>
            </w:r>
            <w:r w:rsidR="00CB4773" w:rsidRPr="0028550A">
              <w:rPr>
                <w:rFonts w:cstheme="minorHAnsi"/>
                <w:sz w:val="24"/>
                <w:szCs w:val="24"/>
              </w:rPr>
              <w:t xml:space="preserve"> in</w:t>
            </w:r>
            <w:r w:rsidR="00154205" w:rsidRPr="0028550A">
              <w:rPr>
                <w:rFonts w:cstheme="minorHAnsi"/>
                <w:sz w:val="24"/>
                <w:szCs w:val="24"/>
              </w:rPr>
              <w:t>cluir</w:t>
            </w:r>
            <w:r w:rsidR="000F6F9D" w:rsidRPr="0028550A">
              <w:rPr>
                <w:rFonts w:cstheme="minorHAnsi"/>
                <w:sz w:val="24"/>
                <w:szCs w:val="24"/>
              </w:rPr>
              <w:t xml:space="preserve"> objetivos </w:t>
            </w:r>
            <w:r w:rsidR="0023768B" w:rsidRPr="0028550A">
              <w:rPr>
                <w:rFonts w:cstheme="minorHAnsi"/>
                <w:sz w:val="24"/>
                <w:szCs w:val="24"/>
              </w:rPr>
              <w:t>específicos</w:t>
            </w:r>
            <w:r w:rsidR="000F6F9D" w:rsidRPr="0028550A">
              <w:rPr>
                <w:rFonts w:cstheme="minorHAnsi"/>
                <w:sz w:val="24"/>
                <w:szCs w:val="24"/>
              </w:rPr>
              <w:t xml:space="preserve"> en las áreas estratégicas el cumplimiento de</w:t>
            </w:r>
            <w:r w:rsidRPr="0028550A">
              <w:rPr>
                <w:rFonts w:cstheme="minorHAnsi"/>
                <w:sz w:val="24"/>
                <w:szCs w:val="24"/>
              </w:rPr>
              <w:t xml:space="preserve"> </w:t>
            </w:r>
            <w:r w:rsidR="00474C77" w:rsidRPr="0028550A">
              <w:rPr>
                <w:rFonts w:cstheme="minorHAnsi"/>
                <w:sz w:val="24"/>
                <w:szCs w:val="24"/>
              </w:rPr>
              <w:t>las recomendaciones brindadas por el Estudio Económico sobre Costa Rica de la OCDE 2020</w:t>
            </w:r>
            <w:r w:rsidR="00E21C9C" w:rsidRPr="0028550A">
              <w:rPr>
                <w:rFonts w:cstheme="minorHAnsi"/>
                <w:sz w:val="24"/>
                <w:szCs w:val="24"/>
              </w:rPr>
              <w:t xml:space="preserve"> en materia de talento humano. Este reporte destaca la necesidad de </w:t>
            </w:r>
            <w:r w:rsidR="00614F8F" w:rsidRPr="0028550A">
              <w:rPr>
                <w:rFonts w:cstheme="minorHAnsi"/>
                <w:sz w:val="24"/>
                <w:szCs w:val="24"/>
              </w:rPr>
              <w:t xml:space="preserve">atender los grandes desajustes de habilidades </w:t>
            </w:r>
            <w:r w:rsidR="00FF4236" w:rsidRPr="0028550A">
              <w:rPr>
                <w:rFonts w:cstheme="minorHAnsi"/>
                <w:sz w:val="24"/>
                <w:szCs w:val="24"/>
              </w:rPr>
              <w:t>entre la oferta y la demanda</w:t>
            </w:r>
            <w:r w:rsidR="00E1487A" w:rsidRPr="0028550A">
              <w:rPr>
                <w:rFonts w:cstheme="minorHAnsi"/>
                <w:sz w:val="24"/>
                <w:szCs w:val="24"/>
              </w:rPr>
              <w:t>:</w:t>
            </w:r>
            <w:r w:rsidR="00FF4236" w:rsidRPr="0028550A">
              <w:rPr>
                <w:rFonts w:cstheme="minorHAnsi"/>
                <w:sz w:val="24"/>
                <w:szCs w:val="24"/>
              </w:rPr>
              <w:t xml:space="preserve"> </w:t>
            </w:r>
            <w:r w:rsidR="00A728BB" w:rsidRPr="0028550A">
              <w:rPr>
                <w:rFonts w:cstheme="minorHAnsi"/>
                <w:sz w:val="24"/>
                <w:szCs w:val="24"/>
              </w:rPr>
              <w:t>“</w:t>
            </w:r>
            <w:r w:rsidR="001903C4" w:rsidRPr="0028550A">
              <w:rPr>
                <w:rFonts w:cstheme="minorHAnsi"/>
                <w:i/>
                <w:iCs/>
                <w:sz w:val="24"/>
                <w:szCs w:val="24"/>
              </w:rPr>
              <w:t xml:space="preserve">Las empresas también enfrentan dificultades crecientes en la contratación de trabajadores con las habilidades adecuadas. </w:t>
            </w:r>
            <w:proofErr w:type="gramStart"/>
            <w:r w:rsidR="001903C4" w:rsidRPr="0028550A">
              <w:rPr>
                <w:rFonts w:cstheme="minorHAnsi"/>
                <w:i/>
                <w:iCs/>
                <w:sz w:val="24"/>
                <w:szCs w:val="24"/>
              </w:rPr>
              <w:t>Asegurar</w:t>
            </w:r>
            <w:proofErr w:type="gramEnd"/>
            <w:r w:rsidR="001903C4" w:rsidRPr="0028550A">
              <w:rPr>
                <w:rFonts w:cstheme="minorHAnsi"/>
                <w:i/>
                <w:iCs/>
                <w:sz w:val="24"/>
                <w:szCs w:val="24"/>
              </w:rPr>
              <w:t xml:space="preserve"> que todos los costarricenses tengan acceso a educación y capacitación de alta calidad y que el sistema educativo brinde las habilidades que necesita el mercado laboral es fundamental para establecer una economía más inclusiva y productiva.</w:t>
            </w:r>
            <w:r w:rsidR="00FA7209" w:rsidRPr="0028550A">
              <w:rPr>
                <w:rFonts w:cstheme="minorHAnsi"/>
                <w:i/>
                <w:iCs/>
                <w:sz w:val="24"/>
                <w:szCs w:val="24"/>
              </w:rPr>
              <w:t xml:space="preserve"> Además, el reporte brinda luces sobre algunas áreas de acción. Por el lado de la oferta, es necesario mejorar la gestión de las universidades para que respondan más por sus decisiones, se basen en el rendimiento y respondan a las necesidades de habilidades que hay en Costa Rica. Esto requiere un cambio en el modelo de financiación, ya que el existente crea incentivos para aumentar los lugares en campos que son menos costosos de impartir, como las humanidades y las ciencias sociales, en detrimento de aquellos que son más costosos de ofrecer,</w:t>
            </w:r>
          </w:p>
          <w:p w14:paraId="72A0CBF6" w14:textId="45534271" w:rsidR="00A84EC6" w:rsidRPr="0028550A" w:rsidRDefault="00FA7209" w:rsidP="00855133">
            <w:pPr>
              <w:jc w:val="both"/>
              <w:rPr>
                <w:rFonts w:cstheme="minorHAnsi"/>
                <w:sz w:val="24"/>
                <w:szCs w:val="24"/>
              </w:rPr>
            </w:pPr>
            <w:r w:rsidRPr="0028550A">
              <w:rPr>
                <w:rFonts w:cstheme="minorHAnsi"/>
                <w:i/>
                <w:iCs/>
                <w:sz w:val="24"/>
                <w:szCs w:val="24"/>
              </w:rPr>
              <w:lastRenderedPageBreak/>
              <w:t>como la ingeniería, que requiere inversión en equipos costosos.</w:t>
            </w:r>
            <w:r w:rsidR="00FA1F12" w:rsidRPr="0028550A">
              <w:rPr>
                <w:rFonts w:cstheme="minorHAnsi"/>
                <w:i/>
                <w:iCs/>
                <w:sz w:val="24"/>
                <w:szCs w:val="24"/>
              </w:rPr>
              <w:t xml:space="preserve"> La introducción de mejores incentivos en la fórmula de financiamiento de las universidades, al vincular el financiamiento con la respuesta a las necesidades del mercado laboral, ayudaría a garantizar una mejor adecuación de los planes de estudio con la demanda de habilidades</w:t>
            </w:r>
            <w:r w:rsidR="00200D7B" w:rsidRPr="0028550A">
              <w:rPr>
                <w:rFonts w:cstheme="minorHAnsi"/>
                <w:sz w:val="24"/>
                <w:szCs w:val="24"/>
              </w:rPr>
              <w:t>.</w:t>
            </w:r>
            <w:r w:rsidR="00E1487A" w:rsidRPr="0028550A">
              <w:rPr>
                <w:rFonts w:cstheme="minorHAnsi"/>
                <w:sz w:val="24"/>
                <w:szCs w:val="24"/>
              </w:rPr>
              <w:t>”</w:t>
            </w:r>
            <w:r w:rsidR="00200D7B" w:rsidRPr="0028550A">
              <w:rPr>
                <w:rFonts w:cstheme="minorHAnsi"/>
                <w:sz w:val="24"/>
                <w:szCs w:val="24"/>
              </w:rPr>
              <w:t xml:space="preserve"> </w:t>
            </w:r>
          </w:p>
          <w:p w14:paraId="30AF5ED3" w14:textId="073F6592" w:rsidR="00EE3174" w:rsidRPr="0028550A" w:rsidRDefault="001903C4" w:rsidP="00855133">
            <w:pPr>
              <w:jc w:val="both"/>
              <w:rPr>
                <w:rFonts w:cstheme="minorHAnsi"/>
                <w:sz w:val="24"/>
                <w:szCs w:val="24"/>
              </w:rPr>
            </w:pPr>
            <w:r w:rsidRPr="0028550A">
              <w:rPr>
                <w:rFonts w:cstheme="minorHAnsi"/>
                <w:sz w:val="24"/>
                <w:szCs w:val="24"/>
              </w:rPr>
              <w:t>(OCDE, 2020)</w:t>
            </w:r>
            <w:r w:rsidRPr="0028550A">
              <w:rPr>
                <w:rStyle w:val="Refdenotaalpie"/>
                <w:rFonts w:cstheme="minorHAnsi"/>
                <w:sz w:val="24"/>
                <w:szCs w:val="24"/>
              </w:rPr>
              <w:footnoteReference w:id="5"/>
            </w:r>
            <w:r w:rsidRPr="0028550A">
              <w:rPr>
                <w:rFonts w:cstheme="minorHAnsi"/>
                <w:sz w:val="24"/>
                <w:szCs w:val="24"/>
              </w:rPr>
              <w:t xml:space="preserve"> </w:t>
            </w:r>
          </w:p>
        </w:tc>
        <w:tc>
          <w:tcPr>
            <w:tcW w:w="5105" w:type="dxa"/>
          </w:tcPr>
          <w:p w14:paraId="52D58683" w14:textId="2B5066B4" w:rsidR="00F8139F" w:rsidRPr="0028550A" w:rsidRDefault="00F8139F" w:rsidP="00855133">
            <w:pPr>
              <w:jc w:val="both"/>
              <w:rPr>
                <w:rFonts w:cstheme="minorHAnsi"/>
                <w:sz w:val="24"/>
                <w:szCs w:val="24"/>
              </w:rPr>
            </w:pPr>
            <w:r w:rsidRPr="0028550A">
              <w:rPr>
                <w:rFonts w:cstheme="minorHAnsi"/>
                <w:sz w:val="24"/>
                <w:szCs w:val="24"/>
              </w:rPr>
              <w:lastRenderedPageBreak/>
              <w:t>Tal y como lo menciona el</w:t>
            </w:r>
            <w:r w:rsidR="00FA7209" w:rsidRPr="0028550A">
              <w:rPr>
                <w:rFonts w:cstheme="minorHAnsi"/>
                <w:sz w:val="24"/>
                <w:szCs w:val="24"/>
              </w:rPr>
              <w:t xml:space="preserve"> Estudio Económico sobre Costa Rica de la OCDE 2020 </w:t>
            </w:r>
            <w:r w:rsidRPr="0028550A">
              <w:rPr>
                <w:rFonts w:cstheme="minorHAnsi"/>
                <w:i/>
                <w:iCs/>
                <w:sz w:val="24"/>
                <w:szCs w:val="24"/>
              </w:rPr>
              <w:t>el desajuste entre la demanda y la oferta</w:t>
            </w:r>
            <w:r w:rsidR="00FA7209" w:rsidRPr="0028550A">
              <w:rPr>
                <w:rFonts w:cstheme="minorHAnsi"/>
                <w:i/>
                <w:iCs/>
                <w:sz w:val="24"/>
                <w:szCs w:val="24"/>
              </w:rPr>
              <w:t xml:space="preserve"> </w:t>
            </w:r>
            <w:r w:rsidRPr="0028550A">
              <w:rPr>
                <w:rFonts w:cstheme="minorHAnsi"/>
                <w:i/>
                <w:iCs/>
                <w:sz w:val="24"/>
                <w:szCs w:val="24"/>
              </w:rPr>
              <w:t>de habilidades se traduce en personas que adquieren habilidades obsoletas y en una persistente escasez y desajustes de habilidades. Esto es costoso para los individuos, las empresas y la sociedad en términos de menor empleabilidad, salarios, productividad y, en consecuencia, crecimiento</w:t>
            </w:r>
            <w:r w:rsidRPr="0028550A">
              <w:rPr>
                <w:rFonts w:cstheme="minorHAnsi"/>
                <w:sz w:val="24"/>
                <w:szCs w:val="24"/>
              </w:rPr>
              <w:t>.</w:t>
            </w:r>
            <w:r w:rsidR="00FA7209" w:rsidRPr="0028550A">
              <w:rPr>
                <w:rFonts w:cstheme="minorHAnsi"/>
                <w:sz w:val="24"/>
                <w:szCs w:val="24"/>
              </w:rPr>
              <w:t xml:space="preserve"> (OCDE, 2020)</w:t>
            </w:r>
          </w:p>
        </w:tc>
      </w:tr>
      <w:tr w:rsidR="00EE3174" w:rsidRPr="001E6ED9" w14:paraId="078CE5A7" w14:textId="77777777" w:rsidTr="00264E79">
        <w:trPr>
          <w:trHeight w:val="978"/>
        </w:trPr>
        <w:tc>
          <w:tcPr>
            <w:tcW w:w="4195" w:type="dxa"/>
          </w:tcPr>
          <w:p w14:paraId="6DA177A5" w14:textId="03177F79" w:rsidR="00EE3174" w:rsidRPr="0028550A" w:rsidRDefault="00CA1537" w:rsidP="00582303">
            <w:pPr>
              <w:spacing w:line="276" w:lineRule="auto"/>
              <w:jc w:val="both"/>
              <w:rPr>
                <w:rFonts w:cstheme="minorHAnsi"/>
                <w:sz w:val="24"/>
                <w:szCs w:val="24"/>
              </w:rPr>
            </w:pPr>
            <w:r w:rsidRPr="0028550A">
              <w:rPr>
                <w:rFonts w:cstheme="minorHAnsi"/>
                <w:sz w:val="24"/>
                <w:szCs w:val="24"/>
              </w:rPr>
              <w:t>4.4.2. Generación de conocimiento</w:t>
            </w:r>
          </w:p>
        </w:tc>
        <w:tc>
          <w:tcPr>
            <w:tcW w:w="3880" w:type="dxa"/>
          </w:tcPr>
          <w:p w14:paraId="6677EFAC" w14:textId="7C3A57DF" w:rsidR="00EE3174" w:rsidRPr="0028550A" w:rsidRDefault="00CA1537" w:rsidP="00855133">
            <w:pPr>
              <w:jc w:val="both"/>
              <w:rPr>
                <w:rFonts w:cstheme="minorHAnsi"/>
                <w:sz w:val="24"/>
                <w:szCs w:val="24"/>
              </w:rPr>
            </w:pPr>
            <w:r w:rsidRPr="0028550A">
              <w:rPr>
                <w:rFonts w:cstheme="minorHAnsi"/>
                <w:sz w:val="24"/>
                <w:szCs w:val="24"/>
              </w:rPr>
              <w:t>Considerar</w:t>
            </w:r>
            <w:r w:rsidR="0023768B" w:rsidRPr="0028550A">
              <w:rPr>
                <w:rFonts w:cstheme="minorHAnsi"/>
                <w:sz w:val="24"/>
                <w:szCs w:val="24"/>
              </w:rPr>
              <w:t xml:space="preserve"> incluir objetivos específicos en las áreas estratégicas el cumplimiento de</w:t>
            </w:r>
            <w:r w:rsidR="00A23F01" w:rsidRPr="0028550A">
              <w:rPr>
                <w:rFonts w:cstheme="minorHAnsi"/>
                <w:sz w:val="24"/>
                <w:szCs w:val="24"/>
              </w:rPr>
              <w:t xml:space="preserve"> las recomendaciones</w:t>
            </w:r>
            <w:r w:rsidRPr="0028550A">
              <w:rPr>
                <w:rFonts w:cstheme="minorHAnsi"/>
                <w:sz w:val="24"/>
                <w:szCs w:val="24"/>
              </w:rPr>
              <w:t xml:space="preserve"> que en el Estudio Económico sobre Costa Rica de la OCDE 2020 </w:t>
            </w:r>
            <w:r w:rsidR="00512F71" w:rsidRPr="0028550A">
              <w:rPr>
                <w:rFonts w:cstheme="minorHAnsi"/>
                <w:sz w:val="24"/>
                <w:szCs w:val="24"/>
              </w:rPr>
              <w:t>indica</w:t>
            </w:r>
            <w:r w:rsidR="00767E3B" w:rsidRPr="0028550A">
              <w:rPr>
                <w:rFonts w:cstheme="minorHAnsi"/>
                <w:sz w:val="24"/>
                <w:szCs w:val="24"/>
              </w:rPr>
              <w:t>:</w:t>
            </w:r>
            <w:r w:rsidR="00A84EC6" w:rsidRPr="0028550A">
              <w:rPr>
                <w:rFonts w:cstheme="minorHAnsi"/>
                <w:sz w:val="24"/>
                <w:szCs w:val="24"/>
              </w:rPr>
              <w:t xml:space="preserve"> </w:t>
            </w:r>
            <w:r w:rsidR="00767E3B" w:rsidRPr="0028550A">
              <w:rPr>
                <w:rFonts w:cstheme="minorHAnsi"/>
                <w:sz w:val="24"/>
                <w:szCs w:val="24"/>
              </w:rPr>
              <w:t>“</w:t>
            </w:r>
            <w:r w:rsidRPr="0028550A">
              <w:rPr>
                <w:rFonts w:cstheme="minorHAnsi"/>
                <w:i/>
                <w:iCs/>
                <w:sz w:val="24"/>
                <w:szCs w:val="24"/>
              </w:rPr>
              <w:t>e</w:t>
            </w:r>
            <w:r w:rsidR="00A84EC6" w:rsidRPr="0028550A">
              <w:rPr>
                <w:rFonts w:cstheme="minorHAnsi"/>
                <w:i/>
                <w:iCs/>
                <w:sz w:val="24"/>
                <w:szCs w:val="24"/>
              </w:rPr>
              <w:t xml:space="preserve">n todos los países de la OCDE, las universidades asumen un papel determinante para estimular las actividades de innovación de las </w:t>
            </w:r>
            <w:r w:rsidR="00512F71" w:rsidRPr="0028550A">
              <w:rPr>
                <w:rFonts w:cstheme="minorHAnsi"/>
                <w:i/>
                <w:iCs/>
                <w:sz w:val="24"/>
                <w:szCs w:val="24"/>
              </w:rPr>
              <w:t>PYMES</w:t>
            </w:r>
            <w:r w:rsidR="00A84EC6" w:rsidRPr="0028550A">
              <w:rPr>
                <w:rFonts w:cstheme="minorHAnsi"/>
                <w:i/>
                <w:iCs/>
                <w:sz w:val="24"/>
                <w:szCs w:val="24"/>
              </w:rPr>
              <w:t>, ya que es a través de una estrecha colaboración entre universidades y empresas que estas últimas, especialmente las pequeñas, pueden acceder a conocimientos avanzados, laboratorios y habilidades. En Costa Rica, las interacciones entre las universidades públicas y el sector empresarial son débiles. Para impulsar interacciones más fuertes, Costa Rica podría considerar cambiar la forma en que se financia la investigación pública.</w:t>
            </w:r>
            <w:r w:rsidR="00C517AA" w:rsidRPr="0028550A">
              <w:rPr>
                <w:rFonts w:cstheme="minorHAnsi"/>
                <w:i/>
                <w:iCs/>
                <w:sz w:val="24"/>
                <w:szCs w:val="24"/>
              </w:rPr>
              <w:t xml:space="preserve"> </w:t>
            </w:r>
            <w:r w:rsidR="00A84EC6" w:rsidRPr="0028550A">
              <w:rPr>
                <w:rFonts w:cstheme="minorHAnsi"/>
                <w:i/>
                <w:iCs/>
                <w:sz w:val="24"/>
                <w:szCs w:val="24"/>
              </w:rPr>
              <w:t>Actualmente, la mayoría de los fondos se asignan directamente a las universidades y, a diferencia de la mayoría de los países de la OCDE, la financiación competitiva basada en criterios de desempeño sigue</w:t>
            </w:r>
            <w:r w:rsidR="00C517AA" w:rsidRPr="0028550A">
              <w:rPr>
                <w:rFonts w:cstheme="minorHAnsi"/>
                <w:i/>
                <w:iCs/>
                <w:sz w:val="24"/>
                <w:szCs w:val="24"/>
              </w:rPr>
              <w:t xml:space="preserve"> </w:t>
            </w:r>
            <w:r w:rsidR="00A84EC6" w:rsidRPr="0028550A">
              <w:rPr>
                <w:rFonts w:cstheme="minorHAnsi"/>
                <w:i/>
                <w:iCs/>
                <w:sz w:val="24"/>
                <w:szCs w:val="24"/>
              </w:rPr>
              <w:t>siendo limitada</w:t>
            </w:r>
            <w:r w:rsidR="00C517AA" w:rsidRPr="0028550A">
              <w:rPr>
                <w:rFonts w:cstheme="minorHAnsi"/>
                <w:i/>
                <w:iCs/>
                <w:sz w:val="24"/>
                <w:szCs w:val="24"/>
              </w:rPr>
              <w:t xml:space="preserve">. </w:t>
            </w:r>
            <w:r w:rsidR="00A84EC6" w:rsidRPr="0028550A">
              <w:rPr>
                <w:rFonts w:cstheme="minorHAnsi"/>
                <w:i/>
                <w:iCs/>
                <w:sz w:val="24"/>
                <w:szCs w:val="24"/>
              </w:rPr>
              <w:t xml:space="preserve"> (OECD, 2017[38]). Además, también en contra de las prácticas de la OCDE, no existen</w:t>
            </w:r>
            <w:r w:rsidR="00C517AA" w:rsidRPr="0028550A">
              <w:rPr>
                <w:rFonts w:cstheme="minorHAnsi"/>
                <w:i/>
                <w:iCs/>
                <w:sz w:val="24"/>
                <w:szCs w:val="24"/>
              </w:rPr>
              <w:t xml:space="preserve"> </w:t>
            </w:r>
            <w:r w:rsidR="00A84EC6" w:rsidRPr="0028550A">
              <w:rPr>
                <w:rFonts w:cstheme="minorHAnsi"/>
                <w:i/>
                <w:iCs/>
                <w:sz w:val="24"/>
                <w:szCs w:val="24"/>
              </w:rPr>
              <w:t xml:space="preserve">mecanismos de evaluación externa centralizados e </w:t>
            </w:r>
            <w:r w:rsidR="00A84EC6" w:rsidRPr="0028550A">
              <w:rPr>
                <w:rFonts w:cstheme="minorHAnsi"/>
                <w:i/>
                <w:iCs/>
                <w:sz w:val="24"/>
                <w:szCs w:val="24"/>
              </w:rPr>
              <w:lastRenderedPageBreak/>
              <w:t>independientes. Pasar a una financiación competitiva</w:t>
            </w:r>
            <w:r w:rsidR="00C517AA" w:rsidRPr="0028550A">
              <w:rPr>
                <w:rFonts w:cstheme="minorHAnsi"/>
                <w:i/>
                <w:iCs/>
                <w:sz w:val="24"/>
                <w:szCs w:val="24"/>
              </w:rPr>
              <w:t xml:space="preserve"> </w:t>
            </w:r>
            <w:r w:rsidR="00A84EC6" w:rsidRPr="0028550A">
              <w:rPr>
                <w:rFonts w:cstheme="minorHAnsi"/>
                <w:i/>
                <w:iCs/>
                <w:sz w:val="24"/>
                <w:szCs w:val="24"/>
              </w:rPr>
              <w:t>basada en el desempeño y en el establecimiento de interacciones con el sector empresarial como uno de</w:t>
            </w:r>
            <w:r w:rsidR="00C517AA" w:rsidRPr="0028550A">
              <w:rPr>
                <w:rFonts w:cstheme="minorHAnsi"/>
                <w:i/>
                <w:iCs/>
                <w:sz w:val="24"/>
                <w:szCs w:val="24"/>
              </w:rPr>
              <w:t xml:space="preserve"> </w:t>
            </w:r>
            <w:r w:rsidR="00A84EC6" w:rsidRPr="0028550A">
              <w:rPr>
                <w:rFonts w:cstheme="minorHAnsi"/>
                <w:i/>
                <w:iCs/>
                <w:sz w:val="24"/>
                <w:szCs w:val="24"/>
              </w:rPr>
              <w:t>los criterios de elegibilidad aumentará los incentivos para que las universidades mejoren la calidad y</w:t>
            </w:r>
            <w:r w:rsidR="00C517AA" w:rsidRPr="0028550A">
              <w:rPr>
                <w:rFonts w:cstheme="minorHAnsi"/>
                <w:i/>
                <w:iCs/>
                <w:sz w:val="24"/>
                <w:szCs w:val="24"/>
              </w:rPr>
              <w:t xml:space="preserve"> </w:t>
            </w:r>
            <w:r w:rsidR="00A84EC6" w:rsidRPr="0028550A">
              <w:rPr>
                <w:rFonts w:cstheme="minorHAnsi"/>
                <w:i/>
                <w:iCs/>
                <w:sz w:val="24"/>
                <w:szCs w:val="24"/>
              </w:rPr>
              <w:t>relevancia de su</w:t>
            </w:r>
            <w:r w:rsidR="00C517AA" w:rsidRPr="0028550A">
              <w:rPr>
                <w:rFonts w:cstheme="minorHAnsi"/>
                <w:i/>
                <w:iCs/>
                <w:sz w:val="24"/>
                <w:szCs w:val="24"/>
              </w:rPr>
              <w:t>s</w:t>
            </w:r>
            <w:r w:rsidR="00A84EC6" w:rsidRPr="0028550A">
              <w:rPr>
                <w:rFonts w:cstheme="minorHAnsi"/>
                <w:i/>
                <w:iCs/>
                <w:sz w:val="24"/>
                <w:szCs w:val="24"/>
              </w:rPr>
              <w:t xml:space="preserve"> iniciativas de investigación e innovación</w:t>
            </w:r>
            <w:r w:rsidR="00A84EC6" w:rsidRPr="0028550A">
              <w:rPr>
                <w:rFonts w:cstheme="minorHAnsi"/>
                <w:sz w:val="24"/>
                <w:szCs w:val="24"/>
              </w:rPr>
              <w:t>.</w:t>
            </w:r>
            <w:r w:rsidR="00556E30" w:rsidRPr="0028550A">
              <w:rPr>
                <w:rFonts w:cstheme="minorHAnsi"/>
                <w:sz w:val="24"/>
                <w:szCs w:val="24"/>
              </w:rPr>
              <w:t>”</w:t>
            </w:r>
            <w:r w:rsidR="00C517AA" w:rsidRPr="0028550A">
              <w:rPr>
                <w:rFonts w:cstheme="minorHAnsi"/>
                <w:sz w:val="24"/>
                <w:szCs w:val="24"/>
              </w:rPr>
              <w:t xml:space="preserve"> (OCDE, 2020)</w:t>
            </w:r>
          </w:p>
        </w:tc>
        <w:tc>
          <w:tcPr>
            <w:tcW w:w="5105" w:type="dxa"/>
          </w:tcPr>
          <w:p w14:paraId="223287B5" w14:textId="3685CD0C" w:rsidR="00EE3174" w:rsidRPr="0028550A" w:rsidRDefault="00C517AA" w:rsidP="00855133">
            <w:pPr>
              <w:jc w:val="both"/>
              <w:rPr>
                <w:rFonts w:cstheme="minorHAnsi"/>
                <w:sz w:val="24"/>
                <w:szCs w:val="24"/>
              </w:rPr>
            </w:pPr>
            <w:r w:rsidRPr="0028550A">
              <w:rPr>
                <w:rFonts w:cstheme="minorHAnsi"/>
                <w:sz w:val="24"/>
                <w:szCs w:val="24"/>
              </w:rPr>
              <w:lastRenderedPageBreak/>
              <w:t>La inversión en I+D es sustancialmente inferior al prome</w:t>
            </w:r>
            <w:r w:rsidR="00234A8F" w:rsidRPr="0028550A">
              <w:rPr>
                <w:rFonts w:cstheme="minorHAnsi"/>
                <w:sz w:val="24"/>
                <w:szCs w:val="24"/>
              </w:rPr>
              <w:t>dio de los países miembro de la OCDE, por tanto</w:t>
            </w:r>
            <w:r w:rsidR="00556E30" w:rsidRPr="0028550A">
              <w:rPr>
                <w:rFonts w:cstheme="minorHAnsi"/>
                <w:sz w:val="24"/>
                <w:szCs w:val="24"/>
              </w:rPr>
              <w:t>,</w:t>
            </w:r>
            <w:r w:rsidR="00234A8F" w:rsidRPr="0028550A">
              <w:rPr>
                <w:rFonts w:cstheme="minorHAnsi"/>
                <w:sz w:val="24"/>
                <w:szCs w:val="24"/>
              </w:rPr>
              <w:t xml:space="preserve"> es necesaria la implementación de medidas no solo de fortalecimiento a la inversión sino también de su eficiencia en el uso de estos recursos para incrementar el desempeño de los resultados producto de esta inversión. </w:t>
            </w:r>
          </w:p>
        </w:tc>
      </w:tr>
      <w:tr w:rsidR="00EE3174" w:rsidRPr="00EF20F7" w14:paraId="74D2C365" w14:textId="77777777" w:rsidTr="00264E79">
        <w:trPr>
          <w:trHeight w:val="2533"/>
        </w:trPr>
        <w:tc>
          <w:tcPr>
            <w:tcW w:w="4195" w:type="dxa"/>
          </w:tcPr>
          <w:p w14:paraId="4352E24D" w14:textId="7922A2B2" w:rsidR="00EE3174" w:rsidRPr="0028550A" w:rsidRDefault="002C4BFF" w:rsidP="00582303">
            <w:pPr>
              <w:spacing w:line="276" w:lineRule="auto"/>
              <w:jc w:val="both"/>
              <w:rPr>
                <w:rFonts w:cstheme="minorHAnsi"/>
                <w:sz w:val="24"/>
                <w:szCs w:val="24"/>
              </w:rPr>
            </w:pPr>
            <w:r w:rsidRPr="0028550A">
              <w:rPr>
                <w:rFonts w:cstheme="minorHAnsi"/>
                <w:sz w:val="24"/>
                <w:szCs w:val="24"/>
              </w:rPr>
              <w:t>4.4.3. Innovación transformadora</w:t>
            </w:r>
          </w:p>
        </w:tc>
        <w:tc>
          <w:tcPr>
            <w:tcW w:w="3880" w:type="dxa"/>
          </w:tcPr>
          <w:p w14:paraId="5DC08B5F" w14:textId="654A035D" w:rsidR="00EE3174" w:rsidRPr="0028550A" w:rsidRDefault="00A00C90" w:rsidP="00855133">
            <w:pPr>
              <w:jc w:val="both"/>
              <w:rPr>
                <w:rFonts w:cstheme="minorHAnsi"/>
                <w:sz w:val="24"/>
                <w:szCs w:val="24"/>
              </w:rPr>
            </w:pPr>
            <w:r w:rsidRPr="0028550A">
              <w:rPr>
                <w:rFonts w:cstheme="minorHAnsi"/>
                <w:sz w:val="24"/>
                <w:szCs w:val="24"/>
              </w:rPr>
              <w:t xml:space="preserve">Considerar los hallazgos </w:t>
            </w:r>
            <w:r w:rsidR="00B230DA" w:rsidRPr="0028550A">
              <w:rPr>
                <w:rFonts w:cstheme="minorHAnsi"/>
                <w:sz w:val="24"/>
                <w:szCs w:val="24"/>
              </w:rPr>
              <w:t>e incluir objetivos específicos en las áreas estratégicas el cumplimiento de</w:t>
            </w:r>
            <w:r w:rsidRPr="0028550A">
              <w:rPr>
                <w:rFonts w:cstheme="minorHAnsi"/>
                <w:sz w:val="24"/>
                <w:szCs w:val="24"/>
              </w:rPr>
              <w:t xml:space="preserve"> recomendaciones del reporte</w:t>
            </w:r>
            <w:r w:rsidR="00C10257" w:rsidRPr="0028550A">
              <w:rPr>
                <w:rFonts w:cstheme="minorHAnsi"/>
                <w:sz w:val="24"/>
                <w:szCs w:val="24"/>
              </w:rPr>
              <w:t xml:space="preserve"> OECD </w:t>
            </w:r>
            <w:proofErr w:type="spellStart"/>
            <w:r w:rsidR="00C10257" w:rsidRPr="0028550A">
              <w:rPr>
                <w:rFonts w:cstheme="minorHAnsi"/>
                <w:sz w:val="24"/>
                <w:szCs w:val="24"/>
              </w:rPr>
              <w:t>Economic</w:t>
            </w:r>
            <w:proofErr w:type="spellEnd"/>
            <w:r w:rsidR="00C10257" w:rsidRPr="0028550A">
              <w:rPr>
                <w:rFonts w:cstheme="minorHAnsi"/>
                <w:sz w:val="24"/>
                <w:szCs w:val="24"/>
              </w:rPr>
              <w:t xml:space="preserve"> </w:t>
            </w:r>
            <w:proofErr w:type="spellStart"/>
            <w:r w:rsidR="00C10257" w:rsidRPr="0028550A">
              <w:rPr>
                <w:rFonts w:cstheme="minorHAnsi"/>
                <w:sz w:val="24"/>
                <w:szCs w:val="24"/>
              </w:rPr>
              <w:t>Survey</w:t>
            </w:r>
            <w:proofErr w:type="spellEnd"/>
            <w:r w:rsidR="00C10257" w:rsidRPr="0028550A">
              <w:rPr>
                <w:rFonts w:cstheme="minorHAnsi"/>
                <w:sz w:val="24"/>
                <w:szCs w:val="24"/>
              </w:rPr>
              <w:t xml:space="preserve"> </w:t>
            </w:r>
            <w:proofErr w:type="spellStart"/>
            <w:r w:rsidR="00C10257" w:rsidRPr="0028550A">
              <w:rPr>
                <w:rFonts w:cstheme="minorHAnsi"/>
                <w:sz w:val="24"/>
                <w:szCs w:val="24"/>
              </w:rPr>
              <w:t>of</w:t>
            </w:r>
            <w:proofErr w:type="spellEnd"/>
            <w:r w:rsidR="00C10257" w:rsidRPr="0028550A">
              <w:rPr>
                <w:rFonts w:cstheme="minorHAnsi"/>
                <w:sz w:val="24"/>
                <w:szCs w:val="24"/>
              </w:rPr>
              <w:t xml:space="preserve"> Costa Rica: </w:t>
            </w:r>
            <w:proofErr w:type="spellStart"/>
            <w:r w:rsidR="00C10257" w:rsidRPr="0028550A">
              <w:rPr>
                <w:rFonts w:cstheme="minorHAnsi"/>
                <w:sz w:val="24"/>
                <w:szCs w:val="24"/>
              </w:rPr>
              <w:t>Research</w:t>
            </w:r>
            <w:proofErr w:type="spellEnd"/>
            <w:r w:rsidR="00C10257" w:rsidRPr="0028550A">
              <w:rPr>
                <w:rFonts w:cstheme="minorHAnsi"/>
                <w:sz w:val="24"/>
                <w:szCs w:val="24"/>
              </w:rPr>
              <w:t xml:space="preserve"> </w:t>
            </w:r>
            <w:proofErr w:type="spellStart"/>
            <w:r w:rsidR="00C10257" w:rsidRPr="0028550A">
              <w:rPr>
                <w:rFonts w:cstheme="minorHAnsi"/>
                <w:sz w:val="24"/>
                <w:szCs w:val="24"/>
              </w:rPr>
              <w:t>Findings</w:t>
            </w:r>
            <w:proofErr w:type="spellEnd"/>
            <w:r w:rsidR="00C10257" w:rsidRPr="0028550A">
              <w:rPr>
                <w:rFonts w:cstheme="minorHAnsi"/>
                <w:sz w:val="24"/>
                <w:szCs w:val="24"/>
              </w:rPr>
              <w:t xml:space="preserve"> </w:t>
            </w:r>
            <w:proofErr w:type="spellStart"/>
            <w:r w:rsidR="00C10257" w:rsidRPr="0028550A">
              <w:rPr>
                <w:rFonts w:cstheme="minorHAnsi"/>
                <w:sz w:val="24"/>
                <w:szCs w:val="24"/>
              </w:rPr>
              <w:t>on</w:t>
            </w:r>
            <w:proofErr w:type="spellEnd"/>
            <w:r w:rsidR="00C10257" w:rsidRPr="0028550A">
              <w:rPr>
                <w:rFonts w:cstheme="minorHAnsi"/>
                <w:sz w:val="24"/>
                <w:szCs w:val="24"/>
              </w:rPr>
              <w:t xml:space="preserve"> </w:t>
            </w:r>
            <w:proofErr w:type="spellStart"/>
            <w:r w:rsidR="00C10257" w:rsidRPr="0028550A">
              <w:rPr>
                <w:rFonts w:cstheme="minorHAnsi"/>
                <w:sz w:val="24"/>
                <w:szCs w:val="24"/>
              </w:rPr>
              <w:t>Productivity</w:t>
            </w:r>
            <w:proofErr w:type="spellEnd"/>
            <w:r w:rsidRPr="0028550A">
              <w:rPr>
                <w:rFonts w:cstheme="minorHAnsi"/>
                <w:sz w:val="24"/>
                <w:szCs w:val="24"/>
              </w:rPr>
              <w:t xml:space="preserve"> </w:t>
            </w:r>
            <w:r w:rsidR="00C10257" w:rsidRPr="0028550A">
              <w:rPr>
                <w:rFonts w:cstheme="minorHAnsi"/>
                <w:sz w:val="24"/>
                <w:szCs w:val="24"/>
              </w:rPr>
              <w:t xml:space="preserve">(OCDE, </w:t>
            </w:r>
            <w:r w:rsidR="00B2361D" w:rsidRPr="0028550A">
              <w:rPr>
                <w:rFonts w:cstheme="minorHAnsi"/>
                <w:sz w:val="24"/>
                <w:szCs w:val="24"/>
              </w:rPr>
              <w:t>2018)</w:t>
            </w:r>
            <w:r w:rsidR="00B55480" w:rsidRPr="0028550A">
              <w:rPr>
                <w:rStyle w:val="Refdenotaalpie"/>
                <w:rFonts w:cstheme="minorHAnsi"/>
                <w:sz w:val="24"/>
                <w:szCs w:val="24"/>
              </w:rPr>
              <w:footnoteReference w:id="6"/>
            </w:r>
            <w:r w:rsidR="00B2361D" w:rsidRPr="0028550A">
              <w:rPr>
                <w:rFonts w:cstheme="minorHAnsi"/>
                <w:sz w:val="24"/>
                <w:szCs w:val="24"/>
              </w:rPr>
              <w:t xml:space="preserve">. </w:t>
            </w:r>
            <w:r w:rsidR="00EF20F7" w:rsidRPr="0028550A">
              <w:rPr>
                <w:rFonts w:cstheme="minorHAnsi"/>
                <w:sz w:val="24"/>
                <w:szCs w:val="24"/>
              </w:rPr>
              <w:t>Este análisis utiliza datos de comercio internacional para identificar los productos donde las exportaciones de Costa Rica se desempeñan particularmente bien y se destacan las oportunidades para hacer un mejor uso de las ventajas comparativas para las actividades de producción de alto nivel.</w:t>
            </w:r>
            <w:r w:rsidR="000B6D5C" w:rsidRPr="0028550A">
              <w:rPr>
                <w:rFonts w:cstheme="minorHAnsi"/>
                <w:sz w:val="24"/>
                <w:szCs w:val="24"/>
              </w:rPr>
              <w:t xml:space="preserve"> Además, sugiere políticas adecuadas para facilitar la asignación de recursos a</w:t>
            </w:r>
            <w:r w:rsidR="00C74210" w:rsidRPr="0028550A">
              <w:rPr>
                <w:rFonts w:cstheme="minorHAnsi"/>
                <w:sz w:val="24"/>
                <w:szCs w:val="24"/>
              </w:rPr>
              <w:t xml:space="preserve"> </w:t>
            </w:r>
            <w:r w:rsidR="000B6D5C" w:rsidRPr="0028550A">
              <w:rPr>
                <w:rFonts w:cstheme="minorHAnsi"/>
                <w:sz w:val="24"/>
                <w:szCs w:val="24"/>
              </w:rPr>
              <w:t xml:space="preserve">las empresas productivas </w:t>
            </w:r>
            <w:r w:rsidR="002F3D32" w:rsidRPr="0028550A">
              <w:rPr>
                <w:rFonts w:cstheme="minorHAnsi"/>
                <w:sz w:val="24"/>
                <w:szCs w:val="24"/>
              </w:rPr>
              <w:t xml:space="preserve">ya que </w:t>
            </w:r>
            <w:r w:rsidR="000B6D5C" w:rsidRPr="0028550A">
              <w:rPr>
                <w:rFonts w:cstheme="minorHAnsi"/>
                <w:sz w:val="24"/>
                <w:szCs w:val="24"/>
              </w:rPr>
              <w:t xml:space="preserve">podrían impulsar </w:t>
            </w:r>
            <w:r w:rsidR="002F3D32" w:rsidRPr="0028550A">
              <w:rPr>
                <w:rFonts w:cstheme="minorHAnsi"/>
                <w:sz w:val="24"/>
                <w:szCs w:val="24"/>
              </w:rPr>
              <w:t xml:space="preserve">el crecimiento. </w:t>
            </w:r>
            <w:r w:rsidR="00701B79" w:rsidRPr="0028550A">
              <w:rPr>
                <w:rFonts w:cstheme="minorHAnsi"/>
                <w:sz w:val="24"/>
                <w:szCs w:val="24"/>
              </w:rPr>
              <w:t>Demuestra además una ventaja compar</w:t>
            </w:r>
            <w:r w:rsidR="00B95710" w:rsidRPr="0028550A">
              <w:rPr>
                <w:rFonts w:cstheme="minorHAnsi"/>
                <w:sz w:val="24"/>
                <w:szCs w:val="24"/>
              </w:rPr>
              <w:t>ativa revelada</w:t>
            </w:r>
            <w:r w:rsidR="00701B79" w:rsidRPr="0028550A">
              <w:rPr>
                <w:rFonts w:cstheme="minorHAnsi"/>
                <w:sz w:val="24"/>
                <w:szCs w:val="24"/>
              </w:rPr>
              <w:t xml:space="preserve"> en dos grupos de productos de uso intensivo de la tecnología: instrumentos y aplicaciones médic</w:t>
            </w:r>
            <w:r w:rsidR="00B95710" w:rsidRPr="0028550A">
              <w:rPr>
                <w:rFonts w:cstheme="minorHAnsi"/>
                <w:sz w:val="24"/>
                <w:szCs w:val="24"/>
              </w:rPr>
              <w:t>a</w:t>
            </w:r>
            <w:r w:rsidR="00701B79" w:rsidRPr="0028550A">
              <w:rPr>
                <w:rFonts w:cstheme="minorHAnsi"/>
                <w:sz w:val="24"/>
                <w:szCs w:val="24"/>
              </w:rPr>
              <w:t>s y artículos eléctricos.</w:t>
            </w:r>
            <w:r w:rsidR="00B95710" w:rsidRPr="0028550A">
              <w:rPr>
                <w:rFonts w:cstheme="minorHAnsi"/>
                <w:sz w:val="24"/>
                <w:szCs w:val="24"/>
              </w:rPr>
              <w:t xml:space="preserve"> Además, se destaca que l</w:t>
            </w:r>
            <w:r w:rsidR="00701B79" w:rsidRPr="0028550A">
              <w:rPr>
                <w:rFonts w:cstheme="minorHAnsi"/>
                <w:sz w:val="24"/>
                <w:szCs w:val="24"/>
              </w:rPr>
              <w:t>a mayoría de las oportunidades de ampliación de escala de Costa Rica se encuentran en productos con un alto o muy alto grado de complejidad.</w:t>
            </w:r>
            <w:r w:rsidR="007E481D" w:rsidRPr="0028550A">
              <w:rPr>
                <w:rFonts w:cstheme="minorHAnsi"/>
                <w:sz w:val="24"/>
                <w:szCs w:val="24"/>
              </w:rPr>
              <w:t xml:space="preserve"> Por otra parte, </w:t>
            </w:r>
            <w:r w:rsidR="002D4534" w:rsidRPr="0028550A">
              <w:rPr>
                <w:rFonts w:cstheme="minorHAnsi"/>
                <w:sz w:val="24"/>
                <w:szCs w:val="24"/>
              </w:rPr>
              <w:t xml:space="preserve">un hallazgo de mucha relevancia es que se demostró un efecto positivo y significativo de la IED en la productividad de las empresas locales, donde las empresas manufactureras locales que </w:t>
            </w:r>
            <w:r w:rsidR="002D4534" w:rsidRPr="0028550A">
              <w:rPr>
                <w:rFonts w:cstheme="minorHAnsi"/>
                <w:sz w:val="24"/>
                <w:szCs w:val="24"/>
              </w:rPr>
              <w:lastRenderedPageBreak/>
              <w:t>suministran a empresas extranjeras tienen, en promedio, un 8% más de productividad laboral que las empresas que no ofrecen empresas extranjeras. Asimismo, las empresas de servicios locales que abastecen a empresas extranjeras tienen, en promedio, un 6,4% más de productividad laboral. Además, sus resultados sugieren que el establecimiento de la relación comercial con empresas de propiedad extranjera es lo que está impulsando el aumento de la productividad.</w:t>
            </w:r>
          </w:p>
        </w:tc>
        <w:tc>
          <w:tcPr>
            <w:tcW w:w="5105" w:type="dxa"/>
          </w:tcPr>
          <w:p w14:paraId="3EAFAED4" w14:textId="1267B5D3" w:rsidR="00EE3174" w:rsidRPr="0028550A" w:rsidRDefault="004D78E1" w:rsidP="00855133">
            <w:pPr>
              <w:jc w:val="both"/>
              <w:rPr>
                <w:rFonts w:cstheme="minorHAnsi"/>
                <w:sz w:val="24"/>
                <w:szCs w:val="24"/>
              </w:rPr>
            </w:pPr>
            <w:r w:rsidRPr="0028550A">
              <w:rPr>
                <w:rFonts w:cstheme="minorHAnsi"/>
                <w:sz w:val="24"/>
                <w:szCs w:val="24"/>
              </w:rPr>
              <w:lastRenderedPageBreak/>
              <w:t xml:space="preserve">Si bien </w:t>
            </w:r>
            <w:r w:rsidR="00A714CC" w:rsidRPr="0028550A">
              <w:rPr>
                <w:rFonts w:cstheme="minorHAnsi"/>
                <w:sz w:val="24"/>
                <w:szCs w:val="24"/>
              </w:rPr>
              <w:t>Costa Rica es una economía que ha sabido combinar su política de comercio exterior con una exitosa política de atracción de IED, que en conjunto han llevado a una profunda y rápida transformación estructural de la economía</w:t>
            </w:r>
            <w:r w:rsidRPr="0028550A">
              <w:rPr>
                <w:rFonts w:cstheme="minorHAnsi"/>
                <w:sz w:val="24"/>
                <w:szCs w:val="24"/>
              </w:rPr>
              <w:t>,</w:t>
            </w:r>
            <w:r w:rsidR="00A714CC" w:rsidRPr="0028550A">
              <w:rPr>
                <w:rFonts w:cstheme="minorHAnsi"/>
                <w:sz w:val="24"/>
                <w:szCs w:val="24"/>
              </w:rPr>
              <w:t xml:space="preserve"> algunos sectores </w:t>
            </w:r>
            <w:r w:rsidRPr="0028550A">
              <w:rPr>
                <w:rFonts w:cstheme="minorHAnsi"/>
                <w:sz w:val="24"/>
                <w:szCs w:val="24"/>
              </w:rPr>
              <w:t xml:space="preserve">aún cuentan con potencial importante para aprovechar estos beneficios. </w:t>
            </w:r>
            <w:r w:rsidR="00AE5EA8" w:rsidRPr="0028550A">
              <w:rPr>
                <w:rFonts w:cstheme="minorHAnsi"/>
                <w:sz w:val="24"/>
                <w:szCs w:val="24"/>
              </w:rPr>
              <w:t>La evidencia (OCDE,</w:t>
            </w:r>
            <w:r w:rsidR="00A27250" w:rsidRPr="0028550A">
              <w:rPr>
                <w:rFonts w:cstheme="minorHAnsi"/>
                <w:sz w:val="24"/>
                <w:szCs w:val="24"/>
              </w:rPr>
              <w:t xml:space="preserve"> 2016; OCDE</w:t>
            </w:r>
            <w:r w:rsidR="00AE5EA8" w:rsidRPr="0028550A">
              <w:rPr>
                <w:rFonts w:cstheme="minorHAnsi"/>
                <w:sz w:val="24"/>
                <w:szCs w:val="24"/>
              </w:rPr>
              <w:t xml:space="preserve"> 2018) sugiere </w:t>
            </w:r>
            <w:r w:rsidR="00A27250" w:rsidRPr="0028550A">
              <w:rPr>
                <w:rFonts w:cstheme="minorHAnsi"/>
                <w:sz w:val="24"/>
                <w:szCs w:val="24"/>
              </w:rPr>
              <w:t xml:space="preserve">que los programas y políticas que impulsen el fortalecimiento de encadenamientos productivos </w:t>
            </w:r>
            <w:r w:rsidR="00D84EA0" w:rsidRPr="0028550A">
              <w:rPr>
                <w:rFonts w:cstheme="minorHAnsi"/>
                <w:sz w:val="24"/>
                <w:szCs w:val="24"/>
              </w:rPr>
              <w:t xml:space="preserve">de las empresas de base local con las empresas multinacionales pueden tener un impacto significativo en la productividad, al generar derrames de conocimiento </w:t>
            </w:r>
            <w:r w:rsidR="00B066F2" w:rsidRPr="0028550A">
              <w:rPr>
                <w:rFonts w:cstheme="minorHAnsi"/>
                <w:sz w:val="24"/>
                <w:szCs w:val="24"/>
              </w:rPr>
              <w:t xml:space="preserve">fundamentales para catalizar la innovación local. </w:t>
            </w:r>
          </w:p>
        </w:tc>
      </w:tr>
      <w:tr w:rsidR="00BA007D" w:rsidRPr="00EF20F7" w14:paraId="56A4262D" w14:textId="77777777" w:rsidTr="00DC2F6A">
        <w:trPr>
          <w:trHeight w:val="1009"/>
        </w:trPr>
        <w:tc>
          <w:tcPr>
            <w:tcW w:w="4195" w:type="dxa"/>
          </w:tcPr>
          <w:p w14:paraId="225A0D1F" w14:textId="63593EDD" w:rsidR="00BA007D" w:rsidRPr="0028550A" w:rsidRDefault="00BA007D" w:rsidP="00582303">
            <w:pPr>
              <w:spacing w:line="276" w:lineRule="auto"/>
              <w:jc w:val="both"/>
              <w:rPr>
                <w:rFonts w:cstheme="minorHAnsi"/>
                <w:sz w:val="24"/>
                <w:szCs w:val="24"/>
              </w:rPr>
            </w:pPr>
            <w:r w:rsidRPr="0028550A">
              <w:rPr>
                <w:rFonts w:cstheme="minorHAnsi"/>
                <w:sz w:val="24"/>
                <w:szCs w:val="24"/>
              </w:rPr>
              <w:t>4.5</w:t>
            </w:r>
            <w:r w:rsidR="005E6190" w:rsidRPr="0028550A">
              <w:rPr>
                <w:rFonts w:cstheme="minorHAnsi"/>
                <w:sz w:val="24"/>
                <w:szCs w:val="24"/>
              </w:rPr>
              <w:t xml:space="preserve"> Cuadro de Mando</w:t>
            </w:r>
          </w:p>
        </w:tc>
        <w:tc>
          <w:tcPr>
            <w:tcW w:w="3880" w:type="dxa"/>
          </w:tcPr>
          <w:p w14:paraId="1EB332E5" w14:textId="1C96BF44" w:rsidR="0087133E" w:rsidRPr="0028550A" w:rsidRDefault="005E6190" w:rsidP="00855133">
            <w:pPr>
              <w:jc w:val="both"/>
              <w:rPr>
                <w:rFonts w:cstheme="minorHAnsi"/>
                <w:sz w:val="24"/>
                <w:szCs w:val="24"/>
              </w:rPr>
            </w:pPr>
            <w:r w:rsidRPr="0028550A">
              <w:rPr>
                <w:rFonts w:cstheme="minorHAnsi"/>
                <w:sz w:val="24"/>
                <w:szCs w:val="24"/>
              </w:rPr>
              <w:t>Considerar la reducción en el número de indicadores para el monitoreo del progreso en la consecución de los objetivos</w:t>
            </w:r>
            <w:r w:rsidR="00F41044" w:rsidRPr="0028550A">
              <w:rPr>
                <w:rFonts w:cstheme="minorHAnsi"/>
                <w:sz w:val="24"/>
                <w:szCs w:val="24"/>
              </w:rPr>
              <w:t xml:space="preserve">. </w:t>
            </w:r>
            <w:r w:rsidR="00B50FEF" w:rsidRPr="0028550A">
              <w:rPr>
                <w:rFonts w:cstheme="minorHAnsi"/>
                <w:sz w:val="24"/>
                <w:szCs w:val="24"/>
              </w:rPr>
              <w:t>Estos indicadores deberán</w:t>
            </w:r>
            <w:r w:rsidR="00533FB6" w:rsidRPr="0028550A">
              <w:rPr>
                <w:rFonts w:cstheme="minorHAnsi"/>
                <w:sz w:val="24"/>
                <w:szCs w:val="24"/>
              </w:rPr>
              <w:t xml:space="preserve"> ser efectivos en la medición del desempeño en la implementación de la política y la consecución de los objetivos planteados. </w:t>
            </w:r>
            <w:r w:rsidR="00EB45E1" w:rsidRPr="0028550A">
              <w:rPr>
                <w:rFonts w:cstheme="minorHAnsi"/>
                <w:sz w:val="24"/>
                <w:szCs w:val="24"/>
              </w:rPr>
              <w:t>Además, deberían ser comparables con indicadores internacionales</w:t>
            </w:r>
            <w:r w:rsidR="006505AC" w:rsidRPr="0028550A">
              <w:rPr>
                <w:rFonts w:cstheme="minorHAnsi"/>
                <w:sz w:val="24"/>
                <w:szCs w:val="24"/>
              </w:rPr>
              <w:t xml:space="preserve"> y seguir metodologías robustas y ampliamente aceptadas. </w:t>
            </w:r>
          </w:p>
          <w:p w14:paraId="2BB9B8EC" w14:textId="77777777" w:rsidR="0087133E" w:rsidRPr="0028550A" w:rsidRDefault="0087133E" w:rsidP="00855133">
            <w:pPr>
              <w:jc w:val="both"/>
              <w:rPr>
                <w:rFonts w:cstheme="minorHAnsi"/>
                <w:sz w:val="24"/>
                <w:szCs w:val="24"/>
              </w:rPr>
            </w:pPr>
          </w:p>
          <w:p w14:paraId="78681A66" w14:textId="77777777" w:rsidR="0087133E" w:rsidRPr="0028550A" w:rsidRDefault="0087133E" w:rsidP="00855133">
            <w:pPr>
              <w:jc w:val="both"/>
              <w:rPr>
                <w:rFonts w:cstheme="minorHAnsi"/>
                <w:sz w:val="24"/>
                <w:szCs w:val="24"/>
              </w:rPr>
            </w:pPr>
            <w:r w:rsidRPr="0028550A">
              <w:rPr>
                <w:rFonts w:cstheme="minorHAnsi"/>
                <w:sz w:val="24"/>
                <w:szCs w:val="24"/>
              </w:rPr>
              <w:t>E</w:t>
            </w:r>
            <w:r w:rsidR="007E5C43" w:rsidRPr="0028550A">
              <w:rPr>
                <w:rFonts w:cstheme="minorHAnsi"/>
                <w:sz w:val="24"/>
                <w:szCs w:val="24"/>
              </w:rPr>
              <w:t xml:space="preserve">n el caso del área sobre generación del conocimiento, es muy importante considerar la inversión en I+D desagregada </w:t>
            </w:r>
            <w:r w:rsidR="00374CC6" w:rsidRPr="0028550A">
              <w:rPr>
                <w:rFonts w:cstheme="minorHAnsi"/>
                <w:sz w:val="24"/>
                <w:szCs w:val="24"/>
              </w:rPr>
              <w:t xml:space="preserve">(público y privada) ya que las medidas de acción para lograr los objetivos planteados </w:t>
            </w:r>
            <w:r w:rsidR="00A42BB4" w:rsidRPr="0028550A">
              <w:rPr>
                <w:rFonts w:cstheme="minorHAnsi"/>
                <w:sz w:val="24"/>
                <w:szCs w:val="24"/>
              </w:rPr>
              <w:t xml:space="preserve">en cada una de estas áreas son distintas. </w:t>
            </w:r>
          </w:p>
          <w:p w14:paraId="72EDBB9D" w14:textId="77777777" w:rsidR="0087133E" w:rsidRPr="0028550A" w:rsidRDefault="0087133E" w:rsidP="00855133">
            <w:pPr>
              <w:jc w:val="both"/>
              <w:rPr>
                <w:rFonts w:cstheme="minorHAnsi"/>
                <w:sz w:val="24"/>
                <w:szCs w:val="24"/>
              </w:rPr>
            </w:pPr>
          </w:p>
          <w:p w14:paraId="7652EABB" w14:textId="215D15C2" w:rsidR="001F68BC" w:rsidRPr="0028550A" w:rsidRDefault="00723E89" w:rsidP="00855133">
            <w:pPr>
              <w:jc w:val="both"/>
              <w:rPr>
                <w:rFonts w:cstheme="minorHAnsi"/>
                <w:sz w:val="24"/>
                <w:szCs w:val="24"/>
              </w:rPr>
            </w:pPr>
            <w:r w:rsidRPr="0028550A">
              <w:rPr>
                <w:rFonts w:cstheme="minorHAnsi"/>
                <w:sz w:val="24"/>
                <w:szCs w:val="24"/>
              </w:rPr>
              <w:t>Adicionalmente</w:t>
            </w:r>
            <w:r w:rsidR="0087133E" w:rsidRPr="0028550A">
              <w:rPr>
                <w:rFonts w:cstheme="minorHAnsi"/>
                <w:sz w:val="24"/>
                <w:szCs w:val="24"/>
              </w:rPr>
              <w:t>, sobre talento humano es importante considerar indicador</w:t>
            </w:r>
            <w:r w:rsidR="00150391" w:rsidRPr="0028550A">
              <w:rPr>
                <w:rFonts w:cstheme="minorHAnsi"/>
                <w:sz w:val="24"/>
                <w:szCs w:val="24"/>
              </w:rPr>
              <w:t>es</w:t>
            </w:r>
            <w:r w:rsidR="0087133E" w:rsidRPr="0028550A">
              <w:rPr>
                <w:rFonts w:cstheme="minorHAnsi"/>
                <w:sz w:val="24"/>
                <w:szCs w:val="24"/>
              </w:rPr>
              <w:t xml:space="preserve"> que refleje</w:t>
            </w:r>
            <w:r w:rsidR="00150391" w:rsidRPr="0028550A">
              <w:rPr>
                <w:rFonts w:cstheme="minorHAnsi"/>
                <w:sz w:val="24"/>
                <w:szCs w:val="24"/>
              </w:rPr>
              <w:t>n</w:t>
            </w:r>
            <w:r w:rsidR="0087133E" w:rsidRPr="0028550A">
              <w:rPr>
                <w:rFonts w:cstheme="minorHAnsi"/>
                <w:sz w:val="24"/>
                <w:szCs w:val="24"/>
              </w:rPr>
              <w:t xml:space="preserve"> el progreso </w:t>
            </w:r>
            <w:r w:rsidR="001F68BC" w:rsidRPr="0028550A">
              <w:rPr>
                <w:rFonts w:cstheme="minorHAnsi"/>
                <w:sz w:val="24"/>
                <w:szCs w:val="24"/>
              </w:rPr>
              <w:t xml:space="preserve">realizado tanto desde la oferta como desde la demanda, y su </w:t>
            </w:r>
            <w:r w:rsidR="00F32074" w:rsidRPr="0028550A">
              <w:rPr>
                <w:rFonts w:cstheme="minorHAnsi"/>
                <w:sz w:val="24"/>
                <w:szCs w:val="24"/>
              </w:rPr>
              <w:t xml:space="preserve">intersección. </w:t>
            </w:r>
          </w:p>
          <w:p w14:paraId="73B6127C" w14:textId="041009C1" w:rsidR="001F68BC" w:rsidRPr="0028550A" w:rsidRDefault="001F68BC" w:rsidP="00855133">
            <w:pPr>
              <w:jc w:val="both"/>
              <w:rPr>
                <w:rFonts w:cstheme="minorHAnsi"/>
                <w:sz w:val="24"/>
                <w:szCs w:val="24"/>
              </w:rPr>
            </w:pPr>
          </w:p>
        </w:tc>
        <w:tc>
          <w:tcPr>
            <w:tcW w:w="5105" w:type="dxa"/>
          </w:tcPr>
          <w:p w14:paraId="2AF0100A" w14:textId="63BFAB9F" w:rsidR="00BA007D" w:rsidRPr="0028550A" w:rsidRDefault="00723E89" w:rsidP="00855133">
            <w:pPr>
              <w:jc w:val="both"/>
              <w:rPr>
                <w:rFonts w:cstheme="minorHAnsi"/>
                <w:sz w:val="24"/>
                <w:szCs w:val="24"/>
              </w:rPr>
            </w:pPr>
            <w:r w:rsidRPr="0028550A">
              <w:rPr>
                <w:rFonts w:cstheme="minorHAnsi"/>
                <w:sz w:val="24"/>
                <w:szCs w:val="24"/>
              </w:rPr>
              <w:t xml:space="preserve">La construcción de estos indicadores </w:t>
            </w:r>
            <w:r w:rsidR="00734076" w:rsidRPr="0028550A">
              <w:rPr>
                <w:rFonts w:cstheme="minorHAnsi"/>
                <w:sz w:val="24"/>
                <w:szCs w:val="24"/>
              </w:rPr>
              <w:t>debe considerar elementos para monitorear</w:t>
            </w:r>
            <w:r w:rsidRPr="0028550A">
              <w:rPr>
                <w:rFonts w:cstheme="minorHAnsi"/>
                <w:sz w:val="24"/>
                <w:szCs w:val="24"/>
              </w:rPr>
              <w:t xml:space="preserve"> con éxito el progreso en el logro del objetivo de manera que facilite la toma de decisiones por parte de los encargados de la implementación de la política</w:t>
            </w:r>
            <w:r w:rsidR="00734076" w:rsidRPr="0028550A">
              <w:rPr>
                <w:rFonts w:cstheme="minorHAnsi"/>
                <w:sz w:val="24"/>
                <w:szCs w:val="24"/>
              </w:rPr>
              <w:t>, es decir deberán ser una herramienta de gestión</w:t>
            </w:r>
            <w:r w:rsidRPr="0028550A">
              <w:rPr>
                <w:rFonts w:cstheme="minorHAnsi"/>
                <w:sz w:val="24"/>
                <w:szCs w:val="24"/>
              </w:rPr>
              <w:t xml:space="preserve">, por </w:t>
            </w:r>
            <w:r w:rsidR="00EE2DDF" w:rsidRPr="0028550A">
              <w:rPr>
                <w:rFonts w:cstheme="minorHAnsi"/>
                <w:sz w:val="24"/>
                <w:szCs w:val="24"/>
              </w:rPr>
              <w:t>ejemplo,</w:t>
            </w:r>
            <w:r w:rsidRPr="0028550A">
              <w:rPr>
                <w:rFonts w:cstheme="minorHAnsi"/>
                <w:sz w:val="24"/>
                <w:szCs w:val="24"/>
              </w:rPr>
              <w:t xml:space="preserve"> deberán ser medibles, robustos, confiables y oportunos</w:t>
            </w:r>
            <w:r w:rsidR="0087133E" w:rsidRPr="0028550A">
              <w:rPr>
                <w:rFonts w:cstheme="minorHAnsi"/>
                <w:sz w:val="24"/>
                <w:szCs w:val="24"/>
              </w:rPr>
              <w:t>.</w:t>
            </w:r>
          </w:p>
        </w:tc>
      </w:tr>
      <w:tr w:rsidR="00E14D4C" w:rsidRPr="00EF20F7" w14:paraId="23520B8C" w14:textId="77777777" w:rsidTr="000E5B22">
        <w:trPr>
          <w:trHeight w:val="1009"/>
        </w:trPr>
        <w:tc>
          <w:tcPr>
            <w:tcW w:w="4195" w:type="dxa"/>
          </w:tcPr>
          <w:p w14:paraId="471B71B7" w14:textId="67B2F6BB" w:rsidR="00E14D4C" w:rsidRPr="0028550A" w:rsidRDefault="00E14D4C" w:rsidP="00A57A21">
            <w:pPr>
              <w:spacing w:line="276" w:lineRule="auto"/>
              <w:jc w:val="both"/>
              <w:rPr>
                <w:rFonts w:cstheme="minorHAnsi"/>
                <w:sz w:val="24"/>
                <w:szCs w:val="24"/>
              </w:rPr>
            </w:pPr>
            <w:r w:rsidRPr="0028550A">
              <w:rPr>
                <w:rFonts w:cstheme="minorHAnsi"/>
                <w:sz w:val="24"/>
                <w:szCs w:val="24"/>
              </w:rPr>
              <w:lastRenderedPageBreak/>
              <w:t>“Promover la utilización de datos abiertos para el fortalecimiento de la transparencia en la gestión pública”</w:t>
            </w:r>
          </w:p>
        </w:tc>
        <w:tc>
          <w:tcPr>
            <w:tcW w:w="3880" w:type="dxa"/>
          </w:tcPr>
          <w:p w14:paraId="2D2BFCEE" w14:textId="2763873A" w:rsidR="00E14D4C" w:rsidRPr="0028550A" w:rsidRDefault="00E14D4C" w:rsidP="00855133">
            <w:pPr>
              <w:jc w:val="both"/>
              <w:rPr>
                <w:rFonts w:cstheme="minorHAnsi"/>
                <w:sz w:val="24"/>
                <w:szCs w:val="24"/>
              </w:rPr>
            </w:pPr>
            <w:r w:rsidRPr="0028550A">
              <w:rPr>
                <w:rFonts w:cstheme="minorHAnsi"/>
                <w:sz w:val="24"/>
                <w:szCs w:val="24"/>
              </w:rPr>
              <w:t xml:space="preserve">Considerar </w:t>
            </w:r>
            <w:r w:rsidR="00581D84" w:rsidRPr="0028550A">
              <w:rPr>
                <w:rFonts w:cstheme="minorHAnsi"/>
                <w:sz w:val="24"/>
                <w:szCs w:val="24"/>
              </w:rPr>
              <w:t>ampliar la visión que se promueve sobre datos de gobierno abiertos</w:t>
            </w:r>
            <w:r w:rsidR="0025758F" w:rsidRPr="0028550A">
              <w:rPr>
                <w:rFonts w:cstheme="minorHAnsi"/>
                <w:sz w:val="24"/>
                <w:szCs w:val="24"/>
              </w:rPr>
              <w:t>,</w:t>
            </w:r>
            <w:r w:rsidR="00AF466B" w:rsidRPr="0028550A">
              <w:rPr>
                <w:rFonts w:cstheme="minorHAnsi"/>
                <w:sz w:val="24"/>
                <w:szCs w:val="24"/>
              </w:rPr>
              <w:t xml:space="preserve"> para que no se limite a transparencia,</w:t>
            </w:r>
            <w:r w:rsidR="0025758F" w:rsidRPr="0028550A">
              <w:rPr>
                <w:rFonts w:cstheme="minorHAnsi"/>
                <w:sz w:val="24"/>
                <w:szCs w:val="24"/>
              </w:rPr>
              <w:t xml:space="preserve"> alineándola con las recomendaciones de la OE</w:t>
            </w:r>
            <w:r w:rsidR="7323CAC0" w:rsidRPr="0028550A">
              <w:rPr>
                <w:rFonts w:cstheme="minorHAnsi"/>
                <w:sz w:val="24"/>
                <w:szCs w:val="24"/>
              </w:rPr>
              <w:t>CD</w:t>
            </w:r>
            <w:r w:rsidR="00EA3DB2" w:rsidRPr="0028550A">
              <w:rPr>
                <w:rFonts w:cstheme="minorHAnsi"/>
                <w:sz w:val="24"/>
                <w:szCs w:val="24"/>
              </w:rPr>
              <w:t xml:space="preserve"> </w:t>
            </w:r>
            <w:proofErr w:type="spellStart"/>
            <w:r w:rsidR="00EA3DB2" w:rsidRPr="0028550A">
              <w:rPr>
                <w:rFonts w:cstheme="minorHAnsi"/>
                <w:sz w:val="24"/>
                <w:szCs w:val="24"/>
              </w:rPr>
              <w:t>Recommendation</w:t>
            </w:r>
            <w:proofErr w:type="spellEnd"/>
            <w:r w:rsidR="00EA3DB2" w:rsidRPr="0028550A">
              <w:rPr>
                <w:rFonts w:cstheme="minorHAnsi"/>
                <w:sz w:val="24"/>
                <w:szCs w:val="24"/>
              </w:rPr>
              <w:t xml:space="preserve"> </w:t>
            </w:r>
            <w:proofErr w:type="spellStart"/>
            <w:r w:rsidR="00EA3DB2" w:rsidRPr="0028550A">
              <w:rPr>
                <w:rFonts w:cstheme="minorHAnsi"/>
                <w:sz w:val="24"/>
                <w:szCs w:val="24"/>
              </w:rPr>
              <w:t>of</w:t>
            </w:r>
            <w:proofErr w:type="spellEnd"/>
            <w:r w:rsidR="00EA3DB2" w:rsidRPr="0028550A">
              <w:rPr>
                <w:rFonts w:cstheme="minorHAnsi"/>
                <w:sz w:val="24"/>
                <w:szCs w:val="24"/>
              </w:rPr>
              <w:t xml:space="preserve"> </w:t>
            </w:r>
            <w:proofErr w:type="spellStart"/>
            <w:r w:rsidR="00EA3DB2" w:rsidRPr="0028550A">
              <w:rPr>
                <w:rFonts w:cstheme="minorHAnsi"/>
                <w:sz w:val="24"/>
                <w:szCs w:val="24"/>
              </w:rPr>
              <w:t>the</w:t>
            </w:r>
            <w:proofErr w:type="spellEnd"/>
            <w:r w:rsidR="00EA3DB2" w:rsidRPr="0028550A">
              <w:rPr>
                <w:rFonts w:cstheme="minorHAnsi"/>
                <w:sz w:val="24"/>
                <w:szCs w:val="24"/>
              </w:rPr>
              <w:t xml:space="preserve"> Council </w:t>
            </w:r>
            <w:proofErr w:type="spellStart"/>
            <w:r w:rsidR="00EA3DB2" w:rsidRPr="0028550A">
              <w:rPr>
                <w:rFonts w:cstheme="minorHAnsi"/>
                <w:sz w:val="24"/>
                <w:szCs w:val="24"/>
              </w:rPr>
              <w:t>for</w:t>
            </w:r>
            <w:proofErr w:type="spellEnd"/>
            <w:r w:rsidR="00EA3DB2" w:rsidRPr="0028550A">
              <w:rPr>
                <w:rFonts w:cstheme="minorHAnsi"/>
                <w:sz w:val="24"/>
                <w:szCs w:val="24"/>
              </w:rPr>
              <w:t xml:space="preserve"> </w:t>
            </w:r>
            <w:proofErr w:type="spellStart"/>
            <w:r w:rsidR="00EA3DB2" w:rsidRPr="0028550A">
              <w:rPr>
                <w:rFonts w:cstheme="minorHAnsi"/>
                <w:sz w:val="24"/>
                <w:szCs w:val="24"/>
              </w:rPr>
              <w:t>Enhanced</w:t>
            </w:r>
            <w:proofErr w:type="spellEnd"/>
            <w:r w:rsidR="00EA3DB2" w:rsidRPr="0028550A">
              <w:rPr>
                <w:rFonts w:cstheme="minorHAnsi"/>
                <w:sz w:val="24"/>
                <w:szCs w:val="24"/>
              </w:rPr>
              <w:t xml:space="preserve"> Access and More </w:t>
            </w:r>
            <w:proofErr w:type="spellStart"/>
            <w:r w:rsidR="00EA3DB2" w:rsidRPr="0028550A">
              <w:rPr>
                <w:rFonts w:cstheme="minorHAnsi"/>
                <w:sz w:val="24"/>
                <w:szCs w:val="24"/>
              </w:rPr>
              <w:t>Effective</w:t>
            </w:r>
            <w:proofErr w:type="spellEnd"/>
            <w:r w:rsidR="00EA3DB2" w:rsidRPr="0028550A">
              <w:rPr>
                <w:rFonts w:cstheme="minorHAnsi"/>
                <w:sz w:val="24"/>
                <w:szCs w:val="24"/>
              </w:rPr>
              <w:t xml:space="preserve"> Use </w:t>
            </w:r>
            <w:proofErr w:type="spellStart"/>
            <w:r w:rsidR="00EA3DB2" w:rsidRPr="0028550A">
              <w:rPr>
                <w:rFonts w:cstheme="minorHAnsi"/>
                <w:sz w:val="24"/>
                <w:szCs w:val="24"/>
              </w:rPr>
              <w:t>of</w:t>
            </w:r>
            <w:proofErr w:type="spellEnd"/>
            <w:r w:rsidR="00EA3DB2" w:rsidRPr="0028550A">
              <w:rPr>
                <w:rFonts w:cstheme="minorHAnsi"/>
                <w:sz w:val="24"/>
                <w:szCs w:val="24"/>
              </w:rPr>
              <w:t xml:space="preserve"> </w:t>
            </w:r>
            <w:proofErr w:type="spellStart"/>
            <w:r w:rsidR="00EA3DB2" w:rsidRPr="0028550A">
              <w:rPr>
                <w:rFonts w:cstheme="minorHAnsi"/>
                <w:sz w:val="24"/>
                <w:szCs w:val="24"/>
              </w:rPr>
              <w:t>Public</w:t>
            </w:r>
            <w:proofErr w:type="spellEnd"/>
            <w:r w:rsidR="00EA3DB2" w:rsidRPr="0028550A">
              <w:rPr>
                <w:rFonts w:cstheme="minorHAnsi"/>
                <w:sz w:val="24"/>
                <w:szCs w:val="24"/>
              </w:rPr>
              <w:t xml:space="preserve"> Sector </w:t>
            </w:r>
            <w:proofErr w:type="spellStart"/>
            <w:r w:rsidR="00EA3DB2" w:rsidRPr="0028550A">
              <w:rPr>
                <w:rFonts w:cstheme="minorHAnsi"/>
                <w:sz w:val="24"/>
                <w:szCs w:val="24"/>
              </w:rPr>
              <w:t>Information</w:t>
            </w:r>
            <w:proofErr w:type="spellEnd"/>
            <w:r w:rsidR="25CB1701" w:rsidRPr="0028550A">
              <w:rPr>
                <w:rFonts w:cstheme="minorHAnsi"/>
                <w:sz w:val="24"/>
                <w:szCs w:val="24"/>
              </w:rPr>
              <w:t xml:space="preserve">, disponible en </w:t>
            </w:r>
            <w:hyperlink r:id="rId10">
              <w:r w:rsidR="25CB1701" w:rsidRPr="0028550A">
                <w:rPr>
                  <w:rStyle w:val="Hipervnculo"/>
                  <w:rFonts w:cstheme="minorHAnsi"/>
                  <w:sz w:val="24"/>
                  <w:szCs w:val="24"/>
                </w:rPr>
                <w:t>https://www.oecd.org/sti/40826024.pdf</w:t>
              </w:r>
            </w:hyperlink>
            <w:r w:rsidR="00C746B1" w:rsidRPr="0028550A">
              <w:rPr>
                <w:rFonts w:cstheme="minorHAnsi"/>
                <w:sz w:val="24"/>
                <w:szCs w:val="24"/>
              </w:rPr>
              <w:t>.</w:t>
            </w:r>
          </w:p>
          <w:p w14:paraId="02E65AAB" w14:textId="0706DBD4" w:rsidR="0025758F" w:rsidRPr="0028550A" w:rsidRDefault="0025758F" w:rsidP="00855133">
            <w:pPr>
              <w:jc w:val="both"/>
              <w:rPr>
                <w:rFonts w:cstheme="minorHAnsi"/>
                <w:sz w:val="24"/>
                <w:szCs w:val="24"/>
              </w:rPr>
            </w:pPr>
          </w:p>
        </w:tc>
        <w:tc>
          <w:tcPr>
            <w:tcW w:w="5105" w:type="dxa"/>
          </w:tcPr>
          <w:p w14:paraId="5A30F5C9" w14:textId="7D23BEBF" w:rsidR="00E14D4C" w:rsidRPr="0028550A" w:rsidRDefault="4D625D81" w:rsidP="47296AF6">
            <w:pPr>
              <w:spacing w:line="259" w:lineRule="auto"/>
              <w:jc w:val="both"/>
              <w:rPr>
                <w:rFonts w:cstheme="minorHAnsi"/>
                <w:sz w:val="24"/>
                <w:szCs w:val="24"/>
              </w:rPr>
            </w:pPr>
            <w:r w:rsidRPr="0028550A">
              <w:rPr>
                <w:rFonts w:cstheme="minorHAnsi"/>
                <w:sz w:val="24"/>
                <w:szCs w:val="24"/>
              </w:rPr>
              <w:t>L</w:t>
            </w:r>
            <w:r w:rsidR="7EFCED4F" w:rsidRPr="0028550A">
              <w:rPr>
                <w:rFonts w:cstheme="minorHAnsi"/>
                <w:sz w:val="24"/>
                <w:szCs w:val="24"/>
              </w:rPr>
              <w:t>a citada recomendación de la OCDE,</w:t>
            </w:r>
            <w:r w:rsidR="5CAA7A88" w:rsidRPr="0028550A">
              <w:rPr>
                <w:rFonts w:cstheme="minorHAnsi"/>
                <w:sz w:val="24"/>
                <w:szCs w:val="24"/>
              </w:rPr>
              <w:t xml:space="preserve"> considera el objetivo de incrementar </w:t>
            </w:r>
            <w:proofErr w:type="gramStart"/>
            <w:r w:rsidR="5CAA7A88" w:rsidRPr="0028550A">
              <w:rPr>
                <w:rFonts w:cstheme="minorHAnsi"/>
                <w:sz w:val="24"/>
                <w:szCs w:val="24"/>
              </w:rPr>
              <w:t xml:space="preserve">los </w:t>
            </w:r>
            <w:r w:rsidR="7EFCED4F" w:rsidRPr="0028550A">
              <w:rPr>
                <w:rFonts w:cstheme="minorHAnsi"/>
                <w:sz w:val="24"/>
                <w:szCs w:val="24"/>
              </w:rPr>
              <w:t xml:space="preserve"> </w:t>
            </w:r>
            <w:r w:rsidR="12C0C141" w:rsidRPr="0028550A">
              <w:rPr>
                <w:rFonts w:cstheme="minorHAnsi"/>
                <w:sz w:val="24"/>
                <w:szCs w:val="24"/>
              </w:rPr>
              <w:t>rendimientos</w:t>
            </w:r>
            <w:proofErr w:type="gramEnd"/>
            <w:r w:rsidR="12C0C141" w:rsidRPr="0028550A">
              <w:rPr>
                <w:rFonts w:cstheme="minorHAnsi"/>
                <w:sz w:val="24"/>
                <w:szCs w:val="24"/>
              </w:rPr>
              <w:t xml:space="preserve"> de la inversión pública en obtener datos del sector público y de incrementar los beneficios sociales de</w:t>
            </w:r>
            <w:r w:rsidR="133A3EA7" w:rsidRPr="0028550A">
              <w:rPr>
                <w:rFonts w:cstheme="minorHAnsi"/>
                <w:sz w:val="24"/>
                <w:szCs w:val="24"/>
              </w:rPr>
              <w:t xml:space="preserve"> un mejor uso y acceso de dichos datos.</w:t>
            </w:r>
            <w:r w:rsidR="01166634" w:rsidRPr="0028550A">
              <w:rPr>
                <w:rFonts w:cstheme="minorHAnsi"/>
                <w:sz w:val="24"/>
                <w:szCs w:val="24"/>
              </w:rPr>
              <w:t xml:space="preserve"> </w:t>
            </w:r>
            <w:proofErr w:type="gramStart"/>
            <w:r w:rsidR="01166634" w:rsidRPr="0028550A">
              <w:rPr>
                <w:rFonts w:cstheme="minorHAnsi"/>
                <w:sz w:val="24"/>
                <w:szCs w:val="24"/>
              </w:rPr>
              <w:t>Asimismo</w:t>
            </w:r>
            <w:proofErr w:type="gramEnd"/>
            <w:r w:rsidR="01166634" w:rsidRPr="0028550A">
              <w:rPr>
                <w:rFonts w:cstheme="minorHAnsi"/>
                <w:sz w:val="24"/>
                <w:szCs w:val="24"/>
              </w:rPr>
              <w:t xml:space="preserve"> se refiere al objetivo de promover una distribución más eficiente de</w:t>
            </w:r>
            <w:r w:rsidR="7546E8F3" w:rsidRPr="0028550A">
              <w:rPr>
                <w:rFonts w:cstheme="minorHAnsi"/>
                <w:sz w:val="24"/>
                <w:szCs w:val="24"/>
              </w:rPr>
              <w:t xml:space="preserve"> información u contenido; así como el desarrollo de n</w:t>
            </w:r>
            <w:r w:rsidR="67AE0FF1" w:rsidRPr="0028550A">
              <w:rPr>
                <w:rFonts w:cstheme="minorHAnsi"/>
                <w:sz w:val="24"/>
                <w:szCs w:val="24"/>
              </w:rPr>
              <w:t>uevos</w:t>
            </w:r>
            <w:r w:rsidR="7546E8F3" w:rsidRPr="0028550A">
              <w:rPr>
                <w:rFonts w:cstheme="minorHAnsi"/>
                <w:sz w:val="24"/>
                <w:szCs w:val="24"/>
              </w:rPr>
              <w:t xml:space="preserve"> productos.</w:t>
            </w:r>
          </w:p>
        </w:tc>
      </w:tr>
      <w:tr w:rsidR="00B13B4D" w:rsidRPr="00EF20F7" w14:paraId="2F600BB7" w14:textId="77777777" w:rsidTr="000E5B22">
        <w:trPr>
          <w:trHeight w:val="1009"/>
        </w:trPr>
        <w:tc>
          <w:tcPr>
            <w:tcW w:w="4195" w:type="dxa"/>
          </w:tcPr>
          <w:p w14:paraId="62E73B62" w14:textId="350271FD" w:rsidR="00B13B4D" w:rsidRPr="0028550A" w:rsidRDefault="00B13B4D" w:rsidP="00B13B4D">
            <w:pPr>
              <w:spacing w:line="276" w:lineRule="auto"/>
              <w:jc w:val="both"/>
              <w:rPr>
                <w:rFonts w:cstheme="minorHAnsi"/>
                <w:sz w:val="24"/>
                <w:szCs w:val="24"/>
              </w:rPr>
            </w:pPr>
            <w:r w:rsidRPr="0028550A">
              <w:rPr>
                <w:rFonts w:cstheme="minorHAnsi"/>
                <w:color w:val="000000" w:themeColor="text1"/>
                <w:sz w:val="24"/>
                <w:szCs w:val="24"/>
              </w:rPr>
              <w:t>3.2 y 3.3</w:t>
            </w:r>
          </w:p>
        </w:tc>
        <w:tc>
          <w:tcPr>
            <w:tcW w:w="3880" w:type="dxa"/>
          </w:tcPr>
          <w:p w14:paraId="5BDE06C0" w14:textId="39DBCEF4" w:rsidR="00B13B4D" w:rsidRPr="0028550A" w:rsidRDefault="00B13B4D" w:rsidP="00B13B4D">
            <w:pPr>
              <w:jc w:val="both"/>
              <w:rPr>
                <w:rFonts w:cstheme="minorHAnsi"/>
                <w:sz w:val="24"/>
                <w:szCs w:val="24"/>
              </w:rPr>
            </w:pPr>
            <w:r w:rsidRPr="0028550A">
              <w:rPr>
                <w:rFonts w:cstheme="minorHAnsi"/>
                <w:color w:val="000000" w:themeColor="text1"/>
                <w:sz w:val="24"/>
                <w:szCs w:val="24"/>
              </w:rPr>
              <w:t>Necesidad de modernización</w:t>
            </w:r>
          </w:p>
        </w:tc>
        <w:tc>
          <w:tcPr>
            <w:tcW w:w="5105" w:type="dxa"/>
          </w:tcPr>
          <w:p w14:paraId="6FB5E005" w14:textId="409F2A87" w:rsidR="00B13B4D" w:rsidRPr="0028550A" w:rsidRDefault="00B13B4D" w:rsidP="00B13B4D">
            <w:pPr>
              <w:jc w:val="both"/>
              <w:rPr>
                <w:rFonts w:cstheme="minorHAnsi"/>
                <w:sz w:val="24"/>
                <w:szCs w:val="24"/>
                <w:highlight w:val="yellow"/>
              </w:rPr>
            </w:pPr>
            <w:r w:rsidRPr="0028550A">
              <w:rPr>
                <w:rFonts w:cstheme="minorHAnsi"/>
                <w:color w:val="000000" w:themeColor="text1"/>
                <w:sz w:val="24"/>
                <w:szCs w:val="24"/>
              </w:rPr>
              <w:t xml:space="preserve">Si bien Costa Rica cuenta con un amplio marco normativo en temas ciencia, tecnología, </w:t>
            </w:r>
            <w:proofErr w:type="spellStart"/>
            <w:r w:rsidRPr="0028550A">
              <w:rPr>
                <w:rFonts w:cstheme="minorHAnsi"/>
                <w:color w:val="000000" w:themeColor="text1"/>
                <w:sz w:val="24"/>
                <w:szCs w:val="24"/>
              </w:rPr>
              <w:t>telecom</w:t>
            </w:r>
            <w:proofErr w:type="spellEnd"/>
            <w:r w:rsidRPr="0028550A">
              <w:rPr>
                <w:rFonts w:cstheme="minorHAnsi"/>
                <w:color w:val="000000" w:themeColor="text1"/>
                <w:sz w:val="24"/>
                <w:szCs w:val="24"/>
              </w:rPr>
              <w:t xml:space="preserve"> y gobernanza; no se puede perder de vista que la rápida transformación digital, genera nuevas necesidades que no son necesariamente cubiertas por la normativa actual. Vale la pena incluir un mapeo de brechas, las tendencias que quizás no cuentan del todo con una cobertura tan amplia, y la forma de atenderlo. Esto tanto para normativa como política pública. </w:t>
            </w:r>
          </w:p>
        </w:tc>
      </w:tr>
      <w:tr w:rsidR="00B13B4D" w:rsidRPr="00EF20F7" w14:paraId="56C1D23A" w14:textId="77777777" w:rsidTr="000E5B22">
        <w:trPr>
          <w:trHeight w:val="1009"/>
        </w:trPr>
        <w:tc>
          <w:tcPr>
            <w:tcW w:w="4195" w:type="dxa"/>
          </w:tcPr>
          <w:p w14:paraId="3412F113" w14:textId="64AAEE62"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3.5</w:t>
            </w:r>
          </w:p>
        </w:tc>
        <w:tc>
          <w:tcPr>
            <w:tcW w:w="3880" w:type="dxa"/>
          </w:tcPr>
          <w:p w14:paraId="55B74729" w14:textId="0C881459"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t>Mapeo de brechas en capacidades</w:t>
            </w:r>
          </w:p>
        </w:tc>
        <w:tc>
          <w:tcPr>
            <w:tcW w:w="5105" w:type="dxa"/>
          </w:tcPr>
          <w:p w14:paraId="7331C0E4" w14:textId="5B815FA4"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t xml:space="preserve">Se recomienda aclarar, </w:t>
            </w:r>
            <w:proofErr w:type="spellStart"/>
            <w:r w:rsidRPr="0028550A">
              <w:rPr>
                <w:rFonts w:cstheme="minorHAnsi"/>
                <w:color w:val="000000" w:themeColor="text1"/>
                <w:sz w:val="24"/>
                <w:szCs w:val="24"/>
              </w:rPr>
              <w:t>cuales</w:t>
            </w:r>
            <w:proofErr w:type="spellEnd"/>
            <w:r w:rsidRPr="0028550A">
              <w:rPr>
                <w:rFonts w:cstheme="minorHAnsi"/>
                <w:color w:val="000000" w:themeColor="text1"/>
                <w:sz w:val="24"/>
                <w:szCs w:val="24"/>
              </w:rPr>
              <w:t xml:space="preserve"> son las brechas que se han identificado en capacidades científicas, tecnológicas y de innovación. Aclarar cuáles son las competencias que deben fortalecerse </w:t>
            </w:r>
            <w:r w:rsidRPr="0028550A">
              <w:rPr>
                <w:rFonts w:cstheme="minorHAnsi"/>
                <w:color w:val="000000" w:themeColor="text1"/>
                <w:sz w:val="24"/>
                <w:szCs w:val="24"/>
              </w:rPr>
              <w:lastRenderedPageBreak/>
              <w:t xml:space="preserve">para avanzar en la transformación digital. </w:t>
            </w:r>
          </w:p>
        </w:tc>
      </w:tr>
      <w:tr w:rsidR="00B13B4D" w:rsidRPr="00EF20F7" w14:paraId="19A13416" w14:textId="77777777" w:rsidTr="000E5B22">
        <w:trPr>
          <w:trHeight w:val="1009"/>
        </w:trPr>
        <w:tc>
          <w:tcPr>
            <w:tcW w:w="4195" w:type="dxa"/>
          </w:tcPr>
          <w:p w14:paraId="0E1B5785" w14:textId="5857FFA4"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lang w:val="en-US"/>
              </w:rPr>
              <w:lastRenderedPageBreak/>
              <w:t xml:space="preserve">4.3.2.1. </w:t>
            </w:r>
            <w:proofErr w:type="spellStart"/>
            <w:r w:rsidRPr="0028550A">
              <w:rPr>
                <w:rFonts w:cstheme="minorHAnsi"/>
                <w:color w:val="000000" w:themeColor="text1"/>
                <w:sz w:val="24"/>
                <w:szCs w:val="24"/>
                <w:lang w:val="en-US"/>
              </w:rPr>
              <w:t>Normativa</w:t>
            </w:r>
            <w:proofErr w:type="spellEnd"/>
          </w:p>
        </w:tc>
        <w:tc>
          <w:tcPr>
            <w:tcW w:w="3880" w:type="dxa"/>
          </w:tcPr>
          <w:p w14:paraId="49F93560" w14:textId="42F713A4"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t>Incluir nuevas tecnologías, aplicaciones y “</w:t>
            </w:r>
            <w:proofErr w:type="spellStart"/>
            <w:r w:rsidRPr="0028550A">
              <w:rPr>
                <w:rFonts w:cstheme="minorHAnsi"/>
                <w:color w:val="000000" w:themeColor="text1"/>
                <w:sz w:val="24"/>
                <w:szCs w:val="24"/>
              </w:rPr>
              <w:t>sandboxes</w:t>
            </w:r>
            <w:proofErr w:type="spellEnd"/>
            <w:r w:rsidRPr="0028550A">
              <w:rPr>
                <w:rFonts w:cstheme="minorHAnsi"/>
                <w:color w:val="000000" w:themeColor="text1"/>
                <w:sz w:val="24"/>
                <w:szCs w:val="24"/>
              </w:rPr>
              <w:t xml:space="preserve"> regulatorios”: por ejemplo, en inteligencia artificial, vehículos autónomos, manufactura aditiva. </w:t>
            </w:r>
          </w:p>
        </w:tc>
        <w:tc>
          <w:tcPr>
            <w:tcW w:w="5105" w:type="dxa"/>
          </w:tcPr>
          <w:p w14:paraId="78817638" w14:textId="1BB944FC"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t>Dado la rapidez de los cambios tecnológicos, muchos países han procedido a implementar “</w:t>
            </w:r>
            <w:proofErr w:type="spellStart"/>
            <w:r w:rsidRPr="0028550A">
              <w:rPr>
                <w:rFonts w:cstheme="minorHAnsi"/>
                <w:color w:val="000000" w:themeColor="text1"/>
                <w:sz w:val="24"/>
                <w:szCs w:val="24"/>
              </w:rPr>
              <w:t>sandboxes</w:t>
            </w:r>
            <w:proofErr w:type="spellEnd"/>
            <w:r w:rsidRPr="0028550A">
              <w:rPr>
                <w:rFonts w:cstheme="minorHAnsi"/>
                <w:color w:val="000000" w:themeColor="text1"/>
                <w:sz w:val="24"/>
                <w:szCs w:val="24"/>
              </w:rPr>
              <w:t xml:space="preserve"> regulatorios”, lo que les permite identificar </w:t>
            </w:r>
            <w:proofErr w:type="spellStart"/>
            <w:r w:rsidRPr="0028550A">
              <w:rPr>
                <w:rFonts w:cstheme="minorHAnsi"/>
                <w:color w:val="000000" w:themeColor="text1"/>
                <w:sz w:val="24"/>
                <w:szCs w:val="24"/>
              </w:rPr>
              <w:t>cuales</w:t>
            </w:r>
            <w:proofErr w:type="spellEnd"/>
            <w:r w:rsidRPr="0028550A">
              <w:rPr>
                <w:rFonts w:cstheme="minorHAnsi"/>
                <w:color w:val="000000" w:themeColor="text1"/>
                <w:sz w:val="24"/>
                <w:szCs w:val="24"/>
              </w:rPr>
              <w:t xml:space="preserve"> son las reglas “generales” más apropiadas en el momento, de manera que no se desincentive la innovación, pero se protejan derechos fundamentales al mismo tiempo. Ver ejemplo de Colombia con Inteligencia Artificial. </w:t>
            </w:r>
          </w:p>
        </w:tc>
      </w:tr>
      <w:tr w:rsidR="00B13B4D" w:rsidRPr="00EF20F7" w14:paraId="4313F919" w14:textId="77777777" w:rsidTr="000E5B22">
        <w:trPr>
          <w:trHeight w:val="1009"/>
        </w:trPr>
        <w:tc>
          <w:tcPr>
            <w:tcW w:w="4195" w:type="dxa"/>
          </w:tcPr>
          <w:p w14:paraId="490BF90A" w14:textId="7048193C" w:rsidR="00B13B4D" w:rsidRPr="0028550A" w:rsidRDefault="00B13B4D" w:rsidP="00B13B4D">
            <w:pPr>
              <w:spacing w:line="276" w:lineRule="auto"/>
              <w:jc w:val="both"/>
              <w:rPr>
                <w:rFonts w:cstheme="minorHAnsi"/>
                <w:b/>
                <w:bCs/>
                <w:color w:val="000000" w:themeColor="text1"/>
                <w:sz w:val="24"/>
                <w:szCs w:val="24"/>
              </w:rPr>
            </w:pPr>
            <w:r w:rsidRPr="0028550A">
              <w:rPr>
                <w:rFonts w:cstheme="minorHAnsi"/>
                <w:color w:val="000000" w:themeColor="text1"/>
                <w:sz w:val="24"/>
                <w:szCs w:val="24"/>
              </w:rPr>
              <w:t xml:space="preserve">4.4.1 b) Componentes de Acción: Capital humano avanzado en CTI </w:t>
            </w:r>
          </w:p>
        </w:tc>
        <w:tc>
          <w:tcPr>
            <w:tcW w:w="3880" w:type="dxa"/>
          </w:tcPr>
          <w:p w14:paraId="18FCF4E1"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Necesitad de simplificar procesos que habiliten la vinculación con la diáspora</w:t>
            </w:r>
          </w:p>
          <w:p w14:paraId="3B4B2CBD" w14:textId="77777777" w:rsidR="00B13B4D" w:rsidRPr="0028550A" w:rsidRDefault="00B13B4D" w:rsidP="00B13B4D">
            <w:pPr>
              <w:spacing w:line="276" w:lineRule="auto"/>
              <w:jc w:val="both"/>
              <w:rPr>
                <w:rFonts w:cstheme="minorHAnsi"/>
                <w:color w:val="000000" w:themeColor="text1"/>
                <w:sz w:val="24"/>
                <w:szCs w:val="24"/>
              </w:rPr>
            </w:pPr>
          </w:p>
          <w:p w14:paraId="4E000FB3" w14:textId="77777777" w:rsidR="00B13B4D" w:rsidRPr="0028550A" w:rsidRDefault="00B13B4D" w:rsidP="00B13B4D">
            <w:pPr>
              <w:spacing w:line="276" w:lineRule="auto"/>
              <w:jc w:val="both"/>
              <w:rPr>
                <w:rFonts w:cstheme="minorHAnsi"/>
                <w:color w:val="000000" w:themeColor="text1"/>
                <w:sz w:val="24"/>
                <w:szCs w:val="24"/>
              </w:rPr>
            </w:pPr>
          </w:p>
          <w:p w14:paraId="736712FA" w14:textId="77777777" w:rsidR="00B13B4D" w:rsidRPr="0028550A" w:rsidRDefault="00B13B4D" w:rsidP="00B13B4D">
            <w:pPr>
              <w:spacing w:line="276" w:lineRule="auto"/>
              <w:jc w:val="both"/>
              <w:rPr>
                <w:rFonts w:cstheme="minorHAnsi"/>
                <w:color w:val="000000" w:themeColor="text1"/>
                <w:sz w:val="24"/>
                <w:szCs w:val="24"/>
              </w:rPr>
            </w:pPr>
          </w:p>
          <w:p w14:paraId="544FEF90" w14:textId="77777777" w:rsidR="00B13B4D" w:rsidRPr="0028550A" w:rsidRDefault="00B13B4D" w:rsidP="00B13B4D">
            <w:pPr>
              <w:spacing w:line="276" w:lineRule="auto"/>
              <w:jc w:val="both"/>
              <w:rPr>
                <w:rFonts w:cstheme="minorHAnsi"/>
                <w:color w:val="000000" w:themeColor="text1"/>
                <w:sz w:val="24"/>
                <w:szCs w:val="24"/>
              </w:rPr>
            </w:pPr>
          </w:p>
          <w:p w14:paraId="19A65323" w14:textId="77777777" w:rsidR="00B13B4D" w:rsidRPr="0028550A" w:rsidRDefault="00B13B4D" w:rsidP="00B13B4D">
            <w:pPr>
              <w:spacing w:line="276" w:lineRule="auto"/>
              <w:jc w:val="both"/>
              <w:rPr>
                <w:rFonts w:cstheme="minorHAnsi"/>
                <w:color w:val="000000" w:themeColor="text1"/>
                <w:sz w:val="24"/>
                <w:szCs w:val="24"/>
              </w:rPr>
            </w:pPr>
          </w:p>
          <w:p w14:paraId="1CD027CE" w14:textId="77777777" w:rsidR="00B13B4D" w:rsidRPr="0028550A" w:rsidRDefault="00B13B4D" w:rsidP="00B13B4D">
            <w:pPr>
              <w:spacing w:line="276" w:lineRule="auto"/>
              <w:jc w:val="both"/>
              <w:rPr>
                <w:rFonts w:cstheme="minorHAnsi"/>
                <w:color w:val="000000" w:themeColor="text1"/>
                <w:sz w:val="24"/>
                <w:szCs w:val="24"/>
              </w:rPr>
            </w:pPr>
          </w:p>
          <w:p w14:paraId="7893C540" w14:textId="77777777" w:rsidR="00B13B4D" w:rsidRPr="0028550A" w:rsidRDefault="00B13B4D" w:rsidP="00B13B4D">
            <w:pPr>
              <w:spacing w:line="276" w:lineRule="auto"/>
              <w:jc w:val="both"/>
              <w:rPr>
                <w:rFonts w:cstheme="minorHAnsi"/>
                <w:color w:val="000000" w:themeColor="text1"/>
                <w:sz w:val="24"/>
                <w:szCs w:val="24"/>
              </w:rPr>
            </w:pPr>
          </w:p>
          <w:p w14:paraId="58032A06" w14:textId="77777777" w:rsidR="00B13B4D" w:rsidRPr="0028550A" w:rsidRDefault="00B13B4D" w:rsidP="00B13B4D">
            <w:pPr>
              <w:spacing w:line="276" w:lineRule="auto"/>
              <w:jc w:val="both"/>
              <w:rPr>
                <w:rFonts w:cstheme="minorHAnsi"/>
                <w:color w:val="000000" w:themeColor="text1"/>
                <w:sz w:val="24"/>
                <w:szCs w:val="24"/>
              </w:rPr>
            </w:pPr>
          </w:p>
          <w:p w14:paraId="0C70191A" w14:textId="77777777" w:rsidR="00B13B4D" w:rsidRPr="0028550A" w:rsidRDefault="00B13B4D" w:rsidP="00B13B4D">
            <w:pPr>
              <w:spacing w:line="276" w:lineRule="auto"/>
              <w:jc w:val="both"/>
              <w:rPr>
                <w:rFonts w:cstheme="minorHAnsi"/>
                <w:color w:val="000000" w:themeColor="text1"/>
                <w:sz w:val="24"/>
                <w:szCs w:val="24"/>
              </w:rPr>
            </w:pPr>
          </w:p>
          <w:p w14:paraId="59BD303A" w14:textId="77777777" w:rsidR="0028550A" w:rsidRDefault="0028550A" w:rsidP="00B13B4D">
            <w:pPr>
              <w:spacing w:line="276" w:lineRule="auto"/>
              <w:jc w:val="both"/>
              <w:rPr>
                <w:rFonts w:cstheme="minorHAnsi"/>
                <w:b/>
                <w:bCs/>
                <w:color w:val="000000" w:themeColor="text1"/>
                <w:sz w:val="24"/>
                <w:szCs w:val="24"/>
              </w:rPr>
            </w:pPr>
          </w:p>
          <w:p w14:paraId="437FA3A8" w14:textId="4E597A7F" w:rsidR="00B13B4D" w:rsidRPr="0028550A" w:rsidRDefault="00B13B4D" w:rsidP="00B13B4D">
            <w:pPr>
              <w:spacing w:line="276" w:lineRule="auto"/>
              <w:jc w:val="both"/>
              <w:rPr>
                <w:rFonts w:cstheme="minorHAnsi"/>
                <w:color w:val="000000" w:themeColor="text1"/>
                <w:sz w:val="24"/>
                <w:szCs w:val="24"/>
              </w:rPr>
            </w:pPr>
            <w:r w:rsidRPr="0028550A">
              <w:rPr>
                <w:rFonts w:cstheme="minorHAnsi"/>
                <w:b/>
                <w:bCs/>
                <w:color w:val="000000" w:themeColor="text1"/>
                <w:sz w:val="24"/>
                <w:szCs w:val="24"/>
              </w:rPr>
              <w:lastRenderedPageBreak/>
              <w:t xml:space="preserve">Educación de calidad y formación en competencias y habilidades del siglo XXI – </w:t>
            </w:r>
            <w:r w:rsidRPr="0028550A">
              <w:rPr>
                <w:rFonts w:cstheme="minorHAnsi"/>
                <w:color w:val="000000" w:themeColor="text1"/>
                <w:sz w:val="24"/>
                <w:szCs w:val="24"/>
              </w:rPr>
              <w:t xml:space="preserve">impulsar la articulación entre programas técnicos (MEP e INA) y universidades. – fomentar además la creación de cursos técnicos o científicos en estudiantes de colegio. </w:t>
            </w:r>
          </w:p>
          <w:p w14:paraId="12B63A20" w14:textId="77777777" w:rsidR="00B13B4D" w:rsidRPr="0028550A" w:rsidRDefault="00B13B4D" w:rsidP="00B13B4D">
            <w:pPr>
              <w:spacing w:line="276" w:lineRule="auto"/>
              <w:jc w:val="both"/>
              <w:rPr>
                <w:rFonts w:cstheme="minorHAnsi"/>
                <w:color w:val="000000" w:themeColor="text1"/>
                <w:sz w:val="24"/>
                <w:szCs w:val="24"/>
              </w:rPr>
            </w:pPr>
          </w:p>
          <w:p w14:paraId="6B5DD956" w14:textId="73E0AC26"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t xml:space="preserve">Promover la creación de especialidades técnicas según las demandas de mercado, lo mismo que la actualización de los programas existentes. </w:t>
            </w:r>
          </w:p>
        </w:tc>
        <w:tc>
          <w:tcPr>
            <w:tcW w:w="5105" w:type="dxa"/>
          </w:tcPr>
          <w:p w14:paraId="0D39156F"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Dentro de los programas de vinculación con la diáspora, deben atenderse temas procedimentales que se constituyen en un obstáculo práctico para que este talento regrese al país, como lo es el procedimiento de convalidación de títulos. Es necesario modernizar estos procesos, de manera que se conviertan en un habilitador de talento. </w:t>
            </w:r>
          </w:p>
          <w:p w14:paraId="61F7FEE4" w14:textId="77777777" w:rsidR="00B13B4D" w:rsidRPr="0028550A" w:rsidRDefault="00B13B4D" w:rsidP="00B13B4D">
            <w:pPr>
              <w:spacing w:line="276" w:lineRule="auto"/>
              <w:jc w:val="both"/>
              <w:rPr>
                <w:rFonts w:cstheme="minorHAnsi"/>
                <w:color w:val="000000" w:themeColor="text1"/>
                <w:sz w:val="24"/>
                <w:szCs w:val="24"/>
              </w:rPr>
            </w:pPr>
          </w:p>
          <w:p w14:paraId="01FA5A2E" w14:textId="77777777" w:rsidR="00B13B4D" w:rsidRPr="0028550A" w:rsidRDefault="00B13B4D" w:rsidP="00B13B4D">
            <w:pPr>
              <w:spacing w:line="276" w:lineRule="auto"/>
              <w:jc w:val="both"/>
              <w:rPr>
                <w:rFonts w:cstheme="minorHAnsi"/>
                <w:color w:val="000000" w:themeColor="text1"/>
                <w:sz w:val="24"/>
                <w:szCs w:val="24"/>
              </w:rPr>
            </w:pPr>
          </w:p>
          <w:p w14:paraId="0A6796E1" w14:textId="7C625905" w:rsidR="00B13B4D" w:rsidRPr="0028550A" w:rsidRDefault="00B13B4D" w:rsidP="00B13B4D">
            <w:pPr>
              <w:jc w:val="both"/>
              <w:rPr>
                <w:rFonts w:cstheme="minorHAnsi"/>
                <w:color w:val="000000" w:themeColor="text1"/>
                <w:sz w:val="24"/>
                <w:szCs w:val="24"/>
              </w:rPr>
            </w:pPr>
            <w:r w:rsidRPr="0028550A">
              <w:rPr>
                <w:rFonts w:cstheme="minorHAnsi"/>
                <w:color w:val="000000" w:themeColor="text1"/>
                <w:sz w:val="24"/>
                <w:szCs w:val="24"/>
              </w:rPr>
              <w:lastRenderedPageBreak/>
              <w:t xml:space="preserve">El Estado Costarricense es de lo que más gastan en educación respecto al PIB de los países OECD, sin embargo, se sabe que el gasto no es eficiente y no se están alcanzando los resultados deseados, tal como se indica en el texto. Fomentar la articulación y homologación entre diferentes caminos educativos hace que sea más atractivo para las personas insertarse en las áreas, ya que podrán tener más opciones y su costo de oportunidad para continuar estudiando o especializando disminuirá, lo que fomentará más personas con conocimientos técnicos en áreas asociadas a STEM. </w:t>
            </w:r>
          </w:p>
        </w:tc>
      </w:tr>
      <w:tr w:rsidR="00B13B4D" w:rsidRPr="00EF20F7" w14:paraId="540D514D" w14:textId="77777777" w:rsidTr="000E5B22">
        <w:trPr>
          <w:trHeight w:val="1009"/>
        </w:trPr>
        <w:tc>
          <w:tcPr>
            <w:tcW w:w="4195" w:type="dxa"/>
          </w:tcPr>
          <w:p w14:paraId="1DF4D828"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4.2.2 Generación del conocimiento  </w:t>
            </w:r>
          </w:p>
          <w:p w14:paraId="5515408F"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b) Componentes de Acción. </w:t>
            </w:r>
          </w:p>
          <w:p w14:paraId="2B5A9979" w14:textId="77777777" w:rsidR="00B13B4D" w:rsidRPr="0028550A" w:rsidRDefault="00B13B4D" w:rsidP="00B13B4D">
            <w:pPr>
              <w:spacing w:line="276" w:lineRule="auto"/>
              <w:jc w:val="both"/>
              <w:rPr>
                <w:rFonts w:cstheme="minorHAnsi"/>
                <w:color w:val="000000" w:themeColor="text1"/>
                <w:sz w:val="24"/>
                <w:szCs w:val="24"/>
              </w:rPr>
            </w:pPr>
          </w:p>
          <w:p w14:paraId="4DBE8389"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Producción científica</w:t>
            </w:r>
          </w:p>
          <w:p w14:paraId="20C8EAAD" w14:textId="77777777" w:rsidR="00B13B4D" w:rsidRPr="0028550A" w:rsidRDefault="00B13B4D" w:rsidP="00B13B4D">
            <w:pPr>
              <w:spacing w:line="276" w:lineRule="auto"/>
              <w:jc w:val="both"/>
              <w:rPr>
                <w:rFonts w:cstheme="minorHAnsi"/>
                <w:color w:val="000000" w:themeColor="text1"/>
                <w:sz w:val="24"/>
                <w:szCs w:val="24"/>
              </w:rPr>
            </w:pPr>
          </w:p>
          <w:p w14:paraId="56DFA266" w14:textId="77777777" w:rsidR="00B13B4D" w:rsidRPr="0028550A" w:rsidRDefault="00B13B4D" w:rsidP="00B13B4D">
            <w:pPr>
              <w:spacing w:line="276" w:lineRule="auto"/>
              <w:jc w:val="both"/>
              <w:rPr>
                <w:rFonts w:cstheme="minorHAnsi"/>
                <w:color w:val="000000" w:themeColor="text1"/>
                <w:sz w:val="24"/>
                <w:szCs w:val="24"/>
              </w:rPr>
            </w:pPr>
          </w:p>
          <w:p w14:paraId="5C65FBB2" w14:textId="77777777" w:rsidR="00B13B4D" w:rsidRPr="0028550A" w:rsidRDefault="00B13B4D" w:rsidP="00B13B4D">
            <w:pPr>
              <w:spacing w:line="276" w:lineRule="auto"/>
              <w:jc w:val="both"/>
              <w:rPr>
                <w:rFonts w:cstheme="minorHAnsi"/>
                <w:color w:val="000000" w:themeColor="text1"/>
                <w:sz w:val="24"/>
                <w:szCs w:val="24"/>
              </w:rPr>
            </w:pPr>
          </w:p>
          <w:p w14:paraId="4F75B0EF" w14:textId="77777777" w:rsidR="00B13B4D" w:rsidRPr="0028550A" w:rsidRDefault="00B13B4D" w:rsidP="00B13B4D">
            <w:pPr>
              <w:spacing w:line="276" w:lineRule="auto"/>
              <w:jc w:val="both"/>
              <w:rPr>
                <w:rFonts w:cstheme="minorHAnsi"/>
                <w:color w:val="000000" w:themeColor="text1"/>
                <w:sz w:val="24"/>
                <w:szCs w:val="24"/>
              </w:rPr>
            </w:pPr>
          </w:p>
          <w:p w14:paraId="71118F6C" w14:textId="77777777" w:rsidR="00B13B4D" w:rsidRPr="0028550A" w:rsidRDefault="00B13B4D" w:rsidP="00B13B4D">
            <w:pPr>
              <w:spacing w:line="276" w:lineRule="auto"/>
              <w:jc w:val="both"/>
              <w:rPr>
                <w:rFonts w:cstheme="minorHAnsi"/>
                <w:color w:val="000000" w:themeColor="text1"/>
                <w:sz w:val="24"/>
                <w:szCs w:val="24"/>
              </w:rPr>
            </w:pPr>
          </w:p>
          <w:p w14:paraId="49B810D4" w14:textId="77777777" w:rsidR="00B13B4D" w:rsidRPr="0028550A" w:rsidRDefault="00B13B4D" w:rsidP="00B13B4D">
            <w:pPr>
              <w:spacing w:line="276" w:lineRule="auto"/>
              <w:jc w:val="both"/>
              <w:rPr>
                <w:rFonts w:cstheme="minorHAnsi"/>
                <w:color w:val="000000" w:themeColor="text1"/>
                <w:sz w:val="24"/>
                <w:szCs w:val="24"/>
              </w:rPr>
            </w:pPr>
          </w:p>
          <w:p w14:paraId="356A72C0" w14:textId="77777777" w:rsidR="00B13B4D" w:rsidRPr="0028550A" w:rsidRDefault="00B13B4D" w:rsidP="00B13B4D">
            <w:pPr>
              <w:spacing w:line="276" w:lineRule="auto"/>
              <w:jc w:val="both"/>
              <w:rPr>
                <w:rFonts w:cstheme="minorHAnsi"/>
                <w:color w:val="000000" w:themeColor="text1"/>
                <w:sz w:val="24"/>
                <w:szCs w:val="24"/>
              </w:rPr>
            </w:pPr>
          </w:p>
          <w:p w14:paraId="4FC11281" w14:textId="77777777" w:rsidR="00B13B4D" w:rsidRPr="0028550A" w:rsidRDefault="00B13B4D" w:rsidP="00B13B4D">
            <w:pPr>
              <w:spacing w:line="276" w:lineRule="auto"/>
              <w:jc w:val="both"/>
              <w:rPr>
                <w:rFonts w:cstheme="minorHAnsi"/>
                <w:color w:val="000000" w:themeColor="text1"/>
                <w:sz w:val="24"/>
                <w:szCs w:val="24"/>
              </w:rPr>
            </w:pPr>
          </w:p>
          <w:p w14:paraId="3CEFC823" w14:textId="77777777" w:rsidR="00B13B4D" w:rsidRPr="0028550A" w:rsidRDefault="00B13B4D" w:rsidP="00B13B4D">
            <w:pPr>
              <w:spacing w:line="276" w:lineRule="auto"/>
              <w:jc w:val="both"/>
              <w:rPr>
                <w:rFonts w:cstheme="minorHAnsi"/>
                <w:color w:val="000000" w:themeColor="text1"/>
                <w:sz w:val="24"/>
                <w:szCs w:val="24"/>
              </w:rPr>
            </w:pPr>
          </w:p>
          <w:p w14:paraId="55DDC86C"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Infraestructura para I+D</w:t>
            </w:r>
          </w:p>
          <w:p w14:paraId="385EABAE" w14:textId="77777777" w:rsidR="00B13B4D" w:rsidRPr="0028550A" w:rsidRDefault="00B13B4D" w:rsidP="00B13B4D">
            <w:pPr>
              <w:spacing w:line="276" w:lineRule="auto"/>
              <w:jc w:val="both"/>
              <w:rPr>
                <w:rFonts w:cstheme="minorHAnsi"/>
                <w:color w:val="000000" w:themeColor="text1"/>
                <w:sz w:val="24"/>
                <w:szCs w:val="24"/>
              </w:rPr>
            </w:pPr>
          </w:p>
          <w:p w14:paraId="22ED00E3" w14:textId="77777777" w:rsidR="00B13B4D" w:rsidRPr="0028550A" w:rsidRDefault="00B13B4D" w:rsidP="00B13B4D">
            <w:pPr>
              <w:spacing w:line="276" w:lineRule="auto"/>
              <w:jc w:val="both"/>
              <w:rPr>
                <w:rFonts w:cstheme="minorHAnsi"/>
                <w:color w:val="000000" w:themeColor="text1"/>
                <w:sz w:val="24"/>
                <w:szCs w:val="24"/>
              </w:rPr>
            </w:pPr>
          </w:p>
          <w:p w14:paraId="7947D3A9" w14:textId="77777777" w:rsidR="00B13B4D" w:rsidRPr="0028550A" w:rsidRDefault="00B13B4D" w:rsidP="00B13B4D">
            <w:pPr>
              <w:spacing w:line="276" w:lineRule="auto"/>
              <w:jc w:val="both"/>
              <w:rPr>
                <w:rFonts w:cstheme="minorHAnsi"/>
                <w:color w:val="000000" w:themeColor="text1"/>
                <w:sz w:val="24"/>
                <w:szCs w:val="24"/>
              </w:rPr>
            </w:pPr>
          </w:p>
          <w:p w14:paraId="538FFA5F" w14:textId="77777777" w:rsidR="00B13B4D" w:rsidRPr="0028550A" w:rsidRDefault="00B13B4D" w:rsidP="00B13B4D">
            <w:pPr>
              <w:spacing w:line="276" w:lineRule="auto"/>
              <w:jc w:val="both"/>
              <w:rPr>
                <w:rFonts w:cstheme="minorHAnsi"/>
                <w:color w:val="000000" w:themeColor="text1"/>
                <w:sz w:val="24"/>
                <w:szCs w:val="24"/>
              </w:rPr>
            </w:pPr>
          </w:p>
          <w:p w14:paraId="5584F1A4" w14:textId="77777777" w:rsidR="00B13B4D" w:rsidRPr="0028550A" w:rsidRDefault="00B13B4D" w:rsidP="00B13B4D">
            <w:pPr>
              <w:spacing w:line="276" w:lineRule="auto"/>
              <w:jc w:val="both"/>
              <w:rPr>
                <w:rFonts w:cstheme="minorHAnsi"/>
                <w:color w:val="000000" w:themeColor="text1"/>
                <w:sz w:val="24"/>
                <w:szCs w:val="24"/>
              </w:rPr>
            </w:pPr>
          </w:p>
          <w:p w14:paraId="68370654" w14:textId="77777777" w:rsidR="00B13B4D" w:rsidRPr="0028550A" w:rsidRDefault="00B13B4D" w:rsidP="00B13B4D">
            <w:pPr>
              <w:spacing w:line="276" w:lineRule="auto"/>
              <w:jc w:val="both"/>
              <w:rPr>
                <w:rFonts w:cstheme="minorHAnsi"/>
                <w:color w:val="000000" w:themeColor="text1"/>
                <w:sz w:val="24"/>
                <w:szCs w:val="24"/>
              </w:rPr>
            </w:pPr>
          </w:p>
          <w:p w14:paraId="21FAB7FB" w14:textId="77777777" w:rsidR="00B13B4D" w:rsidRPr="0028550A" w:rsidRDefault="00B13B4D" w:rsidP="00B13B4D">
            <w:pPr>
              <w:spacing w:line="276" w:lineRule="auto"/>
              <w:jc w:val="both"/>
              <w:rPr>
                <w:rFonts w:cstheme="minorHAnsi"/>
                <w:color w:val="000000" w:themeColor="text1"/>
                <w:sz w:val="24"/>
                <w:szCs w:val="24"/>
              </w:rPr>
            </w:pPr>
          </w:p>
          <w:p w14:paraId="2A70EE81" w14:textId="77777777" w:rsidR="00B13B4D" w:rsidRPr="0028550A" w:rsidRDefault="00B13B4D" w:rsidP="00B13B4D">
            <w:pPr>
              <w:spacing w:line="276" w:lineRule="auto"/>
              <w:jc w:val="both"/>
              <w:rPr>
                <w:rFonts w:cstheme="minorHAnsi"/>
                <w:color w:val="000000" w:themeColor="text1"/>
                <w:sz w:val="24"/>
                <w:szCs w:val="24"/>
              </w:rPr>
            </w:pPr>
          </w:p>
          <w:p w14:paraId="497A87EE" w14:textId="77777777" w:rsidR="00B13B4D" w:rsidRPr="0028550A" w:rsidRDefault="00B13B4D" w:rsidP="00B13B4D">
            <w:pPr>
              <w:spacing w:line="276" w:lineRule="auto"/>
              <w:jc w:val="both"/>
              <w:rPr>
                <w:rFonts w:cstheme="minorHAnsi"/>
                <w:color w:val="000000" w:themeColor="text1"/>
                <w:sz w:val="24"/>
                <w:szCs w:val="24"/>
              </w:rPr>
            </w:pPr>
          </w:p>
          <w:p w14:paraId="7CBD90B8" w14:textId="77777777" w:rsidR="00B13B4D" w:rsidRPr="0028550A" w:rsidRDefault="00B13B4D" w:rsidP="00B13B4D">
            <w:pPr>
              <w:spacing w:line="276" w:lineRule="auto"/>
              <w:jc w:val="both"/>
              <w:rPr>
                <w:rFonts w:cstheme="minorHAnsi"/>
                <w:color w:val="000000" w:themeColor="text1"/>
                <w:sz w:val="24"/>
                <w:szCs w:val="24"/>
              </w:rPr>
            </w:pPr>
          </w:p>
          <w:p w14:paraId="0F65EC31" w14:textId="77777777" w:rsidR="00B13B4D" w:rsidRPr="0028550A" w:rsidRDefault="00B13B4D" w:rsidP="00B13B4D">
            <w:pPr>
              <w:spacing w:line="276" w:lineRule="auto"/>
              <w:jc w:val="both"/>
              <w:rPr>
                <w:rFonts w:cstheme="minorHAnsi"/>
                <w:color w:val="000000" w:themeColor="text1"/>
                <w:sz w:val="24"/>
                <w:szCs w:val="24"/>
              </w:rPr>
            </w:pPr>
          </w:p>
          <w:p w14:paraId="5422C554" w14:textId="77777777" w:rsidR="00B13B4D" w:rsidRPr="0028550A" w:rsidRDefault="00B13B4D" w:rsidP="00B13B4D">
            <w:pPr>
              <w:spacing w:line="276" w:lineRule="auto"/>
              <w:jc w:val="both"/>
              <w:rPr>
                <w:rFonts w:cstheme="minorHAnsi"/>
                <w:color w:val="000000" w:themeColor="text1"/>
                <w:sz w:val="24"/>
                <w:szCs w:val="24"/>
              </w:rPr>
            </w:pPr>
          </w:p>
          <w:p w14:paraId="54F903D4" w14:textId="77777777" w:rsidR="00B13B4D" w:rsidRPr="0028550A" w:rsidRDefault="00B13B4D" w:rsidP="00B13B4D">
            <w:pPr>
              <w:spacing w:line="276" w:lineRule="auto"/>
              <w:jc w:val="both"/>
              <w:rPr>
                <w:rFonts w:cstheme="minorHAnsi"/>
                <w:color w:val="000000" w:themeColor="text1"/>
                <w:sz w:val="24"/>
                <w:szCs w:val="24"/>
              </w:rPr>
            </w:pPr>
          </w:p>
          <w:p w14:paraId="7014AD76" w14:textId="77777777" w:rsidR="00B13B4D" w:rsidRPr="0028550A" w:rsidRDefault="00B13B4D" w:rsidP="00B13B4D">
            <w:pPr>
              <w:spacing w:line="276" w:lineRule="auto"/>
              <w:jc w:val="both"/>
              <w:rPr>
                <w:rFonts w:cstheme="minorHAnsi"/>
                <w:color w:val="000000" w:themeColor="text1"/>
                <w:sz w:val="24"/>
                <w:szCs w:val="24"/>
              </w:rPr>
            </w:pPr>
          </w:p>
          <w:p w14:paraId="644F72B7" w14:textId="77777777" w:rsidR="00B13B4D" w:rsidRPr="0028550A" w:rsidRDefault="00B13B4D" w:rsidP="00B13B4D">
            <w:pPr>
              <w:spacing w:line="276" w:lineRule="auto"/>
              <w:jc w:val="both"/>
              <w:rPr>
                <w:rFonts w:cstheme="minorHAnsi"/>
                <w:color w:val="000000" w:themeColor="text1"/>
                <w:sz w:val="24"/>
                <w:szCs w:val="24"/>
              </w:rPr>
            </w:pPr>
          </w:p>
          <w:p w14:paraId="56F0B138"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Personal de I+D</w:t>
            </w:r>
          </w:p>
          <w:p w14:paraId="6ACB89E8" w14:textId="77777777" w:rsidR="00B13B4D" w:rsidRPr="0028550A" w:rsidRDefault="00B13B4D" w:rsidP="00B13B4D">
            <w:pPr>
              <w:spacing w:line="276" w:lineRule="auto"/>
              <w:jc w:val="both"/>
              <w:rPr>
                <w:rFonts w:cstheme="minorHAnsi"/>
                <w:color w:val="000000" w:themeColor="text1"/>
                <w:sz w:val="24"/>
                <w:szCs w:val="24"/>
              </w:rPr>
            </w:pPr>
          </w:p>
          <w:p w14:paraId="1D767DF2" w14:textId="77777777" w:rsidR="00B13B4D" w:rsidRPr="0028550A" w:rsidRDefault="00B13B4D" w:rsidP="00B13B4D">
            <w:pPr>
              <w:spacing w:line="276" w:lineRule="auto"/>
              <w:jc w:val="both"/>
              <w:rPr>
                <w:rFonts w:cstheme="minorHAnsi"/>
                <w:color w:val="000000" w:themeColor="text1"/>
                <w:sz w:val="24"/>
                <w:szCs w:val="24"/>
              </w:rPr>
            </w:pPr>
          </w:p>
          <w:p w14:paraId="65CA7FB5" w14:textId="77777777" w:rsidR="00B13B4D" w:rsidRPr="0028550A" w:rsidRDefault="00B13B4D" w:rsidP="00B13B4D">
            <w:pPr>
              <w:spacing w:line="276" w:lineRule="auto"/>
              <w:jc w:val="both"/>
              <w:rPr>
                <w:rFonts w:cstheme="minorHAnsi"/>
                <w:color w:val="000000" w:themeColor="text1"/>
                <w:sz w:val="24"/>
                <w:szCs w:val="24"/>
              </w:rPr>
            </w:pPr>
          </w:p>
          <w:p w14:paraId="249237F2" w14:textId="77777777" w:rsidR="00B13B4D" w:rsidRPr="0028550A" w:rsidRDefault="00B13B4D" w:rsidP="00B13B4D">
            <w:pPr>
              <w:spacing w:line="276" w:lineRule="auto"/>
              <w:jc w:val="both"/>
              <w:rPr>
                <w:rFonts w:cstheme="minorHAnsi"/>
                <w:color w:val="000000" w:themeColor="text1"/>
                <w:sz w:val="24"/>
                <w:szCs w:val="24"/>
              </w:rPr>
            </w:pPr>
          </w:p>
          <w:p w14:paraId="1878F5B0" w14:textId="77777777" w:rsidR="00B13B4D" w:rsidRPr="0028550A" w:rsidRDefault="00B13B4D" w:rsidP="00B13B4D">
            <w:pPr>
              <w:spacing w:line="276" w:lineRule="auto"/>
              <w:jc w:val="both"/>
              <w:rPr>
                <w:rFonts w:cstheme="minorHAnsi"/>
                <w:color w:val="000000" w:themeColor="text1"/>
                <w:sz w:val="24"/>
                <w:szCs w:val="24"/>
              </w:rPr>
            </w:pPr>
          </w:p>
          <w:p w14:paraId="7376324F" w14:textId="77777777" w:rsidR="00B13B4D" w:rsidRPr="0028550A" w:rsidRDefault="00B13B4D" w:rsidP="00B13B4D">
            <w:pPr>
              <w:spacing w:line="276" w:lineRule="auto"/>
              <w:jc w:val="both"/>
              <w:rPr>
                <w:rFonts w:cstheme="minorHAnsi"/>
                <w:color w:val="000000" w:themeColor="text1"/>
                <w:sz w:val="24"/>
                <w:szCs w:val="24"/>
              </w:rPr>
            </w:pPr>
          </w:p>
          <w:p w14:paraId="1874E495" w14:textId="77777777" w:rsidR="00B13B4D" w:rsidRPr="0028550A" w:rsidRDefault="00B13B4D" w:rsidP="00B13B4D">
            <w:pPr>
              <w:spacing w:line="276" w:lineRule="auto"/>
              <w:jc w:val="both"/>
              <w:rPr>
                <w:rFonts w:cstheme="minorHAnsi"/>
                <w:color w:val="000000" w:themeColor="text1"/>
                <w:sz w:val="24"/>
                <w:szCs w:val="24"/>
              </w:rPr>
            </w:pPr>
          </w:p>
          <w:p w14:paraId="5771E08C" w14:textId="77777777" w:rsidR="00B13B4D" w:rsidRPr="0028550A" w:rsidRDefault="00B13B4D" w:rsidP="00B13B4D">
            <w:pPr>
              <w:spacing w:line="276" w:lineRule="auto"/>
              <w:jc w:val="both"/>
              <w:rPr>
                <w:rFonts w:cstheme="minorHAnsi"/>
                <w:color w:val="000000" w:themeColor="text1"/>
                <w:sz w:val="24"/>
                <w:szCs w:val="24"/>
              </w:rPr>
            </w:pPr>
          </w:p>
          <w:p w14:paraId="46C05272" w14:textId="77777777" w:rsidR="00B13B4D" w:rsidRPr="0028550A" w:rsidRDefault="00B13B4D" w:rsidP="00B13B4D">
            <w:pPr>
              <w:spacing w:line="276" w:lineRule="auto"/>
              <w:jc w:val="both"/>
              <w:rPr>
                <w:rFonts w:cstheme="minorHAnsi"/>
                <w:color w:val="000000" w:themeColor="text1"/>
                <w:sz w:val="24"/>
                <w:szCs w:val="24"/>
              </w:rPr>
            </w:pPr>
          </w:p>
          <w:p w14:paraId="5B27B55B" w14:textId="77777777" w:rsidR="00B13B4D" w:rsidRPr="0028550A" w:rsidRDefault="00B13B4D" w:rsidP="00B13B4D">
            <w:pPr>
              <w:spacing w:line="276" w:lineRule="auto"/>
              <w:jc w:val="both"/>
              <w:rPr>
                <w:rFonts w:cstheme="minorHAnsi"/>
                <w:color w:val="000000" w:themeColor="text1"/>
                <w:sz w:val="24"/>
                <w:szCs w:val="24"/>
              </w:rPr>
            </w:pPr>
          </w:p>
          <w:p w14:paraId="638A2945" w14:textId="1D654B03"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Articulación en I+D</w:t>
            </w:r>
          </w:p>
        </w:tc>
        <w:tc>
          <w:tcPr>
            <w:tcW w:w="3880" w:type="dxa"/>
          </w:tcPr>
          <w:p w14:paraId="23969B0C"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Incluir explícitamente el fomento de la producción privada: tanto por una sola empresa como consorcios. </w:t>
            </w:r>
          </w:p>
          <w:p w14:paraId="63C6E78F" w14:textId="77777777" w:rsidR="00B13B4D" w:rsidRPr="0028550A" w:rsidRDefault="00B13B4D" w:rsidP="00B13B4D">
            <w:pPr>
              <w:spacing w:line="276" w:lineRule="auto"/>
              <w:jc w:val="both"/>
              <w:rPr>
                <w:rFonts w:cstheme="minorHAnsi"/>
                <w:color w:val="000000" w:themeColor="text1"/>
                <w:sz w:val="24"/>
                <w:szCs w:val="24"/>
              </w:rPr>
            </w:pPr>
          </w:p>
          <w:p w14:paraId="60AE4EBC" w14:textId="77777777" w:rsidR="00B13B4D" w:rsidRPr="0028550A" w:rsidRDefault="00B13B4D" w:rsidP="00B13B4D">
            <w:pPr>
              <w:spacing w:line="276" w:lineRule="auto"/>
              <w:jc w:val="both"/>
              <w:rPr>
                <w:rFonts w:cstheme="minorHAnsi"/>
                <w:color w:val="000000" w:themeColor="text1"/>
                <w:sz w:val="24"/>
                <w:szCs w:val="24"/>
              </w:rPr>
            </w:pPr>
          </w:p>
          <w:p w14:paraId="1A0F70D2" w14:textId="77777777" w:rsidR="00B13B4D" w:rsidRPr="0028550A" w:rsidRDefault="00B13B4D" w:rsidP="00B13B4D">
            <w:pPr>
              <w:spacing w:line="276" w:lineRule="auto"/>
              <w:jc w:val="both"/>
              <w:rPr>
                <w:rFonts w:cstheme="minorHAnsi"/>
                <w:color w:val="000000" w:themeColor="text1"/>
                <w:sz w:val="24"/>
                <w:szCs w:val="24"/>
              </w:rPr>
            </w:pPr>
          </w:p>
          <w:p w14:paraId="5D67D8B1" w14:textId="77777777" w:rsidR="00B13B4D" w:rsidRPr="0028550A" w:rsidRDefault="00B13B4D" w:rsidP="00B13B4D">
            <w:pPr>
              <w:spacing w:line="276" w:lineRule="auto"/>
              <w:jc w:val="both"/>
              <w:rPr>
                <w:rFonts w:cstheme="minorHAnsi"/>
                <w:color w:val="000000" w:themeColor="text1"/>
                <w:sz w:val="24"/>
                <w:szCs w:val="24"/>
              </w:rPr>
            </w:pPr>
          </w:p>
          <w:p w14:paraId="73F0E52D" w14:textId="77777777" w:rsidR="00B13B4D" w:rsidRPr="0028550A" w:rsidRDefault="00B13B4D" w:rsidP="00B13B4D">
            <w:pPr>
              <w:spacing w:line="276" w:lineRule="auto"/>
              <w:jc w:val="both"/>
              <w:rPr>
                <w:rFonts w:cstheme="minorHAnsi"/>
                <w:color w:val="000000" w:themeColor="text1"/>
                <w:sz w:val="24"/>
                <w:szCs w:val="24"/>
              </w:rPr>
            </w:pPr>
          </w:p>
          <w:p w14:paraId="7B94D83E" w14:textId="77777777" w:rsidR="00B13B4D" w:rsidRPr="0028550A" w:rsidRDefault="00B13B4D" w:rsidP="00B13B4D">
            <w:pPr>
              <w:spacing w:line="276" w:lineRule="auto"/>
              <w:jc w:val="both"/>
              <w:rPr>
                <w:rFonts w:cstheme="minorHAnsi"/>
                <w:color w:val="000000" w:themeColor="text1"/>
                <w:sz w:val="24"/>
                <w:szCs w:val="24"/>
              </w:rPr>
            </w:pPr>
          </w:p>
          <w:p w14:paraId="1838CE1E" w14:textId="77777777" w:rsidR="00B13B4D" w:rsidRPr="0028550A" w:rsidRDefault="00B13B4D" w:rsidP="00B13B4D">
            <w:pPr>
              <w:spacing w:line="276" w:lineRule="auto"/>
              <w:jc w:val="both"/>
              <w:rPr>
                <w:rFonts w:cstheme="minorHAnsi"/>
                <w:color w:val="000000" w:themeColor="text1"/>
                <w:sz w:val="24"/>
                <w:szCs w:val="24"/>
              </w:rPr>
            </w:pPr>
          </w:p>
          <w:p w14:paraId="564817A9"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Potenciamiento de Alianzas </w:t>
            </w:r>
            <w:proofErr w:type="gramStart"/>
            <w:r w:rsidRPr="0028550A">
              <w:rPr>
                <w:rFonts w:cstheme="minorHAnsi"/>
                <w:color w:val="000000" w:themeColor="text1"/>
                <w:sz w:val="24"/>
                <w:szCs w:val="24"/>
              </w:rPr>
              <w:t>Público Privadas</w:t>
            </w:r>
            <w:proofErr w:type="gramEnd"/>
          </w:p>
          <w:p w14:paraId="26C0822B" w14:textId="77777777" w:rsidR="00B13B4D" w:rsidRPr="0028550A" w:rsidRDefault="00B13B4D" w:rsidP="00B13B4D">
            <w:pPr>
              <w:spacing w:line="276" w:lineRule="auto"/>
              <w:jc w:val="both"/>
              <w:rPr>
                <w:rFonts w:cstheme="minorHAnsi"/>
                <w:color w:val="000000" w:themeColor="text1"/>
                <w:sz w:val="24"/>
                <w:szCs w:val="24"/>
              </w:rPr>
            </w:pPr>
          </w:p>
          <w:p w14:paraId="424E61F2" w14:textId="77777777" w:rsidR="00B13B4D" w:rsidRPr="0028550A" w:rsidRDefault="00B13B4D" w:rsidP="00B13B4D">
            <w:pPr>
              <w:spacing w:line="276" w:lineRule="auto"/>
              <w:jc w:val="both"/>
              <w:rPr>
                <w:rFonts w:cstheme="minorHAnsi"/>
                <w:color w:val="000000" w:themeColor="text1"/>
                <w:sz w:val="24"/>
                <w:szCs w:val="24"/>
              </w:rPr>
            </w:pPr>
          </w:p>
          <w:p w14:paraId="54104ED7" w14:textId="36AD360D" w:rsidR="00B13B4D" w:rsidRDefault="00B13B4D" w:rsidP="00B13B4D">
            <w:pPr>
              <w:spacing w:line="276" w:lineRule="auto"/>
              <w:jc w:val="both"/>
              <w:rPr>
                <w:rFonts w:cstheme="minorHAnsi"/>
                <w:color w:val="000000" w:themeColor="text1"/>
                <w:sz w:val="24"/>
                <w:szCs w:val="24"/>
              </w:rPr>
            </w:pPr>
          </w:p>
          <w:p w14:paraId="2DFF67F1" w14:textId="77777777" w:rsidR="0028550A" w:rsidRPr="0028550A" w:rsidRDefault="0028550A" w:rsidP="00B13B4D">
            <w:pPr>
              <w:spacing w:line="276" w:lineRule="auto"/>
              <w:jc w:val="both"/>
              <w:rPr>
                <w:rFonts w:cstheme="minorHAnsi"/>
                <w:color w:val="000000" w:themeColor="text1"/>
                <w:sz w:val="24"/>
                <w:szCs w:val="24"/>
              </w:rPr>
            </w:pPr>
          </w:p>
          <w:p w14:paraId="10AD645A" w14:textId="77777777" w:rsidR="00B13B4D" w:rsidRPr="0028550A" w:rsidRDefault="00B13B4D" w:rsidP="00B13B4D">
            <w:pPr>
              <w:spacing w:line="276" w:lineRule="auto"/>
              <w:jc w:val="both"/>
              <w:rPr>
                <w:rFonts w:cstheme="minorHAnsi"/>
                <w:color w:val="000000" w:themeColor="text1"/>
                <w:sz w:val="24"/>
                <w:szCs w:val="24"/>
              </w:rPr>
            </w:pPr>
          </w:p>
          <w:p w14:paraId="66EF86CB" w14:textId="77777777" w:rsidR="00B13B4D" w:rsidRPr="0028550A" w:rsidRDefault="00B13B4D" w:rsidP="00B13B4D">
            <w:pPr>
              <w:spacing w:line="276" w:lineRule="auto"/>
              <w:jc w:val="both"/>
              <w:rPr>
                <w:rFonts w:cstheme="minorHAnsi"/>
                <w:color w:val="000000" w:themeColor="text1"/>
                <w:sz w:val="24"/>
                <w:szCs w:val="24"/>
              </w:rPr>
            </w:pPr>
          </w:p>
          <w:p w14:paraId="0E12F922"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Fomento e impulso a la certificación de laboratorios públicos.</w:t>
            </w:r>
          </w:p>
          <w:p w14:paraId="08EC4999" w14:textId="77777777" w:rsidR="00B13B4D" w:rsidRPr="0028550A" w:rsidRDefault="00B13B4D" w:rsidP="00B13B4D">
            <w:pPr>
              <w:spacing w:line="276" w:lineRule="auto"/>
              <w:jc w:val="both"/>
              <w:rPr>
                <w:rFonts w:cstheme="minorHAnsi"/>
                <w:color w:val="000000" w:themeColor="text1"/>
                <w:sz w:val="24"/>
                <w:szCs w:val="24"/>
              </w:rPr>
            </w:pPr>
          </w:p>
          <w:p w14:paraId="6BD0278E" w14:textId="77777777" w:rsidR="00B13B4D" w:rsidRPr="0028550A" w:rsidRDefault="00B13B4D" w:rsidP="00B13B4D">
            <w:pPr>
              <w:spacing w:line="276" w:lineRule="auto"/>
              <w:jc w:val="both"/>
              <w:rPr>
                <w:rFonts w:cstheme="minorHAnsi"/>
                <w:color w:val="000000" w:themeColor="text1"/>
                <w:sz w:val="24"/>
                <w:szCs w:val="24"/>
              </w:rPr>
            </w:pPr>
          </w:p>
          <w:p w14:paraId="2B8A5C89" w14:textId="77777777" w:rsidR="00B13B4D" w:rsidRPr="0028550A" w:rsidRDefault="00B13B4D" w:rsidP="00B13B4D">
            <w:pPr>
              <w:spacing w:line="276" w:lineRule="auto"/>
              <w:jc w:val="both"/>
              <w:rPr>
                <w:rFonts w:cstheme="minorHAnsi"/>
                <w:color w:val="000000" w:themeColor="text1"/>
                <w:sz w:val="24"/>
                <w:szCs w:val="24"/>
              </w:rPr>
            </w:pPr>
          </w:p>
          <w:p w14:paraId="760CC79C" w14:textId="77777777" w:rsidR="00B13B4D" w:rsidRPr="0028550A" w:rsidRDefault="00B13B4D" w:rsidP="00B13B4D">
            <w:pPr>
              <w:spacing w:line="276" w:lineRule="auto"/>
              <w:jc w:val="both"/>
              <w:rPr>
                <w:rFonts w:cstheme="minorHAnsi"/>
                <w:color w:val="000000" w:themeColor="text1"/>
                <w:sz w:val="24"/>
                <w:szCs w:val="24"/>
              </w:rPr>
            </w:pPr>
          </w:p>
          <w:p w14:paraId="6352B5B0" w14:textId="77777777" w:rsidR="00B13B4D" w:rsidRPr="0028550A" w:rsidRDefault="00B13B4D" w:rsidP="00B13B4D">
            <w:pPr>
              <w:spacing w:line="276" w:lineRule="auto"/>
              <w:jc w:val="both"/>
              <w:rPr>
                <w:rFonts w:cstheme="minorHAnsi"/>
                <w:color w:val="000000" w:themeColor="text1"/>
                <w:sz w:val="24"/>
                <w:szCs w:val="24"/>
              </w:rPr>
            </w:pPr>
          </w:p>
          <w:p w14:paraId="77111141" w14:textId="77777777" w:rsidR="00B13B4D" w:rsidRPr="0028550A" w:rsidRDefault="00B13B4D" w:rsidP="00B13B4D">
            <w:pPr>
              <w:spacing w:line="276" w:lineRule="auto"/>
              <w:jc w:val="both"/>
              <w:rPr>
                <w:rFonts w:cstheme="minorHAnsi"/>
                <w:color w:val="000000" w:themeColor="text1"/>
                <w:sz w:val="24"/>
                <w:szCs w:val="24"/>
              </w:rPr>
            </w:pPr>
          </w:p>
          <w:p w14:paraId="64CFCF2A" w14:textId="77777777" w:rsidR="00B13B4D" w:rsidRPr="0028550A" w:rsidRDefault="00B13B4D" w:rsidP="00B13B4D">
            <w:pPr>
              <w:spacing w:line="276" w:lineRule="auto"/>
              <w:jc w:val="both"/>
              <w:rPr>
                <w:rFonts w:cstheme="minorHAnsi"/>
                <w:color w:val="000000" w:themeColor="text1"/>
                <w:sz w:val="24"/>
                <w:szCs w:val="24"/>
              </w:rPr>
            </w:pPr>
          </w:p>
          <w:p w14:paraId="08DDF75D" w14:textId="77777777" w:rsidR="0028550A" w:rsidRDefault="0028550A" w:rsidP="00B13B4D">
            <w:pPr>
              <w:spacing w:line="276" w:lineRule="auto"/>
              <w:jc w:val="both"/>
              <w:rPr>
                <w:rFonts w:cstheme="minorHAnsi"/>
                <w:color w:val="000000" w:themeColor="text1"/>
                <w:sz w:val="24"/>
                <w:szCs w:val="24"/>
              </w:rPr>
            </w:pPr>
          </w:p>
          <w:p w14:paraId="134B7579" w14:textId="43F0D310"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Fomentar el retorno de la diáspora, así como la colaboración entre y con la diáspora.  </w:t>
            </w:r>
          </w:p>
          <w:p w14:paraId="50E6560F" w14:textId="77777777" w:rsidR="00B13B4D" w:rsidRPr="0028550A" w:rsidRDefault="00B13B4D" w:rsidP="00B13B4D">
            <w:pPr>
              <w:spacing w:line="276" w:lineRule="auto"/>
              <w:jc w:val="both"/>
              <w:rPr>
                <w:rFonts w:cstheme="minorHAnsi"/>
                <w:color w:val="000000" w:themeColor="text1"/>
                <w:sz w:val="24"/>
                <w:szCs w:val="24"/>
              </w:rPr>
            </w:pPr>
          </w:p>
          <w:p w14:paraId="2F8052A5" w14:textId="77777777" w:rsidR="00B13B4D" w:rsidRPr="0028550A" w:rsidRDefault="00B13B4D" w:rsidP="00B13B4D">
            <w:pPr>
              <w:spacing w:line="276" w:lineRule="auto"/>
              <w:jc w:val="both"/>
              <w:rPr>
                <w:rFonts w:cstheme="minorHAnsi"/>
                <w:color w:val="000000" w:themeColor="text1"/>
                <w:sz w:val="24"/>
                <w:szCs w:val="24"/>
              </w:rPr>
            </w:pPr>
          </w:p>
          <w:p w14:paraId="68EF4B92" w14:textId="77777777" w:rsidR="00B13B4D" w:rsidRPr="0028550A" w:rsidRDefault="00B13B4D" w:rsidP="00B13B4D">
            <w:pPr>
              <w:spacing w:line="276" w:lineRule="auto"/>
              <w:jc w:val="both"/>
              <w:rPr>
                <w:rFonts w:cstheme="minorHAnsi"/>
                <w:color w:val="000000" w:themeColor="text1"/>
                <w:sz w:val="24"/>
                <w:szCs w:val="24"/>
              </w:rPr>
            </w:pPr>
          </w:p>
          <w:p w14:paraId="3F3312C1" w14:textId="77777777" w:rsidR="00B13B4D" w:rsidRPr="0028550A" w:rsidRDefault="00B13B4D" w:rsidP="00B13B4D">
            <w:pPr>
              <w:spacing w:line="276" w:lineRule="auto"/>
              <w:jc w:val="both"/>
              <w:rPr>
                <w:rFonts w:cstheme="minorHAnsi"/>
                <w:color w:val="000000" w:themeColor="text1"/>
                <w:sz w:val="24"/>
                <w:szCs w:val="24"/>
              </w:rPr>
            </w:pPr>
          </w:p>
          <w:p w14:paraId="2563537A" w14:textId="77777777" w:rsidR="00B13B4D" w:rsidRPr="0028550A" w:rsidRDefault="00B13B4D" w:rsidP="00B13B4D">
            <w:pPr>
              <w:spacing w:line="276" w:lineRule="auto"/>
              <w:jc w:val="both"/>
              <w:rPr>
                <w:rFonts w:cstheme="minorHAnsi"/>
                <w:color w:val="000000" w:themeColor="text1"/>
                <w:sz w:val="24"/>
                <w:szCs w:val="24"/>
              </w:rPr>
            </w:pPr>
          </w:p>
          <w:p w14:paraId="6E862F3B" w14:textId="77777777" w:rsidR="00B13B4D" w:rsidRPr="0028550A" w:rsidRDefault="00B13B4D" w:rsidP="00B13B4D">
            <w:pPr>
              <w:spacing w:line="276" w:lineRule="auto"/>
              <w:jc w:val="both"/>
              <w:rPr>
                <w:rFonts w:cstheme="minorHAnsi"/>
                <w:color w:val="000000" w:themeColor="text1"/>
                <w:sz w:val="24"/>
                <w:szCs w:val="24"/>
              </w:rPr>
            </w:pPr>
          </w:p>
          <w:p w14:paraId="2CCEE851" w14:textId="46676980" w:rsidR="00B13B4D" w:rsidRDefault="00B13B4D" w:rsidP="00B13B4D">
            <w:pPr>
              <w:spacing w:line="276" w:lineRule="auto"/>
              <w:jc w:val="both"/>
              <w:rPr>
                <w:rFonts w:cstheme="minorHAnsi"/>
                <w:color w:val="000000" w:themeColor="text1"/>
                <w:sz w:val="24"/>
                <w:szCs w:val="24"/>
              </w:rPr>
            </w:pPr>
          </w:p>
          <w:p w14:paraId="08472E9E" w14:textId="2DD41215" w:rsidR="0028550A" w:rsidRDefault="0028550A" w:rsidP="00B13B4D">
            <w:pPr>
              <w:spacing w:line="276" w:lineRule="auto"/>
              <w:jc w:val="both"/>
              <w:rPr>
                <w:rFonts w:cstheme="minorHAnsi"/>
                <w:color w:val="000000" w:themeColor="text1"/>
                <w:sz w:val="24"/>
                <w:szCs w:val="24"/>
              </w:rPr>
            </w:pPr>
          </w:p>
          <w:p w14:paraId="3BC66953" w14:textId="77777777" w:rsidR="0028550A" w:rsidRPr="0028550A" w:rsidRDefault="0028550A" w:rsidP="00B13B4D">
            <w:pPr>
              <w:spacing w:line="276" w:lineRule="auto"/>
              <w:jc w:val="both"/>
              <w:rPr>
                <w:rFonts w:cstheme="minorHAnsi"/>
                <w:color w:val="000000" w:themeColor="text1"/>
                <w:sz w:val="24"/>
                <w:szCs w:val="24"/>
              </w:rPr>
            </w:pPr>
          </w:p>
          <w:p w14:paraId="18B324E6" w14:textId="77777777" w:rsidR="00B13B4D" w:rsidRPr="0028550A" w:rsidRDefault="00B13B4D" w:rsidP="00B13B4D">
            <w:pPr>
              <w:spacing w:line="276" w:lineRule="auto"/>
              <w:jc w:val="both"/>
              <w:rPr>
                <w:rFonts w:cstheme="minorHAnsi"/>
                <w:color w:val="000000" w:themeColor="text1"/>
                <w:sz w:val="24"/>
                <w:szCs w:val="24"/>
              </w:rPr>
            </w:pPr>
          </w:p>
          <w:p w14:paraId="2B9B4B3F"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Promoción de fondos concursables colaborativos. </w:t>
            </w:r>
          </w:p>
          <w:p w14:paraId="465E215F" w14:textId="77777777" w:rsidR="00B13B4D" w:rsidRPr="0028550A" w:rsidRDefault="00B13B4D" w:rsidP="00B13B4D">
            <w:pPr>
              <w:spacing w:line="276" w:lineRule="auto"/>
              <w:jc w:val="both"/>
              <w:rPr>
                <w:rFonts w:cstheme="minorHAnsi"/>
                <w:color w:val="000000" w:themeColor="text1"/>
                <w:sz w:val="24"/>
                <w:szCs w:val="24"/>
              </w:rPr>
            </w:pPr>
          </w:p>
        </w:tc>
        <w:tc>
          <w:tcPr>
            <w:tcW w:w="5105" w:type="dxa"/>
          </w:tcPr>
          <w:p w14:paraId="0DD81D61"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Tal como se describe, la mayoría de la I+D es impulsada por el sector público. Dadas las limitaciones presupuestarias estatales actuales, así como la distribución en otros países, se debe fomentar la inversión privada en producción científica. Tanto privadas </w:t>
            </w:r>
            <w:proofErr w:type="spellStart"/>
            <w:r w:rsidRPr="0028550A">
              <w:rPr>
                <w:rFonts w:cstheme="minorHAnsi"/>
                <w:color w:val="000000" w:themeColor="text1"/>
                <w:sz w:val="24"/>
                <w:szCs w:val="24"/>
              </w:rPr>
              <w:t>privadas</w:t>
            </w:r>
            <w:proofErr w:type="spellEnd"/>
            <w:r w:rsidRPr="0028550A">
              <w:rPr>
                <w:rFonts w:cstheme="minorHAnsi"/>
                <w:color w:val="000000" w:themeColor="text1"/>
                <w:sz w:val="24"/>
                <w:szCs w:val="24"/>
              </w:rPr>
              <w:t xml:space="preserve">, como público-privadas. </w:t>
            </w:r>
          </w:p>
          <w:p w14:paraId="17A882C3" w14:textId="77777777" w:rsidR="0028550A" w:rsidRDefault="0028550A" w:rsidP="00B13B4D">
            <w:pPr>
              <w:spacing w:line="276" w:lineRule="auto"/>
              <w:jc w:val="both"/>
              <w:rPr>
                <w:rFonts w:cstheme="minorHAnsi"/>
                <w:color w:val="000000" w:themeColor="text1"/>
                <w:sz w:val="24"/>
                <w:szCs w:val="24"/>
              </w:rPr>
            </w:pPr>
          </w:p>
          <w:p w14:paraId="3CCA7981" w14:textId="776FD0C1"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Uno de los mecanismos más eficientes para atender los requerimientos de </w:t>
            </w:r>
            <w:r w:rsidRPr="0028550A">
              <w:rPr>
                <w:rFonts w:cstheme="minorHAnsi"/>
                <w:color w:val="000000" w:themeColor="text1"/>
                <w:sz w:val="24"/>
                <w:szCs w:val="24"/>
              </w:rPr>
              <w:lastRenderedPageBreak/>
              <w:t xml:space="preserve">infraestructura, es potenciar APP, incluso a nivel internacional. Se sugiere analizar este componente como parte de las alternativas. </w:t>
            </w:r>
          </w:p>
          <w:p w14:paraId="3EA40D39" w14:textId="77777777" w:rsidR="00B13B4D" w:rsidRPr="0028550A" w:rsidRDefault="00B13B4D" w:rsidP="00B13B4D">
            <w:pPr>
              <w:spacing w:line="276" w:lineRule="auto"/>
              <w:jc w:val="both"/>
              <w:rPr>
                <w:rFonts w:cstheme="minorHAnsi"/>
                <w:color w:val="000000" w:themeColor="text1"/>
                <w:sz w:val="24"/>
                <w:szCs w:val="24"/>
              </w:rPr>
            </w:pPr>
          </w:p>
          <w:p w14:paraId="369C28DC"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Una de las mayores trabas que tiene la industria privada para realizar I+D en el país es la falta de laboratorios certificados, lo que impide que los resultados puedan ser utilizados como evidencia ante las entidades regulatorias o equipos de desarrollo internacionales, requeridas para lanzar nuevos productos. </w:t>
            </w:r>
          </w:p>
          <w:p w14:paraId="1FD86201" w14:textId="77777777" w:rsidR="00B13B4D" w:rsidRPr="0028550A" w:rsidRDefault="00B13B4D" w:rsidP="00B13B4D">
            <w:pPr>
              <w:spacing w:line="276" w:lineRule="auto"/>
              <w:jc w:val="both"/>
              <w:rPr>
                <w:rFonts w:cstheme="minorHAnsi"/>
                <w:color w:val="000000" w:themeColor="text1"/>
                <w:sz w:val="24"/>
                <w:szCs w:val="24"/>
              </w:rPr>
            </w:pPr>
          </w:p>
          <w:p w14:paraId="4B349149"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Facilitar el retorno de la diáspora (desde el punto de vista regulatorio – simplificación de trámites para el reconocimiento de estudios y experiencia), así como la colaboración con el ecosistema local podría tener un efecto derrame: incentivando a más personas a interesarse por la investigación científica, así como elevando el nivel de calidad de la investigación y desarrollo local. </w:t>
            </w:r>
          </w:p>
          <w:p w14:paraId="3AB67DF4" w14:textId="77777777" w:rsidR="00B13B4D" w:rsidRPr="0028550A" w:rsidRDefault="00B13B4D" w:rsidP="00B13B4D">
            <w:pPr>
              <w:spacing w:line="276" w:lineRule="auto"/>
              <w:jc w:val="both"/>
              <w:rPr>
                <w:rFonts w:cstheme="minorHAnsi"/>
                <w:color w:val="000000" w:themeColor="text1"/>
                <w:sz w:val="24"/>
                <w:szCs w:val="24"/>
              </w:rPr>
            </w:pPr>
          </w:p>
          <w:p w14:paraId="2433032B" w14:textId="060ACAB8"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Para fomentar una mayor articulación entre el sector privado y académico, se deben premiar aquellos esfuerzos y dar prioridad a trabajos en conjunto, que solucionen problemas del mercado. Ver modelos coreanos, tanto de concursos de fondos como esquemas de pago a los investigadores. </w:t>
            </w:r>
          </w:p>
        </w:tc>
      </w:tr>
      <w:tr w:rsidR="00B13B4D" w:rsidRPr="00EF20F7" w14:paraId="2EF94746" w14:textId="77777777" w:rsidTr="000E5B22">
        <w:trPr>
          <w:trHeight w:val="1009"/>
        </w:trPr>
        <w:tc>
          <w:tcPr>
            <w:tcW w:w="4195" w:type="dxa"/>
          </w:tcPr>
          <w:p w14:paraId="2C3026D7"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4.4.3 Innovación transformadora</w:t>
            </w:r>
          </w:p>
          <w:p w14:paraId="4E4EDAD9"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c) Componentes de Acción.</w:t>
            </w:r>
          </w:p>
          <w:p w14:paraId="422EA161" w14:textId="77777777" w:rsidR="00B13B4D" w:rsidRPr="0028550A" w:rsidRDefault="00B13B4D" w:rsidP="00B13B4D">
            <w:pPr>
              <w:spacing w:line="276" w:lineRule="auto"/>
              <w:jc w:val="both"/>
              <w:rPr>
                <w:rFonts w:cstheme="minorHAnsi"/>
                <w:color w:val="000000" w:themeColor="text1"/>
                <w:sz w:val="24"/>
                <w:szCs w:val="24"/>
              </w:rPr>
            </w:pPr>
          </w:p>
          <w:p w14:paraId="11F1EB52"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Vinculación efectiva con centros de I+D</w:t>
            </w:r>
          </w:p>
          <w:p w14:paraId="08DD5D8B" w14:textId="77777777" w:rsidR="00B13B4D" w:rsidRPr="0028550A" w:rsidRDefault="00B13B4D" w:rsidP="00B13B4D">
            <w:pPr>
              <w:spacing w:line="276" w:lineRule="auto"/>
              <w:jc w:val="both"/>
              <w:rPr>
                <w:rFonts w:cstheme="minorHAnsi"/>
                <w:color w:val="000000" w:themeColor="text1"/>
                <w:sz w:val="24"/>
                <w:szCs w:val="24"/>
              </w:rPr>
            </w:pPr>
          </w:p>
          <w:p w14:paraId="2F5A4C2E" w14:textId="77777777" w:rsidR="00B13B4D" w:rsidRPr="0028550A" w:rsidRDefault="00B13B4D" w:rsidP="00B13B4D">
            <w:pPr>
              <w:spacing w:line="276" w:lineRule="auto"/>
              <w:jc w:val="both"/>
              <w:rPr>
                <w:rFonts w:cstheme="minorHAnsi"/>
                <w:color w:val="000000" w:themeColor="text1"/>
                <w:sz w:val="24"/>
                <w:szCs w:val="24"/>
              </w:rPr>
            </w:pPr>
          </w:p>
          <w:p w14:paraId="36293A68" w14:textId="77777777" w:rsidR="00B13B4D" w:rsidRPr="0028550A" w:rsidRDefault="00B13B4D" w:rsidP="00B13B4D">
            <w:pPr>
              <w:spacing w:line="276" w:lineRule="auto"/>
              <w:jc w:val="both"/>
              <w:rPr>
                <w:rFonts w:cstheme="minorHAnsi"/>
                <w:color w:val="000000" w:themeColor="text1"/>
                <w:sz w:val="24"/>
                <w:szCs w:val="24"/>
              </w:rPr>
            </w:pPr>
          </w:p>
          <w:p w14:paraId="66B27C60" w14:textId="77777777" w:rsidR="00B13B4D" w:rsidRPr="0028550A" w:rsidRDefault="00B13B4D" w:rsidP="00B13B4D">
            <w:pPr>
              <w:spacing w:line="276" w:lineRule="auto"/>
              <w:jc w:val="both"/>
              <w:rPr>
                <w:rFonts w:cstheme="minorHAnsi"/>
                <w:color w:val="000000" w:themeColor="text1"/>
                <w:sz w:val="24"/>
                <w:szCs w:val="24"/>
              </w:rPr>
            </w:pPr>
          </w:p>
          <w:p w14:paraId="685A4B7C" w14:textId="77777777" w:rsidR="00B13B4D" w:rsidRPr="0028550A" w:rsidRDefault="00B13B4D" w:rsidP="00B13B4D">
            <w:pPr>
              <w:spacing w:line="276" w:lineRule="auto"/>
              <w:jc w:val="both"/>
              <w:rPr>
                <w:rFonts w:cstheme="minorHAnsi"/>
                <w:color w:val="000000" w:themeColor="text1"/>
                <w:sz w:val="24"/>
                <w:szCs w:val="24"/>
              </w:rPr>
            </w:pPr>
          </w:p>
          <w:p w14:paraId="6B0EC15D" w14:textId="77777777" w:rsidR="00B13B4D" w:rsidRPr="0028550A" w:rsidRDefault="00B13B4D" w:rsidP="00B13B4D">
            <w:pPr>
              <w:spacing w:line="276" w:lineRule="auto"/>
              <w:jc w:val="both"/>
              <w:rPr>
                <w:rFonts w:cstheme="minorHAnsi"/>
                <w:color w:val="000000" w:themeColor="text1"/>
                <w:sz w:val="24"/>
                <w:szCs w:val="24"/>
              </w:rPr>
            </w:pPr>
          </w:p>
          <w:p w14:paraId="301D0D83" w14:textId="77777777" w:rsidR="00B13B4D" w:rsidRPr="0028550A" w:rsidRDefault="00B13B4D" w:rsidP="00B13B4D">
            <w:pPr>
              <w:spacing w:line="276" w:lineRule="auto"/>
              <w:jc w:val="both"/>
              <w:rPr>
                <w:rFonts w:cstheme="minorHAnsi"/>
                <w:color w:val="000000" w:themeColor="text1"/>
                <w:sz w:val="24"/>
                <w:szCs w:val="24"/>
              </w:rPr>
            </w:pPr>
          </w:p>
          <w:p w14:paraId="659C36D3" w14:textId="77777777" w:rsidR="00B13B4D" w:rsidRPr="0028550A" w:rsidRDefault="00B13B4D" w:rsidP="00B13B4D">
            <w:pPr>
              <w:spacing w:line="276" w:lineRule="auto"/>
              <w:jc w:val="both"/>
              <w:rPr>
                <w:rFonts w:cstheme="minorHAnsi"/>
                <w:color w:val="000000" w:themeColor="text1"/>
                <w:sz w:val="24"/>
                <w:szCs w:val="24"/>
              </w:rPr>
            </w:pPr>
          </w:p>
          <w:p w14:paraId="34F02D7F" w14:textId="77777777" w:rsidR="00B13B4D" w:rsidRPr="0028550A" w:rsidRDefault="00B13B4D" w:rsidP="00B13B4D">
            <w:pPr>
              <w:spacing w:line="276" w:lineRule="auto"/>
              <w:jc w:val="both"/>
              <w:rPr>
                <w:rFonts w:cstheme="minorHAnsi"/>
                <w:color w:val="000000" w:themeColor="text1"/>
                <w:sz w:val="24"/>
                <w:szCs w:val="24"/>
              </w:rPr>
            </w:pPr>
          </w:p>
          <w:p w14:paraId="7D0E29BD" w14:textId="77777777" w:rsidR="00B13B4D" w:rsidRPr="0028550A" w:rsidRDefault="00B13B4D" w:rsidP="00B13B4D">
            <w:pPr>
              <w:spacing w:line="276" w:lineRule="auto"/>
              <w:jc w:val="both"/>
              <w:rPr>
                <w:rFonts w:cstheme="minorHAnsi"/>
                <w:color w:val="000000" w:themeColor="text1"/>
                <w:sz w:val="24"/>
                <w:szCs w:val="24"/>
              </w:rPr>
            </w:pPr>
          </w:p>
          <w:p w14:paraId="2364383D" w14:textId="77777777" w:rsidR="00B13B4D" w:rsidRPr="0028550A" w:rsidRDefault="00B13B4D" w:rsidP="00B13B4D">
            <w:pPr>
              <w:spacing w:line="276" w:lineRule="auto"/>
              <w:jc w:val="both"/>
              <w:rPr>
                <w:rFonts w:cstheme="minorHAnsi"/>
                <w:color w:val="000000" w:themeColor="text1"/>
                <w:sz w:val="24"/>
                <w:szCs w:val="24"/>
              </w:rPr>
            </w:pPr>
          </w:p>
          <w:p w14:paraId="179F04F2" w14:textId="56CE4A4F"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Financiamiento y capacidades institucionales</w:t>
            </w:r>
          </w:p>
        </w:tc>
        <w:tc>
          <w:tcPr>
            <w:tcW w:w="3880" w:type="dxa"/>
          </w:tcPr>
          <w:p w14:paraId="395F4723"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Promover la estandarización de reporteo de información sobre capacidades, experiencia y pasos para iniciar proyectos/trabajos conjuntos. </w:t>
            </w:r>
          </w:p>
          <w:p w14:paraId="1738CD9A" w14:textId="77777777" w:rsidR="00B13B4D" w:rsidRPr="0028550A" w:rsidRDefault="00B13B4D" w:rsidP="00B13B4D">
            <w:pPr>
              <w:spacing w:line="276" w:lineRule="auto"/>
              <w:jc w:val="both"/>
              <w:rPr>
                <w:rFonts w:cstheme="minorHAnsi"/>
                <w:color w:val="000000" w:themeColor="text1"/>
                <w:sz w:val="24"/>
                <w:szCs w:val="24"/>
              </w:rPr>
            </w:pPr>
          </w:p>
          <w:p w14:paraId="79345626" w14:textId="77777777" w:rsidR="00B13B4D" w:rsidRPr="0028550A" w:rsidRDefault="00B13B4D" w:rsidP="00B13B4D">
            <w:pPr>
              <w:spacing w:line="276" w:lineRule="auto"/>
              <w:jc w:val="both"/>
              <w:rPr>
                <w:rFonts w:cstheme="minorHAnsi"/>
                <w:color w:val="000000" w:themeColor="text1"/>
                <w:sz w:val="24"/>
                <w:szCs w:val="24"/>
              </w:rPr>
            </w:pPr>
          </w:p>
          <w:p w14:paraId="67D9DB66" w14:textId="77777777" w:rsidR="00B13B4D" w:rsidRPr="0028550A" w:rsidRDefault="00B13B4D" w:rsidP="00B13B4D">
            <w:pPr>
              <w:spacing w:line="276" w:lineRule="auto"/>
              <w:jc w:val="both"/>
              <w:rPr>
                <w:rFonts w:cstheme="minorHAnsi"/>
                <w:color w:val="000000" w:themeColor="text1"/>
                <w:sz w:val="24"/>
                <w:szCs w:val="24"/>
              </w:rPr>
            </w:pPr>
          </w:p>
          <w:p w14:paraId="2BC2D1F7" w14:textId="77777777" w:rsidR="00B13B4D" w:rsidRPr="0028550A" w:rsidRDefault="00B13B4D" w:rsidP="00B13B4D">
            <w:pPr>
              <w:spacing w:line="276" w:lineRule="auto"/>
              <w:jc w:val="both"/>
              <w:rPr>
                <w:rFonts w:cstheme="minorHAnsi"/>
                <w:color w:val="000000" w:themeColor="text1"/>
                <w:sz w:val="24"/>
                <w:szCs w:val="24"/>
              </w:rPr>
            </w:pPr>
          </w:p>
          <w:p w14:paraId="6BFDB882" w14:textId="77777777" w:rsidR="00B13B4D" w:rsidRPr="0028550A" w:rsidRDefault="00B13B4D" w:rsidP="00B13B4D">
            <w:pPr>
              <w:spacing w:line="276" w:lineRule="auto"/>
              <w:jc w:val="both"/>
              <w:rPr>
                <w:rFonts w:cstheme="minorHAnsi"/>
                <w:color w:val="000000" w:themeColor="text1"/>
                <w:sz w:val="24"/>
                <w:szCs w:val="24"/>
              </w:rPr>
            </w:pPr>
          </w:p>
          <w:p w14:paraId="7F9C53E0" w14:textId="44CE2CF3" w:rsidR="00B13B4D" w:rsidRDefault="00B13B4D" w:rsidP="00B13B4D">
            <w:pPr>
              <w:spacing w:line="276" w:lineRule="auto"/>
              <w:jc w:val="both"/>
              <w:rPr>
                <w:rFonts w:cstheme="minorHAnsi"/>
                <w:color w:val="000000" w:themeColor="text1"/>
                <w:sz w:val="24"/>
                <w:szCs w:val="24"/>
              </w:rPr>
            </w:pPr>
          </w:p>
          <w:p w14:paraId="349F32A1" w14:textId="5A6627D9" w:rsidR="0028550A" w:rsidRDefault="0028550A" w:rsidP="00B13B4D">
            <w:pPr>
              <w:spacing w:line="276" w:lineRule="auto"/>
              <w:jc w:val="both"/>
              <w:rPr>
                <w:rFonts w:cstheme="minorHAnsi"/>
                <w:color w:val="000000" w:themeColor="text1"/>
                <w:sz w:val="24"/>
                <w:szCs w:val="24"/>
              </w:rPr>
            </w:pPr>
          </w:p>
          <w:p w14:paraId="1C13961D" w14:textId="77777777" w:rsidR="0028550A" w:rsidRPr="0028550A" w:rsidRDefault="0028550A" w:rsidP="00B13B4D">
            <w:pPr>
              <w:spacing w:line="276" w:lineRule="auto"/>
              <w:jc w:val="both"/>
              <w:rPr>
                <w:rFonts w:cstheme="minorHAnsi"/>
                <w:color w:val="000000" w:themeColor="text1"/>
                <w:sz w:val="24"/>
                <w:szCs w:val="24"/>
              </w:rPr>
            </w:pPr>
          </w:p>
          <w:p w14:paraId="2B4AB3EF" w14:textId="77777777" w:rsidR="00B13B4D" w:rsidRPr="0028550A" w:rsidRDefault="00B13B4D" w:rsidP="00B13B4D">
            <w:pPr>
              <w:spacing w:line="276" w:lineRule="auto"/>
              <w:jc w:val="both"/>
              <w:rPr>
                <w:rFonts w:cstheme="minorHAnsi"/>
                <w:color w:val="000000" w:themeColor="text1"/>
                <w:sz w:val="24"/>
                <w:szCs w:val="24"/>
              </w:rPr>
            </w:pPr>
          </w:p>
          <w:p w14:paraId="6BE59F87" w14:textId="77777777" w:rsidR="00B13B4D" w:rsidRPr="0028550A" w:rsidRDefault="00B13B4D" w:rsidP="00B13B4D">
            <w:pPr>
              <w:spacing w:line="276" w:lineRule="auto"/>
              <w:jc w:val="both"/>
              <w:rPr>
                <w:rFonts w:cstheme="minorHAnsi"/>
                <w:color w:val="000000" w:themeColor="text1"/>
                <w:sz w:val="24"/>
                <w:szCs w:val="24"/>
              </w:rPr>
            </w:pPr>
          </w:p>
          <w:p w14:paraId="4A8D7DF9" w14:textId="6325F7BA"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Generación de incentivos de nueva generación. </w:t>
            </w:r>
          </w:p>
        </w:tc>
        <w:tc>
          <w:tcPr>
            <w:tcW w:w="5105" w:type="dxa"/>
          </w:tcPr>
          <w:p w14:paraId="6A5B0807" w14:textId="668B265A"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Contar con información actualizada, centralizada y fácilmente </w:t>
            </w:r>
            <w:r w:rsidR="000E5B22" w:rsidRPr="0028550A">
              <w:rPr>
                <w:rFonts w:cstheme="minorHAnsi"/>
                <w:color w:val="000000" w:themeColor="text1"/>
                <w:sz w:val="24"/>
                <w:szCs w:val="24"/>
              </w:rPr>
              <w:t>digerible reduciría</w:t>
            </w:r>
            <w:r w:rsidRPr="0028550A">
              <w:rPr>
                <w:rFonts w:cstheme="minorHAnsi"/>
                <w:color w:val="000000" w:themeColor="text1"/>
                <w:sz w:val="24"/>
                <w:szCs w:val="24"/>
              </w:rPr>
              <w:t xml:space="preserve"> barreras de “entrada” que tiene el sector privado (y en muchas ocasiones el sector púbico también) para encontrar el socio adecuado para varios de los procesos y servicios requeridos en procesos de I+D. Además, tener claridad sobre requisitos, pasos y tiempos ayuda a reducir la incertidumbre y aumenta la confianza en los procesos. </w:t>
            </w:r>
          </w:p>
          <w:p w14:paraId="414FDC78" w14:textId="77777777" w:rsidR="00B13B4D" w:rsidRPr="0028550A" w:rsidRDefault="00B13B4D" w:rsidP="00B13B4D">
            <w:pPr>
              <w:spacing w:line="276" w:lineRule="auto"/>
              <w:jc w:val="both"/>
              <w:rPr>
                <w:rFonts w:cstheme="minorHAnsi"/>
                <w:color w:val="000000" w:themeColor="text1"/>
                <w:sz w:val="24"/>
                <w:szCs w:val="24"/>
              </w:rPr>
            </w:pPr>
          </w:p>
          <w:p w14:paraId="31268CEE" w14:textId="2FC9BEF6"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Se recomienda valorar la posibilidad de emitir política pública que habilite incentivos habilitadores para la </w:t>
            </w:r>
            <w:r w:rsidRPr="0028550A">
              <w:rPr>
                <w:rFonts w:cstheme="minorHAnsi"/>
                <w:color w:val="000000" w:themeColor="text1"/>
                <w:sz w:val="24"/>
                <w:szCs w:val="24"/>
              </w:rPr>
              <w:lastRenderedPageBreak/>
              <w:t xml:space="preserve">promoción de la I+D+i. Estos incentivos pueden ser articulados por organizaciones como la Promotora de Innovación o la Promotora de Comercio Exterior. Pueden contribuir, por ejemplo, a catapultar emprendimientos de base tecnológica, por ejemplo. </w:t>
            </w:r>
          </w:p>
        </w:tc>
      </w:tr>
      <w:tr w:rsidR="00B13B4D" w:rsidRPr="00EF20F7" w14:paraId="59A9020C" w14:textId="77777777" w:rsidTr="000E5B22">
        <w:trPr>
          <w:trHeight w:val="1009"/>
        </w:trPr>
        <w:tc>
          <w:tcPr>
            <w:tcW w:w="4195" w:type="dxa"/>
          </w:tcPr>
          <w:p w14:paraId="43832024" w14:textId="43C073E8"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 xml:space="preserve">4.4.4 y 4.4.5. Gobernanza Digital y Gobierno Digital. </w:t>
            </w:r>
          </w:p>
        </w:tc>
        <w:tc>
          <w:tcPr>
            <w:tcW w:w="3880" w:type="dxa"/>
          </w:tcPr>
          <w:p w14:paraId="492B5430"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Transformación Digital profunda, haciendo uso de herramientas como la automatización, machine </w:t>
            </w:r>
            <w:proofErr w:type="spellStart"/>
            <w:r w:rsidRPr="0028550A">
              <w:rPr>
                <w:rFonts w:cstheme="minorHAnsi"/>
                <w:color w:val="000000" w:themeColor="text1"/>
                <w:sz w:val="24"/>
                <w:szCs w:val="24"/>
              </w:rPr>
              <w:t>learning</w:t>
            </w:r>
            <w:proofErr w:type="spellEnd"/>
            <w:r w:rsidRPr="0028550A">
              <w:rPr>
                <w:rFonts w:cstheme="minorHAnsi"/>
                <w:color w:val="000000" w:themeColor="text1"/>
                <w:sz w:val="24"/>
                <w:szCs w:val="24"/>
              </w:rPr>
              <w:t xml:space="preserve"> e inteligencia artificial, más allá de mera digitalización. </w:t>
            </w:r>
          </w:p>
          <w:p w14:paraId="1E49852A" w14:textId="77777777" w:rsidR="00B13B4D" w:rsidRPr="0028550A" w:rsidRDefault="00B13B4D" w:rsidP="00B13B4D">
            <w:pPr>
              <w:spacing w:line="276" w:lineRule="auto"/>
              <w:jc w:val="both"/>
              <w:rPr>
                <w:rFonts w:cstheme="minorHAnsi"/>
                <w:color w:val="000000" w:themeColor="text1"/>
                <w:sz w:val="24"/>
                <w:szCs w:val="24"/>
              </w:rPr>
            </w:pPr>
          </w:p>
          <w:p w14:paraId="62CC4AC5" w14:textId="77777777" w:rsidR="0028550A" w:rsidRDefault="0028550A" w:rsidP="00B13B4D">
            <w:pPr>
              <w:spacing w:line="276" w:lineRule="auto"/>
              <w:jc w:val="both"/>
              <w:rPr>
                <w:rFonts w:cstheme="minorHAnsi"/>
                <w:color w:val="000000" w:themeColor="text1"/>
                <w:sz w:val="24"/>
                <w:szCs w:val="24"/>
              </w:rPr>
            </w:pPr>
          </w:p>
          <w:p w14:paraId="60778F5F" w14:textId="77777777" w:rsidR="0028550A" w:rsidRDefault="0028550A" w:rsidP="00B13B4D">
            <w:pPr>
              <w:spacing w:line="276" w:lineRule="auto"/>
              <w:jc w:val="both"/>
              <w:rPr>
                <w:rFonts w:cstheme="minorHAnsi"/>
                <w:color w:val="000000" w:themeColor="text1"/>
                <w:sz w:val="24"/>
                <w:szCs w:val="24"/>
              </w:rPr>
            </w:pPr>
          </w:p>
          <w:p w14:paraId="2F67D3AF" w14:textId="77777777" w:rsidR="0028550A" w:rsidRDefault="0028550A" w:rsidP="00B13B4D">
            <w:pPr>
              <w:spacing w:line="276" w:lineRule="auto"/>
              <w:jc w:val="both"/>
              <w:rPr>
                <w:rFonts w:cstheme="minorHAnsi"/>
                <w:color w:val="000000" w:themeColor="text1"/>
                <w:sz w:val="24"/>
                <w:szCs w:val="24"/>
              </w:rPr>
            </w:pPr>
          </w:p>
          <w:p w14:paraId="0F867C0A" w14:textId="77777777" w:rsidR="0028550A" w:rsidRDefault="0028550A" w:rsidP="00B13B4D">
            <w:pPr>
              <w:spacing w:line="276" w:lineRule="auto"/>
              <w:jc w:val="both"/>
              <w:rPr>
                <w:rFonts w:cstheme="minorHAnsi"/>
                <w:color w:val="000000" w:themeColor="text1"/>
                <w:sz w:val="24"/>
                <w:szCs w:val="24"/>
              </w:rPr>
            </w:pPr>
          </w:p>
          <w:p w14:paraId="09C0BD68" w14:textId="77777777" w:rsidR="0028550A" w:rsidRDefault="0028550A" w:rsidP="00B13B4D">
            <w:pPr>
              <w:spacing w:line="276" w:lineRule="auto"/>
              <w:jc w:val="both"/>
              <w:rPr>
                <w:rFonts w:cstheme="minorHAnsi"/>
                <w:color w:val="000000" w:themeColor="text1"/>
                <w:sz w:val="24"/>
                <w:szCs w:val="24"/>
              </w:rPr>
            </w:pPr>
          </w:p>
          <w:p w14:paraId="1EE835F4" w14:textId="77777777" w:rsidR="0028550A" w:rsidRDefault="0028550A" w:rsidP="00B13B4D">
            <w:pPr>
              <w:spacing w:line="276" w:lineRule="auto"/>
              <w:jc w:val="both"/>
              <w:rPr>
                <w:rFonts w:cstheme="minorHAnsi"/>
                <w:color w:val="000000" w:themeColor="text1"/>
                <w:sz w:val="24"/>
                <w:szCs w:val="24"/>
              </w:rPr>
            </w:pPr>
          </w:p>
          <w:p w14:paraId="0A1D061A" w14:textId="77777777" w:rsidR="0028550A" w:rsidRDefault="0028550A" w:rsidP="00B13B4D">
            <w:pPr>
              <w:spacing w:line="276" w:lineRule="auto"/>
              <w:jc w:val="both"/>
              <w:rPr>
                <w:rFonts w:cstheme="minorHAnsi"/>
                <w:color w:val="000000" w:themeColor="text1"/>
                <w:sz w:val="24"/>
                <w:szCs w:val="24"/>
              </w:rPr>
            </w:pPr>
          </w:p>
          <w:p w14:paraId="3D8C4E17" w14:textId="77777777" w:rsidR="0028550A" w:rsidRDefault="0028550A" w:rsidP="00B13B4D">
            <w:pPr>
              <w:spacing w:line="276" w:lineRule="auto"/>
              <w:jc w:val="both"/>
              <w:rPr>
                <w:rFonts w:cstheme="minorHAnsi"/>
                <w:color w:val="000000" w:themeColor="text1"/>
                <w:sz w:val="24"/>
                <w:szCs w:val="24"/>
              </w:rPr>
            </w:pPr>
          </w:p>
          <w:p w14:paraId="058659ED" w14:textId="167FBD42"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Sacar partido de las lecciones aprendidas de la pandemia para impulsar soluciones digitales. </w:t>
            </w:r>
          </w:p>
          <w:p w14:paraId="0E349F62" w14:textId="77777777" w:rsidR="00B13B4D" w:rsidRPr="0028550A" w:rsidRDefault="00B13B4D" w:rsidP="00B13B4D">
            <w:pPr>
              <w:spacing w:line="276" w:lineRule="auto"/>
              <w:jc w:val="both"/>
              <w:rPr>
                <w:rFonts w:cstheme="minorHAnsi"/>
                <w:color w:val="000000" w:themeColor="text1"/>
                <w:sz w:val="24"/>
                <w:szCs w:val="24"/>
              </w:rPr>
            </w:pPr>
          </w:p>
          <w:p w14:paraId="13D3349E" w14:textId="77777777" w:rsidR="00B13B4D" w:rsidRPr="0028550A" w:rsidRDefault="00B13B4D" w:rsidP="00B13B4D">
            <w:pPr>
              <w:spacing w:line="276" w:lineRule="auto"/>
              <w:jc w:val="both"/>
              <w:rPr>
                <w:rFonts w:cstheme="minorHAnsi"/>
                <w:color w:val="000000" w:themeColor="text1"/>
                <w:sz w:val="24"/>
                <w:szCs w:val="24"/>
              </w:rPr>
            </w:pPr>
          </w:p>
          <w:p w14:paraId="7524140D" w14:textId="77777777" w:rsidR="0028550A" w:rsidRDefault="0028550A" w:rsidP="00B13B4D">
            <w:pPr>
              <w:spacing w:line="276" w:lineRule="auto"/>
              <w:jc w:val="both"/>
              <w:rPr>
                <w:rFonts w:cstheme="minorHAnsi"/>
                <w:color w:val="000000" w:themeColor="text1"/>
                <w:sz w:val="24"/>
                <w:szCs w:val="24"/>
              </w:rPr>
            </w:pPr>
          </w:p>
          <w:p w14:paraId="2C9CB6B6" w14:textId="77777777" w:rsidR="0028550A" w:rsidRDefault="0028550A" w:rsidP="00B13B4D">
            <w:pPr>
              <w:spacing w:line="276" w:lineRule="auto"/>
              <w:jc w:val="both"/>
              <w:rPr>
                <w:rFonts w:cstheme="minorHAnsi"/>
                <w:color w:val="000000" w:themeColor="text1"/>
                <w:sz w:val="24"/>
                <w:szCs w:val="24"/>
              </w:rPr>
            </w:pPr>
          </w:p>
          <w:p w14:paraId="6C750377" w14:textId="77777777" w:rsidR="0028550A" w:rsidRDefault="0028550A" w:rsidP="00B13B4D">
            <w:pPr>
              <w:spacing w:line="276" w:lineRule="auto"/>
              <w:jc w:val="both"/>
              <w:rPr>
                <w:rFonts w:cstheme="minorHAnsi"/>
                <w:color w:val="000000" w:themeColor="text1"/>
                <w:sz w:val="24"/>
                <w:szCs w:val="24"/>
              </w:rPr>
            </w:pPr>
          </w:p>
          <w:p w14:paraId="4D423B52" w14:textId="77777777" w:rsidR="0028550A" w:rsidRDefault="0028550A" w:rsidP="00B13B4D">
            <w:pPr>
              <w:spacing w:line="276" w:lineRule="auto"/>
              <w:jc w:val="both"/>
              <w:rPr>
                <w:rFonts w:cstheme="minorHAnsi"/>
                <w:color w:val="000000" w:themeColor="text1"/>
                <w:sz w:val="24"/>
                <w:szCs w:val="24"/>
              </w:rPr>
            </w:pPr>
          </w:p>
          <w:p w14:paraId="41E29DD7" w14:textId="77777777" w:rsidR="0028550A" w:rsidRDefault="0028550A" w:rsidP="00B13B4D">
            <w:pPr>
              <w:spacing w:line="276" w:lineRule="auto"/>
              <w:jc w:val="both"/>
              <w:rPr>
                <w:rFonts w:cstheme="minorHAnsi"/>
                <w:color w:val="000000" w:themeColor="text1"/>
                <w:sz w:val="24"/>
                <w:szCs w:val="24"/>
              </w:rPr>
            </w:pPr>
          </w:p>
          <w:p w14:paraId="5922D992" w14:textId="77777777" w:rsidR="0028550A" w:rsidRDefault="0028550A" w:rsidP="00B13B4D">
            <w:pPr>
              <w:spacing w:line="276" w:lineRule="auto"/>
              <w:jc w:val="both"/>
              <w:rPr>
                <w:rFonts w:cstheme="minorHAnsi"/>
                <w:color w:val="000000" w:themeColor="text1"/>
                <w:sz w:val="24"/>
                <w:szCs w:val="24"/>
              </w:rPr>
            </w:pPr>
          </w:p>
          <w:p w14:paraId="3F85D38B" w14:textId="77777777" w:rsidR="0028550A" w:rsidRDefault="0028550A" w:rsidP="00B13B4D">
            <w:pPr>
              <w:spacing w:line="276" w:lineRule="auto"/>
              <w:jc w:val="both"/>
              <w:rPr>
                <w:rFonts w:cstheme="minorHAnsi"/>
                <w:color w:val="000000" w:themeColor="text1"/>
                <w:sz w:val="24"/>
                <w:szCs w:val="24"/>
              </w:rPr>
            </w:pPr>
          </w:p>
          <w:p w14:paraId="1042D312" w14:textId="77777777" w:rsidR="0028550A" w:rsidRDefault="0028550A" w:rsidP="00B13B4D">
            <w:pPr>
              <w:spacing w:line="276" w:lineRule="auto"/>
              <w:jc w:val="both"/>
              <w:rPr>
                <w:rFonts w:cstheme="minorHAnsi"/>
                <w:color w:val="000000" w:themeColor="text1"/>
                <w:sz w:val="24"/>
                <w:szCs w:val="24"/>
              </w:rPr>
            </w:pPr>
          </w:p>
          <w:p w14:paraId="439FFABE" w14:textId="77777777" w:rsidR="0028550A" w:rsidRDefault="0028550A" w:rsidP="00B13B4D">
            <w:pPr>
              <w:spacing w:line="276" w:lineRule="auto"/>
              <w:jc w:val="both"/>
              <w:rPr>
                <w:rFonts w:cstheme="minorHAnsi"/>
                <w:color w:val="000000" w:themeColor="text1"/>
                <w:sz w:val="24"/>
                <w:szCs w:val="24"/>
              </w:rPr>
            </w:pPr>
          </w:p>
          <w:p w14:paraId="289645DA" w14:textId="6EA824FD"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Identificar mecanismos para extender el uso de la firma digital y/u otros mecanismos de autenticación remotos. </w:t>
            </w:r>
          </w:p>
          <w:p w14:paraId="2802755E" w14:textId="77777777" w:rsidR="00B13B4D" w:rsidRPr="0028550A" w:rsidRDefault="00B13B4D" w:rsidP="00B13B4D">
            <w:pPr>
              <w:spacing w:line="276" w:lineRule="auto"/>
              <w:jc w:val="both"/>
              <w:rPr>
                <w:rFonts w:cstheme="minorHAnsi"/>
                <w:color w:val="000000" w:themeColor="text1"/>
                <w:sz w:val="24"/>
                <w:szCs w:val="24"/>
              </w:rPr>
            </w:pPr>
          </w:p>
          <w:p w14:paraId="015D6155" w14:textId="77777777" w:rsidR="00B13B4D" w:rsidRPr="0028550A" w:rsidRDefault="00B13B4D" w:rsidP="00B13B4D">
            <w:pPr>
              <w:spacing w:line="276" w:lineRule="auto"/>
              <w:jc w:val="both"/>
              <w:rPr>
                <w:rFonts w:cstheme="minorHAnsi"/>
                <w:color w:val="000000" w:themeColor="text1"/>
                <w:sz w:val="24"/>
                <w:szCs w:val="24"/>
              </w:rPr>
            </w:pPr>
          </w:p>
          <w:p w14:paraId="766BA69C" w14:textId="77777777" w:rsidR="00B13B4D" w:rsidRPr="0028550A" w:rsidRDefault="00B13B4D" w:rsidP="00B13B4D">
            <w:pPr>
              <w:spacing w:line="276" w:lineRule="auto"/>
              <w:jc w:val="both"/>
              <w:rPr>
                <w:rFonts w:cstheme="minorHAnsi"/>
                <w:color w:val="000000" w:themeColor="text1"/>
                <w:sz w:val="24"/>
                <w:szCs w:val="24"/>
              </w:rPr>
            </w:pPr>
          </w:p>
          <w:p w14:paraId="1AE39960" w14:textId="77777777" w:rsidR="00B13B4D" w:rsidRPr="0028550A" w:rsidRDefault="00B13B4D" w:rsidP="00B13B4D">
            <w:pPr>
              <w:spacing w:line="276" w:lineRule="auto"/>
              <w:jc w:val="both"/>
              <w:rPr>
                <w:rFonts w:cstheme="minorHAnsi"/>
                <w:color w:val="000000" w:themeColor="text1"/>
                <w:sz w:val="24"/>
                <w:szCs w:val="24"/>
              </w:rPr>
            </w:pPr>
          </w:p>
          <w:p w14:paraId="287FA9B4" w14:textId="77777777" w:rsidR="00B13B4D" w:rsidRPr="0028550A" w:rsidRDefault="00B13B4D" w:rsidP="00B13B4D">
            <w:pPr>
              <w:spacing w:line="276" w:lineRule="auto"/>
              <w:jc w:val="both"/>
              <w:rPr>
                <w:rFonts w:cstheme="minorHAnsi"/>
                <w:color w:val="000000" w:themeColor="text1"/>
                <w:sz w:val="24"/>
                <w:szCs w:val="24"/>
              </w:rPr>
            </w:pPr>
          </w:p>
          <w:p w14:paraId="449E3036" w14:textId="77777777" w:rsidR="00B13B4D" w:rsidRPr="0028550A" w:rsidRDefault="00B13B4D" w:rsidP="00B13B4D">
            <w:pPr>
              <w:spacing w:line="276" w:lineRule="auto"/>
              <w:jc w:val="both"/>
              <w:rPr>
                <w:rFonts w:cstheme="minorHAnsi"/>
                <w:color w:val="000000" w:themeColor="text1"/>
                <w:sz w:val="24"/>
                <w:szCs w:val="24"/>
              </w:rPr>
            </w:pPr>
          </w:p>
          <w:p w14:paraId="35C5EF62"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Educación </w:t>
            </w:r>
          </w:p>
          <w:p w14:paraId="057D60A4" w14:textId="77777777" w:rsidR="00B13B4D" w:rsidRPr="0028550A" w:rsidRDefault="00B13B4D" w:rsidP="00B13B4D">
            <w:pPr>
              <w:spacing w:line="276" w:lineRule="auto"/>
              <w:jc w:val="both"/>
              <w:rPr>
                <w:rFonts w:cstheme="minorHAnsi"/>
                <w:color w:val="000000" w:themeColor="text1"/>
                <w:sz w:val="24"/>
                <w:szCs w:val="24"/>
              </w:rPr>
            </w:pPr>
          </w:p>
          <w:p w14:paraId="35F1257B" w14:textId="77777777" w:rsidR="00B13B4D" w:rsidRPr="0028550A" w:rsidRDefault="00B13B4D" w:rsidP="00B13B4D">
            <w:pPr>
              <w:spacing w:line="276" w:lineRule="auto"/>
              <w:jc w:val="both"/>
              <w:rPr>
                <w:rFonts w:cstheme="minorHAnsi"/>
                <w:color w:val="000000" w:themeColor="text1"/>
                <w:sz w:val="24"/>
                <w:szCs w:val="24"/>
              </w:rPr>
            </w:pPr>
          </w:p>
          <w:p w14:paraId="7F37B878" w14:textId="77777777" w:rsidR="00B13B4D" w:rsidRPr="0028550A" w:rsidRDefault="00B13B4D" w:rsidP="00B13B4D">
            <w:pPr>
              <w:spacing w:line="276" w:lineRule="auto"/>
              <w:jc w:val="both"/>
              <w:rPr>
                <w:rFonts w:cstheme="minorHAnsi"/>
                <w:color w:val="000000" w:themeColor="text1"/>
                <w:sz w:val="24"/>
                <w:szCs w:val="24"/>
              </w:rPr>
            </w:pPr>
          </w:p>
          <w:p w14:paraId="17ACDD2A" w14:textId="77777777" w:rsidR="00B13B4D" w:rsidRPr="0028550A" w:rsidRDefault="00B13B4D" w:rsidP="00B13B4D">
            <w:pPr>
              <w:spacing w:line="276" w:lineRule="auto"/>
              <w:jc w:val="both"/>
              <w:rPr>
                <w:rFonts w:cstheme="minorHAnsi"/>
                <w:color w:val="000000" w:themeColor="text1"/>
                <w:sz w:val="24"/>
                <w:szCs w:val="24"/>
              </w:rPr>
            </w:pPr>
          </w:p>
          <w:p w14:paraId="5DAD5A9D" w14:textId="77777777" w:rsidR="00B13B4D" w:rsidRPr="0028550A" w:rsidRDefault="00B13B4D" w:rsidP="00B13B4D">
            <w:pPr>
              <w:spacing w:line="276" w:lineRule="auto"/>
              <w:jc w:val="both"/>
              <w:rPr>
                <w:rFonts w:cstheme="minorHAnsi"/>
                <w:color w:val="000000" w:themeColor="text1"/>
                <w:sz w:val="24"/>
                <w:szCs w:val="24"/>
              </w:rPr>
            </w:pPr>
          </w:p>
          <w:p w14:paraId="5E7A2861" w14:textId="77777777" w:rsidR="00B13B4D" w:rsidRPr="0028550A" w:rsidRDefault="00B13B4D" w:rsidP="00B13B4D">
            <w:pPr>
              <w:spacing w:line="276" w:lineRule="auto"/>
              <w:jc w:val="both"/>
              <w:rPr>
                <w:rFonts w:cstheme="minorHAnsi"/>
                <w:color w:val="000000" w:themeColor="text1"/>
                <w:sz w:val="24"/>
                <w:szCs w:val="24"/>
              </w:rPr>
            </w:pPr>
          </w:p>
          <w:p w14:paraId="0F6BE7EF"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Mayor impulso y fomento a los datos abiertos.</w:t>
            </w:r>
          </w:p>
          <w:p w14:paraId="39AD755F" w14:textId="77777777" w:rsidR="00B13B4D" w:rsidRPr="0028550A" w:rsidRDefault="00B13B4D" w:rsidP="00B13B4D">
            <w:pPr>
              <w:spacing w:line="276" w:lineRule="auto"/>
              <w:jc w:val="both"/>
              <w:rPr>
                <w:rFonts w:cstheme="minorHAnsi"/>
                <w:color w:val="000000" w:themeColor="text1"/>
                <w:sz w:val="24"/>
                <w:szCs w:val="24"/>
              </w:rPr>
            </w:pPr>
          </w:p>
          <w:p w14:paraId="4E7C842B" w14:textId="77777777" w:rsidR="00B13B4D" w:rsidRPr="0028550A" w:rsidRDefault="00B13B4D" w:rsidP="00B13B4D">
            <w:pPr>
              <w:spacing w:line="276" w:lineRule="auto"/>
              <w:jc w:val="both"/>
              <w:rPr>
                <w:rFonts w:cstheme="minorHAnsi"/>
                <w:color w:val="000000" w:themeColor="text1"/>
                <w:sz w:val="24"/>
                <w:szCs w:val="24"/>
              </w:rPr>
            </w:pPr>
          </w:p>
          <w:p w14:paraId="19E74A7A" w14:textId="77777777" w:rsidR="00B13B4D" w:rsidRPr="0028550A" w:rsidRDefault="00B13B4D" w:rsidP="00B13B4D">
            <w:pPr>
              <w:spacing w:line="276" w:lineRule="auto"/>
              <w:jc w:val="both"/>
              <w:rPr>
                <w:rFonts w:cstheme="minorHAnsi"/>
                <w:color w:val="000000" w:themeColor="text1"/>
                <w:sz w:val="24"/>
                <w:szCs w:val="24"/>
              </w:rPr>
            </w:pPr>
          </w:p>
          <w:p w14:paraId="5920F087" w14:textId="77777777" w:rsidR="00B13B4D" w:rsidRPr="0028550A" w:rsidRDefault="00B13B4D" w:rsidP="00B13B4D">
            <w:pPr>
              <w:spacing w:line="276" w:lineRule="auto"/>
              <w:jc w:val="both"/>
              <w:rPr>
                <w:rFonts w:cstheme="minorHAnsi"/>
                <w:color w:val="000000" w:themeColor="text1"/>
                <w:sz w:val="24"/>
                <w:szCs w:val="24"/>
              </w:rPr>
            </w:pPr>
          </w:p>
          <w:p w14:paraId="1874ECDB" w14:textId="5FB84C73"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Educación sobre el uso de datos para la toma de decisiones</w:t>
            </w:r>
          </w:p>
        </w:tc>
        <w:tc>
          <w:tcPr>
            <w:tcW w:w="5105" w:type="dxa"/>
          </w:tcPr>
          <w:p w14:paraId="3C59B6B6"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lastRenderedPageBreak/>
              <w:t>Se recomienda que el proceso de transformación digital sea implementado más allá de la mera digitalización de los trámites. Ver modelos internacionales donde un gobierno digital, funciona sobre la base de principios como la automatización de procesos.</w:t>
            </w:r>
          </w:p>
          <w:p w14:paraId="58C34346" w14:textId="77777777" w:rsidR="00B13B4D" w:rsidRPr="0028550A" w:rsidRDefault="00B13B4D" w:rsidP="00B13B4D">
            <w:pPr>
              <w:spacing w:line="276" w:lineRule="auto"/>
              <w:jc w:val="both"/>
              <w:rPr>
                <w:rFonts w:cstheme="minorHAnsi"/>
                <w:color w:val="000000" w:themeColor="text1"/>
                <w:sz w:val="24"/>
                <w:szCs w:val="24"/>
              </w:rPr>
            </w:pPr>
          </w:p>
          <w:p w14:paraId="55F8C87E" w14:textId="77777777" w:rsidR="00B13B4D" w:rsidRPr="0028550A" w:rsidRDefault="00B13B4D" w:rsidP="00B13B4D">
            <w:pPr>
              <w:spacing w:line="276" w:lineRule="auto"/>
              <w:jc w:val="both"/>
              <w:rPr>
                <w:rFonts w:cstheme="minorHAnsi"/>
                <w:color w:val="000000" w:themeColor="text1"/>
                <w:sz w:val="24"/>
                <w:szCs w:val="24"/>
              </w:rPr>
            </w:pPr>
          </w:p>
          <w:p w14:paraId="44307179" w14:textId="77777777" w:rsidR="00B13B4D" w:rsidRPr="0028550A" w:rsidRDefault="00B13B4D" w:rsidP="00B13B4D">
            <w:pPr>
              <w:spacing w:line="276" w:lineRule="auto"/>
              <w:jc w:val="both"/>
              <w:rPr>
                <w:rFonts w:cstheme="minorHAnsi"/>
                <w:color w:val="000000" w:themeColor="text1"/>
                <w:sz w:val="24"/>
                <w:szCs w:val="24"/>
              </w:rPr>
            </w:pPr>
          </w:p>
          <w:p w14:paraId="117E17C9" w14:textId="77777777" w:rsidR="00B13B4D" w:rsidRPr="0028550A" w:rsidRDefault="00B13B4D" w:rsidP="00B13B4D">
            <w:pPr>
              <w:spacing w:line="276" w:lineRule="auto"/>
              <w:jc w:val="both"/>
              <w:rPr>
                <w:rFonts w:cstheme="minorHAnsi"/>
                <w:color w:val="000000" w:themeColor="text1"/>
                <w:sz w:val="24"/>
                <w:szCs w:val="24"/>
              </w:rPr>
            </w:pPr>
          </w:p>
          <w:p w14:paraId="2D6331EB"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El grueso de la población no tiene acceso a la firma digital, ni a los dispositivos requeridos para poder utilizarla (computadora). Por lo que se debería trabajar en acciones que permitan utilizar dispositivos móviles </w:t>
            </w:r>
            <w:r w:rsidRPr="0028550A">
              <w:rPr>
                <w:rFonts w:cstheme="minorHAnsi"/>
                <w:color w:val="000000" w:themeColor="text1"/>
                <w:sz w:val="24"/>
                <w:szCs w:val="24"/>
              </w:rPr>
              <w:lastRenderedPageBreak/>
              <w:t xml:space="preserve">(los más comunes en el país y la mayor fuente de conectividad a internet), u otros mecanismos que permitan a cualquier ciudadano con relativa facilidad y bajo costo poder hacer trámites de manera remota. </w:t>
            </w:r>
          </w:p>
          <w:p w14:paraId="517ECB2D" w14:textId="77777777" w:rsidR="00B13B4D" w:rsidRPr="0028550A" w:rsidRDefault="00B13B4D" w:rsidP="00B13B4D">
            <w:pPr>
              <w:spacing w:line="276" w:lineRule="auto"/>
              <w:jc w:val="both"/>
              <w:rPr>
                <w:rFonts w:cstheme="minorHAnsi"/>
                <w:color w:val="000000" w:themeColor="text1"/>
                <w:sz w:val="24"/>
                <w:szCs w:val="24"/>
              </w:rPr>
            </w:pPr>
          </w:p>
          <w:p w14:paraId="08457024"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Una condición básica para que se pueda extender el gobierno digital y que no fomente desigualdades, es que vaya acompañado de procesos de educación ciudadana, tanto sobre los procesos en sí, como sobre la tecnología en general. </w:t>
            </w:r>
          </w:p>
          <w:p w14:paraId="6AEBD30B" w14:textId="77777777" w:rsidR="00B13B4D" w:rsidRPr="0028550A" w:rsidRDefault="00B13B4D" w:rsidP="00B13B4D">
            <w:pPr>
              <w:spacing w:line="276" w:lineRule="auto"/>
              <w:jc w:val="both"/>
              <w:rPr>
                <w:rFonts w:cstheme="minorHAnsi"/>
                <w:color w:val="000000" w:themeColor="text1"/>
                <w:sz w:val="24"/>
                <w:szCs w:val="24"/>
              </w:rPr>
            </w:pPr>
          </w:p>
          <w:p w14:paraId="740C2F26"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Una cultura de datos abiertos permite no solo mayor transparencia sobre la gestión, si no el fomento de nuevas soluciones y oportunidades de negocio, tanto dentro del sector público como el sector privado. </w:t>
            </w:r>
          </w:p>
          <w:p w14:paraId="1279C336" w14:textId="77777777" w:rsidR="00B13B4D" w:rsidRPr="0028550A" w:rsidRDefault="00B13B4D" w:rsidP="00B13B4D">
            <w:pPr>
              <w:spacing w:line="276" w:lineRule="auto"/>
              <w:jc w:val="both"/>
              <w:rPr>
                <w:rFonts w:cstheme="minorHAnsi"/>
                <w:color w:val="000000" w:themeColor="text1"/>
                <w:sz w:val="24"/>
                <w:szCs w:val="24"/>
              </w:rPr>
            </w:pPr>
          </w:p>
          <w:p w14:paraId="58AF56FD" w14:textId="6442B293"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No es suficiente contar con la información adecuada para poder tomar decisiones, es fundamental que los funcionarios públicos cuenten con </w:t>
            </w:r>
            <w:r w:rsidRPr="0028550A">
              <w:rPr>
                <w:rFonts w:cstheme="minorHAnsi"/>
                <w:color w:val="000000" w:themeColor="text1"/>
                <w:sz w:val="24"/>
                <w:szCs w:val="24"/>
              </w:rPr>
              <w:lastRenderedPageBreak/>
              <w:t xml:space="preserve">los conocimientos técnicos adecuados, tanto en el manejo como interpretación, de los datos. </w:t>
            </w:r>
          </w:p>
        </w:tc>
      </w:tr>
      <w:tr w:rsidR="00B13B4D" w:rsidRPr="00EF20F7" w14:paraId="12D2A408" w14:textId="77777777" w:rsidTr="000E5B22">
        <w:trPr>
          <w:trHeight w:val="1009"/>
        </w:trPr>
        <w:tc>
          <w:tcPr>
            <w:tcW w:w="4195" w:type="dxa"/>
          </w:tcPr>
          <w:p w14:paraId="35EB8B51" w14:textId="77777777" w:rsidR="00B13B4D" w:rsidRPr="0028550A" w:rsidRDefault="00B13B4D" w:rsidP="00B13B4D">
            <w:pPr>
              <w:spacing w:line="276" w:lineRule="auto"/>
              <w:jc w:val="both"/>
              <w:rPr>
                <w:rFonts w:cstheme="minorHAnsi"/>
                <w:color w:val="000000" w:themeColor="text1"/>
                <w:sz w:val="24"/>
                <w:szCs w:val="24"/>
              </w:rPr>
            </w:pPr>
            <w:proofErr w:type="gramStart"/>
            <w:r w:rsidRPr="0028550A">
              <w:rPr>
                <w:rFonts w:cstheme="minorHAnsi"/>
                <w:color w:val="000000" w:themeColor="text1"/>
                <w:sz w:val="24"/>
                <w:szCs w:val="24"/>
              </w:rPr>
              <w:lastRenderedPageBreak/>
              <w:t>4.4.5  Transformación</w:t>
            </w:r>
            <w:proofErr w:type="gramEnd"/>
            <w:r w:rsidRPr="0028550A">
              <w:rPr>
                <w:rFonts w:cstheme="minorHAnsi"/>
                <w:color w:val="000000" w:themeColor="text1"/>
                <w:sz w:val="24"/>
                <w:szCs w:val="24"/>
              </w:rPr>
              <w:t xml:space="preserve"> digital. </w:t>
            </w:r>
          </w:p>
          <w:p w14:paraId="284C760C" w14:textId="77777777" w:rsidR="00B13B4D" w:rsidRPr="0028550A" w:rsidRDefault="00B13B4D" w:rsidP="00B13B4D">
            <w:pPr>
              <w:spacing w:line="276" w:lineRule="auto"/>
              <w:jc w:val="both"/>
              <w:rPr>
                <w:rFonts w:cstheme="minorHAnsi"/>
                <w:color w:val="000000" w:themeColor="text1"/>
                <w:sz w:val="24"/>
                <w:szCs w:val="24"/>
              </w:rPr>
            </w:pPr>
          </w:p>
          <w:p w14:paraId="1859791D" w14:textId="77777777" w:rsidR="00B13B4D" w:rsidRPr="0028550A" w:rsidRDefault="00B13B4D" w:rsidP="00B13B4D">
            <w:pPr>
              <w:spacing w:line="276" w:lineRule="auto"/>
              <w:jc w:val="both"/>
              <w:rPr>
                <w:rFonts w:cstheme="minorHAnsi"/>
                <w:b/>
                <w:bCs/>
                <w:color w:val="000000" w:themeColor="text1"/>
                <w:sz w:val="24"/>
                <w:szCs w:val="24"/>
              </w:rPr>
            </w:pPr>
            <w:r w:rsidRPr="0028550A">
              <w:rPr>
                <w:rFonts w:cstheme="minorHAnsi"/>
                <w:b/>
                <w:bCs/>
                <w:color w:val="000000" w:themeColor="text1"/>
                <w:sz w:val="24"/>
                <w:szCs w:val="24"/>
              </w:rPr>
              <w:t>Promoción del despliegue e inversión en infraestructura de telecomunicaciones</w:t>
            </w:r>
          </w:p>
          <w:p w14:paraId="3B87FD57" w14:textId="77777777" w:rsidR="00B13B4D" w:rsidRPr="0028550A" w:rsidRDefault="00B13B4D" w:rsidP="00B13B4D">
            <w:pPr>
              <w:spacing w:line="276" w:lineRule="auto"/>
              <w:jc w:val="both"/>
              <w:rPr>
                <w:rFonts w:cstheme="minorHAnsi"/>
                <w:b/>
                <w:bCs/>
                <w:color w:val="000000" w:themeColor="text1"/>
                <w:sz w:val="24"/>
                <w:szCs w:val="24"/>
              </w:rPr>
            </w:pPr>
          </w:p>
          <w:p w14:paraId="6B0EC819" w14:textId="77777777" w:rsidR="00B13B4D" w:rsidRPr="0028550A" w:rsidRDefault="00B13B4D" w:rsidP="00B13B4D">
            <w:pPr>
              <w:spacing w:line="276" w:lineRule="auto"/>
              <w:jc w:val="both"/>
              <w:rPr>
                <w:rFonts w:cstheme="minorHAnsi"/>
                <w:b/>
                <w:bCs/>
                <w:color w:val="000000" w:themeColor="text1"/>
                <w:sz w:val="24"/>
                <w:szCs w:val="24"/>
              </w:rPr>
            </w:pPr>
          </w:p>
          <w:p w14:paraId="311F4A97" w14:textId="77777777" w:rsidR="00B13B4D" w:rsidRPr="0028550A" w:rsidRDefault="00B13B4D" w:rsidP="00B13B4D">
            <w:pPr>
              <w:spacing w:line="276" w:lineRule="auto"/>
              <w:jc w:val="both"/>
              <w:rPr>
                <w:rFonts w:cstheme="minorHAnsi"/>
                <w:b/>
                <w:bCs/>
                <w:color w:val="000000" w:themeColor="text1"/>
                <w:sz w:val="24"/>
                <w:szCs w:val="24"/>
              </w:rPr>
            </w:pPr>
          </w:p>
          <w:p w14:paraId="187D3EBA" w14:textId="77777777" w:rsidR="00B13B4D" w:rsidRPr="0028550A" w:rsidRDefault="00B13B4D" w:rsidP="00B13B4D">
            <w:pPr>
              <w:spacing w:line="276" w:lineRule="auto"/>
              <w:jc w:val="both"/>
              <w:rPr>
                <w:rFonts w:cstheme="minorHAnsi"/>
                <w:b/>
                <w:bCs/>
                <w:color w:val="000000" w:themeColor="text1"/>
                <w:sz w:val="24"/>
                <w:szCs w:val="24"/>
              </w:rPr>
            </w:pPr>
          </w:p>
          <w:p w14:paraId="17DC1E12" w14:textId="77777777" w:rsidR="00B13B4D" w:rsidRPr="0028550A" w:rsidRDefault="00B13B4D" w:rsidP="00B13B4D">
            <w:pPr>
              <w:spacing w:line="276" w:lineRule="auto"/>
              <w:jc w:val="both"/>
              <w:rPr>
                <w:rFonts w:cstheme="minorHAnsi"/>
                <w:b/>
                <w:bCs/>
                <w:color w:val="000000" w:themeColor="text1"/>
                <w:sz w:val="24"/>
                <w:szCs w:val="24"/>
              </w:rPr>
            </w:pPr>
          </w:p>
          <w:p w14:paraId="0B2E416B" w14:textId="727A4A5D" w:rsidR="00B13B4D" w:rsidRPr="0028550A" w:rsidRDefault="00B13B4D" w:rsidP="00B13B4D">
            <w:pPr>
              <w:spacing w:line="276" w:lineRule="auto"/>
              <w:jc w:val="both"/>
              <w:rPr>
                <w:rFonts w:cstheme="minorHAnsi"/>
                <w:color w:val="000000" w:themeColor="text1"/>
                <w:sz w:val="24"/>
                <w:szCs w:val="24"/>
              </w:rPr>
            </w:pPr>
            <w:r w:rsidRPr="0028550A">
              <w:rPr>
                <w:rFonts w:cstheme="minorHAnsi"/>
                <w:b/>
                <w:bCs/>
                <w:color w:val="000000" w:themeColor="text1"/>
                <w:sz w:val="24"/>
                <w:szCs w:val="24"/>
              </w:rPr>
              <w:t>Fortalecimiento de acceso y servicio universal de telecomunicaciones</w:t>
            </w:r>
          </w:p>
        </w:tc>
        <w:tc>
          <w:tcPr>
            <w:tcW w:w="3880" w:type="dxa"/>
          </w:tcPr>
          <w:p w14:paraId="5883C9F8" w14:textId="77777777" w:rsidR="00B13B4D" w:rsidRPr="0028550A" w:rsidRDefault="00B13B4D" w:rsidP="00B13B4D">
            <w:pPr>
              <w:spacing w:line="276" w:lineRule="auto"/>
              <w:jc w:val="both"/>
              <w:rPr>
                <w:rFonts w:cstheme="minorHAnsi"/>
                <w:color w:val="000000" w:themeColor="text1"/>
                <w:sz w:val="24"/>
                <w:szCs w:val="24"/>
              </w:rPr>
            </w:pPr>
          </w:p>
          <w:p w14:paraId="52E8166B" w14:textId="77777777" w:rsidR="00B13B4D" w:rsidRPr="0028550A" w:rsidRDefault="00B13B4D" w:rsidP="00B13B4D">
            <w:pPr>
              <w:spacing w:line="276" w:lineRule="auto"/>
              <w:jc w:val="both"/>
              <w:rPr>
                <w:rFonts w:cstheme="minorHAnsi"/>
                <w:color w:val="000000" w:themeColor="text1"/>
                <w:sz w:val="24"/>
                <w:szCs w:val="24"/>
              </w:rPr>
            </w:pPr>
          </w:p>
          <w:p w14:paraId="2CB0F338"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Fomento y lanzamiento de política a infraestructura 5G</w:t>
            </w:r>
          </w:p>
          <w:p w14:paraId="1B6F77D9" w14:textId="77777777" w:rsidR="00B13B4D" w:rsidRPr="0028550A" w:rsidRDefault="00B13B4D" w:rsidP="00B13B4D">
            <w:pPr>
              <w:spacing w:line="276" w:lineRule="auto"/>
              <w:jc w:val="both"/>
              <w:rPr>
                <w:rFonts w:cstheme="minorHAnsi"/>
                <w:color w:val="000000" w:themeColor="text1"/>
                <w:sz w:val="24"/>
                <w:szCs w:val="24"/>
              </w:rPr>
            </w:pPr>
          </w:p>
          <w:p w14:paraId="1E5584C5" w14:textId="77777777" w:rsidR="00B13B4D" w:rsidRPr="0028550A" w:rsidRDefault="00B13B4D" w:rsidP="00B13B4D">
            <w:pPr>
              <w:spacing w:line="276" w:lineRule="auto"/>
              <w:jc w:val="both"/>
              <w:rPr>
                <w:rFonts w:cstheme="minorHAnsi"/>
                <w:color w:val="000000" w:themeColor="text1"/>
                <w:sz w:val="24"/>
                <w:szCs w:val="24"/>
              </w:rPr>
            </w:pPr>
          </w:p>
          <w:p w14:paraId="51D3313D" w14:textId="77777777" w:rsidR="00B13B4D" w:rsidRPr="0028550A" w:rsidRDefault="00B13B4D" w:rsidP="00B13B4D">
            <w:pPr>
              <w:spacing w:line="276" w:lineRule="auto"/>
              <w:jc w:val="both"/>
              <w:rPr>
                <w:rFonts w:cstheme="minorHAnsi"/>
                <w:color w:val="000000" w:themeColor="text1"/>
                <w:sz w:val="24"/>
                <w:szCs w:val="24"/>
              </w:rPr>
            </w:pPr>
          </w:p>
          <w:p w14:paraId="2E14C96D" w14:textId="77777777" w:rsidR="00B13B4D" w:rsidRPr="0028550A" w:rsidRDefault="00B13B4D" w:rsidP="00B13B4D">
            <w:pPr>
              <w:spacing w:line="276" w:lineRule="auto"/>
              <w:jc w:val="both"/>
              <w:rPr>
                <w:rFonts w:cstheme="minorHAnsi"/>
                <w:color w:val="000000" w:themeColor="text1"/>
                <w:sz w:val="24"/>
                <w:szCs w:val="24"/>
              </w:rPr>
            </w:pPr>
          </w:p>
          <w:p w14:paraId="6E803363" w14:textId="77777777" w:rsidR="00B13B4D" w:rsidRPr="0028550A" w:rsidRDefault="00B13B4D" w:rsidP="00B13B4D">
            <w:pPr>
              <w:spacing w:line="276" w:lineRule="auto"/>
              <w:jc w:val="both"/>
              <w:rPr>
                <w:rFonts w:cstheme="minorHAnsi"/>
                <w:color w:val="000000" w:themeColor="text1"/>
                <w:sz w:val="24"/>
                <w:szCs w:val="24"/>
              </w:rPr>
            </w:pPr>
          </w:p>
          <w:p w14:paraId="4740402B" w14:textId="77777777" w:rsidR="00B13B4D" w:rsidRPr="0028550A" w:rsidRDefault="00B13B4D" w:rsidP="00B13B4D">
            <w:pPr>
              <w:spacing w:line="276" w:lineRule="auto"/>
              <w:jc w:val="both"/>
              <w:rPr>
                <w:rFonts w:cstheme="minorHAnsi"/>
                <w:color w:val="000000" w:themeColor="text1"/>
                <w:sz w:val="24"/>
                <w:szCs w:val="24"/>
              </w:rPr>
            </w:pPr>
          </w:p>
          <w:p w14:paraId="08906E68" w14:textId="06EA9E59"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La promoción de proyectos dirigidos a la reducción de la brecha digital de acceso, deben tomar en cuenta también la calidad del acceso. </w:t>
            </w:r>
          </w:p>
        </w:tc>
        <w:tc>
          <w:tcPr>
            <w:tcW w:w="5105" w:type="dxa"/>
          </w:tcPr>
          <w:p w14:paraId="71C95EF2" w14:textId="77777777" w:rsidR="00B13B4D" w:rsidRPr="0028550A" w:rsidRDefault="00B13B4D" w:rsidP="00B13B4D">
            <w:pPr>
              <w:spacing w:line="276" w:lineRule="auto"/>
              <w:jc w:val="both"/>
              <w:rPr>
                <w:rFonts w:cstheme="minorHAnsi"/>
                <w:color w:val="000000" w:themeColor="text1"/>
                <w:sz w:val="24"/>
                <w:szCs w:val="24"/>
              </w:rPr>
            </w:pPr>
          </w:p>
          <w:p w14:paraId="554C66F8" w14:textId="77777777" w:rsidR="00B13B4D" w:rsidRPr="0028550A" w:rsidRDefault="00B13B4D" w:rsidP="00B13B4D">
            <w:pPr>
              <w:spacing w:line="276" w:lineRule="auto"/>
              <w:jc w:val="both"/>
              <w:rPr>
                <w:rFonts w:cstheme="minorHAnsi"/>
                <w:color w:val="000000" w:themeColor="text1"/>
                <w:sz w:val="24"/>
                <w:szCs w:val="24"/>
              </w:rPr>
            </w:pPr>
          </w:p>
          <w:p w14:paraId="6F171813" w14:textId="77777777"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Contar con infraestructura y política sobre 5G pronto representaría una oportunidad para actividades de I+D+i relacionadas en el país. Promoviendo no solo la generación de valor agregado, si no de empleos y preparación temprana para el futuro de las telecomunicaciones. </w:t>
            </w:r>
          </w:p>
          <w:p w14:paraId="640384E4" w14:textId="77777777" w:rsidR="00B13B4D" w:rsidRPr="0028550A" w:rsidRDefault="00B13B4D" w:rsidP="00B13B4D">
            <w:pPr>
              <w:spacing w:line="276" w:lineRule="auto"/>
              <w:jc w:val="both"/>
              <w:rPr>
                <w:rFonts w:cstheme="minorHAnsi"/>
                <w:color w:val="000000" w:themeColor="text1"/>
                <w:sz w:val="24"/>
                <w:szCs w:val="24"/>
              </w:rPr>
            </w:pPr>
          </w:p>
          <w:p w14:paraId="27E838AA" w14:textId="760DFF8F" w:rsidR="00B13B4D" w:rsidRPr="0028550A" w:rsidRDefault="00B13B4D" w:rsidP="00B13B4D">
            <w:pPr>
              <w:spacing w:line="276" w:lineRule="auto"/>
              <w:jc w:val="both"/>
              <w:rPr>
                <w:rFonts w:cstheme="minorHAnsi"/>
                <w:color w:val="000000" w:themeColor="text1"/>
                <w:sz w:val="24"/>
                <w:szCs w:val="24"/>
              </w:rPr>
            </w:pPr>
            <w:r w:rsidRPr="0028550A">
              <w:rPr>
                <w:rFonts w:cstheme="minorHAnsi"/>
                <w:color w:val="000000" w:themeColor="text1"/>
                <w:sz w:val="24"/>
                <w:szCs w:val="24"/>
              </w:rPr>
              <w:t xml:space="preserve">La brecha digital no se cierra solamente con asegurar que todas las personas tengan acceso, si no que aquellos que menos tengan, tengan un mínimo de calidad en ese acceso y que cuenten con los dispositivos adecuados que les permitan desarrollar sus actividades en línea con facilidad y fomente un uso que genere mayores oportunidades de desarrollo. </w:t>
            </w:r>
          </w:p>
        </w:tc>
      </w:tr>
    </w:tbl>
    <w:p w14:paraId="3C1B9BF6" w14:textId="77777777" w:rsidR="00F96C7D" w:rsidRPr="00EF20F7" w:rsidRDefault="00F96C7D"/>
    <w:sectPr w:rsidR="00F96C7D" w:rsidRPr="00EF20F7" w:rsidSect="008E5F1A">
      <w:head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0463" w14:textId="77777777" w:rsidR="005E6B01" w:rsidRDefault="005E6B01" w:rsidP="008E5F1A">
      <w:pPr>
        <w:spacing w:after="0" w:line="240" w:lineRule="auto"/>
      </w:pPr>
      <w:r>
        <w:separator/>
      </w:r>
    </w:p>
  </w:endnote>
  <w:endnote w:type="continuationSeparator" w:id="0">
    <w:p w14:paraId="0F5430AD" w14:textId="77777777" w:rsidR="005E6B01" w:rsidRDefault="005E6B01" w:rsidP="008E5F1A">
      <w:pPr>
        <w:spacing w:after="0" w:line="240" w:lineRule="auto"/>
      </w:pPr>
      <w:r>
        <w:continuationSeparator/>
      </w:r>
    </w:p>
  </w:endnote>
  <w:endnote w:type="continuationNotice" w:id="1">
    <w:p w14:paraId="36F4B499" w14:textId="77777777" w:rsidR="005E6B01" w:rsidRDefault="005E6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227C" w14:textId="77777777" w:rsidR="005E6B01" w:rsidRDefault="005E6B01" w:rsidP="008E5F1A">
      <w:pPr>
        <w:spacing w:after="0" w:line="240" w:lineRule="auto"/>
      </w:pPr>
      <w:r>
        <w:separator/>
      </w:r>
    </w:p>
  </w:footnote>
  <w:footnote w:type="continuationSeparator" w:id="0">
    <w:p w14:paraId="1E74E8C3" w14:textId="77777777" w:rsidR="005E6B01" w:rsidRDefault="005E6B01" w:rsidP="008E5F1A">
      <w:pPr>
        <w:spacing w:after="0" w:line="240" w:lineRule="auto"/>
      </w:pPr>
      <w:r>
        <w:continuationSeparator/>
      </w:r>
    </w:p>
  </w:footnote>
  <w:footnote w:type="continuationNotice" w:id="1">
    <w:p w14:paraId="06B53357" w14:textId="77777777" w:rsidR="005E6B01" w:rsidRDefault="005E6B01">
      <w:pPr>
        <w:spacing w:after="0" w:line="240" w:lineRule="auto"/>
      </w:pPr>
    </w:p>
  </w:footnote>
  <w:footnote w:id="2">
    <w:p w14:paraId="3420A16C" w14:textId="2AD1C085" w:rsidR="007E0693" w:rsidRDefault="007E0693">
      <w:pPr>
        <w:pStyle w:val="Textonotapie"/>
      </w:pPr>
      <w:r>
        <w:rPr>
          <w:rStyle w:val="Refdenotaalpie"/>
        </w:rPr>
        <w:footnoteRef/>
      </w:r>
      <w:r>
        <w:t xml:space="preserve">Estudio Económico sobre Costa Rica de la OCDE 2018, disponible en: </w:t>
      </w:r>
      <w:hyperlink r:id="rId1" w:history="1">
        <w:r w:rsidRPr="00C95012">
          <w:rPr>
            <w:rStyle w:val="Hipervnculo"/>
          </w:rPr>
          <w:t>https://www.comex.go.cr/media/5221/estudio-econ%C3%B3mico-de-costa-rica-2016.pdf</w:t>
        </w:r>
      </w:hyperlink>
    </w:p>
    <w:p w14:paraId="5F905531" w14:textId="62ADEE13" w:rsidR="007E0693" w:rsidRDefault="009C7AFE">
      <w:pPr>
        <w:pStyle w:val="Textonotapie"/>
      </w:pPr>
      <w:r w:rsidRPr="009C7AFE">
        <w:t>Revisión de la OCDE en política de innovación: Costa Rica 2017</w:t>
      </w:r>
      <w:r w:rsidR="00E501EF">
        <w:t>, d</w:t>
      </w:r>
      <w:r w:rsidR="00CF7EBC">
        <w:t xml:space="preserve">isponible en: </w:t>
      </w:r>
      <w:hyperlink r:id="rId2" w:anchor="page1" w:history="1">
        <w:r w:rsidR="00CF7EBC" w:rsidRPr="00C95012">
          <w:rPr>
            <w:rStyle w:val="Hipervnculo"/>
          </w:rPr>
          <w:t>https://read.oecd-ilibrary.org/science-and-technology/oecd-reviews-of-innovation-policy-costa-rica-2017_9789264271654-en#page1</w:t>
        </w:r>
      </w:hyperlink>
      <w:r w:rsidR="00CF7EBC">
        <w:t xml:space="preserve"> </w:t>
      </w:r>
    </w:p>
  </w:footnote>
  <w:footnote w:id="3">
    <w:p w14:paraId="06BEB5FA" w14:textId="4CB9E838" w:rsidR="009E4062" w:rsidRDefault="009E4062">
      <w:pPr>
        <w:pStyle w:val="Textonotapie"/>
      </w:pPr>
      <w:r>
        <w:rPr>
          <w:rStyle w:val="Refdenotaalpie"/>
        </w:rPr>
        <w:footnoteRef/>
      </w:r>
      <w:r>
        <w:t xml:space="preserve"> Disponible en: </w:t>
      </w:r>
      <w:hyperlink r:id="rId3" w:history="1">
        <w:r w:rsidRPr="00C95012">
          <w:rPr>
            <w:rStyle w:val="Hipervnculo"/>
          </w:rPr>
          <w:t>https://www.comex.go.cr/media/8708/evaluaci%C3%B3n-ocde_sen_cr_espa%C3%B1ol.pdf</w:t>
        </w:r>
      </w:hyperlink>
      <w:r>
        <w:t xml:space="preserve"> </w:t>
      </w:r>
    </w:p>
  </w:footnote>
  <w:footnote w:id="4">
    <w:p w14:paraId="7E41768F" w14:textId="10EAA4F7" w:rsidR="0010789A" w:rsidRDefault="0010789A">
      <w:pPr>
        <w:pStyle w:val="Textonotapie"/>
      </w:pPr>
      <w:r>
        <w:rPr>
          <w:rStyle w:val="Refdenotaalpie"/>
        </w:rPr>
        <w:footnoteRef/>
      </w:r>
      <w:r>
        <w:t xml:space="preserve"> Disponible en: </w:t>
      </w:r>
      <w:hyperlink r:id="rId4" w:history="1">
        <w:r w:rsidRPr="00C95012">
          <w:rPr>
            <w:rStyle w:val="Hipervnculo"/>
          </w:rPr>
          <w:t>https://www.oecd.org/legal/legal-instruments.htm</w:t>
        </w:r>
      </w:hyperlink>
      <w:r>
        <w:t xml:space="preserve"> </w:t>
      </w:r>
    </w:p>
  </w:footnote>
  <w:footnote w:id="5">
    <w:p w14:paraId="5E6DAC13" w14:textId="69A182D6" w:rsidR="001903C4" w:rsidRDefault="001903C4">
      <w:pPr>
        <w:pStyle w:val="Textonotapie"/>
      </w:pPr>
      <w:r>
        <w:rPr>
          <w:rStyle w:val="Refdenotaalpie"/>
        </w:rPr>
        <w:footnoteRef/>
      </w:r>
      <w:r>
        <w:t xml:space="preserve"> Disponible en: </w:t>
      </w:r>
      <w:hyperlink r:id="rId5" w:history="1">
        <w:r w:rsidR="00C31203" w:rsidRPr="00C95012">
          <w:rPr>
            <w:rStyle w:val="Hipervnculo"/>
          </w:rPr>
          <w:t>https://www.comex.go.cr/media/8136/ocde-estudio-economico-costa-rica-2020.pdf</w:t>
        </w:r>
      </w:hyperlink>
      <w:r w:rsidR="00C31203">
        <w:t xml:space="preserve"> </w:t>
      </w:r>
    </w:p>
  </w:footnote>
  <w:footnote w:id="6">
    <w:p w14:paraId="4FA7B587" w14:textId="0188EDD0" w:rsidR="00B55480" w:rsidRDefault="00B55480">
      <w:pPr>
        <w:pStyle w:val="Textonotapie"/>
      </w:pPr>
      <w:r>
        <w:rPr>
          <w:rStyle w:val="Refdenotaalpie"/>
        </w:rPr>
        <w:footnoteRef/>
      </w:r>
      <w:r>
        <w:t xml:space="preserve"> Disponible en: </w:t>
      </w:r>
      <w:hyperlink r:id="rId6" w:history="1">
        <w:r w:rsidRPr="00C95012">
          <w:rPr>
            <w:rStyle w:val="Hipervnculo"/>
          </w:rPr>
          <w:t>https://www.comex.go.cr/media/6037/researchproductivitycri_2018.pdf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7B91" w14:textId="5087FC22" w:rsidR="008E5F1A" w:rsidRPr="008E5F1A" w:rsidRDefault="008E5F1A" w:rsidP="008E5F1A">
    <w:pPr>
      <w:pStyle w:val="Encabezado"/>
      <w:jc w:val="center"/>
      <w:rPr>
        <w:rFonts w:ascii="Arial" w:hAnsi="Arial" w:cs="Arial"/>
        <w:b/>
        <w:bCs/>
        <w:color w:val="2F5496" w:themeColor="accent1" w:themeShade="BF"/>
      </w:rPr>
    </w:pPr>
    <w:r w:rsidRPr="008E5F1A">
      <w:rPr>
        <w:rFonts w:ascii="Arial" w:hAnsi="Arial" w:cs="Arial"/>
        <w:b/>
        <w:bCs/>
        <w:noProof/>
        <w:color w:val="2F5496" w:themeColor="accent1" w:themeShade="BF"/>
      </w:rPr>
      <w:drawing>
        <wp:anchor distT="0" distB="0" distL="114300" distR="114300" simplePos="0" relativeHeight="251658240" behindDoc="0" locked="0" layoutInCell="1" allowOverlap="1" wp14:anchorId="0BE07D5F" wp14:editId="7C4285FB">
          <wp:simplePos x="0" y="0"/>
          <wp:positionH relativeFrom="column">
            <wp:posOffset>-317772</wp:posOffset>
          </wp:positionH>
          <wp:positionV relativeFrom="paragraph">
            <wp:posOffset>-161381</wp:posOffset>
          </wp:positionV>
          <wp:extent cx="1144870" cy="664029"/>
          <wp:effectExtent l="0" t="0" r="0" b="3175"/>
          <wp:wrapThrough wrapText="bothSides">
            <wp:wrapPolygon edited="0">
              <wp:start x="0" y="0"/>
              <wp:lineTo x="0" y="21083"/>
              <wp:lineTo x="21216" y="21083"/>
              <wp:lineTo x="21216" y="0"/>
              <wp:lineTo x="0" y="0"/>
            </wp:wrapPolygon>
          </wp:wrapThrough>
          <wp:docPr id="32" name="Imagen 31">
            <a:extLst xmlns:a="http://schemas.openxmlformats.org/drawingml/2006/main">
              <a:ext uri="{FF2B5EF4-FFF2-40B4-BE49-F238E27FC236}">
                <a16:creationId xmlns:a16="http://schemas.microsoft.com/office/drawing/2014/main" id="{86117E43-6263-4D3B-A12C-CD5F8110A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1">
                    <a:extLst>
                      <a:ext uri="{FF2B5EF4-FFF2-40B4-BE49-F238E27FC236}">
                        <a16:creationId xmlns:a16="http://schemas.microsoft.com/office/drawing/2014/main" id="{86117E43-6263-4D3B-A12C-CD5F8110A96B}"/>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267" t="19600" r="9681" b="18272"/>
                  <a:stretch/>
                </pic:blipFill>
                <pic:spPr>
                  <a:xfrm>
                    <a:off x="0" y="0"/>
                    <a:ext cx="1144870" cy="664029"/>
                  </a:xfrm>
                  <a:prstGeom prst="rect">
                    <a:avLst/>
                  </a:prstGeom>
                </pic:spPr>
              </pic:pic>
            </a:graphicData>
          </a:graphic>
          <wp14:sizeRelH relativeFrom="page">
            <wp14:pctWidth>0</wp14:pctWidth>
          </wp14:sizeRelH>
          <wp14:sizeRelV relativeFrom="page">
            <wp14:pctHeight>0</wp14:pctHeight>
          </wp14:sizeRelV>
        </wp:anchor>
      </w:drawing>
    </w:r>
    <w:r w:rsidR="28C28CAE" w:rsidRPr="008E5F1A">
      <w:rPr>
        <w:rFonts w:ascii="Arial" w:hAnsi="Arial" w:cs="Arial"/>
        <w:b/>
        <w:bCs/>
        <w:color w:val="2F5496" w:themeColor="accent1" w:themeShade="BF"/>
      </w:rPr>
      <w:t>Sector de Ciencia, Tecnología, Telecomunicaciones y Gobernanza Digital</w:t>
    </w:r>
  </w:p>
  <w:p w14:paraId="5F66329D" w14:textId="0066F7D3" w:rsidR="008E5F1A" w:rsidRPr="008E5F1A" w:rsidRDefault="008E5F1A" w:rsidP="008E5F1A">
    <w:pPr>
      <w:pStyle w:val="Encabezado"/>
      <w:jc w:val="center"/>
      <w:rPr>
        <w:rFonts w:ascii="Arial" w:hAnsi="Arial" w:cs="Arial"/>
        <w:b/>
        <w:bCs/>
        <w:color w:val="2F5496" w:themeColor="accent1" w:themeShade="BF"/>
      </w:rPr>
    </w:pPr>
    <w:r w:rsidRPr="008E5F1A">
      <w:rPr>
        <w:rFonts w:ascii="Arial" w:hAnsi="Arial" w:cs="Arial"/>
        <w:b/>
        <w:bCs/>
        <w:color w:val="2F5496" w:themeColor="accent1" w:themeShade="BF"/>
      </w:rPr>
      <w:t>Consulta Política Nacional de Sociedad y Economía Basadas en el Conocimiento.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1A"/>
    <w:rsid w:val="000051C9"/>
    <w:rsid w:val="000102D6"/>
    <w:rsid w:val="00010627"/>
    <w:rsid w:val="00012264"/>
    <w:rsid w:val="000206EF"/>
    <w:rsid w:val="000242D1"/>
    <w:rsid w:val="00030732"/>
    <w:rsid w:val="000375B1"/>
    <w:rsid w:val="00040718"/>
    <w:rsid w:val="00044881"/>
    <w:rsid w:val="000517ED"/>
    <w:rsid w:val="00051B53"/>
    <w:rsid w:val="00055B6B"/>
    <w:rsid w:val="00057D06"/>
    <w:rsid w:val="00060B12"/>
    <w:rsid w:val="00062E8B"/>
    <w:rsid w:val="00065AD6"/>
    <w:rsid w:val="00066CCC"/>
    <w:rsid w:val="0006704D"/>
    <w:rsid w:val="00073FDE"/>
    <w:rsid w:val="000824CF"/>
    <w:rsid w:val="000826C3"/>
    <w:rsid w:val="000850FC"/>
    <w:rsid w:val="000940EB"/>
    <w:rsid w:val="000969FC"/>
    <w:rsid w:val="000B0D85"/>
    <w:rsid w:val="000B6D5C"/>
    <w:rsid w:val="000C0782"/>
    <w:rsid w:val="000C2392"/>
    <w:rsid w:val="000C58CD"/>
    <w:rsid w:val="000D5380"/>
    <w:rsid w:val="000E5B22"/>
    <w:rsid w:val="000F0BA0"/>
    <w:rsid w:val="000F1B53"/>
    <w:rsid w:val="000F6ABE"/>
    <w:rsid w:val="000F6F9D"/>
    <w:rsid w:val="000F71A5"/>
    <w:rsid w:val="00100A7D"/>
    <w:rsid w:val="00100FCE"/>
    <w:rsid w:val="001023E2"/>
    <w:rsid w:val="00102617"/>
    <w:rsid w:val="00104A82"/>
    <w:rsid w:val="0010789A"/>
    <w:rsid w:val="00107CEF"/>
    <w:rsid w:val="00107ED8"/>
    <w:rsid w:val="00112949"/>
    <w:rsid w:val="0012141D"/>
    <w:rsid w:val="00125287"/>
    <w:rsid w:val="001271BD"/>
    <w:rsid w:val="00147C18"/>
    <w:rsid w:val="00150391"/>
    <w:rsid w:val="0015419B"/>
    <w:rsid w:val="00154205"/>
    <w:rsid w:val="00155761"/>
    <w:rsid w:val="00160668"/>
    <w:rsid w:val="00171A07"/>
    <w:rsid w:val="001746F5"/>
    <w:rsid w:val="0018143B"/>
    <w:rsid w:val="0018390A"/>
    <w:rsid w:val="001903C4"/>
    <w:rsid w:val="001E2509"/>
    <w:rsid w:val="001E5CFB"/>
    <w:rsid w:val="001F0BAD"/>
    <w:rsid w:val="001F409E"/>
    <w:rsid w:val="001F68BC"/>
    <w:rsid w:val="002007A9"/>
    <w:rsid w:val="00200C5A"/>
    <w:rsid w:val="00200D7B"/>
    <w:rsid w:val="0020414A"/>
    <w:rsid w:val="00213FE4"/>
    <w:rsid w:val="002145B9"/>
    <w:rsid w:val="002237F0"/>
    <w:rsid w:val="00234A8F"/>
    <w:rsid w:val="002361D4"/>
    <w:rsid w:val="0023768B"/>
    <w:rsid w:val="0024070D"/>
    <w:rsid w:val="00243931"/>
    <w:rsid w:val="00246239"/>
    <w:rsid w:val="00246845"/>
    <w:rsid w:val="00247A1A"/>
    <w:rsid w:val="002554FF"/>
    <w:rsid w:val="0025758F"/>
    <w:rsid w:val="00264E79"/>
    <w:rsid w:val="00266952"/>
    <w:rsid w:val="00271C5C"/>
    <w:rsid w:val="002750E1"/>
    <w:rsid w:val="00280860"/>
    <w:rsid w:val="0028550A"/>
    <w:rsid w:val="00285510"/>
    <w:rsid w:val="002862B3"/>
    <w:rsid w:val="002914BB"/>
    <w:rsid w:val="00292879"/>
    <w:rsid w:val="002942CA"/>
    <w:rsid w:val="0029555C"/>
    <w:rsid w:val="00296772"/>
    <w:rsid w:val="0029770B"/>
    <w:rsid w:val="002A0708"/>
    <w:rsid w:val="002A19FD"/>
    <w:rsid w:val="002B702C"/>
    <w:rsid w:val="002C01A0"/>
    <w:rsid w:val="002C4BFF"/>
    <w:rsid w:val="002D4534"/>
    <w:rsid w:val="002E0E68"/>
    <w:rsid w:val="002F2F63"/>
    <w:rsid w:val="002F3D32"/>
    <w:rsid w:val="002F58C5"/>
    <w:rsid w:val="00300386"/>
    <w:rsid w:val="00301FD6"/>
    <w:rsid w:val="00302E93"/>
    <w:rsid w:val="00317018"/>
    <w:rsid w:val="003214BA"/>
    <w:rsid w:val="0032301C"/>
    <w:rsid w:val="00347FE1"/>
    <w:rsid w:val="00354A0F"/>
    <w:rsid w:val="0037097B"/>
    <w:rsid w:val="00374CC6"/>
    <w:rsid w:val="003769A9"/>
    <w:rsid w:val="00383465"/>
    <w:rsid w:val="003855BA"/>
    <w:rsid w:val="00391331"/>
    <w:rsid w:val="003A0209"/>
    <w:rsid w:val="003A2013"/>
    <w:rsid w:val="003A7C44"/>
    <w:rsid w:val="003D1CDD"/>
    <w:rsid w:val="003F0B02"/>
    <w:rsid w:val="003F19ED"/>
    <w:rsid w:val="0040752E"/>
    <w:rsid w:val="00407BD0"/>
    <w:rsid w:val="004108C8"/>
    <w:rsid w:val="00412B68"/>
    <w:rsid w:val="0041389B"/>
    <w:rsid w:val="00413DD3"/>
    <w:rsid w:val="0041446F"/>
    <w:rsid w:val="004320AF"/>
    <w:rsid w:val="0043658C"/>
    <w:rsid w:val="00442F6E"/>
    <w:rsid w:val="00447F63"/>
    <w:rsid w:val="0045040E"/>
    <w:rsid w:val="004553BD"/>
    <w:rsid w:val="0045588B"/>
    <w:rsid w:val="0046228B"/>
    <w:rsid w:val="00470AFF"/>
    <w:rsid w:val="00474C77"/>
    <w:rsid w:val="004809A7"/>
    <w:rsid w:val="00484CC8"/>
    <w:rsid w:val="00484CD5"/>
    <w:rsid w:val="0049071B"/>
    <w:rsid w:val="00497108"/>
    <w:rsid w:val="004B4DBF"/>
    <w:rsid w:val="004B4EB1"/>
    <w:rsid w:val="004B7F10"/>
    <w:rsid w:val="004C18C2"/>
    <w:rsid w:val="004C18F0"/>
    <w:rsid w:val="004C1E86"/>
    <w:rsid w:val="004D0A9A"/>
    <w:rsid w:val="004D78E1"/>
    <w:rsid w:val="004E0E27"/>
    <w:rsid w:val="004E1E5B"/>
    <w:rsid w:val="004E38F9"/>
    <w:rsid w:val="004F706A"/>
    <w:rsid w:val="004F73D8"/>
    <w:rsid w:val="004F7E0C"/>
    <w:rsid w:val="005035E7"/>
    <w:rsid w:val="00512F71"/>
    <w:rsid w:val="0052049E"/>
    <w:rsid w:val="00521C64"/>
    <w:rsid w:val="00526A60"/>
    <w:rsid w:val="00527996"/>
    <w:rsid w:val="00533FB6"/>
    <w:rsid w:val="00542CE6"/>
    <w:rsid w:val="00544DC2"/>
    <w:rsid w:val="00547D6F"/>
    <w:rsid w:val="00553C8A"/>
    <w:rsid w:val="00556A6B"/>
    <w:rsid w:val="00556E30"/>
    <w:rsid w:val="005622AA"/>
    <w:rsid w:val="005660DB"/>
    <w:rsid w:val="00566EB4"/>
    <w:rsid w:val="005709E0"/>
    <w:rsid w:val="005712C6"/>
    <w:rsid w:val="0057720A"/>
    <w:rsid w:val="00581D84"/>
    <w:rsid w:val="00582303"/>
    <w:rsid w:val="005B640F"/>
    <w:rsid w:val="005C0C3C"/>
    <w:rsid w:val="005C1514"/>
    <w:rsid w:val="005C6DAB"/>
    <w:rsid w:val="005D130D"/>
    <w:rsid w:val="005D1CB2"/>
    <w:rsid w:val="005D1D60"/>
    <w:rsid w:val="005D7207"/>
    <w:rsid w:val="005E6190"/>
    <w:rsid w:val="005E6B01"/>
    <w:rsid w:val="005E6B61"/>
    <w:rsid w:val="005F0F4E"/>
    <w:rsid w:val="00600B26"/>
    <w:rsid w:val="006047CF"/>
    <w:rsid w:val="006055EC"/>
    <w:rsid w:val="00612F33"/>
    <w:rsid w:val="00613B9A"/>
    <w:rsid w:val="00614D79"/>
    <w:rsid w:val="00614F8F"/>
    <w:rsid w:val="006157CE"/>
    <w:rsid w:val="00621AED"/>
    <w:rsid w:val="00635186"/>
    <w:rsid w:val="0064550B"/>
    <w:rsid w:val="006505AC"/>
    <w:rsid w:val="006547D1"/>
    <w:rsid w:val="00655FAB"/>
    <w:rsid w:val="006578A1"/>
    <w:rsid w:val="00662305"/>
    <w:rsid w:val="00663BE2"/>
    <w:rsid w:val="0067114B"/>
    <w:rsid w:val="00674CE5"/>
    <w:rsid w:val="00677B60"/>
    <w:rsid w:val="006824C9"/>
    <w:rsid w:val="00684F03"/>
    <w:rsid w:val="00692B0F"/>
    <w:rsid w:val="00697276"/>
    <w:rsid w:val="006A0295"/>
    <w:rsid w:val="006A1745"/>
    <w:rsid w:val="006A4439"/>
    <w:rsid w:val="006A7CCF"/>
    <w:rsid w:val="006B431E"/>
    <w:rsid w:val="006B5F83"/>
    <w:rsid w:val="006C280A"/>
    <w:rsid w:val="006C334E"/>
    <w:rsid w:val="006D78BA"/>
    <w:rsid w:val="006E30F5"/>
    <w:rsid w:val="006E6513"/>
    <w:rsid w:val="006E7AF8"/>
    <w:rsid w:val="006F2F01"/>
    <w:rsid w:val="00701B79"/>
    <w:rsid w:val="00710450"/>
    <w:rsid w:val="007141E1"/>
    <w:rsid w:val="00716375"/>
    <w:rsid w:val="00716854"/>
    <w:rsid w:val="00723618"/>
    <w:rsid w:val="00723E89"/>
    <w:rsid w:val="00725A30"/>
    <w:rsid w:val="00734076"/>
    <w:rsid w:val="00737A98"/>
    <w:rsid w:val="00746147"/>
    <w:rsid w:val="0074719E"/>
    <w:rsid w:val="00747E10"/>
    <w:rsid w:val="00747F88"/>
    <w:rsid w:val="0075108C"/>
    <w:rsid w:val="007554EB"/>
    <w:rsid w:val="007563A0"/>
    <w:rsid w:val="00762ED1"/>
    <w:rsid w:val="0076457B"/>
    <w:rsid w:val="00766DA3"/>
    <w:rsid w:val="00767E3B"/>
    <w:rsid w:val="007729D4"/>
    <w:rsid w:val="007741F5"/>
    <w:rsid w:val="00774602"/>
    <w:rsid w:val="00775B51"/>
    <w:rsid w:val="0078507D"/>
    <w:rsid w:val="007879ED"/>
    <w:rsid w:val="007961CE"/>
    <w:rsid w:val="00796214"/>
    <w:rsid w:val="007963D0"/>
    <w:rsid w:val="007A7496"/>
    <w:rsid w:val="007B1983"/>
    <w:rsid w:val="007B338A"/>
    <w:rsid w:val="007B4224"/>
    <w:rsid w:val="007B5A39"/>
    <w:rsid w:val="007C4CFB"/>
    <w:rsid w:val="007D015E"/>
    <w:rsid w:val="007D12F3"/>
    <w:rsid w:val="007D790B"/>
    <w:rsid w:val="007E0693"/>
    <w:rsid w:val="007E2F60"/>
    <w:rsid w:val="007E30D9"/>
    <w:rsid w:val="007E330C"/>
    <w:rsid w:val="007E481D"/>
    <w:rsid w:val="007E565D"/>
    <w:rsid w:val="007E5C43"/>
    <w:rsid w:val="007E7382"/>
    <w:rsid w:val="007F14B7"/>
    <w:rsid w:val="007F3C88"/>
    <w:rsid w:val="00803A79"/>
    <w:rsid w:val="00803BAC"/>
    <w:rsid w:val="00806C48"/>
    <w:rsid w:val="00807F3F"/>
    <w:rsid w:val="00810673"/>
    <w:rsid w:val="0081421D"/>
    <w:rsid w:val="008247BD"/>
    <w:rsid w:val="00832780"/>
    <w:rsid w:val="00836CCF"/>
    <w:rsid w:val="00852932"/>
    <w:rsid w:val="00852B76"/>
    <w:rsid w:val="00855133"/>
    <w:rsid w:val="008652FE"/>
    <w:rsid w:val="0087133E"/>
    <w:rsid w:val="00872707"/>
    <w:rsid w:val="008754F9"/>
    <w:rsid w:val="00885BBD"/>
    <w:rsid w:val="00885D5D"/>
    <w:rsid w:val="00891D2A"/>
    <w:rsid w:val="00897076"/>
    <w:rsid w:val="00897F87"/>
    <w:rsid w:val="008A3407"/>
    <w:rsid w:val="008A4CA1"/>
    <w:rsid w:val="008A6F7B"/>
    <w:rsid w:val="008B4CC8"/>
    <w:rsid w:val="008B6934"/>
    <w:rsid w:val="008C72D9"/>
    <w:rsid w:val="008C7F4B"/>
    <w:rsid w:val="008D0EB5"/>
    <w:rsid w:val="008D4634"/>
    <w:rsid w:val="008D6AD6"/>
    <w:rsid w:val="008D6E78"/>
    <w:rsid w:val="008E5F1A"/>
    <w:rsid w:val="008F24C9"/>
    <w:rsid w:val="008F4AB3"/>
    <w:rsid w:val="008F5101"/>
    <w:rsid w:val="008F725F"/>
    <w:rsid w:val="0090743D"/>
    <w:rsid w:val="009115D6"/>
    <w:rsid w:val="00911B2C"/>
    <w:rsid w:val="00915D1C"/>
    <w:rsid w:val="00917D38"/>
    <w:rsid w:val="00920733"/>
    <w:rsid w:val="00923293"/>
    <w:rsid w:val="009256D2"/>
    <w:rsid w:val="00930214"/>
    <w:rsid w:val="00940BF9"/>
    <w:rsid w:val="00943EB4"/>
    <w:rsid w:val="009466A4"/>
    <w:rsid w:val="0095778D"/>
    <w:rsid w:val="009617B5"/>
    <w:rsid w:val="00964109"/>
    <w:rsid w:val="0097139B"/>
    <w:rsid w:val="009756C7"/>
    <w:rsid w:val="009C344B"/>
    <w:rsid w:val="009C7AFE"/>
    <w:rsid w:val="009D1333"/>
    <w:rsid w:val="009D21EA"/>
    <w:rsid w:val="009D2D31"/>
    <w:rsid w:val="009D5635"/>
    <w:rsid w:val="009D6DE1"/>
    <w:rsid w:val="009E0201"/>
    <w:rsid w:val="009E0F8A"/>
    <w:rsid w:val="009E4062"/>
    <w:rsid w:val="009E5DA9"/>
    <w:rsid w:val="009E75CA"/>
    <w:rsid w:val="009F622F"/>
    <w:rsid w:val="00A00C90"/>
    <w:rsid w:val="00A03C74"/>
    <w:rsid w:val="00A059FF"/>
    <w:rsid w:val="00A07628"/>
    <w:rsid w:val="00A147B8"/>
    <w:rsid w:val="00A163B3"/>
    <w:rsid w:val="00A17AE7"/>
    <w:rsid w:val="00A221D6"/>
    <w:rsid w:val="00A225F5"/>
    <w:rsid w:val="00A23F01"/>
    <w:rsid w:val="00A27250"/>
    <w:rsid w:val="00A35F0C"/>
    <w:rsid w:val="00A37D45"/>
    <w:rsid w:val="00A42BB4"/>
    <w:rsid w:val="00A454ED"/>
    <w:rsid w:val="00A47172"/>
    <w:rsid w:val="00A57A21"/>
    <w:rsid w:val="00A646CD"/>
    <w:rsid w:val="00A714CC"/>
    <w:rsid w:val="00A728BB"/>
    <w:rsid w:val="00A81A6C"/>
    <w:rsid w:val="00A82107"/>
    <w:rsid w:val="00A84EC6"/>
    <w:rsid w:val="00A86D9F"/>
    <w:rsid w:val="00A94510"/>
    <w:rsid w:val="00A97765"/>
    <w:rsid w:val="00AA699E"/>
    <w:rsid w:val="00AC6274"/>
    <w:rsid w:val="00AD2063"/>
    <w:rsid w:val="00AD24E1"/>
    <w:rsid w:val="00AD2E1A"/>
    <w:rsid w:val="00AD59C2"/>
    <w:rsid w:val="00AD663A"/>
    <w:rsid w:val="00AD6CC5"/>
    <w:rsid w:val="00AE5EA8"/>
    <w:rsid w:val="00AF466B"/>
    <w:rsid w:val="00B0383B"/>
    <w:rsid w:val="00B066F2"/>
    <w:rsid w:val="00B07B4B"/>
    <w:rsid w:val="00B12AD8"/>
    <w:rsid w:val="00B13B4D"/>
    <w:rsid w:val="00B230DA"/>
    <w:rsid w:val="00B2361D"/>
    <w:rsid w:val="00B2479E"/>
    <w:rsid w:val="00B278CE"/>
    <w:rsid w:val="00B32938"/>
    <w:rsid w:val="00B41DC2"/>
    <w:rsid w:val="00B44FAA"/>
    <w:rsid w:val="00B47D6B"/>
    <w:rsid w:val="00B50FEF"/>
    <w:rsid w:val="00B51A9A"/>
    <w:rsid w:val="00B54072"/>
    <w:rsid w:val="00B5505E"/>
    <w:rsid w:val="00B55480"/>
    <w:rsid w:val="00B576F8"/>
    <w:rsid w:val="00B57D29"/>
    <w:rsid w:val="00B60376"/>
    <w:rsid w:val="00B6271F"/>
    <w:rsid w:val="00B63F6E"/>
    <w:rsid w:val="00B661C2"/>
    <w:rsid w:val="00B71BF4"/>
    <w:rsid w:val="00B7679C"/>
    <w:rsid w:val="00B774E3"/>
    <w:rsid w:val="00B82275"/>
    <w:rsid w:val="00B86534"/>
    <w:rsid w:val="00B8754C"/>
    <w:rsid w:val="00B87D04"/>
    <w:rsid w:val="00B90F33"/>
    <w:rsid w:val="00B9103A"/>
    <w:rsid w:val="00B91050"/>
    <w:rsid w:val="00B95710"/>
    <w:rsid w:val="00BA007D"/>
    <w:rsid w:val="00BA03D1"/>
    <w:rsid w:val="00BA4667"/>
    <w:rsid w:val="00BA64AF"/>
    <w:rsid w:val="00BA6599"/>
    <w:rsid w:val="00BB0A0F"/>
    <w:rsid w:val="00BC64BA"/>
    <w:rsid w:val="00BD5AA2"/>
    <w:rsid w:val="00BD72AE"/>
    <w:rsid w:val="00BD7D42"/>
    <w:rsid w:val="00BE6414"/>
    <w:rsid w:val="00BF1ECA"/>
    <w:rsid w:val="00C063DA"/>
    <w:rsid w:val="00C06A37"/>
    <w:rsid w:val="00C1014B"/>
    <w:rsid w:val="00C10257"/>
    <w:rsid w:val="00C11BA8"/>
    <w:rsid w:val="00C15EE5"/>
    <w:rsid w:val="00C1634B"/>
    <w:rsid w:val="00C20B40"/>
    <w:rsid w:val="00C21ECC"/>
    <w:rsid w:val="00C238A1"/>
    <w:rsid w:val="00C27B4A"/>
    <w:rsid w:val="00C31203"/>
    <w:rsid w:val="00C319D2"/>
    <w:rsid w:val="00C517AA"/>
    <w:rsid w:val="00C72C5A"/>
    <w:rsid w:val="00C74210"/>
    <w:rsid w:val="00C746B1"/>
    <w:rsid w:val="00C76B06"/>
    <w:rsid w:val="00C81164"/>
    <w:rsid w:val="00C86016"/>
    <w:rsid w:val="00C9128D"/>
    <w:rsid w:val="00C94564"/>
    <w:rsid w:val="00C950DE"/>
    <w:rsid w:val="00C95B62"/>
    <w:rsid w:val="00C96EF0"/>
    <w:rsid w:val="00CA1537"/>
    <w:rsid w:val="00CA35E4"/>
    <w:rsid w:val="00CA77B0"/>
    <w:rsid w:val="00CB4773"/>
    <w:rsid w:val="00CC1B4E"/>
    <w:rsid w:val="00CC2966"/>
    <w:rsid w:val="00CD0EBF"/>
    <w:rsid w:val="00CD565D"/>
    <w:rsid w:val="00CE0D46"/>
    <w:rsid w:val="00CE3E22"/>
    <w:rsid w:val="00CF7EBC"/>
    <w:rsid w:val="00D01D30"/>
    <w:rsid w:val="00D04BAD"/>
    <w:rsid w:val="00D10151"/>
    <w:rsid w:val="00D31E5F"/>
    <w:rsid w:val="00D36C85"/>
    <w:rsid w:val="00D47605"/>
    <w:rsid w:val="00D70E2B"/>
    <w:rsid w:val="00D74A72"/>
    <w:rsid w:val="00D80D70"/>
    <w:rsid w:val="00D844A3"/>
    <w:rsid w:val="00D84EA0"/>
    <w:rsid w:val="00D87B10"/>
    <w:rsid w:val="00D92830"/>
    <w:rsid w:val="00D9477E"/>
    <w:rsid w:val="00D95E29"/>
    <w:rsid w:val="00DA01AC"/>
    <w:rsid w:val="00DA3C96"/>
    <w:rsid w:val="00DA6D52"/>
    <w:rsid w:val="00DC2F6A"/>
    <w:rsid w:val="00DC38DC"/>
    <w:rsid w:val="00DD0C1A"/>
    <w:rsid w:val="00DD79C1"/>
    <w:rsid w:val="00DE1326"/>
    <w:rsid w:val="00DE51E3"/>
    <w:rsid w:val="00DE7878"/>
    <w:rsid w:val="00DF0773"/>
    <w:rsid w:val="00DF1071"/>
    <w:rsid w:val="00E13CB2"/>
    <w:rsid w:val="00E1487A"/>
    <w:rsid w:val="00E14D4C"/>
    <w:rsid w:val="00E21C9C"/>
    <w:rsid w:val="00E26E72"/>
    <w:rsid w:val="00E33CB1"/>
    <w:rsid w:val="00E348DD"/>
    <w:rsid w:val="00E442CB"/>
    <w:rsid w:val="00E444AC"/>
    <w:rsid w:val="00E46890"/>
    <w:rsid w:val="00E501EF"/>
    <w:rsid w:val="00E63F50"/>
    <w:rsid w:val="00E647CA"/>
    <w:rsid w:val="00E71729"/>
    <w:rsid w:val="00E77AE9"/>
    <w:rsid w:val="00E82E8D"/>
    <w:rsid w:val="00E83BF1"/>
    <w:rsid w:val="00E904AF"/>
    <w:rsid w:val="00EA11C9"/>
    <w:rsid w:val="00EA3DB2"/>
    <w:rsid w:val="00EB45E1"/>
    <w:rsid w:val="00EB7A80"/>
    <w:rsid w:val="00EC2794"/>
    <w:rsid w:val="00ED3C66"/>
    <w:rsid w:val="00EE2DDF"/>
    <w:rsid w:val="00EE3174"/>
    <w:rsid w:val="00EF20F7"/>
    <w:rsid w:val="00EF6B59"/>
    <w:rsid w:val="00F02DEA"/>
    <w:rsid w:val="00F05ADE"/>
    <w:rsid w:val="00F07BC1"/>
    <w:rsid w:val="00F11755"/>
    <w:rsid w:val="00F22841"/>
    <w:rsid w:val="00F32074"/>
    <w:rsid w:val="00F32966"/>
    <w:rsid w:val="00F41044"/>
    <w:rsid w:val="00F55626"/>
    <w:rsid w:val="00F74789"/>
    <w:rsid w:val="00F75689"/>
    <w:rsid w:val="00F7706D"/>
    <w:rsid w:val="00F8139F"/>
    <w:rsid w:val="00F92C73"/>
    <w:rsid w:val="00F93A1C"/>
    <w:rsid w:val="00F93B58"/>
    <w:rsid w:val="00F94D52"/>
    <w:rsid w:val="00F96C7D"/>
    <w:rsid w:val="00FA0813"/>
    <w:rsid w:val="00FA1F12"/>
    <w:rsid w:val="00FA65E5"/>
    <w:rsid w:val="00FA7209"/>
    <w:rsid w:val="00FA7B8A"/>
    <w:rsid w:val="00FD117E"/>
    <w:rsid w:val="00FD5E58"/>
    <w:rsid w:val="00FF4236"/>
    <w:rsid w:val="00FF7A95"/>
    <w:rsid w:val="01166634"/>
    <w:rsid w:val="015B78C8"/>
    <w:rsid w:val="02087078"/>
    <w:rsid w:val="03775143"/>
    <w:rsid w:val="03B7153C"/>
    <w:rsid w:val="04C5C7B8"/>
    <w:rsid w:val="06545F89"/>
    <w:rsid w:val="06822E12"/>
    <w:rsid w:val="072ACC3A"/>
    <w:rsid w:val="097664BE"/>
    <w:rsid w:val="09A0A677"/>
    <w:rsid w:val="09F013E4"/>
    <w:rsid w:val="0A1CDE95"/>
    <w:rsid w:val="0BF6B579"/>
    <w:rsid w:val="0CD84739"/>
    <w:rsid w:val="0E125B23"/>
    <w:rsid w:val="0F15C556"/>
    <w:rsid w:val="12C0C141"/>
    <w:rsid w:val="133A3EA7"/>
    <w:rsid w:val="13F36064"/>
    <w:rsid w:val="15499108"/>
    <w:rsid w:val="16B53551"/>
    <w:rsid w:val="193785B2"/>
    <w:rsid w:val="196A6254"/>
    <w:rsid w:val="1AE8F1A0"/>
    <w:rsid w:val="1E1FC819"/>
    <w:rsid w:val="2026CF50"/>
    <w:rsid w:val="203E95EC"/>
    <w:rsid w:val="2119CEB8"/>
    <w:rsid w:val="23AA249C"/>
    <w:rsid w:val="23D7221E"/>
    <w:rsid w:val="25CB1701"/>
    <w:rsid w:val="26E12DE6"/>
    <w:rsid w:val="26F95A24"/>
    <w:rsid w:val="28C28CAE"/>
    <w:rsid w:val="2B8785D6"/>
    <w:rsid w:val="2C20FBDD"/>
    <w:rsid w:val="2EE4206F"/>
    <w:rsid w:val="2F040762"/>
    <w:rsid w:val="304C35B3"/>
    <w:rsid w:val="3087E514"/>
    <w:rsid w:val="313773A8"/>
    <w:rsid w:val="3137E008"/>
    <w:rsid w:val="3164712A"/>
    <w:rsid w:val="3280079B"/>
    <w:rsid w:val="34E7F947"/>
    <w:rsid w:val="3571E725"/>
    <w:rsid w:val="364853D6"/>
    <w:rsid w:val="36DDFE3B"/>
    <w:rsid w:val="38F5A213"/>
    <w:rsid w:val="39E0E008"/>
    <w:rsid w:val="3A9D2A77"/>
    <w:rsid w:val="3D116546"/>
    <w:rsid w:val="41B6D50F"/>
    <w:rsid w:val="42A245D5"/>
    <w:rsid w:val="434BE7D5"/>
    <w:rsid w:val="4682F11F"/>
    <w:rsid w:val="46E7695F"/>
    <w:rsid w:val="47296AF6"/>
    <w:rsid w:val="47595DD0"/>
    <w:rsid w:val="47C3D11B"/>
    <w:rsid w:val="47FFA4D6"/>
    <w:rsid w:val="4BF52164"/>
    <w:rsid w:val="4D625D81"/>
    <w:rsid w:val="50A8FEC0"/>
    <w:rsid w:val="5255EA98"/>
    <w:rsid w:val="538B03AC"/>
    <w:rsid w:val="543D0ADC"/>
    <w:rsid w:val="5547FCF3"/>
    <w:rsid w:val="5736D7EC"/>
    <w:rsid w:val="577B9C0A"/>
    <w:rsid w:val="59D38AF0"/>
    <w:rsid w:val="5A0C2B7D"/>
    <w:rsid w:val="5CAA7A88"/>
    <w:rsid w:val="5EA87CEC"/>
    <w:rsid w:val="5F39CA75"/>
    <w:rsid w:val="6127A36F"/>
    <w:rsid w:val="617DDB15"/>
    <w:rsid w:val="6243AB25"/>
    <w:rsid w:val="6273552D"/>
    <w:rsid w:val="63EDBA47"/>
    <w:rsid w:val="64C3F427"/>
    <w:rsid w:val="67AE0FF1"/>
    <w:rsid w:val="67B63953"/>
    <w:rsid w:val="67F3372E"/>
    <w:rsid w:val="69A809A4"/>
    <w:rsid w:val="6B96B1CC"/>
    <w:rsid w:val="6CF91502"/>
    <w:rsid w:val="6D2B91C1"/>
    <w:rsid w:val="6EB5C1A9"/>
    <w:rsid w:val="7323CAC0"/>
    <w:rsid w:val="733CB3F9"/>
    <w:rsid w:val="74F7098C"/>
    <w:rsid w:val="7546E8F3"/>
    <w:rsid w:val="78089D38"/>
    <w:rsid w:val="78F3B015"/>
    <w:rsid w:val="7BBC4B00"/>
    <w:rsid w:val="7BFE19C6"/>
    <w:rsid w:val="7D140EA1"/>
    <w:rsid w:val="7D7B004E"/>
    <w:rsid w:val="7EFCED4F"/>
    <w:rsid w:val="7FCF7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DFA01E"/>
  <w15:chartTrackingRefBased/>
  <w15:docId w15:val="{7CB0FFC3-45DB-418B-8D9F-E900F38D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5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F1A"/>
  </w:style>
  <w:style w:type="paragraph" w:styleId="Piedepgina">
    <w:name w:val="footer"/>
    <w:basedOn w:val="Normal"/>
    <w:link w:val="PiedepginaCar"/>
    <w:uiPriority w:val="99"/>
    <w:unhideWhenUsed/>
    <w:rsid w:val="008E5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1A"/>
  </w:style>
  <w:style w:type="table" w:styleId="Tablaconcuadrcula">
    <w:name w:val="Table Grid"/>
    <w:basedOn w:val="Tablanormal"/>
    <w:uiPriority w:val="39"/>
    <w:rsid w:val="00EE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E069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0693"/>
    <w:rPr>
      <w:sz w:val="20"/>
      <w:szCs w:val="20"/>
    </w:rPr>
  </w:style>
  <w:style w:type="character" w:styleId="Refdenotaalpie">
    <w:name w:val="footnote reference"/>
    <w:basedOn w:val="Fuentedeprrafopredeter"/>
    <w:uiPriority w:val="99"/>
    <w:semiHidden/>
    <w:unhideWhenUsed/>
    <w:rsid w:val="007E0693"/>
    <w:rPr>
      <w:vertAlign w:val="superscript"/>
    </w:rPr>
  </w:style>
  <w:style w:type="character" w:styleId="Hipervnculo">
    <w:name w:val="Hyperlink"/>
    <w:basedOn w:val="Fuentedeprrafopredeter"/>
    <w:uiPriority w:val="99"/>
    <w:unhideWhenUsed/>
    <w:rsid w:val="007E0693"/>
    <w:rPr>
      <w:color w:val="0563C1" w:themeColor="hyperlink"/>
      <w:u w:val="single"/>
    </w:rPr>
  </w:style>
  <w:style w:type="character" w:styleId="Mencinsinresolver">
    <w:name w:val="Unresolved Mention"/>
    <w:basedOn w:val="Fuentedeprrafopredeter"/>
    <w:uiPriority w:val="99"/>
    <w:semiHidden/>
    <w:unhideWhenUsed/>
    <w:rsid w:val="007E0693"/>
    <w:rPr>
      <w:color w:val="605E5C"/>
      <w:shd w:val="clear" w:color="auto" w:fill="E1DFDD"/>
    </w:rPr>
  </w:style>
  <w:style w:type="character" w:styleId="Refdecomentario">
    <w:name w:val="annotation reference"/>
    <w:basedOn w:val="Fuentedeprrafopredeter"/>
    <w:uiPriority w:val="99"/>
    <w:semiHidden/>
    <w:unhideWhenUsed/>
    <w:rsid w:val="00774602"/>
    <w:rPr>
      <w:sz w:val="16"/>
      <w:szCs w:val="16"/>
    </w:rPr>
  </w:style>
  <w:style w:type="paragraph" w:styleId="Textocomentario">
    <w:name w:val="annotation text"/>
    <w:basedOn w:val="Normal"/>
    <w:link w:val="TextocomentarioCar"/>
    <w:uiPriority w:val="99"/>
    <w:unhideWhenUsed/>
    <w:rsid w:val="00774602"/>
    <w:pPr>
      <w:spacing w:line="240" w:lineRule="auto"/>
    </w:pPr>
    <w:rPr>
      <w:sz w:val="20"/>
      <w:szCs w:val="20"/>
    </w:rPr>
  </w:style>
  <w:style w:type="character" w:customStyle="1" w:styleId="TextocomentarioCar">
    <w:name w:val="Texto comentario Car"/>
    <w:basedOn w:val="Fuentedeprrafopredeter"/>
    <w:link w:val="Textocomentario"/>
    <w:uiPriority w:val="99"/>
    <w:rsid w:val="00774602"/>
    <w:rPr>
      <w:sz w:val="20"/>
      <w:szCs w:val="20"/>
    </w:rPr>
  </w:style>
  <w:style w:type="paragraph" w:styleId="Asuntodelcomentario">
    <w:name w:val="annotation subject"/>
    <w:basedOn w:val="Textocomentario"/>
    <w:next w:val="Textocomentario"/>
    <w:link w:val="AsuntodelcomentarioCar"/>
    <w:uiPriority w:val="99"/>
    <w:semiHidden/>
    <w:unhideWhenUsed/>
    <w:rsid w:val="00774602"/>
    <w:rPr>
      <w:b/>
      <w:bCs/>
    </w:rPr>
  </w:style>
  <w:style w:type="character" w:customStyle="1" w:styleId="AsuntodelcomentarioCar">
    <w:name w:val="Asunto del comentario Car"/>
    <w:basedOn w:val="TextocomentarioCar"/>
    <w:link w:val="Asuntodelcomentario"/>
    <w:uiPriority w:val="99"/>
    <w:semiHidden/>
    <w:rsid w:val="00774602"/>
    <w:rPr>
      <w:b/>
      <w:bCs/>
      <w:sz w:val="20"/>
      <w:szCs w:val="20"/>
    </w:rPr>
  </w:style>
  <w:style w:type="character" w:styleId="Mencionar">
    <w:name w:val="Mention"/>
    <w:basedOn w:val="Fuentedeprrafopredeter"/>
    <w:uiPriority w:val="99"/>
    <w:unhideWhenUsed/>
    <w:rsid w:val="005D1D60"/>
    <w:rPr>
      <w:color w:val="2B579A"/>
      <w:shd w:val="clear" w:color="auto" w:fill="E1DFDD"/>
    </w:rPr>
  </w:style>
  <w:style w:type="paragraph" w:styleId="Revisin">
    <w:name w:val="Revision"/>
    <w:hidden/>
    <w:uiPriority w:val="99"/>
    <w:semiHidden/>
    <w:rsid w:val="001023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8825">
      <w:bodyDiv w:val="1"/>
      <w:marLeft w:val="0"/>
      <w:marRight w:val="0"/>
      <w:marTop w:val="0"/>
      <w:marBottom w:val="0"/>
      <w:divBdr>
        <w:top w:val="none" w:sz="0" w:space="0" w:color="auto"/>
        <w:left w:val="none" w:sz="0" w:space="0" w:color="auto"/>
        <w:bottom w:val="none" w:sz="0" w:space="0" w:color="auto"/>
        <w:right w:val="none" w:sz="0" w:space="0" w:color="auto"/>
      </w:divBdr>
    </w:div>
    <w:div w:id="1443112700">
      <w:bodyDiv w:val="1"/>
      <w:marLeft w:val="0"/>
      <w:marRight w:val="0"/>
      <w:marTop w:val="0"/>
      <w:marBottom w:val="0"/>
      <w:divBdr>
        <w:top w:val="none" w:sz="0" w:space="0" w:color="auto"/>
        <w:left w:val="none" w:sz="0" w:space="0" w:color="auto"/>
        <w:bottom w:val="none" w:sz="0" w:space="0" w:color="auto"/>
        <w:right w:val="none" w:sz="0" w:space="0" w:color="auto"/>
      </w:divBdr>
    </w:div>
    <w:div w:id="1820682902">
      <w:bodyDiv w:val="1"/>
      <w:marLeft w:val="0"/>
      <w:marRight w:val="0"/>
      <w:marTop w:val="0"/>
      <w:marBottom w:val="0"/>
      <w:divBdr>
        <w:top w:val="none" w:sz="0" w:space="0" w:color="auto"/>
        <w:left w:val="none" w:sz="0" w:space="0" w:color="auto"/>
        <w:bottom w:val="none" w:sz="0" w:space="0" w:color="auto"/>
        <w:right w:val="none" w:sz="0" w:space="0" w:color="auto"/>
      </w:divBdr>
      <w:divsChild>
        <w:div w:id="983390661">
          <w:marLeft w:val="0"/>
          <w:marRight w:val="0"/>
          <w:marTop w:val="0"/>
          <w:marBottom w:val="0"/>
          <w:divBdr>
            <w:top w:val="none" w:sz="0" w:space="0" w:color="auto"/>
            <w:left w:val="none" w:sz="0" w:space="0" w:color="auto"/>
            <w:bottom w:val="none" w:sz="0" w:space="0" w:color="auto"/>
            <w:right w:val="none" w:sz="0" w:space="0" w:color="auto"/>
          </w:divBdr>
          <w:divsChild>
            <w:div w:id="1822186731">
              <w:marLeft w:val="0"/>
              <w:marRight w:val="0"/>
              <w:marTop w:val="0"/>
              <w:marBottom w:val="0"/>
              <w:divBdr>
                <w:top w:val="none" w:sz="0" w:space="0" w:color="auto"/>
                <w:left w:val="none" w:sz="0" w:space="0" w:color="auto"/>
                <w:bottom w:val="none" w:sz="0" w:space="0" w:color="auto"/>
                <w:right w:val="none" w:sz="0" w:space="0" w:color="auto"/>
              </w:divBdr>
              <w:divsChild>
                <w:div w:id="10713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4708">
          <w:marLeft w:val="0"/>
          <w:marRight w:val="0"/>
          <w:marTop w:val="100"/>
          <w:marBottom w:val="0"/>
          <w:divBdr>
            <w:top w:val="none" w:sz="0" w:space="0" w:color="auto"/>
            <w:left w:val="none" w:sz="0" w:space="0" w:color="auto"/>
            <w:bottom w:val="none" w:sz="0" w:space="0" w:color="auto"/>
            <w:right w:val="none" w:sz="0" w:space="0" w:color="auto"/>
          </w:divBdr>
          <w:divsChild>
            <w:div w:id="19961784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instruments.oecd.org/en/instruments/OECD-LEGAL-02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ecd.org/sti/40826024.pdf" TargetMode="External"/><Relationship Id="rId4" Type="http://schemas.openxmlformats.org/officeDocument/2006/relationships/settings" Target="settings.xml"/><Relationship Id="rId9" Type="http://schemas.openxmlformats.org/officeDocument/2006/relationships/hyperlink" Target="https://www.comex.go.cr/media/8513/201112-7-digital-economy-policy-in-costa-rica_es_revp1-41-rev2107-vf.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mex.go.cr/media/8708/evaluaci%C3%B3n-ocde_sen_cr_espa%C3%B1ol.pdf" TargetMode="External"/><Relationship Id="rId2" Type="http://schemas.openxmlformats.org/officeDocument/2006/relationships/hyperlink" Target="https://read.oecd-ilibrary.org/science-and-technology/oecd-reviews-of-innovation-policy-costa-rica-2017_9789264271654-en" TargetMode="External"/><Relationship Id="rId1" Type="http://schemas.openxmlformats.org/officeDocument/2006/relationships/hyperlink" Target="https://www.comex.go.cr/media/5221/estudio-econ%C3%B3mico-de-costa-rica-2016.pdf" TargetMode="External"/><Relationship Id="rId6" Type="http://schemas.openxmlformats.org/officeDocument/2006/relationships/hyperlink" Target="https://www.comex.go.cr/media/6037/researchproductivitycri_2018.pdf" TargetMode="External"/><Relationship Id="rId5" Type="http://schemas.openxmlformats.org/officeDocument/2006/relationships/hyperlink" Target="https://www.comex.go.cr/media/8136/ocde-estudio-economico-costa-rica-2020.pdf" TargetMode="External"/><Relationship Id="rId4" Type="http://schemas.openxmlformats.org/officeDocument/2006/relationships/hyperlink" Target="https://www.oecd.org/legal/legal-instrumen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9424-C2E7-4961-A7B5-81C67D77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4115</Words>
  <Characters>22634</Characters>
  <Application>Microsoft Office Word</Application>
  <DocSecurity>0</DocSecurity>
  <Lines>188</Lines>
  <Paragraphs>53</Paragraphs>
  <ScaleCrop>false</ScaleCrop>
  <Company/>
  <LinksUpToDate>false</LinksUpToDate>
  <CharactersWithSpaces>26696</CharactersWithSpaces>
  <SharedDoc>false</SharedDoc>
  <HLinks>
    <vt:vector size="48" baseType="variant">
      <vt:variant>
        <vt:i4>5308480</vt:i4>
      </vt:variant>
      <vt:variant>
        <vt:i4>3</vt:i4>
      </vt:variant>
      <vt:variant>
        <vt:i4>0</vt:i4>
      </vt:variant>
      <vt:variant>
        <vt:i4>5</vt:i4>
      </vt:variant>
      <vt:variant>
        <vt:lpwstr>https://www.comex.go.cr/media/8513/201112-7-digital-economy-policy-in-costa-rica_es_revp1-41-rev2107-vf.pdf</vt:lpwstr>
      </vt:variant>
      <vt:variant>
        <vt:lpwstr/>
      </vt:variant>
      <vt:variant>
        <vt:i4>589824</vt:i4>
      </vt:variant>
      <vt:variant>
        <vt:i4>0</vt:i4>
      </vt:variant>
      <vt:variant>
        <vt:i4>0</vt:i4>
      </vt:variant>
      <vt:variant>
        <vt:i4>5</vt:i4>
      </vt:variant>
      <vt:variant>
        <vt:lpwstr>https://legalinstruments.oecd.org/en/instruments/OECD-LEGAL-0237</vt:lpwstr>
      </vt:variant>
      <vt:variant>
        <vt:lpwstr/>
      </vt:variant>
      <vt:variant>
        <vt:i4>3604492</vt:i4>
      </vt:variant>
      <vt:variant>
        <vt:i4>15</vt:i4>
      </vt:variant>
      <vt:variant>
        <vt:i4>0</vt:i4>
      </vt:variant>
      <vt:variant>
        <vt:i4>5</vt:i4>
      </vt:variant>
      <vt:variant>
        <vt:lpwstr>https://www.comex.go.cr/media/6037/researchproductivitycri_2018.pdf</vt:lpwstr>
      </vt:variant>
      <vt:variant>
        <vt:lpwstr/>
      </vt:variant>
      <vt:variant>
        <vt:i4>5570563</vt:i4>
      </vt:variant>
      <vt:variant>
        <vt:i4>12</vt:i4>
      </vt:variant>
      <vt:variant>
        <vt:i4>0</vt:i4>
      </vt:variant>
      <vt:variant>
        <vt:i4>5</vt:i4>
      </vt:variant>
      <vt:variant>
        <vt:lpwstr>https://www.comex.go.cr/media/8136/ocde-estudio-economico-costa-rica-2020.pdf</vt:lpwstr>
      </vt:variant>
      <vt:variant>
        <vt:lpwstr/>
      </vt:variant>
      <vt:variant>
        <vt:i4>6029337</vt:i4>
      </vt:variant>
      <vt:variant>
        <vt:i4>9</vt:i4>
      </vt:variant>
      <vt:variant>
        <vt:i4>0</vt:i4>
      </vt:variant>
      <vt:variant>
        <vt:i4>5</vt:i4>
      </vt:variant>
      <vt:variant>
        <vt:lpwstr>https://www.oecd.org/legal/legal-instruments.htm</vt:lpwstr>
      </vt:variant>
      <vt:variant>
        <vt:lpwstr/>
      </vt:variant>
      <vt:variant>
        <vt:i4>3342422</vt:i4>
      </vt:variant>
      <vt:variant>
        <vt:i4>6</vt:i4>
      </vt:variant>
      <vt:variant>
        <vt:i4>0</vt:i4>
      </vt:variant>
      <vt:variant>
        <vt:i4>5</vt:i4>
      </vt:variant>
      <vt:variant>
        <vt:lpwstr>https://www.comex.go.cr/media/8708/evaluaci%C3%B3n-ocde_sen_cr_espa%C3%B1ol.pdf</vt:lpwstr>
      </vt:variant>
      <vt:variant>
        <vt:lpwstr/>
      </vt:variant>
      <vt:variant>
        <vt:i4>2687059</vt:i4>
      </vt:variant>
      <vt:variant>
        <vt:i4>3</vt:i4>
      </vt:variant>
      <vt:variant>
        <vt:i4>0</vt:i4>
      </vt:variant>
      <vt:variant>
        <vt:i4>5</vt:i4>
      </vt:variant>
      <vt:variant>
        <vt:lpwstr>https://read.oecd-ilibrary.org/science-and-technology/oecd-reviews-of-innovation-policy-costa-rica-2017_9789264271654-en</vt:lpwstr>
      </vt:variant>
      <vt:variant>
        <vt:lpwstr>page1</vt:lpwstr>
      </vt:variant>
      <vt:variant>
        <vt:i4>1048655</vt:i4>
      </vt:variant>
      <vt:variant>
        <vt:i4>0</vt:i4>
      </vt:variant>
      <vt:variant>
        <vt:i4>0</vt:i4>
      </vt:variant>
      <vt:variant>
        <vt:i4>5</vt:i4>
      </vt:variant>
      <vt:variant>
        <vt:lpwstr>https://www.comex.go.cr/media/5221/estudio-econ%C3%B3mico-de-costa-rica-2016.pdf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Vargas Obando</dc:creator>
  <cp:keywords/>
  <dc:description/>
  <cp:lastModifiedBy>COMEX</cp:lastModifiedBy>
  <cp:revision>2</cp:revision>
  <dcterms:created xsi:type="dcterms:W3CDTF">2021-06-25T14:34:00Z</dcterms:created>
  <dcterms:modified xsi:type="dcterms:W3CDTF">2021-06-25T14:34:00Z</dcterms:modified>
</cp:coreProperties>
</file>