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99702" w14:textId="77777777" w:rsidR="00B90C60" w:rsidRPr="007D72F4" w:rsidRDefault="00B90C60" w:rsidP="00D2448F">
      <w:pPr>
        <w:spacing w:line="360" w:lineRule="auto"/>
        <w:jc w:val="center"/>
        <w:rPr>
          <w:rFonts w:ascii="Cambria" w:eastAsia="Calibri" w:hAnsi="Cambria" w:cs="Calibri"/>
          <w:b/>
          <w:sz w:val="52"/>
          <w:szCs w:val="52"/>
          <w:lang w:val="es-CR" w:eastAsia="en-US"/>
        </w:rPr>
      </w:pPr>
      <w:r w:rsidRPr="007D72F4">
        <w:rPr>
          <w:rFonts w:ascii="Cambria" w:eastAsia="Calibri" w:hAnsi="Cambria" w:cs="Calibri"/>
          <w:b/>
          <w:sz w:val="52"/>
          <w:szCs w:val="52"/>
          <w:lang w:val="es-CR" w:eastAsia="en-US"/>
        </w:rPr>
        <w:t>Ficha técnica del indicador</w:t>
      </w:r>
    </w:p>
    <w:p w14:paraId="17A04ADD" w14:textId="2231F43B" w:rsidR="00A01DCE" w:rsidRDefault="00B90C60" w:rsidP="00701442">
      <w:pPr>
        <w:pStyle w:val="Sinespaciado"/>
        <w:ind w:left="1843" w:hanging="1843"/>
        <w:jc w:val="both"/>
        <w:rPr>
          <w:rFonts w:ascii="Arial Narrow" w:hAnsi="Arial Narrow"/>
          <w:bCs/>
          <w:sz w:val="20"/>
          <w:szCs w:val="20"/>
          <w:lang w:val="es-CR" w:eastAsia="en-US"/>
        </w:rPr>
      </w:pPr>
      <w:r w:rsidRPr="00701442">
        <w:rPr>
          <w:rFonts w:ascii="Arial Narrow" w:eastAsia="Calibri" w:hAnsi="Arial Narrow" w:cs="Calibri"/>
          <w:b/>
          <w:sz w:val="20"/>
          <w:szCs w:val="20"/>
          <w:lang w:val="es-CR" w:eastAsia="en-US"/>
        </w:rPr>
        <w:t>Nombre del indicador:</w:t>
      </w:r>
      <w:r w:rsidRPr="00701442">
        <w:rPr>
          <w:rFonts w:ascii="Arial Narrow" w:eastAsia="Calibri" w:hAnsi="Arial Narrow" w:cs="Calibri"/>
          <w:bCs/>
          <w:sz w:val="20"/>
          <w:szCs w:val="20"/>
          <w:lang w:val="es-CR" w:eastAsia="en-US"/>
        </w:rPr>
        <w:t xml:space="preserve"> </w:t>
      </w:r>
      <w:r w:rsidR="009330FA" w:rsidRPr="009330FA">
        <w:rPr>
          <w:rFonts w:ascii="Arial Narrow" w:hAnsi="Arial Narrow"/>
          <w:bCs/>
          <w:sz w:val="20"/>
          <w:szCs w:val="20"/>
          <w:lang w:val="es-CR" w:eastAsia="en-US"/>
        </w:rPr>
        <w:t>Número de nuevos centros de salud construidos y equipados</w:t>
      </w:r>
      <w:r w:rsidR="00337451">
        <w:rPr>
          <w:rFonts w:ascii="Arial Narrow" w:hAnsi="Arial Narrow"/>
          <w:bCs/>
          <w:sz w:val="20"/>
          <w:szCs w:val="20"/>
          <w:lang w:val="es-CR" w:eastAsia="en-US"/>
        </w:rPr>
        <w:t>.</w:t>
      </w:r>
    </w:p>
    <w:p w14:paraId="262CD12D" w14:textId="77777777" w:rsidR="00337451" w:rsidRDefault="00337451" w:rsidP="00701442">
      <w:pPr>
        <w:pStyle w:val="Sinespaciado"/>
        <w:ind w:left="1843" w:hanging="1843"/>
        <w:jc w:val="both"/>
        <w:rPr>
          <w:rFonts w:ascii="Arial Narrow" w:hAnsi="Arial Narrow"/>
          <w:bCs/>
          <w:sz w:val="20"/>
          <w:szCs w:val="20"/>
          <w:lang w:val="es-CR" w:eastAsia="en-US"/>
        </w:rPr>
      </w:pPr>
    </w:p>
    <w:tbl>
      <w:tblPr>
        <w:tblStyle w:val="GFATableGrid1"/>
        <w:tblW w:w="9067" w:type="dxa"/>
        <w:tblLook w:val="01E0" w:firstRow="1" w:lastRow="1" w:firstColumn="1" w:lastColumn="1" w:noHBand="0" w:noVBand="0"/>
      </w:tblPr>
      <w:tblGrid>
        <w:gridCol w:w="1417"/>
        <w:gridCol w:w="1341"/>
        <w:gridCol w:w="6309"/>
      </w:tblGrid>
      <w:tr w:rsidR="007D72F4" w:rsidRPr="007814F1" w14:paraId="380D4422" w14:textId="77777777" w:rsidTr="0090152D">
        <w:trPr>
          <w:trHeight w:val="325"/>
          <w:tblHeader/>
        </w:trPr>
        <w:tc>
          <w:tcPr>
            <w:tcW w:w="2758" w:type="dxa"/>
            <w:gridSpan w:val="2"/>
            <w:shd w:val="clear" w:color="auto" w:fill="E7E6E6" w:themeFill="background2"/>
            <w:hideMark/>
          </w:tcPr>
          <w:p w14:paraId="58486E01" w14:textId="77777777" w:rsidR="00B90C60" w:rsidRPr="007814F1" w:rsidRDefault="00B90C60" w:rsidP="0090152D">
            <w:pPr>
              <w:pStyle w:val="Sinespaciado"/>
              <w:jc w:val="center"/>
              <w:rPr>
                <w:rFonts w:ascii="Arial Narrow" w:hAnsi="Arial Narrow"/>
                <w:b/>
                <w:sz w:val="20"/>
                <w:szCs w:val="20"/>
                <w:lang w:eastAsia="en-US"/>
              </w:rPr>
            </w:pPr>
            <w:r w:rsidRPr="007814F1">
              <w:rPr>
                <w:rFonts w:ascii="Arial Narrow" w:hAnsi="Arial Narrow"/>
                <w:b/>
                <w:sz w:val="20"/>
                <w:szCs w:val="20"/>
                <w:lang w:eastAsia="en-US"/>
              </w:rPr>
              <w:t>Elemento</w:t>
            </w:r>
          </w:p>
        </w:tc>
        <w:tc>
          <w:tcPr>
            <w:tcW w:w="6309" w:type="dxa"/>
            <w:shd w:val="clear" w:color="auto" w:fill="E7E6E6" w:themeFill="background2"/>
            <w:hideMark/>
          </w:tcPr>
          <w:p w14:paraId="6DB0F0A8" w14:textId="77777777" w:rsidR="00B90C60" w:rsidRPr="007814F1" w:rsidRDefault="00B90C60" w:rsidP="0090152D">
            <w:pPr>
              <w:pStyle w:val="Sinespaciado"/>
              <w:jc w:val="center"/>
              <w:rPr>
                <w:rFonts w:ascii="Arial Narrow" w:hAnsi="Arial Narrow"/>
                <w:b/>
                <w:sz w:val="20"/>
                <w:szCs w:val="20"/>
                <w:lang w:eastAsia="en-US"/>
              </w:rPr>
            </w:pPr>
            <w:r w:rsidRPr="007814F1">
              <w:rPr>
                <w:rFonts w:ascii="Arial Narrow" w:hAnsi="Arial Narrow"/>
                <w:b/>
                <w:sz w:val="20"/>
                <w:szCs w:val="20"/>
                <w:lang w:eastAsia="en-US"/>
              </w:rPr>
              <w:t>Descripción</w:t>
            </w:r>
          </w:p>
        </w:tc>
      </w:tr>
      <w:tr w:rsidR="007D72F4" w:rsidRPr="007814F1" w14:paraId="7CCC7BCE" w14:textId="77777777" w:rsidTr="0090152D">
        <w:trPr>
          <w:trHeight w:val="437"/>
        </w:trPr>
        <w:tc>
          <w:tcPr>
            <w:tcW w:w="2758" w:type="dxa"/>
            <w:gridSpan w:val="2"/>
          </w:tcPr>
          <w:p w14:paraId="6FFBA3CA"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Nombre del indicador</w:t>
            </w:r>
          </w:p>
        </w:tc>
        <w:tc>
          <w:tcPr>
            <w:tcW w:w="6309" w:type="dxa"/>
          </w:tcPr>
          <w:p w14:paraId="36DDF9FF" w14:textId="617B0793" w:rsidR="00B90C60" w:rsidRPr="007814F1" w:rsidRDefault="00F55545" w:rsidP="00C84031">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 xml:space="preserve">Número de </w:t>
            </w:r>
            <w:r w:rsidR="00E43D65" w:rsidRPr="009330FA">
              <w:rPr>
                <w:rFonts w:ascii="Arial Narrow" w:hAnsi="Arial Narrow"/>
                <w:bCs/>
                <w:sz w:val="20"/>
                <w:szCs w:val="20"/>
                <w:lang w:val="es-CR" w:eastAsia="en-US"/>
              </w:rPr>
              <w:t>nuevos c</w:t>
            </w:r>
            <w:r w:rsidR="00337451" w:rsidRPr="009330FA">
              <w:rPr>
                <w:rFonts w:ascii="Arial Narrow" w:hAnsi="Arial Narrow"/>
                <w:bCs/>
                <w:sz w:val="20"/>
                <w:szCs w:val="20"/>
                <w:lang w:val="es-CR" w:eastAsia="en-US"/>
              </w:rPr>
              <w:t>entros de salud construidos</w:t>
            </w:r>
            <w:r w:rsidR="00E43D65" w:rsidRPr="009330FA">
              <w:rPr>
                <w:rFonts w:ascii="Arial Narrow" w:hAnsi="Arial Narrow"/>
                <w:bCs/>
                <w:sz w:val="20"/>
                <w:szCs w:val="20"/>
                <w:lang w:val="es-CR" w:eastAsia="en-US"/>
              </w:rPr>
              <w:t xml:space="preserve"> y equipados</w:t>
            </w:r>
            <w:r w:rsidR="00337451" w:rsidRPr="009330FA">
              <w:rPr>
                <w:rFonts w:ascii="Arial Narrow" w:hAnsi="Arial Narrow"/>
                <w:bCs/>
                <w:sz w:val="20"/>
                <w:szCs w:val="20"/>
                <w:lang w:val="es-CR" w:eastAsia="en-US"/>
              </w:rPr>
              <w:t>.</w:t>
            </w:r>
          </w:p>
        </w:tc>
      </w:tr>
      <w:tr w:rsidR="007D72F4" w:rsidRPr="007814F1" w14:paraId="1FEA886D" w14:textId="77777777" w:rsidTr="0090152D">
        <w:trPr>
          <w:trHeight w:val="437"/>
        </w:trPr>
        <w:tc>
          <w:tcPr>
            <w:tcW w:w="2758" w:type="dxa"/>
            <w:gridSpan w:val="2"/>
            <w:hideMark/>
          </w:tcPr>
          <w:p w14:paraId="4BB69BAD" w14:textId="77777777" w:rsidR="00B90C60" w:rsidRPr="007814F1" w:rsidRDefault="00B90C60" w:rsidP="0090152D">
            <w:pPr>
              <w:pStyle w:val="Sinespaciado"/>
              <w:rPr>
                <w:rFonts w:ascii="Arial Narrow" w:hAnsi="Arial Narrow"/>
                <w:b/>
                <w:sz w:val="20"/>
                <w:szCs w:val="20"/>
                <w:lang w:val="es-CR" w:eastAsia="en-US"/>
              </w:rPr>
            </w:pPr>
            <w:r w:rsidRPr="007814F1">
              <w:rPr>
                <w:rFonts w:ascii="Arial Narrow" w:hAnsi="Arial Narrow"/>
                <w:b/>
                <w:sz w:val="20"/>
                <w:szCs w:val="20"/>
                <w:lang w:val="es-CR" w:eastAsia="en-US"/>
              </w:rPr>
              <w:t>Definición conceptual</w:t>
            </w:r>
          </w:p>
        </w:tc>
        <w:tc>
          <w:tcPr>
            <w:tcW w:w="6309" w:type="dxa"/>
            <w:hideMark/>
          </w:tcPr>
          <w:p w14:paraId="344379C2" w14:textId="0859BE92" w:rsidR="00A01DCE" w:rsidRDefault="00013EE4" w:rsidP="00C84031">
            <w:pPr>
              <w:pStyle w:val="Sinespaciado"/>
              <w:jc w:val="both"/>
              <w:rPr>
                <w:rFonts w:ascii="Arial Narrow" w:hAnsi="Arial Narrow"/>
                <w:bCs/>
                <w:strike/>
                <w:color w:val="FF0000"/>
                <w:sz w:val="20"/>
                <w:szCs w:val="20"/>
                <w:lang w:val="es-CR" w:eastAsia="en-US"/>
              </w:rPr>
            </w:pPr>
            <w:r w:rsidRPr="007814F1">
              <w:rPr>
                <w:rFonts w:ascii="Arial Narrow" w:hAnsi="Arial Narrow"/>
                <w:bCs/>
                <w:sz w:val="20"/>
                <w:szCs w:val="20"/>
                <w:lang w:val="es-CR" w:eastAsia="en-US"/>
              </w:rPr>
              <w:t xml:space="preserve">El indicador </w:t>
            </w:r>
            <w:r w:rsidR="00A01DCE" w:rsidRPr="007814F1">
              <w:rPr>
                <w:rFonts w:ascii="Arial Narrow" w:hAnsi="Arial Narrow"/>
                <w:bCs/>
                <w:sz w:val="20"/>
                <w:szCs w:val="20"/>
                <w:lang w:val="es-CR" w:eastAsia="en-US"/>
              </w:rPr>
              <w:t xml:space="preserve">busca </w:t>
            </w:r>
            <w:r w:rsidRPr="007814F1">
              <w:rPr>
                <w:rFonts w:ascii="Arial Narrow" w:hAnsi="Arial Narrow"/>
                <w:bCs/>
                <w:sz w:val="20"/>
                <w:szCs w:val="20"/>
                <w:lang w:val="es-CR" w:eastAsia="en-US"/>
              </w:rPr>
              <w:t xml:space="preserve">medir el alcance de </w:t>
            </w:r>
            <w:r w:rsidR="00337451">
              <w:rPr>
                <w:rFonts w:ascii="Arial Narrow" w:hAnsi="Arial Narrow"/>
                <w:bCs/>
                <w:sz w:val="20"/>
                <w:szCs w:val="20"/>
                <w:lang w:val="es-CR" w:eastAsia="en-US"/>
              </w:rPr>
              <w:t>los proyectos</w:t>
            </w:r>
            <w:r w:rsidR="003C1817">
              <w:rPr>
                <w:rFonts w:ascii="Arial Narrow" w:hAnsi="Arial Narrow"/>
                <w:bCs/>
                <w:sz w:val="20"/>
                <w:szCs w:val="20"/>
                <w:lang w:val="es-CR" w:eastAsia="en-US"/>
              </w:rPr>
              <w:t xml:space="preserve"> </w:t>
            </w:r>
            <w:r w:rsidRPr="007814F1">
              <w:rPr>
                <w:rFonts w:ascii="Arial Narrow" w:hAnsi="Arial Narrow"/>
                <w:bCs/>
                <w:sz w:val="20"/>
                <w:szCs w:val="20"/>
                <w:lang w:val="es-CR" w:eastAsia="en-US"/>
              </w:rPr>
              <w:t>programad</w:t>
            </w:r>
            <w:r w:rsidR="00337451">
              <w:rPr>
                <w:rFonts w:ascii="Arial Narrow" w:hAnsi="Arial Narrow"/>
                <w:bCs/>
                <w:sz w:val="20"/>
                <w:szCs w:val="20"/>
                <w:lang w:val="es-CR" w:eastAsia="en-US"/>
              </w:rPr>
              <w:t>o</w:t>
            </w:r>
            <w:r w:rsidRPr="007814F1">
              <w:rPr>
                <w:rFonts w:ascii="Arial Narrow" w:hAnsi="Arial Narrow"/>
                <w:bCs/>
                <w:sz w:val="20"/>
                <w:szCs w:val="20"/>
                <w:lang w:val="es-CR" w:eastAsia="en-US"/>
              </w:rPr>
              <w:t xml:space="preserve">s por el Instituto Nacional de Seguros en el desarrollo de nueva infraestructura que permitan ampliar </w:t>
            </w:r>
            <w:r w:rsidR="00A01DCE" w:rsidRPr="007814F1">
              <w:rPr>
                <w:rFonts w:ascii="Arial Narrow" w:hAnsi="Arial Narrow"/>
                <w:bCs/>
                <w:sz w:val="20"/>
                <w:szCs w:val="20"/>
                <w:lang w:val="es-CR" w:eastAsia="en-US"/>
              </w:rPr>
              <w:t>la atención</w:t>
            </w:r>
            <w:r w:rsidR="003C1817">
              <w:rPr>
                <w:rFonts w:ascii="Arial Narrow" w:hAnsi="Arial Narrow"/>
                <w:bCs/>
                <w:sz w:val="20"/>
                <w:szCs w:val="20"/>
                <w:lang w:val="es-CR" w:eastAsia="en-US"/>
              </w:rPr>
              <w:t xml:space="preserve"> integral</w:t>
            </w:r>
            <w:r w:rsidR="00A01DCE" w:rsidRPr="007814F1">
              <w:rPr>
                <w:rFonts w:ascii="Arial Narrow" w:hAnsi="Arial Narrow"/>
                <w:bCs/>
                <w:sz w:val="20"/>
                <w:szCs w:val="20"/>
                <w:lang w:val="es-CR" w:eastAsia="en-US"/>
              </w:rPr>
              <w:t xml:space="preserve"> de salud en redes.</w:t>
            </w:r>
          </w:p>
          <w:p w14:paraId="7D28C3C0" w14:textId="3DEB56FD" w:rsidR="003C1817" w:rsidRPr="007814F1" w:rsidRDefault="003C1817" w:rsidP="00C84031">
            <w:pPr>
              <w:pStyle w:val="Sinespaciado"/>
              <w:jc w:val="both"/>
              <w:rPr>
                <w:rFonts w:ascii="Arial Narrow" w:hAnsi="Arial Narrow"/>
                <w:bCs/>
                <w:sz w:val="20"/>
                <w:szCs w:val="20"/>
                <w:lang w:val="es-CR" w:eastAsia="en-US"/>
              </w:rPr>
            </w:pPr>
            <w:r>
              <w:rPr>
                <w:rFonts w:ascii="Arial Narrow" w:hAnsi="Arial Narrow"/>
                <w:bCs/>
                <w:sz w:val="20"/>
                <w:szCs w:val="20"/>
                <w:lang w:val="es-CR" w:eastAsia="en-US"/>
              </w:rPr>
              <w:t xml:space="preserve">Los proyectos forman parte del desarrollo de la subsidiaria Red de Servicios de Salud S.A. que brinda servicios a los seguros obligatorios y comerciales del INS en todo el país, con un modelo basado en procesos transversales que se divide en centros de salud regionales y consultorios médicos laborales en el primer nivel de atención, centros de salud referenciales en el segundos nivel de atención, y tercer nivel de atención en el Complejo Hospitalario de la Uruca. Todos los nuevos proyectos se construirán bajo los últimos estándares de sostenibilidad, tanto en infraestructura como en tecnología, así como la gestión del talento humano y el impacto en las comunidades donde se desarrollan. </w:t>
            </w:r>
          </w:p>
        </w:tc>
      </w:tr>
      <w:tr w:rsidR="007D72F4" w:rsidRPr="007814F1" w14:paraId="77AA6B12" w14:textId="77777777" w:rsidTr="0090152D">
        <w:trPr>
          <w:trHeight w:val="531"/>
        </w:trPr>
        <w:tc>
          <w:tcPr>
            <w:tcW w:w="2758" w:type="dxa"/>
            <w:gridSpan w:val="2"/>
            <w:hideMark/>
          </w:tcPr>
          <w:p w14:paraId="038071D4"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 xml:space="preserve">Fórmula de cálculo </w:t>
            </w:r>
          </w:p>
        </w:tc>
        <w:tc>
          <w:tcPr>
            <w:tcW w:w="6309" w:type="dxa"/>
            <w:hideMark/>
          </w:tcPr>
          <w:p w14:paraId="6CBF707A" w14:textId="53DD404F" w:rsidR="00B90C60" w:rsidRPr="009330FA" w:rsidRDefault="007D72F4" w:rsidP="0090152D">
            <w:pPr>
              <w:pStyle w:val="Sinespaciado"/>
              <w:jc w:val="both"/>
              <w:rPr>
                <w:rFonts w:ascii="Arial Narrow" w:hAnsi="Arial Narrow"/>
                <w:bCs/>
                <w:sz w:val="20"/>
                <w:szCs w:val="20"/>
                <w:lang w:val="es-CR" w:eastAsia="en-US"/>
              </w:rPr>
            </w:pPr>
            <m:oMathPara>
              <m:oMath>
                <m:r>
                  <w:rPr>
                    <w:rFonts w:ascii="Cambria Math" w:hAnsi="Cambria Math"/>
                    <w:sz w:val="20"/>
                    <w:szCs w:val="20"/>
                    <w:lang w:val="es-CR" w:eastAsia="en-US"/>
                  </w:rPr>
                  <m:t>CS=</m:t>
                </m:r>
                <m:nary>
                  <m:naryPr>
                    <m:chr m:val="∑"/>
                    <m:limLoc m:val="undOvr"/>
                    <m:subHide m:val="1"/>
                    <m:supHide m:val="1"/>
                    <m:ctrlPr>
                      <w:rPr>
                        <w:rFonts w:ascii="Cambria Math" w:hAnsi="Cambria Math"/>
                        <w:bCs/>
                        <w:i/>
                        <w:sz w:val="20"/>
                        <w:szCs w:val="20"/>
                        <w:lang w:val="es-CR" w:eastAsia="en-US"/>
                      </w:rPr>
                    </m:ctrlPr>
                  </m:naryPr>
                  <m:sub/>
                  <m:sup/>
                  <m:e>
                    <m:r>
                      <w:rPr>
                        <w:rFonts w:ascii="Cambria Math" w:hAnsi="Cambria Math"/>
                        <w:sz w:val="20"/>
                        <w:szCs w:val="20"/>
                        <w:lang w:val="es-CR" w:eastAsia="en-US"/>
                      </w:rPr>
                      <m:t>(X)</m:t>
                    </m:r>
                  </m:e>
                </m:nary>
              </m:oMath>
            </m:oMathPara>
          </w:p>
          <w:p w14:paraId="11C093BA" w14:textId="77777777" w:rsidR="00F55545" w:rsidRPr="009330FA" w:rsidRDefault="00F55545" w:rsidP="0090152D">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 xml:space="preserve">Donde: </w:t>
            </w:r>
          </w:p>
          <w:p w14:paraId="609B0954" w14:textId="31EA8F79" w:rsidR="00F55545" w:rsidRPr="009330FA" w:rsidRDefault="00F55545" w:rsidP="00F55545">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 xml:space="preserve">CS: se refieren a los centros de salud </w:t>
            </w:r>
          </w:p>
          <w:p w14:paraId="74157EB2" w14:textId="13508934" w:rsidR="00F55545" w:rsidRPr="009330FA" w:rsidRDefault="00F55545" w:rsidP="00F55545">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X: se refiere a los centros de salud construidos</w:t>
            </w:r>
            <w:r w:rsidR="00E43D65" w:rsidRPr="009330FA">
              <w:rPr>
                <w:rFonts w:ascii="Arial Narrow" w:hAnsi="Arial Narrow"/>
                <w:bCs/>
                <w:sz w:val="20"/>
                <w:szCs w:val="20"/>
                <w:lang w:val="es-CR" w:eastAsia="en-US"/>
              </w:rPr>
              <w:t xml:space="preserve"> y equipados</w:t>
            </w:r>
          </w:p>
        </w:tc>
      </w:tr>
      <w:tr w:rsidR="007D72F4" w:rsidRPr="007814F1" w14:paraId="41AEA3A8" w14:textId="77777777" w:rsidTr="0090152D">
        <w:trPr>
          <w:trHeight w:val="340"/>
        </w:trPr>
        <w:tc>
          <w:tcPr>
            <w:tcW w:w="2758" w:type="dxa"/>
            <w:gridSpan w:val="2"/>
          </w:tcPr>
          <w:p w14:paraId="5FDA8DD8" w14:textId="3C21FAC6"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Componentes involucrados en la f</w:t>
            </w:r>
            <w:r w:rsidR="00C84031" w:rsidRPr="007814F1">
              <w:rPr>
                <w:rFonts w:ascii="Arial Narrow" w:hAnsi="Arial Narrow"/>
                <w:b/>
                <w:sz w:val="20"/>
                <w:szCs w:val="20"/>
                <w:lang w:eastAsia="en-US"/>
              </w:rPr>
              <w:t>órmula</w:t>
            </w:r>
            <w:r w:rsidRPr="007814F1">
              <w:rPr>
                <w:rFonts w:ascii="Arial Narrow" w:hAnsi="Arial Narrow"/>
                <w:b/>
                <w:sz w:val="20"/>
                <w:szCs w:val="20"/>
                <w:lang w:eastAsia="en-US"/>
              </w:rPr>
              <w:t xml:space="preserve"> del cálculo</w:t>
            </w:r>
          </w:p>
        </w:tc>
        <w:tc>
          <w:tcPr>
            <w:tcW w:w="6309" w:type="dxa"/>
          </w:tcPr>
          <w:p w14:paraId="02819E9D" w14:textId="341686A1" w:rsidR="00F55545" w:rsidRPr="009330FA" w:rsidRDefault="00F55545" w:rsidP="007D72F4">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Centros de salud construidos</w:t>
            </w:r>
            <w:r w:rsidR="00E43D65" w:rsidRPr="009330FA">
              <w:rPr>
                <w:rFonts w:ascii="Arial Narrow" w:hAnsi="Arial Narrow"/>
                <w:bCs/>
                <w:sz w:val="20"/>
                <w:szCs w:val="20"/>
                <w:lang w:val="es-CR" w:eastAsia="en-US"/>
              </w:rPr>
              <w:t xml:space="preserve"> y equipados</w:t>
            </w:r>
          </w:p>
        </w:tc>
      </w:tr>
      <w:tr w:rsidR="007D72F4" w:rsidRPr="007814F1" w14:paraId="712E6093" w14:textId="77777777" w:rsidTr="0090152D">
        <w:trPr>
          <w:trHeight w:val="340"/>
        </w:trPr>
        <w:tc>
          <w:tcPr>
            <w:tcW w:w="2758" w:type="dxa"/>
            <w:gridSpan w:val="2"/>
            <w:hideMark/>
          </w:tcPr>
          <w:p w14:paraId="63C94DD5"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Unidad de medida</w:t>
            </w:r>
          </w:p>
        </w:tc>
        <w:tc>
          <w:tcPr>
            <w:tcW w:w="6309" w:type="dxa"/>
            <w:hideMark/>
          </w:tcPr>
          <w:p w14:paraId="0ACFD054" w14:textId="57EF17DF" w:rsidR="00F55545" w:rsidRPr="009330FA" w:rsidRDefault="00F55545" w:rsidP="0090152D">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Número</w:t>
            </w:r>
          </w:p>
          <w:p w14:paraId="09ED56FA" w14:textId="77777777" w:rsidR="00B90C60" w:rsidRPr="009330FA" w:rsidRDefault="00B90C60" w:rsidP="0090152D">
            <w:pPr>
              <w:pStyle w:val="Sinespaciado"/>
              <w:jc w:val="both"/>
              <w:rPr>
                <w:rFonts w:ascii="Arial Narrow" w:hAnsi="Arial Narrow"/>
                <w:bCs/>
                <w:sz w:val="20"/>
                <w:szCs w:val="20"/>
                <w:lang w:val="es-CR" w:eastAsia="en-US"/>
              </w:rPr>
            </w:pPr>
          </w:p>
        </w:tc>
      </w:tr>
      <w:tr w:rsidR="007D72F4" w:rsidRPr="007814F1" w14:paraId="2EDC8A98" w14:textId="77777777" w:rsidTr="0090152D">
        <w:trPr>
          <w:trHeight w:val="302"/>
        </w:trPr>
        <w:tc>
          <w:tcPr>
            <w:tcW w:w="2758" w:type="dxa"/>
            <w:gridSpan w:val="2"/>
            <w:hideMark/>
          </w:tcPr>
          <w:p w14:paraId="1B3BEA9B"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Interpretación</w:t>
            </w:r>
          </w:p>
        </w:tc>
        <w:tc>
          <w:tcPr>
            <w:tcW w:w="6309" w:type="dxa"/>
            <w:hideMark/>
          </w:tcPr>
          <w:p w14:paraId="482E2510" w14:textId="48241BC3" w:rsidR="00873957" w:rsidRPr="002426D9" w:rsidRDefault="00873957" w:rsidP="00873957">
            <w:pPr>
              <w:pStyle w:val="Sinespaciado"/>
              <w:jc w:val="both"/>
              <w:rPr>
                <w:rFonts w:ascii="Arial Narrow" w:hAnsi="Arial Narrow"/>
                <w:bCs/>
                <w:strike/>
                <w:sz w:val="20"/>
                <w:szCs w:val="20"/>
                <w:lang w:val="es-CR" w:eastAsia="en-US"/>
              </w:rPr>
            </w:pPr>
            <w:r w:rsidRPr="002426D9">
              <w:rPr>
                <w:rFonts w:ascii="Arial Narrow" w:hAnsi="Arial Narrow"/>
                <w:bCs/>
                <w:sz w:val="20"/>
                <w:szCs w:val="20"/>
                <w:lang w:val="es-CR" w:eastAsia="en-US"/>
              </w:rPr>
              <w:t>Mide el alcance de los proyectos programados por el Instituto Nacional de Seguros en el desarrollo de nueva infraestructura que permitan ampliar la atención integral de salud en redes.</w:t>
            </w:r>
          </w:p>
          <w:p w14:paraId="4BB9B834" w14:textId="2D50AB42" w:rsidR="00B90C60" w:rsidRPr="009330FA" w:rsidRDefault="00B90C60" w:rsidP="0090152D">
            <w:pPr>
              <w:pStyle w:val="Sinespaciado"/>
              <w:jc w:val="both"/>
              <w:rPr>
                <w:rFonts w:ascii="Arial Narrow" w:hAnsi="Arial Narrow"/>
                <w:bCs/>
                <w:sz w:val="20"/>
                <w:szCs w:val="20"/>
                <w:lang w:val="es-CR" w:eastAsia="en-US"/>
              </w:rPr>
            </w:pPr>
          </w:p>
        </w:tc>
      </w:tr>
      <w:tr w:rsidR="007D72F4" w:rsidRPr="007814F1" w14:paraId="3F151BD1" w14:textId="77777777" w:rsidTr="0090152D">
        <w:trPr>
          <w:trHeight w:val="240"/>
        </w:trPr>
        <w:tc>
          <w:tcPr>
            <w:tcW w:w="1417" w:type="dxa"/>
            <w:vMerge w:val="restart"/>
            <w:vAlign w:val="center"/>
            <w:hideMark/>
          </w:tcPr>
          <w:p w14:paraId="5DBDABAE"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Desagregación</w:t>
            </w:r>
          </w:p>
        </w:tc>
        <w:tc>
          <w:tcPr>
            <w:tcW w:w="1341" w:type="dxa"/>
          </w:tcPr>
          <w:p w14:paraId="50701078" w14:textId="77777777" w:rsidR="00B90C60" w:rsidRPr="007814F1" w:rsidRDefault="00B90C60" w:rsidP="0090152D">
            <w:pPr>
              <w:pStyle w:val="Sinespaciado"/>
              <w:rPr>
                <w:rFonts w:ascii="Arial Narrow" w:hAnsi="Arial Narrow"/>
                <w:b/>
                <w:sz w:val="20"/>
                <w:szCs w:val="20"/>
                <w:lang w:val="es-CR" w:eastAsia="en-US"/>
              </w:rPr>
            </w:pPr>
            <w:r w:rsidRPr="007814F1">
              <w:rPr>
                <w:rFonts w:ascii="Arial Narrow" w:hAnsi="Arial Narrow"/>
                <w:b/>
                <w:sz w:val="20"/>
                <w:szCs w:val="20"/>
                <w:lang w:val="es-CR" w:eastAsia="en-US"/>
              </w:rPr>
              <w:t>Geográfica</w:t>
            </w:r>
          </w:p>
        </w:tc>
        <w:tc>
          <w:tcPr>
            <w:tcW w:w="6309" w:type="dxa"/>
            <w:hideMark/>
          </w:tcPr>
          <w:p w14:paraId="5FA103A1" w14:textId="350D6796" w:rsidR="00B90C60" w:rsidRPr="009330FA" w:rsidRDefault="00013EE4" w:rsidP="00013EE4">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 xml:space="preserve">San José (Pérez Zeledón y Goicoechea), Alajuela, Heredia, Ciudad Quesada y Cartago </w:t>
            </w:r>
          </w:p>
        </w:tc>
      </w:tr>
      <w:tr w:rsidR="007D72F4" w:rsidRPr="007814F1" w14:paraId="6F9B46AB" w14:textId="77777777" w:rsidTr="0090152D">
        <w:trPr>
          <w:trHeight w:val="240"/>
        </w:trPr>
        <w:tc>
          <w:tcPr>
            <w:tcW w:w="1417" w:type="dxa"/>
            <w:vMerge/>
          </w:tcPr>
          <w:p w14:paraId="27D90315" w14:textId="77777777" w:rsidR="00B90C60" w:rsidRPr="007814F1" w:rsidRDefault="00B90C60" w:rsidP="0090152D">
            <w:pPr>
              <w:pStyle w:val="Sinespaciado"/>
              <w:jc w:val="center"/>
              <w:rPr>
                <w:rFonts w:ascii="Arial Narrow" w:hAnsi="Arial Narrow"/>
                <w:b/>
                <w:sz w:val="20"/>
                <w:szCs w:val="20"/>
                <w:lang w:val="es-CR" w:eastAsia="en-US"/>
              </w:rPr>
            </w:pPr>
          </w:p>
        </w:tc>
        <w:tc>
          <w:tcPr>
            <w:tcW w:w="1341" w:type="dxa"/>
          </w:tcPr>
          <w:p w14:paraId="4B581485"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Temática</w:t>
            </w:r>
          </w:p>
        </w:tc>
        <w:tc>
          <w:tcPr>
            <w:tcW w:w="6309" w:type="dxa"/>
          </w:tcPr>
          <w:p w14:paraId="6EF607EF" w14:textId="5C2E4E73" w:rsidR="00B90C60" w:rsidRPr="009330FA" w:rsidRDefault="002426D9" w:rsidP="0090152D">
            <w:pPr>
              <w:pStyle w:val="Sinespaciado"/>
              <w:jc w:val="both"/>
              <w:rPr>
                <w:rFonts w:ascii="Arial Narrow" w:hAnsi="Arial Narrow"/>
                <w:bCs/>
                <w:sz w:val="20"/>
                <w:szCs w:val="20"/>
                <w:lang w:val="es-CR" w:eastAsia="en-US"/>
              </w:rPr>
            </w:pPr>
            <w:r>
              <w:rPr>
                <w:rFonts w:ascii="Arial Narrow" w:hAnsi="Arial Narrow"/>
                <w:bCs/>
                <w:sz w:val="20"/>
                <w:szCs w:val="20"/>
                <w:lang w:eastAsia="en-US"/>
              </w:rPr>
              <w:t>C</w:t>
            </w:r>
            <w:r w:rsidR="00337451" w:rsidRPr="009330FA">
              <w:rPr>
                <w:rFonts w:ascii="Arial Narrow" w:hAnsi="Arial Narrow"/>
                <w:bCs/>
                <w:sz w:val="20"/>
                <w:szCs w:val="20"/>
                <w:lang w:eastAsia="en-US"/>
              </w:rPr>
              <w:t>entros de salud</w:t>
            </w:r>
          </w:p>
        </w:tc>
      </w:tr>
      <w:tr w:rsidR="007D72F4" w:rsidRPr="007814F1" w14:paraId="0060878D" w14:textId="77777777" w:rsidTr="0090152D">
        <w:trPr>
          <w:trHeight w:val="475"/>
        </w:trPr>
        <w:tc>
          <w:tcPr>
            <w:tcW w:w="2758" w:type="dxa"/>
            <w:gridSpan w:val="2"/>
            <w:hideMark/>
          </w:tcPr>
          <w:p w14:paraId="32F30F39"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Línea base</w:t>
            </w:r>
          </w:p>
        </w:tc>
        <w:tc>
          <w:tcPr>
            <w:tcW w:w="6309" w:type="dxa"/>
            <w:hideMark/>
          </w:tcPr>
          <w:p w14:paraId="29E2F0CC" w14:textId="30A37948" w:rsidR="00B90C60" w:rsidRPr="009330FA" w:rsidRDefault="00773888" w:rsidP="0090152D">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 xml:space="preserve">Valor inicial:  2020: </w:t>
            </w:r>
            <w:r w:rsidR="006F1F2E" w:rsidRPr="009330FA">
              <w:rPr>
                <w:rFonts w:ascii="Arial Narrow" w:hAnsi="Arial Narrow"/>
                <w:bCs/>
                <w:sz w:val="20"/>
                <w:szCs w:val="20"/>
                <w:lang w:val="es-CR" w:eastAsia="en-US"/>
              </w:rPr>
              <w:t xml:space="preserve"> 0</w:t>
            </w:r>
          </w:p>
          <w:p w14:paraId="427AE99A" w14:textId="0A708884" w:rsidR="00773888" w:rsidRPr="009330FA" w:rsidRDefault="00773888" w:rsidP="0090152D">
            <w:pPr>
              <w:pStyle w:val="Sinespaciado"/>
              <w:jc w:val="both"/>
              <w:rPr>
                <w:rFonts w:ascii="Arial Narrow" w:hAnsi="Arial Narrow"/>
                <w:bCs/>
                <w:strike/>
                <w:sz w:val="20"/>
                <w:szCs w:val="20"/>
                <w:lang w:val="es-CR" w:eastAsia="en-US"/>
              </w:rPr>
            </w:pPr>
          </w:p>
        </w:tc>
      </w:tr>
      <w:tr w:rsidR="007D72F4" w:rsidRPr="007814F1" w14:paraId="7FC401AA" w14:textId="77777777" w:rsidTr="0090152D">
        <w:trPr>
          <w:trHeight w:val="291"/>
        </w:trPr>
        <w:tc>
          <w:tcPr>
            <w:tcW w:w="2758" w:type="dxa"/>
            <w:gridSpan w:val="2"/>
            <w:hideMark/>
          </w:tcPr>
          <w:p w14:paraId="123CCE18"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Meta</w:t>
            </w:r>
          </w:p>
        </w:tc>
        <w:tc>
          <w:tcPr>
            <w:tcW w:w="6309" w:type="dxa"/>
            <w:hideMark/>
          </w:tcPr>
          <w:p w14:paraId="43B1317B" w14:textId="05EEF026" w:rsidR="00B90C60" w:rsidRPr="009330FA" w:rsidRDefault="00B90C60" w:rsidP="007301D9">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 xml:space="preserve"> </w:t>
            </w:r>
            <w:r w:rsidR="001030E0" w:rsidRPr="009330FA">
              <w:rPr>
                <w:rFonts w:ascii="Arial Narrow" w:hAnsi="Arial Narrow"/>
                <w:bCs/>
                <w:sz w:val="20"/>
                <w:szCs w:val="20"/>
                <w:lang w:val="es-CR" w:eastAsia="en-US"/>
              </w:rPr>
              <w:t>2030: 6 Centros de salud</w:t>
            </w:r>
          </w:p>
        </w:tc>
      </w:tr>
      <w:tr w:rsidR="007D72F4" w:rsidRPr="007814F1" w14:paraId="0C39F0C6" w14:textId="77777777" w:rsidTr="0090152D">
        <w:trPr>
          <w:trHeight w:val="531"/>
        </w:trPr>
        <w:tc>
          <w:tcPr>
            <w:tcW w:w="2758" w:type="dxa"/>
            <w:gridSpan w:val="2"/>
            <w:hideMark/>
          </w:tcPr>
          <w:p w14:paraId="1D80C9A0"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 xml:space="preserve">Periodicidad </w:t>
            </w:r>
          </w:p>
        </w:tc>
        <w:tc>
          <w:tcPr>
            <w:tcW w:w="6309" w:type="dxa"/>
            <w:hideMark/>
          </w:tcPr>
          <w:p w14:paraId="5E37580E" w14:textId="48F6BAB4" w:rsidR="00B90C60" w:rsidRPr="009330FA" w:rsidRDefault="006F1F2E" w:rsidP="007D72F4">
            <w:pPr>
              <w:pStyle w:val="Sinespaciado"/>
              <w:jc w:val="both"/>
              <w:rPr>
                <w:rFonts w:ascii="Arial Narrow" w:hAnsi="Arial Narrow"/>
                <w:bCs/>
                <w:sz w:val="20"/>
                <w:szCs w:val="20"/>
                <w:lang w:eastAsia="en-US"/>
              </w:rPr>
            </w:pPr>
            <w:r w:rsidRPr="009330FA">
              <w:rPr>
                <w:rFonts w:ascii="Arial Narrow" w:hAnsi="Arial Narrow"/>
                <w:bCs/>
                <w:sz w:val="20"/>
                <w:szCs w:val="20"/>
                <w:lang w:eastAsia="en-US"/>
              </w:rPr>
              <w:t>Anual</w:t>
            </w:r>
          </w:p>
        </w:tc>
      </w:tr>
      <w:tr w:rsidR="007D72F4" w:rsidRPr="007814F1" w14:paraId="7A4413F7" w14:textId="77777777" w:rsidTr="0090152D">
        <w:trPr>
          <w:trHeight w:val="453"/>
        </w:trPr>
        <w:tc>
          <w:tcPr>
            <w:tcW w:w="2758" w:type="dxa"/>
            <w:gridSpan w:val="2"/>
            <w:hideMark/>
          </w:tcPr>
          <w:p w14:paraId="25D68DAF"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Fuente de información</w:t>
            </w:r>
          </w:p>
        </w:tc>
        <w:tc>
          <w:tcPr>
            <w:tcW w:w="6309" w:type="dxa"/>
          </w:tcPr>
          <w:p w14:paraId="116F6A0C" w14:textId="2575DB3C" w:rsidR="00B90C60" w:rsidRPr="009330FA" w:rsidRDefault="0014539D" w:rsidP="0090152D">
            <w:pPr>
              <w:rPr>
                <w:rFonts w:ascii="Arial Narrow" w:hAnsi="Arial Narrow"/>
                <w:bCs/>
                <w:sz w:val="20"/>
                <w:szCs w:val="20"/>
                <w:lang w:val="es-CR"/>
              </w:rPr>
            </w:pPr>
            <w:r w:rsidRPr="009330FA">
              <w:rPr>
                <w:rFonts w:ascii="Arial Narrow" w:hAnsi="Arial Narrow"/>
                <w:bCs/>
                <w:sz w:val="20"/>
                <w:szCs w:val="20"/>
              </w:rPr>
              <w:t>Oficina de Proyectos (PMO), Instituto Nacional de Seguros.</w:t>
            </w:r>
          </w:p>
        </w:tc>
      </w:tr>
      <w:tr w:rsidR="007D72F4" w:rsidRPr="007814F1" w14:paraId="33C0BB86" w14:textId="77777777" w:rsidTr="0090152D">
        <w:trPr>
          <w:trHeight w:val="290"/>
        </w:trPr>
        <w:tc>
          <w:tcPr>
            <w:tcW w:w="2758" w:type="dxa"/>
            <w:gridSpan w:val="2"/>
            <w:hideMark/>
          </w:tcPr>
          <w:p w14:paraId="20BEE11F"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Clasificación</w:t>
            </w:r>
          </w:p>
        </w:tc>
        <w:tc>
          <w:tcPr>
            <w:tcW w:w="6309" w:type="dxa"/>
            <w:hideMark/>
          </w:tcPr>
          <w:p w14:paraId="48627FB5" w14:textId="451EBDDB" w:rsidR="00B90C60" w:rsidRPr="009330FA" w:rsidRDefault="00B90C60" w:rsidP="0090152D">
            <w:pPr>
              <w:pStyle w:val="Sinespaciado"/>
              <w:jc w:val="both"/>
              <w:rPr>
                <w:rFonts w:ascii="Arial Narrow" w:hAnsi="Arial Narrow"/>
                <w:bCs/>
                <w:sz w:val="20"/>
                <w:szCs w:val="20"/>
                <w:lang w:eastAsia="en-US"/>
              </w:rPr>
            </w:pPr>
            <w:r w:rsidRPr="009330FA">
              <w:rPr>
                <w:rFonts w:ascii="Arial Narrow" w:hAnsi="Arial Narrow"/>
                <w:bCs/>
                <w:sz w:val="20"/>
                <w:szCs w:val="20"/>
                <w:lang w:eastAsia="en-US"/>
              </w:rPr>
              <w:t>(</w:t>
            </w:r>
            <w:r w:rsidR="007D72F4" w:rsidRPr="009330FA">
              <w:rPr>
                <w:rFonts w:ascii="Arial Narrow" w:hAnsi="Arial Narrow"/>
                <w:bCs/>
                <w:sz w:val="20"/>
                <w:szCs w:val="20"/>
                <w:lang w:eastAsia="en-US"/>
              </w:rPr>
              <w:t>X)</w:t>
            </w:r>
            <w:r w:rsidRPr="009330FA">
              <w:rPr>
                <w:rFonts w:ascii="Arial Narrow" w:hAnsi="Arial Narrow"/>
                <w:bCs/>
                <w:sz w:val="20"/>
                <w:szCs w:val="20"/>
                <w:lang w:eastAsia="en-US"/>
              </w:rPr>
              <w:t xml:space="preserve"> Producto.</w:t>
            </w:r>
          </w:p>
          <w:p w14:paraId="0A44AC8F" w14:textId="0F578935" w:rsidR="001030E0" w:rsidRPr="009330FA" w:rsidRDefault="001030E0" w:rsidP="0090152D">
            <w:pPr>
              <w:pStyle w:val="Sinespaciado"/>
              <w:jc w:val="both"/>
              <w:rPr>
                <w:rFonts w:ascii="Arial Narrow" w:hAnsi="Arial Narrow"/>
                <w:bCs/>
                <w:sz w:val="20"/>
                <w:szCs w:val="20"/>
                <w:lang w:eastAsia="en-US"/>
              </w:rPr>
            </w:pPr>
            <w:r w:rsidRPr="009330FA">
              <w:rPr>
                <w:rFonts w:ascii="Arial Narrow" w:hAnsi="Arial Narrow"/>
                <w:bCs/>
                <w:sz w:val="20"/>
                <w:szCs w:val="20"/>
                <w:lang w:eastAsia="en-US"/>
              </w:rPr>
              <w:t>( ) Impacto.</w:t>
            </w:r>
          </w:p>
          <w:p w14:paraId="47664650" w14:textId="1D6A3A9E" w:rsidR="001030E0" w:rsidRPr="009330FA" w:rsidRDefault="001030E0" w:rsidP="0090152D">
            <w:pPr>
              <w:pStyle w:val="Sinespaciado"/>
              <w:jc w:val="both"/>
              <w:rPr>
                <w:rFonts w:ascii="Arial Narrow" w:hAnsi="Arial Narrow"/>
                <w:bCs/>
                <w:sz w:val="20"/>
                <w:szCs w:val="20"/>
                <w:lang w:eastAsia="en-US"/>
              </w:rPr>
            </w:pPr>
            <w:r w:rsidRPr="009330FA">
              <w:rPr>
                <w:rFonts w:ascii="Arial Narrow" w:hAnsi="Arial Narrow"/>
                <w:bCs/>
                <w:sz w:val="20"/>
                <w:szCs w:val="20"/>
                <w:lang w:eastAsia="en-US"/>
              </w:rPr>
              <w:t>( ) Efecto.</w:t>
            </w:r>
          </w:p>
          <w:p w14:paraId="05CA0F7C" w14:textId="77777777" w:rsidR="00B90C60" w:rsidRPr="009330FA" w:rsidRDefault="00B90C60" w:rsidP="0090152D">
            <w:pPr>
              <w:pStyle w:val="Sinespaciado"/>
              <w:jc w:val="both"/>
              <w:rPr>
                <w:rFonts w:ascii="Arial Narrow" w:hAnsi="Arial Narrow"/>
                <w:bCs/>
                <w:sz w:val="20"/>
                <w:szCs w:val="20"/>
                <w:lang w:eastAsia="en-US"/>
              </w:rPr>
            </w:pPr>
          </w:p>
        </w:tc>
      </w:tr>
      <w:tr w:rsidR="007D72F4" w:rsidRPr="007814F1" w14:paraId="2FE05119" w14:textId="77777777" w:rsidTr="0090152D">
        <w:trPr>
          <w:trHeight w:val="393"/>
        </w:trPr>
        <w:tc>
          <w:tcPr>
            <w:tcW w:w="2758" w:type="dxa"/>
            <w:gridSpan w:val="2"/>
            <w:hideMark/>
          </w:tcPr>
          <w:p w14:paraId="03E6D55B"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Tipo de operación estadística</w:t>
            </w:r>
          </w:p>
        </w:tc>
        <w:tc>
          <w:tcPr>
            <w:tcW w:w="6309" w:type="dxa"/>
            <w:hideMark/>
          </w:tcPr>
          <w:p w14:paraId="42E39538" w14:textId="3C655DAA" w:rsidR="00C05550" w:rsidRPr="009330FA" w:rsidRDefault="00C05550" w:rsidP="007D72F4">
            <w:pPr>
              <w:pStyle w:val="Sinespaciado"/>
              <w:jc w:val="both"/>
              <w:rPr>
                <w:rFonts w:ascii="Arial Narrow" w:hAnsi="Arial Narrow"/>
                <w:bCs/>
                <w:sz w:val="20"/>
                <w:szCs w:val="20"/>
                <w:lang w:val="es-CR" w:eastAsia="en-US"/>
              </w:rPr>
            </w:pPr>
            <w:r w:rsidRPr="009330FA">
              <w:rPr>
                <w:rFonts w:ascii="Arial Narrow" w:hAnsi="Arial Narrow"/>
                <w:bCs/>
                <w:sz w:val="20"/>
                <w:szCs w:val="20"/>
                <w:lang w:val="es-CR" w:eastAsia="en-US"/>
              </w:rPr>
              <w:t xml:space="preserve">Registro </w:t>
            </w:r>
            <w:r w:rsidR="004A0A2C" w:rsidRPr="009330FA">
              <w:rPr>
                <w:rFonts w:ascii="Arial Narrow" w:hAnsi="Arial Narrow"/>
                <w:bCs/>
                <w:sz w:val="20"/>
                <w:szCs w:val="20"/>
                <w:lang w:val="es-CR" w:eastAsia="en-US"/>
              </w:rPr>
              <w:t xml:space="preserve">administrativo </w:t>
            </w:r>
          </w:p>
        </w:tc>
      </w:tr>
      <w:tr w:rsidR="007D72F4" w:rsidRPr="007814F1" w14:paraId="040FC3B4" w14:textId="77777777" w:rsidTr="0090152D">
        <w:trPr>
          <w:trHeight w:val="522"/>
        </w:trPr>
        <w:tc>
          <w:tcPr>
            <w:tcW w:w="2758" w:type="dxa"/>
            <w:gridSpan w:val="2"/>
            <w:hideMark/>
          </w:tcPr>
          <w:p w14:paraId="4B93F80F" w14:textId="77777777" w:rsidR="00B90C60" w:rsidRPr="007814F1" w:rsidRDefault="00B90C60" w:rsidP="0090152D">
            <w:pPr>
              <w:pStyle w:val="Sinespaciado"/>
              <w:rPr>
                <w:rFonts w:ascii="Arial Narrow" w:hAnsi="Arial Narrow"/>
                <w:b/>
                <w:sz w:val="20"/>
                <w:szCs w:val="20"/>
                <w:lang w:eastAsia="en-US"/>
              </w:rPr>
            </w:pPr>
            <w:r w:rsidRPr="007814F1">
              <w:rPr>
                <w:rFonts w:ascii="Arial Narrow" w:hAnsi="Arial Narrow"/>
                <w:b/>
                <w:sz w:val="20"/>
                <w:szCs w:val="20"/>
                <w:lang w:eastAsia="en-US"/>
              </w:rPr>
              <w:t>Comentarios generales</w:t>
            </w:r>
          </w:p>
        </w:tc>
        <w:tc>
          <w:tcPr>
            <w:tcW w:w="6309" w:type="dxa"/>
            <w:hideMark/>
          </w:tcPr>
          <w:p w14:paraId="1C3F5781" w14:textId="75F095A4" w:rsidR="00C05550" w:rsidRPr="007301D9" w:rsidRDefault="003A22D6" w:rsidP="00C84031">
            <w:pPr>
              <w:pStyle w:val="Prrafodelista"/>
              <w:numPr>
                <w:ilvl w:val="1"/>
                <w:numId w:val="3"/>
              </w:numPr>
              <w:autoSpaceDE w:val="0"/>
              <w:autoSpaceDN w:val="0"/>
              <w:adjustRightInd w:val="0"/>
              <w:ind w:left="391" w:hanging="359"/>
              <w:jc w:val="both"/>
              <w:rPr>
                <w:rFonts w:ascii="Arial Narrow" w:eastAsiaTheme="minorHAnsi" w:hAnsi="Arial Narrow" w:cs="Arial"/>
                <w:bCs/>
                <w:strike/>
                <w:sz w:val="20"/>
                <w:szCs w:val="20"/>
                <w:lang w:val="es-CR" w:eastAsia="en-US"/>
              </w:rPr>
            </w:pPr>
            <w:r>
              <w:rPr>
                <w:rFonts w:ascii="Arial Narrow" w:eastAsiaTheme="minorHAnsi" w:hAnsi="Arial Narrow" w:cs="Arial"/>
                <w:bCs/>
                <w:sz w:val="20"/>
                <w:szCs w:val="20"/>
                <w:lang w:val="es-CR" w:eastAsia="en-US"/>
              </w:rPr>
              <w:t>C</w:t>
            </w:r>
            <w:r w:rsidR="00C05550" w:rsidRPr="007814F1">
              <w:rPr>
                <w:rFonts w:ascii="Arial Narrow" w:eastAsiaTheme="minorHAnsi" w:hAnsi="Arial Narrow" w:cs="Arial"/>
                <w:bCs/>
                <w:sz w:val="20"/>
                <w:szCs w:val="20"/>
                <w:lang w:val="es-CR" w:eastAsia="en-US"/>
              </w:rPr>
              <w:t xml:space="preserve">omprende el desarrollo de </w:t>
            </w:r>
            <w:r>
              <w:rPr>
                <w:rFonts w:ascii="Arial Narrow" w:eastAsiaTheme="minorHAnsi" w:hAnsi="Arial Narrow" w:cs="Arial"/>
                <w:bCs/>
                <w:sz w:val="20"/>
                <w:szCs w:val="20"/>
                <w:lang w:val="es-CR" w:eastAsia="en-US"/>
              </w:rPr>
              <w:t>centros de salud</w:t>
            </w:r>
            <w:r w:rsidR="00C05550" w:rsidRPr="007814F1">
              <w:rPr>
                <w:rFonts w:ascii="Arial Narrow" w:eastAsiaTheme="minorHAnsi" w:hAnsi="Arial Narrow" w:cs="Arial"/>
                <w:bCs/>
                <w:sz w:val="20"/>
                <w:szCs w:val="20"/>
                <w:lang w:val="es-CR" w:eastAsia="en-US"/>
              </w:rPr>
              <w:t xml:space="preserve"> ubicados en Alajuela, Heredia, Ciudad Quesada, Cartago y Guadalupe.   Asimismo, se incluyó el desarrollado durante el periodo 2020 que fue el Centro de Salud de Pérez Zeledón. </w:t>
            </w:r>
          </w:p>
          <w:p w14:paraId="3716EB78" w14:textId="130AD710" w:rsidR="003C1817" w:rsidRDefault="003C1817" w:rsidP="00C84031">
            <w:pPr>
              <w:pStyle w:val="Prrafodelista"/>
              <w:numPr>
                <w:ilvl w:val="1"/>
                <w:numId w:val="3"/>
              </w:numPr>
              <w:autoSpaceDE w:val="0"/>
              <w:autoSpaceDN w:val="0"/>
              <w:adjustRightInd w:val="0"/>
              <w:ind w:left="391" w:hanging="359"/>
              <w:jc w:val="both"/>
              <w:rPr>
                <w:rFonts w:ascii="Arial Narrow" w:eastAsiaTheme="minorHAnsi" w:hAnsi="Arial Narrow" w:cs="Arial"/>
                <w:bCs/>
                <w:sz w:val="20"/>
                <w:szCs w:val="20"/>
                <w:lang w:val="es-CR" w:eastAsia="en-US"/>
              </w:rPr>
            </w:pPr>
            <w:r>
              <w:rPr>
                <w:rFonts w:ascii="Arial Narrow" w:eastAsiaTheme="minorHAnsi" w:hAnsi="Arial Narrow" w:cs="Arial"/>
                <w:bCs/>
                <w:sz w:val="20"/>
                <w:szCs w:val="20"/>
                <w:lang w:val="es-CR" w:eastAsia="en-US"/>
              </w:rPr>
              <w:t xml:space="preserve">Los nuevos centros de salud permiten aumentar la oferta de servicios a seguros del INS y contribuir al mejor acceso a la salud en las comunidades, los mismos integran los servicios básicos sin necesidad de utilizar proveedores externos, logrando así mayor poder resolutivo, con implicaciones positivas para las </w:t>
            </w:r>
            <w:r w:rsidR="00D86652">
              <w:rPr>
                <w:rFonts w:ascii="Arial Narrow" w:eastAsiaTheme="minorHAnsi" w:hAnsi="Arial Narrow" w:cs="Arial"/>
                <w:bCs/>
                <w:sz w:val="20"/>
                <w:szCs w:val="20"/>
                <w:lang w:val="es-CR" w:eastAsia="en-US"/>
              </w:rPr>
              <w:lastRenderedPageBreak/>
              <w:t>pólizas</w:t>
            </w:r>
            <w:r>
              <w:rPr>
                <w:rFonts w:ascii="Arial Narrow" w:eastAsiaTheme="minorHAnsi" w:hAnsi="Arial Narrow" w:cs="Arial"/>
                <w:bCs/>
                <w:sz w:val="20"/>
                <w:szCs w:val="20"/>
                <w:lang w:val="es-CR" w:eastAsia="en-US"/>
              </w:rPr>
              <w:t xml:space="preserve"> de los asegurados y una mejor recuperación del paciente dentro de la comunidad.</w:t>
            </w:r>
          </w:p>
          <w:p w14:paraId="525B2B15" w14:textId="6E68F9AB" w:rsidR="003C1817" w:rsidRDefault="003C1817" w:rsidP="00C84031">
            <w:pPr>
              <w:pStyle w:val="Prrafodelista"/>
              <w:numPr>
                <w:ilvl w:val="1"/>
                <w:numId w:val="3"/>
              </w:numPr>
              <w:autoSpaceDE w:val="0"/>
              <w:autoSpaceDN w:val="0"/>
              <w:adjustRightInd w:val="0"/>
              <w:ind w:left="391" w:hanging="359"/>
              <w:jc w:val="both"/>
              <w:rPr>
                <w:rFonts w:ascii="Arial Narrow" w:eastAsiaTheme="minorHAnsi" w:hAnsi="Arial Narrow" w:cs="Arial"/>
                <w:bCs/>
                <w:sz w:val="20"/>
                <w:szCs w:val="20"/>
                <w:lang w:val="es-CR" w:eastAsia="en-US"/>
              </w:rPr>
            </w:pPr>
            <w:r>
              <w:rPr>
                <w:rFonts w:ascii="Arial Narrow" w:eastAsiaTheme="minorHAnsi" w:hAnsi="Arial Narrow" w:cs="Arial"/>
                <w:bCs/>
                <w:sz w:val="20"/>
                <w:szCs w:val="20"/>
                <w:lang w:val="es-CR" w:eastAsia="en-US"/>
              </w:rPr>
              <w:t>Por otra parte, estos centros pueden desarrollar programas de promoción y prevención en salud en conjunto con otras instancias del INS, pudiendo afrontar problemas de salud de las comunidades, grupos vulnerables, migrantes, mujeres, niños y adolescentes, entre otras poblaciones en riesgo, contribuyendo a mejorar indicadores de salud en el país.</w:t>
            </w:r>
          </w:p>
          <w:p w14:paraId="4C3EF6F8" w14:textId="0C0EBAF8" w:rsidR="003C1817" w:rsidRPr="007814F1" w:rsidRDefault="003C1817" w:rsidP="00C84031">
            <w:pPr>
              <w:pStyle w:val="Prrafodelista"/>
              <w:numPr>
                <w:ilvl w:val="1"/>
                <w:numId w:val="3"/>
              </w:numPr>
              <w:autoSpaceDE w:val="0"/>
              <w:autoSpaceDN w:val="0"/>
              <w:adjustRightInd w:val="0"/>
              <w:ind w:left="391" w:hanging="359"/>
              <w:jc w:val="both"/>
              <w:rPr>
                <w:rFonts w:ascii="Arial Narrow" w:eastAsiaTheme="minorHAnsi" w:hAnsi="Arial Narrow" w:cs="Arial"/>
                <w:bCs/>
                <w:sz w:val="20"/>
                <w:szCs w:val="20"/>
                <w:lang w:val="es-CR" w:eastAsia="en-US"/>
              </w:rPr>
            </w:pPr>
            <w:r>
              <w:rPr>
                <w:rFonts w:ascii="Arial Narrow" w:eastAsiaTheme="minorHAnsi" w:hAnsi="Arial Narrow" w:cs="Arial"/>
                <w:bCs/>
                <w:sz w:val="20"/>
                <w:szCs w:val="20"/>
                <w:lang w:val="es-CR" w:eastAsia="en-US"/>
              </w:rPr>
              <w:t>Apegados a los Objetivos del Desarrollo Sostenible (</w:t>
            </w:r>
            <w:r w:rsidR="00D86652">
              <w:rPr>
                <w:rFonts w:ascii="Arial Narrow" w:eastAsiaTheme="minorHAnsi" w:hAnsi="Arial Narrow" w:cs="Arial"/>
                <w:bCs/>
                <w:sz w:val="20"/>
                <w:szCs w:val="20"/>
                <w:lang w:val="es-CR" w:eastAsia="en-US"/>
              </w:rPr>
              <w:t>O</w:t>
            </w:r>
            <w:r>
              <w:rPr>
                <w:rFonts w:ascii="Arial Narrow" w:eastAsiaTheme="minorHAnsi" w:hAnsi="Arial Narrow" w:cs="Arial"/>
                <w:bCs/>
                <w:sz w:val="20"/>
                <w:szCs w:val="20"/>
                <w:lang w:val="es-CR" w:eastAsia="en-US"/>
              </w:rPr>
              <w:t>DS</w:t>
            </w:r>
            <w:r w:rsidR="00D86652">
              <w:rPr>
                <w:rFonts w:ascii="Arial Narrow" w:eastAsiaTheme="minorHAnsi" w:hAnsi="Arial Narrow" w:cs="Arial"/>
                <w:bCs/>
                <w:sz w:val="20"/>
                <w:szCs w:val="20"/>
                <w:lang w:val="es-CR" w:eastAsia="en-US"/>
              </w:rPr>
              <w:t xml:space="preserve">-03), se pretende aportar valor público dentro de las comunidades mediante la salud y el bienestar. Todas las construcciones se han diseñado bajo estándares de sostenibilidad como las normas RESET, que permiten un menor impacto medioambiental, además de propiciar encadenamientos productivos, desarrollo de la comunidad a través de la infraestructura, la participación ciudadana, entre otros beneficios ligados a este objetivo. </w:t>
            </w:r>
          </w:p>
          <w:p w14:paraId="4B9DE966" w14:textId="6279E78C" w:rsidR="00C05550" w:rsidRPr="007814F1" w:rsidRDefault="00C05550" w:rsidP="007D72F4">
            <w:pPr>
              <w:autoSpaceDE w:val="0"/>
              <w:autoSpaceDN w:val="0"/>
              <w:adjustRightInd w:val="0"/>
              <w:ind w:left="32"/>
              <w:jc w:val="both"/>
              <w:rPr>
                <w:rFonts w:ascii="Arial Narrow" w:hAnsi="Arial Narrow"/>
                <w:bCs/>
                <w:sz w:val="20"/>
                <w:szCs w:val="20"/>
                <w:lang w:val="es-CR" w:eastAsia="en-US"/>
              </w:rPr>
            </w:pPr>
          </w:p>
        </w:tc>
      </w:tr>
    </w:tbl>
    <w:p w14:paraId="6BD3751A" w14:textId="77777777" w:rsidR="00B90C60" w:rsidRDefault="00B90C60"/>
    <w:sectPr w:rsidR="00B90C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F4184"/>
    <w:multiLevelType w:val="hybridMultilevel"/>
    <w:tmpl w:val="6A1081F0"/>
    <w:lvl w:ilvl="0" w:tplc="140A0003">
      <w:start w:val="1"/>
      <w:numFmt w:val="bullet"/>
      <w:lvlText w:val="o"/>
      <w:lvlJc w:val="left"/>
      <w:pPr>
        <w:ind w:left="720" w:hanging="360"/>
      </w:pPr>
      <w:rPr>
        <w:rFonts w:ascii="Courier New" w:hAnsi="Courier New" w:cs="Courier New" w:hint="default"/>
        <w:b w:val="0"/>
        <w:color w:val="000000"/>
        <w:sz w:val="24"/>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447F6E85"/>
    <w:multiLevelType w:val="hybridMultilevel"/>
    <w:tmpl w:val="61A09E90"/>
    <w:lvl w:ilvl="0" w:tplc="7DA820E4">
      <w:numFmt w:val="bullet"/>
      <w:lvlText w:val=""/>
      <w:lvlJc w:val="left"/>
      <w:pPr>
        <w:ind w:left="360" w:hanging="360"/>
      </w:pPr>
      <w:rPr>
        <w:rFonts w:ascii="Symbol" w:eastAsiaTheme="minorHAnsi" w:hAnsi="Symbol" w:cs="Symbol" w:hint="default"/>
        <w:b w:val="0"/>
        <w:color w:val="000000"/>
        <w:sz w:val="24"/>
      </w:rPr>
    </w:lvl>
    <w:lvl w:ilvl="1" w:tplc="140A0003">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2" w15:restartNumberingAfterBreak="0">
    <w:nsid w:val="555B4875"/>
    <w:multiLevelType w:val="hybridMultilevel"/>
    <w:tmpl w:val="FBE2C47E"/>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3" w15:restartNumberingAfterBreak="0">
    <w:nsid w:val="6E895B37"/>
    <w:multiLevelType w:val="hybridMultilevel"/>
    <w:tmpl w:val="3ED0206C"/>
    <w:lvl w:ilvl="0" w:tplc="7DA820E4">
      <w:numFmt w:val="bullet"/>
      <w:lvlText w:val=""/>
      <w:lvlJc w:val="left"/>
      <w:pPr>
        <w:ind w:left="720" w:hanging="360"/>
      </w:pPr>
      <w:rPr>
        <w:rFonts w:ascii="Symbol" w:eastAsiaTheme="minorHAnsi" w:hAnsi="Symbol" w:cs="Symbol" w:hint="default"/>
        <w:b w:val="0"/>
        <w:color w:val="000000"/>
        <w:sz w:val="24"/>
      </w:rPr>
    </w:lvl>
    <w:lvl w:ilvl="1" w:tplc="381612E0">
      <w:numFmt w:val="bullet"/>
      <w:lvlText w:val="·"/>
      <w:lvlJc w:val="left"/>
      <w:pPr>
        <w:ind w:left="1440" w:hanging="360"/>
      </w:pPr>
      <w:rPr>
        <w:rFonts w:ascii="Arial Narrow" w:eastAsiaTheme="minorHAnsi" w:hAnsi="Arial Narrow" w:cs="Symbol"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60"/>
    <w:rsid w:val="00013EE4"/>
    <w:rsid w:val="000A60BC"/>
    <w:rsid w:val="001030E0"/>
    <w:rsid w:val="0014539D"/>
    <w:rsid w:val="002426D9"/>
    <w:rsid w:val="00337451"/>
    <w:rsid w:val="003A22D6"/>
    <w:rsid w:val="003C1817"/>
    <w:rsid w:val="004A0A2C"/>
    <w:rsid w:val="005258ED"/>
    <w:rsid w:val="006C46AA"/>
    <w:rsid w:val="006F1F2E"/>
    <w:rsid w:val="00701442"/>
    <w:rsid w:val="007301D9"/>
    <w:rsid w:val="00773888"/>
    <w:rsid w:val="007814F1"/>
    <w:rsid w:val="007D72F4"/>
    <w:rsid w:val="007F6126"/>
    <w:rsid w:val="0082489D"/>
    <w:rsid w:val="00873957"/>
    <w:rsid w:val="009330FA"/>
    <w:rsid w:val="00A01DCE"/>
    <w:rsid w:val="00B0304E"/>
    <w:rsid w:val="00B22905"/>
    <w:rsid w:val="00B90C60"/>
    <w:rsid w:val="00C05550"/>
    <w:rsid w:val="00C84031"/>
    <w:rsid w:val="00D10B4F"/>
    <w:rsid w:val="00D2448F"/>
    <w:rsid w:val="00D37E43"/>
    <w:rsid w:val="00D86652"/>
    <w:rsid w:val="00E00266"/>
    <w:rsid w:val="00E43D65"/>
    <w:rsid w:val="00EE1242"/>
    <w:rsid w:val="00F5554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47FCC"/>
  <w15:chartTrackingRefBased/>
  <w15:docId w15:val="{72C9A99D-DE0A-4971-A0F2-425100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C6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90C60"/>
    <w:pPr>
      <w:spacing w:after="0" w:line="240" w:lineRule="auto"/>
    </w:pPr>
    <w:rPr>
      <w:rFonts w:ascii="Times New Roman" w:eastAsia="Times New Roman" w:hAnsi="Times New Roman" w:cs="Times New Roman"/>
      <w:sz w:val="24"/>
      <w:szCs w:val="24"/>
      <w:lang w:val="es-ES" w:eastAsia="es-ES"/>
    </w:rPr>
  </w:style>
  <w:style w:type="table" w:customStyle="1" w:styleId="GFATableGrid1">
    <w:name w:val="GFA Table Grid1"/>
    <w:basedOn w:val="Tablanormal"/>
    <w:next w:val="Tablaconcuadrcula"/>
    <w:uiPriority w:val="59"/>
    <w:rsid w:val="00B90C6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basedOn w:val="Fuentedeprrafopredeter"/>
    <w:link w:val="Sinespaciado"/>
    <w:uiPriority w:val="1"/>
    <w:rsid w:val="00B90C60"/>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B90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05550"/>
    <w:pPr>
      <w:ind w:left="720"/>
      <w:contextualSpacing/>
    </w:pPr>
  </w:style>
  <w:style w:type="character" w:styleId="Textodelmarcadordeposicin">
    <w:name w:val="Placeholder Text"/>
    <w:basedOn w:val="Fuentedeprrafopredeter"/>
    <w:uiPriority w:val="99"/>
    <w:semiHidden/>
    <w:rsid w:val="00F55545"/>
    <w:rPr>
      <w:color w:val="808080"/>
    </w:rPr>
  </w:style>
  <w:style w:type="paragraph" w:styleId="Textodeglobo">
    <w:name w:val="Balloon Text"/>
    <w:basedOn w:val="Normal"/>
    <w:link w:val="TextodegloboCar"/>
    <w:uiPriority w:val="99"/>
    <w:semiHidden/>
    <w:unhideWhenUsed/>
    <w:rsid w:val="003C18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1817"/>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84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2962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Barboza Calvo</dc:creator>
  <cp:keywords/>
  <dc:description/>
  <cp:lastModifiedBy>María Elena Rojas Cruz</cp:lastModifiedBy>
  <cp:revision>3</cp:revision>
  <dcterms:created xsi:type="dcterms:W3CDTF">2021-08-05T20:14:00Z</dcterms:created>
  <dcterms:modified xsi:type="dcterms:W3CDTF">2021-08-05T20:34:00Z</dcterms:modified>
</cp:coreProperties>
</file>