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96E2" w14:textId="77777777" w:rsidR="003C5B99" w:rsidRPr="00A156F4" w:rsidRDefault="003C5B99" w:rsidP="004E014C">
      <w:pPr>
        <w:widowControl w:val="0"/>
        <w:jc w:val="right"/>
        <w:rPr>
          <w:b/>
          <w:sz w:val="22"/>
          <w:szCs w:val="22"/>
        </w:rPr>
      </w:pPr>
      <w:r w:rsidRPr="00A156F4">
        <w:rPr>
          <w:b/>
          <w:sz w:val="22"/>
          <w:szCs w:val="22"/>
          <w:lang w:eastAsia="es-CR"/>
        </w:rPr>
        <w:t xml:space="preserve">Expediente </w:t>
      </w:r>
      <w:proofErr w:type="spellStart"/>
      <w:r w:rsidRPr="00A156F4">
        <w:rPr>
          <w:b/>
          <w:sz w:val="22"/>
          <w:szCs w:val="22"/>
        </w:rPr>
        <w:t>N°</w:t>
      </w:r>
      <w:proofErr w:type="spellEnd"/>
      <w:r w:rsidRPr="00A156F4">
        <w:rPr>
          <w:b/>
          <w:sz w:val="22"/>
          <w:szCs w:val="22"/>
        </w:rPr>
        <w:t xml:space="preserve"> 19.996</w:t>
      </w:r>
    </w:p>
    <w:p w14:paraId="014865D3" w14:textId="77777777" w:rsidR="002F23FC" w:rsidRPr="00A156F4" w:rsidRDefault="002F23FC" w:rsidP="004B2F8B">
      <w:pPr>
        <w:widowControl w:val="0"/>
        <w:jc w:val="right"/>
        <w:rPr>
          <w:b/>
          <w:sz w:val="22"/>
          <w:szCs w:val="22"/>
        </w:rPr>
      </w:pPr>
    </w:p>
    <w:p w14:paraId="5176FDBC" w14:textId="4ABA06FE" w:rsidR="00427B6B" w:rsidRPr="00A156F4" w:rsidRDefault="00427B6B" w:rsidP="004B2F8B">
      <w:pPr>
        <w:widowControl w:val="0"/>
        <w:jc w:val="right"/>
        <w:rPr>
          <w:b/>
          <w:sz w:val="22"/>
          <w:szCs w:val="22"/>
        </w:rPr>
      </w:pPr>
    </w:p>
    <w:p w14:paraId="5CF0E3F9" w14:textId="77777777" w:rsidR="003C5B99" w:rsidRPr="00A156F4" w:rsidRDefault="003C5B99" w:rsidP="004B2F8B">
      <w:pPr>
        <w:widowControl w:val="0"/>
        <w:jc w:val="center"/>
        <w:outlineLvl w:val="0"/>
        <w:rPr>
          <w:b/>
          <w:sz w:val="22"/>
          <w:szCs w:val="22"/>
        </w:rPr>
      </w:pPr>
      <w:r w:rsidRPr="00A156F4">
        <w:rPr>
          <w:b/>
          <w:sz w:val="22"/>
          <w:szCs w:val="22"/>
        </w:rPr>
        <w:t>LA ASAMBLEA LEGISLATIVA DE LA REPÚBLICA DE COSTA RICA</w:t>
      </w:r>
    </w:p>
    <w:p w14:paraId="2066A21F" w14:textId="77777777" w:rsidR="003C5B99" w:rsidRPr="00A156F4" w:rsidRDefault="003C5B99" w:rsidP="004B2F8B">
      <w:pPr>
        <w:widowControl w:val="0"/>
        <w:jc w:val="center"/>
        <w:outlineLvl w:val="0"/>
        <w:rPr>
          <w:sz w:val="22"/>
          <w:szCs w:val="22"/>
        </w:rPr>
      </w:pPr>
      <w:r w:rsidRPr="00A156F4">
        <w:rPr>
          <w:b/>
          <w:sz w:val="22"/>
          <w:szCs w:val="22"/>
        </w:rPr>
        <w:t>DECRETA</w:t>
      </w:r>
      <w:r w:rsidRPr="00A156F4">
        <w:rPr>
          <w:sz w:val="22"/>
          <w:szCs w:val="22"/>
        </w:rPr>
        <w:t>:</w:t>
      </w:r>
    </w:p>
    <w:p w14:paraId="1C6650DC" w14:textId="77777777" w:rsidR="00995161" w:rsidRPr="00A156F4" w:rsidRDefault="00995161" w:rsidP="004B2F8B">
      <w:pPr>
        <w:widowControl w:val="0"/>
        <w:jc w:val="center"/>
        <w:rPr>
          <w:b/>
          <w:sz w:val="22"/>
          <w:szCs w:val="22"/>
        </w:rPr>
      </w:pPr>
    </w:p>
    <w:p w14:paraId="1C38DA58" w14:textId="77777777" w:rsidR="003C5B99" w:rsidRPr="00A156F4" w:rsidRDefault="008420DC" w:rsidP="004B2F8B">
      <w:pPr>
        <w:widowControl w:val="0"/>
        <w:jc w:val="center"/>
        <w:outlineLvl w:val="0"/>
        <w:rPr>
          <w:b/>
          <w:sz w:val="22"/>
          <w:szCs w:val="22"/>
        </w:rPr>
      </w:pPr>
      <w:bookmarkStart w:id="0" w:name="_Hlk523045371"/>
      <w:r w:rsidRPr="00A156F4">
        <w:rPr>
          <w:b/>
          <w:sz w:val="22"/>
          <w:szCs w:val="22"/>
        </w:rPr>
        <w:t>Ley de Fortalecimiento de las Autoridades de Competencia de Costa Rica</w:t>
      </w:r>
    </w:p>
    <w:p w14:paraId="4C1D3451" w14:textId="09C38E7C" w:rsidR="003C5B99" w:rsidRDefault="003C5B99" w:rsidP="004B2F8B">
      <w:pPr>
        <w:widowControl w:val="0"/>
        <w:jc w:val="center"/>
        <w:outlineLvl w:val="0"/>
        <w:rPr>
          <w:b/>
          <w:sz w:val="22"/>
          <w:szCs w:val="22"/>
        </w:rPr>
      </w:pPr>
    </w:p>
    <w:p w14:paraId="2E3DE3B2" w14:textId="77777777" w:rsidR="00A156F4" w:rsidRPr="00A156F4" w:rsidRDefault="00A156F4" w:rsidP="004B2F8B">
      <w:pPr>
        <w:widowControl w:val="0"/>
        <w:jc w:val="center"/>
        <w:outlineLvl w:val="0"/>
        <w:rPr>
          <w:b/>
          <w:sz w:val="22"/>
          <w:szCs w:val="22"/>
        </w:rPr>
      </w:pPr>
    </w:p>
    <w:p w14:paraId="176CD2CE" w14:textId="77777777" w:rsidR="003C5B99" w:rsidRPr="00A156F4" w:rsidRDefault="00A37322" w:rsidP="004B2F8B">
      <w:pPr>
        <w:widowControl w:val="0"/>
        <w:jc w:val="center"/>
        <w:outlineLvl w:val="0"/>
        <w:rPr>
          <w:b/>
          <w:sz w:val="22"/>
          <w:szCs w:val="22"/>
        </w:rPr>
      </w:pPr>
      <w:r w:rsidRPr="00A156F4">
        <w:rPr>
          <w:b/>
          <w:sz w:val="22"/>
          <w:szCs w:val="22"/>
        </w:rPr>
        <w:t>TÍTULO I</w:t>
      </w:r>
    </w:p>
    <w:p w14:paraId="44DFF856" w14:textId="77777777" w:rsidR="003C5B99" w:rsidRPr="00A156F4" w:rsidRDefault="008440E6" w:rsidP="004B2F8B">
      <w:pPr>
        <w:widowControl w:val="0"/>
        <w:jc w:val="center"/>
        <w:rPr>
          <w:b/>
          <w:sz w:val="22"/>
          <w:szCs w:val="22"/>
        </w:rPr>
      </w:pPr>
      <w:r w:rsidRPr="00A156F4">
        <w:rPr>
          <w:b/>
          <w:sz w:val="22"/>
          <w:szCs w:val="22"/>
        </w:rPr>
        <w:t>De las Autoridades de Competencia</w:t>
      </w:r>
    </w:p>
    <w:p w14:paraId="5F46CA5D" w14:textId="77777777" w:rsidR="00E21840" w:rsidRPr="00A156F4" w:rsidRDefault="00E21840" w:rsidP="004B2F8B">
      <w:pPr>
        <w:widowControl w:val="0"/>
        <w:jc w:val="center"/>
        <w:rPr>
          <w:b/>
          <w:sz w:val="22"/>
          <w:szCs w:val="22"/>
        </w:rPr>
      </w:pPr>
    </w:p>
    <w:p w14:paraId="39CE4ACC" w14:textId="273EE236" w:rsidR="003C5B99" w:rsidRDefault="003C5B99" w:rsidP="004B2F8B">
      <w:pPr>
        <w:widowControl w:val="0"/>
        <w:jc w:val="center"/>
        <w:outlineLvl w:val="0"/>
        <w:rPr>
          <w:b/>
          <w:sz w:val="22"/>
          <w:szCs w:val="22"/>
        </w:rPr>
      </w:pPr>
      <w:r w:rsidRPr="00A156F4">
        <w:rPr>
          <w:b/>
          <w:sz w:val="22"/>
          <w:szCs w:val="22"/>
        </w:rPr>
        <w:t xml:space="preserve">CAPÍTULO </w:t>
      </w:r>
      <w:r w:rsidR="00872628" w:rsidRPr="00A156F4">
        <w:rPr>
          <w:b/>
          <w:sz w:val="22"/>
          <w:szCs w:val="22"/>
        </w:rPr>
        <w:t>I</w:t>
      </w:r>
    </w:p>
    <w:p w14:paraId="3A1834FF" w14:textId="6EF04848" w:rsidR="003C5B99" w:rsidRPr="00A156F4" w:rsidRDefault="00323493" w:rsidP="00A156F4">
      <w:pPr>
        <w:widowControl w:val="0"/>
        <w:jc w:val="center"/>
        <w:rPr>
          <w:b/>
          <w:sz w:val="22"/>
          <w:szCs w:val="22"/>
        </w:rPr>
      </w:pPr>
      <w:r w:rsidRPr="00A156F4">
        <w:rPr>
          <w:b/>
          <w:sz w:val="22"/>
          <w:szCs w:val="22"/>
        </w:rPr>
        <w:t>Autoridades de Competencia y Funciones</w:t>
      </w:r>
    </w:p>
    <w:p w14:paraId="1311F7E8" w14:textId="77777777" w:rsidR="005F7DB9" w:rsidRPr="00A156F4" w:rsidRDefault="005F7DB9" w:rsidP="005A456F">
      <w:pPr>
        <w:pStyle w:val="Sinespaciado"/>
        <w:rPr>
          <w:sz w:val="22"/>
          <w:szCs w:val="22"/>
        </w:rPr>
      </w:pPr>
    </w:p>
    <w:bookmarkEnd w:id="0"/>
    <w:p w14:paraId="5A2B6A13" w14:textId="77777777" w:rsidR="007D24BA" w:rsidRPr="00A156F4" w:rsidRDefault="007D24BA" w:rsidP="004B2F8B">
      <w:pPr>
        <w:widowControl w:val="0"/>
        <w:jc w:val="both"/>
        <w:outlineLvl w:val="0"/>
        <w:rPr>
          <w:b/>
          <w:sz w:val="22"/>
          <w:szCs w:val="22"/>
        </w:rPr>
      </w:pPr>
    </w:p>
    <w:p w14:paraId="4E9145D3" w14:textId="77777777" w:rsidR="001F4208" w:rsidRPr="00A156F4" w:rsidRDefault="008954D5" w:rsidP="004B2F8B">
      <w:pPr>
        <w:widowControl w:val="0"/>
        <w:jc w:val="both"/>
        <w:outlineLvl w:val="0"/>
        <w:rPr>
          <w:b/>
          <w:sz w:val="22"/>
          <w:szCs w:val="22"/>
        </w:rPr>
      </w:pPr>
      <w:r w:rsidRPr="00A156F4">
        <w:rPr>
          <w:b/>
          <w:sz w:val="22"/>
          <w:szCs w:val="22"/>
        </w:rPr>
        <w:t xml:space="preserve">Artículo </w:t>
      </w:r>
      <w:r w:rsidR="003C5B99" w:rsidRPr="00A156F4">
        <w:rPr>
          <w:b/>
          <w:sz w:val="22"/>
          <w:szCs w:val="22"/>
        </w:rPr>
        <w:t>1.-</w:t>
      </w:r>
      <w:r w:rsidR="00AA704C" w:rsidRPr="00A156F4">
        <w:rPr>
          <w:b/>
          <w:sz w:val="22"/>
          <w:szCs w:val="22"/>
        </w:rPr>
        <w:t xml:space="preserve"> </w:t>
      </w:r>
      <w:r w:rsidR="001F4208" w:rsidRPr="00A156F4">
        <w:rPr>
          <w:b/>
          <w:sz w:val="22"/>
          <w:szCs w:val="22"/>
        </w:rPr>
        <w:t>Definiciones</w:t>
      </w:r>
    </w:p>
    <w:p w14:paraId="36309136" w14:textId="77777777" w:rsidR="001F4208" w:rsidRPr="00A156F4" w:rsidRDefault="001F4208" w:rsidP="001F4208">
      <w:pPr>
        <w:jc w:val="both"/>
        <w:rPr>
          <w:sz w:val="22"/>
          <w:szCs w:val="22"/>
        </w:rPr>
      </w:pPr>
    </w:p>
    <w:p w14:paraId="003F8B21" w14:textId="467640A7" w:rsidR="001F4208" w:rsidRPr="00A156F4" w:rsidRDefault="001F4208" w:rsidP="001F4208">
      <w:pPr>
        <w:jc w:val="both"/>
        <w:rPr>
          <w:sz w:val="22"/>
          <w:szCs w:val="22"/>
        </w:rPr>
      </w:pPr>
      <w:r w:rsidRPr="00A156F4">
        <w:rPr>
          <w:sz w:val="22"/>
          <w:szCs w:val="22"/>
        </w:rPr>
        <w:t xml:space="preserve">Para los efectos de </w:t>
      </w:r>
      <w:r w:rsidR="00700641">
        <w:rPr>
          <w:sz w:val="22"/>
          <w:szCs w:val="22"/>
        </w:rPr>
        <w:t>la presente</w:t>
      </w:r>
      <w:r w:rsidRPr="00A156F4">
        <w:rPr>
          <w:sz w:val="22"/>
          <w:szCs w:val="22"/>
        </w:rPr>
        <w:t xml:space="preserve"> ley, se definen los siguientes conceptos: </w:t>
      </w:r>
    </w:p>
    <w:p w14:paraId="20C9218B" w14:textId="77777777" w:rsidR="001F4208" w:rsidRPr="00A156F4" w:rsidRDefault="001F4208" w:rsidP="001F4208">
      <w:pPr>
        <w:jc w:val="both"/>
        <w:rPr>
          <w:sz w:val="22"/>
          <w:szCs w:val="22"/>
        </w:rPr>
      </w:pPr>
    </w:p>
    <w:p w14:paraId="42349930" w14:textId="48A88AFD" w:rsidR="001F4208" w:rsidRPr="00A156F4" w:rsidRDefault="001F4208" w:rsidP="00522B15">
      <w:pPr>
        <w:jc w:val="both"/>
        <w:rPr>
          <w:b/>
          <w:sz w:val="22"/>
          <w:szCs w:val="22"/>
        </w:rPr>
      </w:pPr>
      <w:r w:rsidRPr="00A156F4">
        <w:rPr>
          <w:b/>
          <w:sz w:val="22"/>
          <w:szCs w:val="22"/>
        </w:rPr>
        <w:t xml:space="preserve">Autoridades de </w:t>
      </w:r>
      <w:r w:rsidR="00634652" w:rsidRPr="00A156F4">
        <w:rPr>
          <w:b/>
          <w:sz w:val="22"/>
          <w:szCs w:val="22"/>
        </w:rPr>
        <w:t>c</w:t>
      </w:r>
      <w:r w:rsidRPr="00A156F4">
        <w:rPr>
          <w:b/>
          <w:sz w:val="22"/>
          <w:szCs w:val="22"/>
        </w:rPr>
        <w:t>ompetencia:</w:t>
      </w:r>
      <w:r w:rsidR="00C1720E" w:rsidRPr="00A156F4">
        <w:rPr>
          <w:b/>
          <w:sz w:val="22"/>
          <w:szCs w:val="22"/>
        </w:rPr>
        <w:t xml:space="preserve"> </w:t>
      </w:r>
      <w:r w:rsidRPr="00A156F4">
        <w:rPr>
          <w:sz w:val="22"/>
          <w:szCs w:val="22"/>
        </w:rPr>
        <w:t>Comisión para Promover la Competencia y</w:t>
      </w:r>
      <w:r w:rsidR="00522B15" w:rsidRPr="00A156F4">
        <w:rPr>
          <w:sz w:val="22"/>
          <w:szCs w:val="22"/>
        </w:rPr>
        <w:t xml:space="preserve"> </w:t>
      </w:r>
      <w:r w:rsidR="00F84555" w:rsidRPr="00A156F4">
        <w:rPr>
          <w:sz w:val="22"/>
          <w:szCs w:val="22"/>
        </w:rPr>
        <w:t>Superintendencia</w:t>
      </w:r>
      <w:r w:rsidRPr="00A156F4">
        <w:rPr>
          <w:sz w:val="22"/>
          <w:szCs w:val="22"/>
        </w:rPr>
        <w:t xml:space="preserve"> de Telecomunicaciones</w:t>
      </w:r>
      <w:r w:rsidR="00BA0885" w:rsidRPr="00A156F4">
        <w:rPr>
          <w:sz w:val="22"/>
          <w:szCs w:val="22"/>
        </w:rPr>
        <w:t>;</w:t>
      </w:r>
    </w:p>
    <w:p w14:paraId="76E59077" w14:textId="77777777" w:rsidR="001F4208" w:rsidRPr="00A156F4" w:rsidRDefault="001F4208" w:rsidP="001F4208">
      <w:pPr>
        <w:jc w:val="both"/>
        <w:rPr>
          <w:sz w:val="22"/>
          <w:szCs w:val="22"/>
        </w:rPr>
      </w:pPr>
    </w:p>
    <w:p w14:paraId="5FE410C0" w14:textId="763C6279" w:rsidR="001F4208" w:rsidRPr="00A156F4" w:rsidRDefault="001F4208" w:rsidP="001F4208">
      <w:pPr>
        <w:jc w:val="both"/>
        <w:rPr>
          <w:sz w:val="22"/>
          <w:szCs w:val="22"/>
        </w:rPr>
      </w:pPr>
      <w:r w:rsidRPr="00A156F4">
        <w:rPr>
          <w:b/>
          <w:sz w:val="22"/>
          <w:szCs w:val="22"/>
        </w:rPr>
        <w:t xml:space="preserve">Control económico: </w:t>
      </w:r>
      <w:r w:rsidR="00C274C9" w:rsidRPr="00A156F4">
        <w:rPr>
          <w:sz w:val="22"/>
          <w:szCs w:val="22"/>
        </w:rPr>
        <w:t>p</w:t>
      </w:r>
      <w:r w:rsidRPr="00A156F4">
        <w:rPr>
          <w:sz w:val="22"/>
          <w:szCs w:val="22"/>
        </w:rPr>
        <w:t>osibilidad de ejercer una influencia decisiva sobre un agente económico o sus activos, entendida como el poder de adoptar o de bloquear decisiones que determinen su comportamiento comercial estratégico</w:t>
      </w:r>
      <w:r w:rsidR="00FE6451" w:rsidRPr="00A156F4">
        <w:rPr>
          <w:sz w:val="22"/>
          <w:szCs w:val="22"/>
        </w:rPr>
        <w:t>.</w:t>
      </w:r>
      <w:r w:rsidRPr="00A156F4">
        <w:rPr>
          <w:sz w:val="22"/>
          <w:szCs w:val="22"/>
        </w:rPr>
        <w:t xml:space="preserve"> Este control puede adquirirse de hecho o de derecho</w:t>
      </w:r>
      <w:r w:rsidR="000250C6" w:rsidRPr="00A156F4">
        <w:rPr>
          <w:sz w:val="22"/>
          <w:szCs w:val="22"/>
        </w:rPr>
        <w:t>.</w:t>
      </w:r>
    </w:p>
    <w:p w14:paraId="4B6388C4" w14:textId="77777777" w:rsidR="00271EE4" w:rsidRPr="00A156F4" w:rsidRDefault="00271EE4" w:rsidP="001F4208">
      <w:pPr>
        <w:jc w:val="both"/>
        <w:rPr>
          <w:sz w:val="22"/>
          <w:szCs w:val="22"/>
        </w:rPr>
      </w:pPr>
    </w:p>
    <w:p w14:paraId="44829A13" w14:textId="182C30F1" w:rsidR="00271EE4" w:rsidRPr="00A156F4" w:rsidRDefault="00271EE4" w:rsidP="001F4208">
      <w:pPr>
        <w:jc w:val="both"/>
        <w:rPr>
          <w:sz w:val="22"/>
          <w:szCs w:val="22"/>
        </w:rPr>
      </w:pPr>
      <w:r w:rsidRPr="00A156F4">
        <w:rPr>
          <w:b/>
          <w:sz w:val="22"/>
          <w:szCs w:val="22"/>
        </w:rPr>
        <w:t>Concentración ilícita:</w:t>
      </w:r>
      <w:r w:rsidRPr="00A156F4">
        <w:rPr>
          <w:sz w:val="22"/>
          <w:szCs w:val="22"/>
        </w:rPr>
        <w:t xml:space="preserve"> </w:t>
      </w:r>
      <w:r w:rsidR="00C274C9" w:rsidRPr="00A156F4">
        <w:rPr>
          <w:sz w:val="22"/>
          <w:szCs w:val="22"/>
        </w:rPr>
        <w:t>l</w:t>
      </w:r>
      <w:r w:rsidR="005B7755" w:rsidRPr="00A156F4">
        <w:rPr>
          <w:sz w:val="22"/>
          <w:szCs w:val="22"/>
        </w:rPr>
        <w:t>a</w:t>
      </w:r>
      <w:r w:rsidR="00E27A3C" w:rsidRPr="00A156F4">
        <w:rPr>
          <w:sz w:val="22"/>
          <w:szCs w:val="22"/>
        </w:rPr>
        <w:t xml:space="preserve"> concentraci</w:t>
      </w:r>
      <w:r w:rsidR="005B7755" w:rsidRPr="00A156F4">
        <w:rPr>
          <w:sz w:val="22"/>
          <w:szCs w:val="22"/>
        </w:rPr>
        <w:t>ón</w:t>
      </w:r>
      <w:r w:rsidR="00E27A3C" w:rsidRPr="00A156F4">
        <w:rPr>
          <w:sz w:val="22"/>
          <w:szCs w:val="22"/>
        </w:rPr>
        <w:t xml:space="preserve"> que no haya sido notificada y que</w:t>
      </w:r>
      <w:r w:rsidR="00D557AB" w:rsidRPr="00A156F4">
        <w:rPr>
          <w:sz w:val="22"/>
          <w:szCs w:val="22"/>
        </w:rPr>
        <w:t xml:space="preserve"> además</w:t>
      </w:r>
      <w:r w:rsidR="00E27A3C" w:rsidRPr="00A156F4">
        <w:rPr>
          <w:sz w:val="22"/>
          <w:szCs w:val="22"/>
        </w:rPr>
        <w:t xml:space="preserve"> tenga por objeto o efecto obstaculizar, disminuir, dañar o impedir la competencia y libre concurrencia</w:t>
      </w:r>
      <w:r w:rsidR="0054527C" w:rsidRPr="00A156F4">
        <w:rPr>
          <w:sz w:val="22"/>
          <w:szCs w:val="22"/>
        </w:rPr>
        <w:t xml:space="preserve"> del mercado</w:t>
      </w:r>
      <w:r w:rsidR="000250C6" w:rsidRPr="00A156F4">
        <w:rPr>
          <w:sz w:val="22"/>
          <w:szCs w:val="22"/>
        </w:rPr>
        <w:t>.</w:t>
      </w:r>
    </w:p>
    <w:p w14:paraId="615DA0B2" w14:textId="77777777" w:rsidR="001F4208" w:rsidRPr="00A156F4" w:rsidRDefault="001F4208" w:rsidP="001F4208">
      <w:pPr>
        <w:widowControl w:val="0"/>
        <w:jc w:val="both"/>
        <w:rPr>
          <w:sz w:val="22"/>
          <w:szCs w:val="22"/>
        </w:rPr>
      </w:pPr>
    </w:p>
    <w:p w14:paraId="5FEAA5AD" w14:textId="444A69B2" w:rsidR="001F4208" w:rsidRPr="00A156F4" w:rsidRDefault="001F4208" w:rsidP="00C1720E">
      <w:pPr>
        <w:spacing w:line="254" w:lineRule="atLeast"/>
        <w:jc w:val="both"/>
        <w:textAlignment w:val="center"/>
        <w:rPr>
          <w:sz w:val="22"/>
          <w:szCs w:val="22"/>
        </w:rPr>
      </w:pPr>
      <w:r w:rsidRPr="00A156F4">
        <w:rPr>
          <w:b/>
          <w:sz w:val="22"/>
          <w:szCs w:val="22"/>
        </w:rPr>
        <w:t>Empresa</w:t>
      </w:r>
      <w:r w:rsidR="005B7755" w:rsidRPr="00A156F4">
        <w:rPr>
          <w:b/>
          <w:sz w:val="22"/>
          <w:szCs w:val="22"/>
        </w:rPr>
        <w:t>s</w:t>
      </w:r>
      <w:r w:rsidRPr="00A156F4">
        <w:rPr>
          <w:b/>
          <w:sz w:val="22"/>
          <w:szCs w:val="22"/>
        </w:rPr>
        <w:t xml:space="preserve"> relacionada</w:t>
      </w:r>
      <w:r w:rsidR="005B7755" w:rsidRPr="00A156F4">
        <w:rPr>
          <w:b/>
          <w:sz w:val="22"/>
          <w:szCs w:val="22"/>
        </w:rPr>
        <w:t>s</w:t>
      </w:r>
      <w:r w:rsidRPr="00A156F4">
        <w:rPr>
          <w:b/>
          <w:sz w:val="22"/>
          <w:szCs w:val="22"/>
        </w:rPr>
        <w:t>:</w:t>
      </w:r>
      <w:r w:rsidRPr="00A156F4">
        <w:rPr>
          <w:sz w:val="22"/>
          <w:szCs w:val="22"/>
        </w:rPr>
        <w:t xml:space="preserve"> </w:t>
      </w:r>
      <w:r w:rsidR="00C274C9" w:rsidRPr="00A156F4">
        <w:rPr>
          <w:sz w:val="22"/>
          <w:szCs w:val="22"/>
        </w:rPr>
        <w:t>e</w:t>
      </w:r>
      <w:r w:rsidRPr="00A156F4">
        <w:rPr>
          <w:sz w:val="22"/>
          <w:szCs w:val="22"/>
        </w:rPr>
        <w:t>mpresas que forman parte de un grupo</w:t>
      </w:r>
      <w:r w:rsidR="00BD6C2A" w:rsidRPr="00A156F4">
        <w:rPr>
          <w:sz w:val="22"/>
          <w:szCs w:val="22"/>
        </w:rPr>
        <w:t xml:space="preserve"> económico</w:t>
      </w:r>
      <w:r w:rsidRPr="00A156F4">
        <w:rPr>
          <w:sz w:val="22"/>
          <w:szCs w:val="22"/>
        </w:rPr>
        <w:t xml:space="preserve">, en el </w:t>
      </w:r>
      <w:r w:rsidR="00D01C65" w:rsidRPr="00A156F4">
        <w:rPr>
          <w:sz w:val="22"/>
          <w:szCs w:val="22"/>
        </w:rPr>
        <w:t>que</w:t>
      </w:r>
      <w:r w:rsidRPr="00A156F4">
        <w:rPr>
          <w:sz w:val="22"/>
          <w:szCs w:val="22"/>
        </w:rPr>
        <w:t xml:space="preserve"> una de ellas tiene el control económico</w:t>
      </w:r>
      <w:r w:rsidR="00BD6C2A" w:rsidRPr="00A156F4">
        <w:rPr>
          <w:sz w:val="22"/>
          <w:szCs w:val="22"/>
        </w:rPr>
        <w:t xml:space="preserve"> de hecho o de derecho</w:t>
      </w:r>
      <w:r w:rsidRPr="00A156F4">
        <w:rPr>
          <w:sz w:val="22"/>
          <w:szCs w:val="22"/>
        </w:rPr>
        <w:t xml:space="preserve"> sobre la otra, o están sujetas al control común por parte de otra empresa</w:t>
      </w:r>
      <w:r w:rsidR="00BD6C2A" w:rsidRPr="00A156F4">
        <w:rPr>
          <w:sz w:val="22"/>
          <w:szCs w:val="22"/>
        </w:rPr>
        <w:t>, persona o grupo de ellas</w:t>
      </w:r>
      <w:r w:rsidR="000250C6" w:rsidRPr="00A156F4">
        <w:rPr>
          <w:sz w:val="22"/>
          <w:szCs w:val="22"/>
        </w:rPr>
        <w:t>.</w:t>
      </w:r>
    </w:p>
    <w:p w14:paraId="47E2D5F5" w14:textId="77777777" w:rsidR="001F4208" w:rsidRPr="00A156F4" w:rsidRDefault="001F4208" w:rsidP="001F4208">
      <w:pPr>
        <w:widowControl w:val="0"/>
        <w:jc w:val="both"/>
        <w:rPr>
          <w:sz w:val="22"/>
          <w:szCs w:val="22"/>
        </w:rPr>
      </w:pPr>
    </w:p>
    <w:p w14:paraId="6436F85C" w14:textId="75C5ADBF" w:rsidR="001F4208" w:rsidRPr="00A156F4" w:rsidRDefault="001F4208" w:rsidP="001F4208">
      <w:pPr>
        <w:widowControl w:val="0"/>
        <w:jc w:val="both"/>
        <w:rPr>
          <w:sz w:val="22"/>
          <w:szCs w:val="22"/>
        </w:rPr>
      </w:pPr>
      <w:r w:rsidRPr="00A156F4">
        <w:rPr>
          <w:b/>
          <w:sz w:val="22"/>
          <w:szCs w:val="22"/>
        </w:rPr>
        <w:t>Estudios de mercado:</w:t>
      </w:r>
      <w:r w:rsidRPr="00A156F4">
        <w:rPr>
          <w:sz w:val="22"/>
          <w:szCs w:val="22"/>
        </w:rPr>
        <w:t xml:space="preserve"> </w:t>
      </w:r>
      <w:r w:rsidR="00C274C9" w:rsidRPr="00A156F4">
        <w:rPr>
          <w:sz w:val="22"/>
          <w:szCs w:val="22"/>
        </w:rPr>
        <w:t>i</w:t>
      </w:r>
      <w:r w:rsidRPr="00A156F4">
        <w:rPr>
          <w:sz w:val="22"/>
          <w:szCs w:val="22"/>
        </w:rPr>
        <w:t xml:space="preserve">nstrumentos que se utilizan para detectar la existencia de distorsiones, riesgos al proceso de libre competencia o barreras de entrada, </w:t>
      </w:r>
      <w:r w:rsidR="00D01C65" w:rsidRPr="00A156F4">
        <w:rPr>
          <w:sz w:val="22"/>
          <w:szCs w:val="22"/>
        </w:rPr>
        <w:t>que</w:t>
      </w:r>
      <w:r w:rsidRPr="00A156F4">
        <w:rPr>
          <w:sz w:val="22"/>
          <w:szCs w:val="22"/>
        </w:rPr>
        <w:t xml:space="preserve"> contendrán recomendaciones sobre las medidas que resulten necesarias para establecer, promover o fortalecer la competencia</w:t>
      </w:r>
      <w:r w:rsidR="000250C6" w:rsidRPr="00A156F4">
        <w:rPr>
          <w:sz w:val="22"/>
          <w:szCs w:val="22"/>
        </w:rPr>
        <w:t>.</w:t>
      </w:r>
    </w:p>
    <w:p w14:paraId="2BE2D1E4" w14:textId="77777777" w:rsidR="001F4208" w:rsidRPr="00A156F4" w:rsidRDefault="001F4208" w:rsidP="001F4208">
      <w:pPr>
        <w:widowControl w:val="0"/>
        <w:jc w:val="both"/>
        <w:rPr>
          <w:sz w:val="22"/>
          <w:szCs w:val="22"/>
        </w:rPr>
      </w:pPr>
    </w:p>
    <w:p w14:paraId="0D677070" w14:textId="3BA781A8" w:rsidR="00801309" w:rsidRPr="00A156F4" w:rsidRDefault="001F4208" w:rsidP="001F4208">
      <w:pPr>
        <w:widowControl w:val="0"/>
        <w:jc w:val="both"/>
        <w:rPr>
          <w:sz w:val="22"/>
          <w:szCs w:val="22"/>
        </w:rPr>
      </w:pPr>
      <w:r w:rsidRPr="00A156F4">
        <w:rPr>
          <w:b/>
          <w:sz w:val="22"/>
          <w:szCs w:val="22"/>
        </w:rPr>
        <w:t xml:space="preserve">Grupo económico: </w:t>
      </w:r>
      <w:r w:rsidR="00C274C9" w:rsidRPr="00A156F4">
        <w:rPr>
          <w:sz w:val="22"/>
          <w:szCs w:val="22"/>
        </w:rPr>
        <w:t>a</w:t>
      </w:r>
      <w:r w:rsidR="00D557AB" w:rsidRPr="00A156F4">
        <w:rPr>
          <w:sz w:val="22"/>
          <w:szCs w:val="22"/>
        </w:rPr>
        <w:t>grupación de sociedades</w:t>
      </w:r>
      <w:r w:rsidR="00D01C65" w:rsidRPr="00A156F4">
        <w:rPr>
          <w:sz w:val="22"/>
          <w:szCs w:val="22"/>
        </w:rPr>
        <w:t>,</w:t>
      </w:r>
      <w:r w:rsidR="00D557AB" w:rsidRPr="00A156F4">
        <w:rPr>
          <w:sz w:val="22"/>
          <w:szCs w:val="22"/>
        </w:rPr>
        <w:t xml:space="preserve"> </w:t>
      </w:r>
      <w:r w:rsidR="00BD6C2A" w:rsidRPr="00A156F4">
        <w:rPr>
          <w:sz w:val="22"/>
          <w:szCs w:val="22"/>
        </w:rPr>
        <w:t>de hecho o de derecho</w:t>
      </w:r>
      <w:r w:rsidR="00D01C65" w:rsidRPr="00A156F4">
        <w:rPr>
          <w:sz w:val="22"/>
          <w:szCs w:val="22"/>
        </w:rPr>
        <w:t>,</w:t>
      </w:r>
      <w:r w:rsidR="00BD6C2A" w:rsidRPr="00A156F4">
        <w:rPr>
          <w:sz w:val="22"/>
          <w:szCs w:val="22"/>
        </w:rPr>
        <w:t xml:space="preserve"> </w:t>
      </w:r>
      <w:r w:rsidR="00D557AB" w:rsidRPr="00A156F4">
        <w:rPr>
          <w:sz w:val="22"/>
          <w:szCs w:val="22"/>
        </w:rPr>
        <w:t>que se manifiesta mediante una unidad de decisión, es decir, la reunión de todos</w:t>
      </w:r>
      <w:r w:rsidR="00BD6C2A" w:rsidRPr="00A156F4">
        <w:rPr>
          <w:sz w:val="22"/>
          <w:szCs w:val="22"/>
        </w:rPr>
        <w:t xml:space="preserve"> o una parte sustancial de</w:t>
      </w:r>
      <w:r w:rsidR="00D557AB" w:rsidRPr="00A156F4">
        <w:rPr>
          <w:sz w:val="22"/>
          <w:szCs w:val="22"/>
        </w:rPr>
        <w:t xml:space="preserve"> los elementos de mando o dirección empresarial por medio de un centro de operaciones, y </w:t>
      </w:r>
      <w:r w:rsidR="00D01C65" w:rsidRPr="00A156F4">
        <w:rPr>
          <w:sz w:val="22"/>
          <w:szCs w:val="22"/>
        </w:rPr>
        <w:t xml:space="preserve">que </w:t>
      </w:r>
      <w:r w:rsidR="00D557AB" w:rsidRPr="00A156F4">
        <w:rPr>
          <w:sz w:val="22"/>
          <w:szCs w:val="22"/>
        </w:rPr>
        <w:t xml:space="preserve">se exterioriza mediante dos movimientos básicos: el criterio de unidad de dirección, ya sea por subordinación o por colaboración entre </w:t>
      </w:r>
      <w:r w:rsidR="00BD6C2A" w:rsidRPr="00A156F4">
        <w:rPr>
          <w:sz w:val="22"/>
          <w:szCs w:val="22"/>
        </w:rPr>
        <w:t>sus miembros</w:t>
      </w:r>
      <w:r w:rsidR="00D01C65" w:rsidRPr="00A156F4">
        <w:rPr>
          <w:sz w:val="22"/>
          <w:szCs w:val="22"/>
        </w:rPr>
        <w:t>;</w:t>
      </w:r>
      <w:r w:rsidR="00D557AB" w:rsidRPr="00A156F4">
        <w:rPr>
          <w:sz w:val="22"/>
          <w:szCs w:val="22"/>
        </w:rPr>
        <w:t xml:space="preserve"> o el criterio de dependencia económica de las sociedades que se agrupan</w:t>
      </w:r>
      <w:r w:rsidR="00BD6C2A" w:rsidRPr="00A156F4">
        <w:rPr>
          <w:sz w:val="22"/>
          <w:szCs w:val="22"/>
        </w:rPr>
        <w:t xml:space="preserve"> o empresas</w:t>
      </w:r>
      <w:r w:rsidR="00D557AB" w:rsidRPr="00A156F4">
        <w:rPr>
          <w:sz w:val="22"/>
          <w:szCs w:val="22"/>
        </w:rPr>
        <w:t>, sin importar que la personalidad jurídica</w:t>
      </w:r>
      <w:r w:rsidR="00B45CDE" w:rsidRPr="00A156F4">
        <w:rPr>
          <w:sz w:val="22"/>
          <w:szCs w:val="22"/>
        </w:rPr>
        <w:t xml:space="preserve"> de sus miembros</w:t>
      </w:r>
      <w:r w:rsidR="00D557AB" w:rsidRPr="00A156F4">
        <w:rPr>
          <w:sz w:val="22"/>
          <w:szCs w:val="22"/>
        </w:rPr>
        <w:t xml:space="preserve"> se vea afectada, o que su patrimonio sea objeto de transferencia</w:t>
      </w:r>
      <w:r w:rsidR="000250C6" w:rsidRPr="00A156F4">
        <w:rPr>
          <w:sz w:val="22"/>
          <w:szCs w:val="22"/>
        </w:rPr>
        <w:t>.</w:t>
      </w:r>
    </w:p>
    <w:p w14:paraId="178C100E" w14:textId="7350B985" w:rsidR="00E775A6" w:rsidRPr="00A156F4" w:rsidRDefault="00E775A6" w:rsidP="001F4208">
      <w:pPr>
        <w:widowControl w:val="0"/>
        <w:jc w:val="both"/>
        <w:rPr>
          <w:b/>
          <w:sz w:val="22"/>
          <w:szCs w:val="22"/>
          <w:highlight w:val="yellow"/>
        </w:rPr>
      </w:pPr>
    </w:p>
    <w:p w14:paraId="7AEA0FFF" w14:textId="5B4AC334" w:rsidR="00E775A6" w:rsidRPr="00A156F4" w:rsidRDefault="00E775A6" w:rsidP="001F4208">
      <w:pPr>
        <w:widowControl w:val="0"/>
        <w:jc w:val="both"/>
        <w:rPr>
          <w:sz w:val="22"/>
          <w:szCs w:val="22"/>
        </w:rPr>
      </w:pPr>
      <w:r w:rsidRPr="00A156F4">
        <w:rPr>
          <w:b/>
          <w:sz w:val="22"/>
          <w:szCs w:val="22"/>
        </w:rPr>
        <w:t xml:space="preserve">Incidencia: </w:t>
      </w:r>
      <w:r w:rsidR="00C274C9" w:rsidRPr="00A156F4">
        <w:rPr>
          <w:sz w:val="22"/>
          <w:szCs w:val="22"/>
        </w:rPr>
        <w:t>s</w:t>
      </w:r>
      <w:r w:rsidRPr="00A156F4">
        <w:rPr>
          <w:sz w:val="22"/>
          <w:szCs w:val="22"/>
        </w:rPr>
        <w:t xml:space="preserve">e considerará que un agente económico tiene actividades con incidencia </w:t>
      </w:r>
      <w:r w:rsidR="00B45CDE" w:rsidRPr="00A156F4">
        <w:rPr>
          <w:sz w:val="22"/>
          <w:szCs w:val="22"/>
        </w:rPr>
        <w:t xml:space="preserve">en Costa Rica </w:t>
      </w:r>
      <w:r w:rsidRPr="00A156F4">
        <w:rPr>
          <w:sz w:val="22"/>
          <w:szCs w:val="22"/>
        </w:rPr>
        <w:t>cuando realiza ventas o mantiene activos</w:t>
      </w:r>
      <w:r w:rsidR="00B45CDE" w:rsidRPr="00A156F4">
        <w:rPr>
          <w:sz w:val="22"/>
          <w:szCs w:val="22"/>
        </w:rPr>
        <w:t xml:space="preserve"> productivos</w:t>
      </w:r>
      <w:r w:rsidRPr="00A156F4">
        <w:rPr>
          <w:sz w:val="22"/>
          <w:szCs w:val="22"/>
        </w:rPr>
        <w:t xml:space="preserve"> en el país, ya sea en forma directa o a través de terceros</w:t>
      </w:r>
      <w:r w:rsidR="000250C6" w:rsidRPr="00A156F4">
        <w:rPr>
          <w:sz w:val="22"/>
          <w:szCs w:val="22"/>
        </w:rPr>
        <w:t>.</w:t>
      </w:r>
    </w:p>
    <w:p w14:paraId="67BDB22B" w14:textId="062776AE" w:rsidR="001F4208" w:rsidRPr="00A156F4" w:rsidRDefault="001F4208" w:rsidP="001F4208">
      <w:pPr>
        <w:widowControl w:val="0"/>
        <w:jc w:val="both"/>
        <w:rPr>
          <w:sz w:val="22"/>
          <w:szCs w:val="22"/>
        </w:rPr>
      </w:pPr>
    </w:p>
    <w:p w14:paraId="3C37087B" w14:textId="5DF84E9F" w:rsidR="00E055D2" w:rsidRPr="00A156F4" w:rsidRDefault="001F4208" w:rsidP="001F4208">
      <w:pPr>
        <w:widowControl w:val="0"/>
        <w:jc w:val="both"/>
        <w:rPr>
          <w:sz w:val="22"/>
          <w:szCs w:val="22"/>
        </w:rPr>
      </w:pPr>
      <w:r w:rsidRPr="00A156F4">
        <w:rPr>
          <w:b/>
          <w:sz w:val="22"/>
          <w:szCs w:val="22"/>
        </w:rPr>
        <w:t>Reincidencia</w:t>
      </w:r>
      <w:r w:rsidRPr="00A156F4">
        <w:rPr>
          <w:sz w:val="22"/>
          <w:szCs w:val="22"/>
        </w:rPr>
        <w:t>:</w:t>
      </w:r>
      <w:r w:rsidR="00B45CDE" w:rsidRPr="00A156F4">
        <w:rPr>
          <w:sz w:val="22"/>
          <w:szCs w:val="22"/>
        </w:rPr>
        <w:t xml:space="preserve"> </w:t>
      </w:r>
      <w:r w:rsidR="00C274C9" w:rsidRPr="00A156F4">
        <w:rPr>
          <w:sz w:val="22"/>
          <w:szCs w:val="22"/>
        </w:rPr>
        <w:t>r</w:t>
      </w:r>
      <w:r w:rsidR="00E055D2" w:rsidRPr="00A156F4">
        <w:rPr>
          <w:sz w:val="22"/>
          <w:szCs w:val="22"/>
        </w:rPr>
        <w:t xml:space="preserve">eiteración de una de las infracciones, independientemente de su tipo o naturaleza, que se encuentren tipificadas en la presente </w:t>
      </w:r>
      <w:r w:rsidR="00F12779" w:rsidRPr="00A156F4">
        <w:rPr>
          <w:sz w:val="22"/>
          <w:szCs w:val="22"/>
        </w:rPr>
        <w:t>l</w:t>
      </w:r>
      <w:r w:rsidR="00E055D2" w:rsidRPr="00A156F4">
        <w:rPr>
          <w:sz w:val="22"/>
          <w:szCs w:val="22"/>
        </w:rPr>
        <w:t xml:space="preserve">ey; la Ley de Promoción de la Competencia y Defensa Efectiva del Consumidor, Ley </w:t>
      </w:r>
      <w:proofErr w:type="spellStart"/>
      <w:r w:rsidR="00E055D2" w:rsidRPr="00A156F4">
        <w:rPr>
          <w:sz w:val="22"/>
          <w:szCs w:val="22"/>
        </w:rPr>
        <w:t>N°</w:t>
      </w:r>
      <w:proofErr w:type="spellEnd"/>
      <w:r w:rsidR="00E055D2" w:rsidRPr="00A156F4">
        <w:rPr>
          <w:sz w:val="22"/>
          <w:szCs w:val="22"/>
        </w:rPr>
        <w:t>. 7472, del 20 de diciembre de 1994</w:t>
      </w:r>
      <w:r w:rsidR="00171D3C" w:rsidRPr="00A156F4">
        <w:rPr>
          <w:sz w:val="22"/>
          <w:szCs w:val="22"/>
        </w:rPr>
        <w:t>, sus reformas y sus reglamentos</w:t>
      </w:r>
      <w:r w:rsidR="00E055D2" w:rsidRPr="00A156F4">
        <w:rPr>
          <w:sz w:val="22"/>
          <w:szCs w:val="22"/>
        </w:rPr>
        <w:t xml:space="preserve">; y la Ley General de Telecomunicaciones, Ley </w:t>
      </w:r>
      <w:proofErr w:type="spellStart"/>
      <w:r w:rsidR="00E055D2" w:rsidRPr="00A156F4">
        <w:rPr>
          <w:sz w:val="22"/>
          <w:szCs w:val="22"/>
        </w:rPr>
        <w:t>N°</w:t>
      </w:r>
      <w:proofErr w:type="spellEnd"/>
      <w:r w:rsidR="00E055D2" w:rsidRPr="00A156F4">
        <w:rPr>
          <w:sz w:val="22"/>
          <w:szCs w:val="22"/>
        </w:rPr>
        <w:t>. 8642, del 4 de junio de 2008,</w:t>
      </w:r>
      <w:r w:rsidR="004E750E" w:rsidRPr="00A156F4">
        <w:rPr>
          <w:sz w:val="22"/>
          <w:szCs w:val="22"/>
        </w:rPr>
        <w:t xml:space="preserve"> sus reformas y sus reglamentos</w:t>
      </w:r>
      <w:r w:rsidR="00A614C5" w:rsidRPr="00A156F4">
        <w:rPr>
          <w:sz w:val="22"/>
          <w:szCs w:val="22"/>
        </w:rPr>
        <w:t>,</w:t>
      </w:r>
      <w:r w:rsidR="00E055D2" w:rsidRPr="00A156F4">
        <w:rPr>
          <w:sz w:val="22"/>
          <w:szCs w:val="22"/>
        </w:rPr>
        <w:t xml:space="preserve"> en lo relativo al régimen sectorial de competencia. Lo anterior siempre</w:t>
      </w:r>
      <w:r w:rsidR="001D4CCB" w:rsidRPr="00A156F4">
        <w:rPr>
          <w:sz w:val="22"/>
          <w:szCs w:val="22"/>
        </w:rPr>
        <w:t xml:space="preserve"> y cuando </w:t>
      </w:r>
      <w:r w:rsidR="00E055D2" w:rsidRPr="00A156F4">
        <w:rPr>
          <w:sz w:val="22"/>
          <w:szCs w:val="22"/>
        </w:rPr>
        <w:t xml:space="preserve">ocurra dentro de los </w:t>
      </w:r>
      <w:r w:rsidR="005530CE" w:rsidRPr="00A156F4">
        <w:rPr>
          <w:sz w:val="22"/>
          <w:szCs w:val="22"/>
        </w:rPr>
        <w:t xml:space="preserve">siguientes </w:t>
      </w:r>
      <w:r w:rsidR="00E055D2" w:rsidRPr="00A156F4">
        <w:rPr>
          <w:sz w:val="22"/>
          <w:szCs w:val="22"/>
        </w:rPr>
        <w:t>cuatro años, a partir de la firmeza de la sanción</w:t>
      </w:r>
      <w:r w:rsidR="001D4CCB" w:rsidRPr="00A156F4">
        <w:rPr>
          <w:sz w:val="22"/>
          <w:szCs w:val="22"/>
        </w:rPr>
        <w:t xml:space="preserve"> de la infracción más reciente</w:t>
      </w:r>
      <w:r w:rsidR="00E055D2" w:rsidRPr="00A156F4">
        <w:rPr>
          <w:sz w:val="22"/>
          <w:szCs w:val="22"/>
        </w:rPr>
        <w:t xml:space="preserve">. </w:t>
      </w:r>
    </w:p>
    <w:p w14:paraId="223AC0E1" w14:textId="77777777" w:rsidR="001F4208" w:rsidRPr="00A156F4" w:rsidRDefault="001F4208" w:rsidP="001F4208">
      <w:pPr>
        <w:widowControl w:val="0"/>
        <w:jc w:val="both"/>
        <w:rPr>
          <w:sz w:val="22"/>
          <w:szCs w:val="22"/>
        </w:rPr>
      </w:pPr>
    </w:p>
    <w:p w14:paraId="43063601" w14:textId="386A51AF" w:rsidR="001F4208" w:rsidRPr="00A156F4" w:rsidRDefault="001F4208" w:rsidP="001F4208">
      <w:pPr>
        <w:widowControl w:val="0"/>
        <w:jc w:val="both"/>
        <w:rPr>
          <w:sz w:val="22"/>
          <w:szCs w:val="22"/>
        </w:rPr>
      </w:pPr>
      <w:r w:rsidRPr="00A156F4">
        <w:rPr>
          <w:b/>
          <w:sz w:val="22"/>
          <w:szCs w:val="22"/>
        </w:rPr>
        <w:t>Salario base:</w:t>
      </w:r>
      <w:r w:rsidR="00634652" w:rsidRPr="00A156F4">
        <w:rPr>
          <w:b/>
          <w:sz w:val="22"/>
          <w:szCs w:val="22"/>
        </w:rPr>
        <w:t xml:space="preserve"> </w:t>
      </w:r>
      <w:r w:rsidR="00C274C9" w:rsidRPr="00A156F4">
        <w:rPr>
          <w:sz w:val="22"/>
          <w:szCs w:val="22"/>
        </w:rPr>
        <w:t>a</w:t>
      </w:r>
      <w:r w:rsidR="00634652" w:rsidRPr="00A156F4">
        <w:rPr>
          <w:sz w:val="22"/>
          <w:szCs w:val="22"/>
        </w:rPr>
        <w:t xml:space="preserve">quel que se define en la Ley Crea Concepto Salario Base para Delitos Especiales del Código Penal, Ley </w:t>
      </w:r>
      <w:proofErr w:type="spellStart"/>
      <w:r w:rsidR="00634652" w:rsidRPr="00A156F4">
        <w:rPr>
          <w:sz w:val="22"/>
          <w:szCs w:val="22"/>
        </w:rPr>
        <w:t>N°</w:t>
      </w:r>
      <w:proofErr w:type="spellEnd"/>
      <w:r w:rsidR="00634652" w:rsidRPr="00A156F4">
        <w:rPr>
          <w:sz w:val="22"/>
          <w:szCs w:val="22"/>
        </w:rPr>
        <w:t xml:space="preserve"> 7337, del 5 de mayo de 1993</w:t>
      </w:r>
      <w:r w:rsidR="0010503B" w:rsidRPr="00A156F4">
        <w:rPr>
          <w:sz w:val="22"/>
          <w:szCs w:val="22"/>
        </w:rPr>
        <w:t>; y</w:t>
      </w:r>
    </w:p>
    <w:p w14:paraId="60529C07" w14:textId="77777777" w:rsidR="001F4208" w:rsidRPr="00A156F4" w:rsidRDefault="001F4208" w:rsidP="001F4208">
      <w:pPr>
        <w:widowControl w:val="0"/>
        <w:jc w:val="both"/>
        <w:rPr>
          <w:sz w:val="22"/>
          <w:szCs w:val="22"/>
        </w:rPr>
      </w:pPr>
    </w:p>
    <w:p w14:paraId="5C38A650" w14:textId="7984A0EC" w:rsidR="001F4208" w:rsidRPr="00A156F4" w:rsidRDefault="001F4208" w:rsidP="001F4208">
      <w:pPr>
        <w:widowControl w:val="0"/>
        <w:jc w:val="both"/>
        <w:rPr>
          <w:sz w:val="22"/>
          <w:szCs w:val="22"/>
        </w:rPr>
      </w:pPr>
      <w:r w:rsidRPr="00A156F4">
        <w:rPr>
          <w:b/>
          <w:sz w:val="22"/>
          <w:szCs w:val="22"/>
        </w:rPr>
        <w:t>Volumen de negocios:</w:t>
      </w:r>
      <w:r w:rsidRPr="00A156F4">
        <w:rPr>
          <w:sz w:val="22"/>
          <w:szCs w:val="22"/>
        </w:rPr>
        <w:t xml:space="preserve"> </w:t>
      </w:r>
      <w:r w:rsidR="00C274C9" w:rsidRPr="00A156F4">
        <w:rPr>
          <w:sz w:val="22"/>
          <w:szCs w:val="22"/>
        </w:rPr>
        <w:t>t</w:t>
      </w:r>
      <w:r w:rsidRPr="00A156F4">
        <w:rPr>
          <w:sz w:val="22"/>
          <w:szCs w:val="22"/>
        </w:rPr>
        <w:t>otal</w:t>
      </w:r>
      <w:r w:rsidR="00F12779" w:rsidRPr="00A156F4">
        <w:rPr>
          <w:sz w:val="22"/>
          <w:szCs w:val="22"/>
        </w:rPr>
        <w:t xml:space="preserve"> de</w:t>
      </w:r>
      <w:r w:rsidRPr="00A156F4">
        <w:rPr>
          <w:sz w:val="22"/>
          <w:szCs w:val="22"/>
        </w:rPr>
        <w:t xml:space="preserve"> ingresos brutos </w:t>
      </w:r>
      <w:r w:rsidR="00D557AB" w:rsidRPr="00A156F4">
        <w:rPr>
          <w:sz w:val="22"/>
          <w:szCs w:val="22"/>
        </w:rPr>
        <w:t>ordinarios</w:t>
      </w:r>
      <w:r w:rsidR="00F12779" w:rsidRPr="00A156F4">
        <w:rPr>
          <w:sz w:val="22"/>
          <w:szCs w:val="22"/>
        </w:rPr>
        <w:t>,</w:t>
      </w:r>
      <w:r w:rsidR="00D557AB" w:rsidRPr="00A156F4">
        <w:rPr>
          <w:sz w:val="22"/>
          <w:szCs w:val="22"/>
        </w:rPr>
        <w:t xml:space="preserve"> </w:t>
      </w:r>
      <w:r w:rsidRPr="00A156F4">
        <w:rPr>
          <w:sz w:val="22"/>
          <w:szCs w:val="22"/>
        </w:rPr>
        <w:t>recibidos por el agente económico, durante el periodo fiscal anterior al de la imposición de la sanción</w:t>
      </w:r>
      <w:r w:rsidR="00B954E8" w:rsidRPr="00A156F4">
        <w:rPr>
          <w:sz w:val="22"/>
          <w:szCs w:val="22"/>
        </w:rPr>
        <w:t xml:space="preserve">, según el Estado de Resultados auditado </w:t>
      </w:r>
      <w:r w:rsidR="002E1A08" w:rsidRPr="00A156F4">
        <w:rPr>
          <w:sz w:val="22"/>
          <w:szCs w:val="22"/>
        </w:rPr>
        <w:t>para</w:t>
      </w:r>
      <w:r w:rsidR="00B954E8" w:rsidRPr="00A156F4">
        <w:rPr>
          <w:sz w:val="22"/>
          <w:szCs w:val="22"/>
        </w:rPr>
        <w:t xml:space="preserve"> ese periodo o</w:t>
      </w:r>
      <w:r w:rsidR="002E1A08" w:rsidRPr="00A156F4">
        <w:rPr>
          <w:sz w:val="22"/>
          <w:szCs w:val="22"/>
        </w:rPr>
        <w:t>,</w:t>
      </w:r>
      <w:r w:rsidR="00B954E8" w:rsidRPr="00A156F4">
        <w:rPr>
          <w:sz w:val="22"/>
          <w:szCs w:val="22"/>
        </w:rPr>
        <w:t xml:space="preserve"> en su defecto, </w:t>
      </w:r>
      <w:r w:rsidR="002E1A08" w:rsidRPr="00A156F4">
        <w:rPr>
          <w:sz w:val="22"/>
          <w:szCs w:val="22"/>
        </w:rPr>
        <w:t>a</w:t>
      </w:r>
      <w:r w:rsidR="00B954E8" w:rsidRPr="00A156F4">
        <w:rPr>
          <w:sz w:val="22"/>
          <w:szCs w:val="22"/>
        </w:rPr>
        <w:t>l Estado</w:t>
      </w:r>
      <w:r w:rsidR="002E1A08" w:rsidRPr="00A156F4">
        <w:rPr>
          <w:sz w:val="22"/>
          <w:szCs w:val="22"/>
        </w:rPr>
        <w:t xml:space="preserve"> </w:t>
      </w:r>
      <w:r w:rsidR="00B954E8" w:rsidRPr="00A156F4">
        <w:rPr>
          <w:sz w:val="22"/>
          <w:szCs w:val="22"/>
        </w:rPr>
        <w:t xml:space="preserve">Financiero de Resultados interno de </w:t>
      </w:r>
      <w:r w:rsidR="00F12779" w:rsidRPr="00A156F4">
        <w:rPr>
          <w:sz w:val="22"/>
          <w:szCs w:val="22"/>
        </w:rPr>
        <w:t>dicho</w:t>
      </w:r>
      <w:r w:rsidR="00B954E8" w:rsidRPr="00A156F4">
        <w:rPr>
          <w:sz w:val="22"/>
          <w:szCs w:val="22"/>
        </w:rPr>
        <w:t xml:space="preserve"> periodo.</w:t>
      </w:r>
    </w:p>
    <w:p w14:paraId="045128E0" w14:textId="77777777" w:rsidR="001F4208" w:rsidRPr="00A156F4" w:rsidRDefault="001F4208" w:rsidP="004B2F8B">
      <w:pPr>
        <w:widowControl w:val="0"/>
        <w:jc w:val="both"/>
        <w:outlineLvl w:val="0"/>
        <w:rPr>
          <w:b/>
          <w:sz w:val="22"/>
          <w:szCs w:val="22"/>
        </w:rPr>
      </w:pPr>
    </w:p>
    <w:p w14:paraId="3899DCBC" w14:textId="77777777" w:rsidR="003C5B99" w:rsidRPr="00A156F4" w:rsidRDefault="001F4208" w:rsidP="004B2F8B">
      <w:pPr>
        <w:widowControl w:val="0"/>
        <w:jc w:val="both"/>
        <w:outlineLvl w:val="0"/>
        <w:rPr>
          <w:b/>
          <w:bCs/>
          <w:sz w:val="22"/>
          <w:szCs w:val="22"/>
        </w:rPr>
      </w:pPr>
      <w:r w:rsidRPr="00A156F4">
        <w:rPr>
          <w:b/>
          <w:sz w:val="22"/>
          <w:szCs w:val="22"/>
        </w:rPr>
        <w:t xml:space="preserve">Artículo </w:t>
      </w:r>
      <w:r w:rsidR="00634652" w:rsidRPr="00A156F4">
        <w:rPr>
          <w:b/>
          <w:sz w:val="22"/>
          <w:szCs w:val="22"/>
        </w:rPr>
        <w:t>2</w:t>
      </w:r>
      <w:r w:rsidRPr="00A156F4">
        <w:rPr>
          <w:b/>
          <w:sz w:val="22"/>
          <w:szCs w:val="22"/>
        </w:rPr>
        <w:t xml:space="preserve">.- </w:t>
      </w:r>
      <w:r w:rsidR="008420DC" w:rsidRPr="00A156F4">
        <w:rPr>
          <w:b/>
          <w:bCs/>
          <w:sz w:val="22"/>
          <w:szCs w:val="22"/>
        </w:rPr>
        <w:t>Autoridades</w:t>
      </w:r>
      <w:r w:rsidR="006C34EF" w:rsidRPr="00A156F4">
        <w:rPr>
          <w:b/>
          <w:bCs/>
          <w:sz w:val="22"/>
          <w:szCs w:val="22"/>
        </w:rPr>
        <w:t xml:space="preserve"> de </w:t>
      </w:r>
      <w:r w:rsidR="00013A61" w:rsidRPr="00A156F4">
        <w:rPr>
          <w:b/>
          <w:bCs/>
          <w:sz w:val="22"/>
          <w:szCs w:val="22"/>
        </w:rPr>
        <w:t>c</w:t>
      </w:r>
      <w:r w:rsidR="006C34EF" w:rsidRPr="00A156F4">
        <w:rPr>
          <w:b/>
          <w:bCs/>
          <w:sz w:val="22"/>
          <w:szCs w:val="22"/>
        </w:rPr>
        <w:t>ompetencia</w:t>
      </w:r>
    </w:p>
    <w:p w14:paraId="01B5FD74" w14:textId="77777777" w:rsidR="00F81153" w:rsidRPr="00A156F4" w:rsidRDefault="00F81153" w:rsidP="004B2F8B">
      <w:pPr>
        <w:widowControl w:val="0"/>
        <w:jc w:val="both"/>
        <w:outlineLvl w:val="0"/>
        <w:rPr>
          <w:b/>
          <w:sz w:val="22"/>
          <w:szCs w:val="22"/>
        </w:rPr>
      </w:pPr>
    </w:p>
    <w:p w14:paraId="3DC906DC" w14:textId="1DF0E96B" w:rsidR="008E1B91" w:rsidRPr="00A156F4" w:rsidRDefault="005F047C" w:rsidP="004B2F8B">
      <w:pPr>
        <w:autoSpaceDE w:val="0"/>
        <w:autoSpaceDN w:val="0"/>
        <w:jc w:val="both"/>
        <w:rPr>
          <w:sz w:val="22"/>
          <w:szCs w:val="22"/>
          <w:lang w:eastAsia="es-CR"/>
        </w:rPr>
      </w:pPr>
      <w:r w:rsidRPr="00A156F4">
        <w:rPr>
          <w:sz w:val="22"/>
          <w:szCs w:val="22"/>
        </w:rPr>
        <w:t>La Comisión</w:t>
      </w:r>
      <w:r w:rsidR="008E1B91" w:rsidRPr="00A156F4">
        <w:rPr>
          <w:sz w:val="22"/>
          <w:szCs w:val="22"/>
        </w:rPr>
        <w:t xml:space="preserve"> para Promover la Competencia</w:t>
      </w:r>
      <w:r w:rsidR="00637F8E" w:rsidRPr="00A156F4">
        <w:rPr>
          <w:sz w:val="22"/>
          <w:szCs w:val="22"/>
        </w:rPr>
        <w:t xml:space="preserve"> (</w:t>
      </w:r>
      <w:proofErr w:type="spellStart"/>
      <w:r w:rsidR="00637F8E" w:rsidRPr="00A156F4">
        <w:rPr>
          <w:sz w:val="22"/>
          <w:szCs w:val="22"/>
        </w:rPr>
        <w:t>C</w:t>
      </w:r>
      <w:r w:rsidR="007A39BB" w:rsidRPr="00A156F4">
        <w:rPr>
          <w:sz w:val="22"/>
          <w:szCs w:val="22"/>
        </w:rPr>
        <w:t>oprocom</w:t>
      </w:r>
      <w:proofErr w:type="spellEnd"/>
      <w:r w:rsidR="00637F8E" w:rsidRPr="00A156F4">
        <w:rPr>
          <w:sz w:val="22"/>
          <w:szCs w:val="22"/>
        </w:rPr>
        <w:t>)</w:t>
      </w:r>
      <w:r w:rsidR="00A97B25" w:rsidRPr="00A156F4">
        <w:rPr>
          <w:sz w:val="22"/>
          <w:szCs w:val="22"/>
        </w:rPr>
        <w:t xml:space="preserve"> es la autoridad nacional encargada de la defensa y promoción de la competencia y libre concurrencia</w:t>
      </w:r>
      <w:r w:rsidR="00356E33" w:rsidRPr="00A156F4">
        <w:rPr>
          <w:sz w:val="22"/>
          <w:szCs w:val="22"/>
        </w:rPr>
        <w:t>.</w:t>
      </w:r>
      <w:r w:rsidR="00A97B25" w:rsidRPr="00A156F4">
        <w:rPr>
          <w:sz w:val="22"/>
          <w:szCs w:val="22"/>
        </w:rPr>
        <w:t xml:space="preserve"> </w:t>
      </w:r>
      <w:r w:rsidR="008E1B91" w:rsidRPr="00A156F4">
        <w:rPr>
          <w:sz w:val="22"/>
          <w:szCs w:val="22"/>
        </w:rPr>
        <w:t xml:space="preserve"> </w:t>
      </w:r>
      <w:r w:rsidR="00356E33" w:rsidRPr="00A156F4">
        <w:rPr>
          <w:sz w:val="22"/>
          <w:szCs w:val="22"/>
        </w:rPr>
        <w:t>S</w:t>
      </w:r>
      <w:r w:rsidR="008E1B91" w:rsidRPr="00A156F4">
        <w:rPr>
          <w:sz w:val="22"/>
          <w:szCs w:val="22"/>
        </w:rPr>
        <w:t>e</w:t>
      </w:r>
      <w:r w:rsidR="005F6F94" w:rsidRPr="00A156F4">
        <w:rPr>
          <w:sz w:val="22"/>
          <w:szCs w:val="22"/>
        </w:rPr>
        <w:t xml:space="preserve">rá </w:t>
      </w:r>
      <w:r w:rsidR="00637F8E" w:rsidRPr="00A156F4">
        <w:rPr>
          <w:sz w:val="22"/>
          <w:szCs w:val="22"/>
        </w:rPr>
        <w:t xml:space="preserve">un </w:t>
      </w:r>
      <w:r w:rsidR="009C4BA2" w:rsidRPr="00A156F4">
        <w:rPr>
          <w:sz w:val="22"/>
          <w:szCs w:val="22"/>
        </w:rPr>
        <w:t>órgano de desconcentración máxima adscrito al Ministerio de Economía, Industria y Comercio (MEIC)</w:t>
      </w:r>
      <w:r w:rsidR="008E1B91" w:rsidRPr="00A156F4">
        <w:rPr>
          <w:sz w:val="22"/>
          <w:szCs w:val="22"/>
        </w:rPr>
        <w:t>, con autonomía administrativa, presupuestaria y funcional. Tendrá personalidad jurídica instrumental para realizar actividad contractual</w:t>
      </w:r>
      <w:r w:rsidR="0095206C" w:rsidRPr="00A156F4">
        <w:rPr>
          <w:sz w:val="22"/>
          <w:szCs w:val="22"/>
        </w:rPr>
        <w:t>;</w:t>
      </w:r>
      <w:r w:rsidR="008E1B91" w:rsidRPr="00A156F4">
        <w:rPr>
          <w:sz w:val="22"/>
          <w:szCs w:val="22"/>
        </w:rPr>
        <w:t xml:space="preserve"> administrar sus recursos y su patrimonio</w:t>
      </w:r>
      <w:r w:rsidR="0095206C" w:rsidRPr="00A156F4">
        <w:rPr>
          <w:sz w:val="22"/>
          <w:szCs w:val="22"/>
        </w:rPr>
        <w:t>; y suscribir contratos y convenios</w:t>
      </w:r>
      <w:r w:rsidR="007C71B6" w:rsidRPr="00A156F4">
        <w:rPr>
          <w:sz w:val="22"/>
          <w:szCs w:val="22"/>
        </w:rPr>
        <w:t xml:space="preserve"> con entidades públicas y privadas, nacionales o internacionales</w:t>
      </w:r>
      <w:r w:rsidR="00637F8E" w:rsidRPr="00A156F4">
        <w:rPr>
          <w:sz w:val="22"/>
          <w:szCs w:val="22"/>
        </w:rPr>
        <w:t>. Lo anterior</w:t>
      </w:r>
      <w:r w:rsidR="0095206C" w:rsidRPr="00A156F4">
        <w:rPr>
          <w:sz w:val="22"/>
          <w:szCs w:val="22"/>
        </w:rPr>
        <w:t xml:space="preserve"> para ejercer de forma exclusiva </w:t>
      </w:r>
      <w:r w:rsidR="003B2484" w:rsidRPr="00A156F4">
        <w:rPr>
          <w:sz w:val="22"/>
          <w:szCs w:val="22"/>
        </w:rPr>
        <w:t>las</w:t>
      </w:r>
      <w:r w:rsidR="0095206C" w:rsidRPr="00A156F4">
        <w:rPr>
          <w:sz w:val="22"/>
          <w:szCs w:val="22"/>
        </w:rPr>
        <w:t xml:space="preserve"> funciones, atribuciones y competencias</w:t>
      </w:r>
      <w:r w:rsidR="003B2484" w:rsidRPr="00A156F4">
        <w:rPr>
          <w:sz w:val="22"/>
          <w:szCs w:val="22"/>
        </w:rPr>
        <w:t xml:space="preserve"> que le otorgan </w:t>
      </w:r>
      <w:bookmarkStart w:id="1" w:name="_Hlk524336312"/>
      <w:r w:rsidR="003B2484" w:rsidRPr="00A156F4">
        <w:rPr>
          <w:sz w:val="22"/>
          <w:szCs w:val="22"/>
        </w:rPr>
        <w:t xml:space="preserve">la </w:t>
      </w:r>
      <w:bookmarkStart w:id="2" w:name="_Hlk524335192"/>
      <w:r w:rsidR="003B2484" w:rsidRPr="00A156F4">
        <w:rPr>
          <w:sz w:val="22"/>
          <w:szCs w:val="22"/>
        </w:rPr>
        <w:t xml:space="preserve">Ley de Promoción de la Competencia y Defensa Efectiva del Consumidor, Ley </w:t>
      </w:r>
      <w:proofErr w:type="spellStart"/>
      <w:r w:rsidR="003B2484" w:rsidRPr="00A156F4">
        <w:rPr>
          <w:sz w:val="22"/>
          <w:szCs w:val="22"/>
        </w:rPr>
        <w:t>N°</w:t>
      </w:r>
      <w:proofErr w:type="spellEnd"/>
      <w:r w:rsidR="00AA04A5" w:rsidRPr="00A156F4">
        <w:rPr>
          <w:sz w:val="22"/>
          <w:szCs w:val="22"/>
        </w:rPr>
        <w:t>.</w:t>
      </w:r>
      <w:r w:rsidR="003B2484" w:rsidRPr="00A156F4">
        <w:rPr>
          <w:sz w:val="22"/>
          <w:szCs w:val="22"/>
        </w:rPr>
        <w:t xml:space="preserve"> 7472, del 20 de diciembre de 1994</w:t>
      </w:r>
      <w:bookmarkEnd w:id="2"/>
      <w:r w:rsidR="009A75B7" w:rsidRPr="00A156F4">
        <w:rPr>
          <w:sz w:val="22"/>
          <w:szCs w:val="22"/>
        </w:rPr>
        <w:t>,</w:t>
      </w:r>
      <w:r w:rsidR="00B76ED6" w:rsidRPr="00A156F4">
        <w:rPr>
          <w:sz w:val="22"/>
          <w:szCs w:val="22"/>
        </w:rPr>
        <w:t xml:space="preserve"> sus reformas</w:t>
      </w:r>
      <w:r w:rsidR="009A75B7" w:rsidRPr="00A156F4">
        <w:rPr>
          <w:sz w:val="22"/>
          <w:szCs w:val="22"/>
        </w:rPr>
        <w:t xml:space="preserve"> y sus reglamentos</w:t>
      </w:r>
      <w:r w:rsidR="003B2484" w:rsidRPr="00A156F4">
        <w:rPr>
          <w:sz w:val="22"/>
          <w:szCs w:val="22"/>
        </w:rPr>
        <w:t>;</w:t>
      </w:r>
      <w:r w:rsidR="00F12779" w:rsidRPr="00A156F4">
        <w:rPr>
          <w:sz w:val="22"/>
          <w:szCs w:val="22"/>
        </w:rPr>
        <w:t xml:space="preserve"> y</w:t>
      </w:r>
      <w:r w:rsidR="003B2484" w:rsidRPr="00A156F4">
        <w:rPr>
          <w:sz w:val="22"/>
          <w:szCs w:val="22"/>
        </w:rPr>
        <w:t xml:space="preserve"> </w:t>
      </w:r>
      <w:r w:rsidR="00304457" w:rsidRPr="00A156F4">
        <w:rPr>
          <w:sz w:val="22"/>
          <w:szCs w:val="22"/>
        </w:rPr>
        <w:t>la presente</w:t>
      </w:r>
      <w:r w:rsidR="003B2484" w:rsidRPr="00A156F4">
        <w:rPr>
          <w:sz w:val="22"/>
          <w:szCs w:val="22"/>
        </w:rPr>
        <w:t xml:space="preserve"> </w:t>
      </w:r>
      <w:r w:rsidR="0083653A" w:rsidRPr="00A156F4">
        <w:rPr>
          <w:sz w:val="22"/>
          <w:szCs w:val="22"/>
        </w:rPr>
        <w:t>l</w:t>
      </w:r>
      <w:r w:rsidR="003B2484" w:rsidRPr="00A156F4">
        <w:rPr>
          <w:sz w:val="22"/>
          <w:szCs w:val="22"/>
        </w:rPr>
        <w:t>ey</w:t>
      </w:r>
      <w:r w:rsidR="0083653A" w:rsidRPr="00A156F4">
        <w:rPr>
          <w:sz w:val="22"/>
          <w:szCs w:val="22"/>
        </w:rPr>
        <w:t>,</w:t>
      </w:r>
      <w:r w:rsidR="003B2484" w:rsidRPr="00A156F4">
        <w:rPr>
          <w:sz w:val="22"/>
          <w:szCs w:val="22"/>
        </w:rPr>
        <w:t xml:space="preserve"> sus reformas y sus </w:t>
      </w:r>
      <w:r w:rsidR="0083653A" w:rsidRPr="00A156F4">
        <w:rPr>
          <w:sz w:val="22"/>
          <w:szCs w:val="22"/>
        </w:rPr>
        <w:t>r</w:t>
      </w:r>
      <w:r w:rsidR="003B2484" w:rsidRPr="00A156F4">
        <w:rPr>
          <w:sz w:val="22"/>
          <w:szCs w:val="22"/>
        </w:rPr>
        <w:t>eglamentos</w:t>
      </w:r>
      <w:bookmarkEnd w:id="1"/>
    </w:p>
    <w:p w14:paraId="6418F6D8" w14:textId="77777777" w:rsidR="00642300" w:rsidRPr="00A156F4" w:rsidRDefault="00642300" w:rsidP="004B2F8B">
      <w:pPr>
        <w:widowControl w:val="0"/>
        <w:jc w:val="both"/>
        <w:rPr>
          <w:sz w:val="22"/>
          <w:szCs w:val="22"/>
        </w:rPr>
      </w:pPr>
    </w:p>
    <w:p w14:paraId="447C934A" w14:textId="5401B589" w:rsidR="00EF6462" w:rsidRPr="00A156F4" w:rsidRDefault="00A97B25" w:rsidP="004B2F8B">
      <w:pPr>
        <w:widowControl w:val="0"/>
        <w:jc w:val="both"/>
        <w:rPr>
          <w:sz w:val="22"/>
          <w:szCs w:val="22"/>
        </w:rPr>
      </w:pPr>
      <w:r w:rsidRPr="00A156F4">
        <w:rPr>
          <w:sz w:val="22"/>
          <w:szCs w:val="22"/>
        </w:rPr>
        <w:t>La</w:t>
      </w:r>
      <w:r w:rsidR="003B2484" w:rsidRPr="00A156F4">
        <w:rPr>
          <w:sz w:val="22"/>
          <w:szCs w:val="22"/>
        </w:rPr>
        <w:t xml:space="preserve"> </w:t>
      </w:r>
      <w:r w:rsidR="0095206C" w:rsidRPr="00A156F4">
        <w:rPr>
          <w:sz w:val="22"/>
          <w:szCs w:val="22"/>
        </w:rPr>
        <w:t>Superintendencia de Telecomunicaciones (</w:t>
      </w:r>
      <w:proofErr w:type="spellStart"/>
      <w:r w:rsidR="0095206C" w:rsidRPr="00A156F4">
        <w:rPr>
          <w:sz w:val="22"/>
          <w:szCs w:val="22"/>
        </w:rPr>
        <w:t>S</w:t>
      </w:r>
      <w:r w:rsidR="007A39BB" w:rsidRPr="00A156F4">
        <w:rPr>
          <w:sz w:val="22"/>
          <w:szCs w:val="22"/>
        </w:rPr>
        <w:t>utel</w:t>
      </w:r>
      <w:proofErr w:type="spellEnd"/>
      <w:r w:rsidR="003B2484" w:rsidRPr="00A156F4">
        <w:rPr>
          <w:sz w:val="22"/>
          <w:szCs w:val="22"/>
        </w:rPr>
        <w:t>)</w:t>
      </w:r>
      <w:r w:rsidRPr="00A156F4">
        <w:rPr>
          <w:sz w:val="22"/>
          <w:szCs w:val="22"/>
        </w:rPr>
        <w:t xml:space="preserve"> es la autoridad sectorial encargada de la defensa y promoción de la competencia y libre concurrencia </w:t>
      </w:r>
      <w:r w:rsidR="00EF6462" w:rsidRPr="00A156F4">
        <w:rPr>
          <w:sz w:val="22"/>
          <w:szCs w:val="22"/>
        </w:rPr>
        <w:t>e</w:t>
      </w:r>
      <w:r w:rsidR="0095206C" w:rsidRPr="00A156F4">
        <w:rPr>
          <w:sz w:val="22"/>
          <w:szCs w:val="22"/>
        </w:rPr>
        <w:t>n el sector de telecomunicaciones</w:t>
      </w:r>
      <w:r w:rsidR="003B2484" w:rsidRPr="00A156F4">
        <w:rPr>
          <w:sz w:val="22"/>
          <w:szCs w:val="22"/>
        </w:rPr>
        <w:t xml:space="preserve"> </w:t>
      </w:r>
      <w:r w:rsidR="0095206C" w:rsidRPr="00A156F4">
        <w:rPr>
          <w:sz w:val="22"/>
          <w:szCs w:val="22"/>
        </w:rPr>
        <w:t>y</w:t>
      </w:r>
      <w:r w:rsidR="00EF6462" w:rsidRPr="00A156F4">
        <w:rPr>
          <w:sz w:val="22"/>
          <w:szCs w:val="22"/>
        </w:rPr>
        <w:t xml:space="preserve"> </w:t>
      </w:r>
      <w:r w:rsidR="0095206C" w:rsidRPr="00A156F4">
        <w:rPr>
          <w:sz w:val="22"/>
          <w:szCs w:val="22"/>
        </w:rPr>
        <w:t>redes que sirvan de soporte a</w:t>
      </w:r>
      <w:r w:rsidR="00CC1B23" w:rsidRPr="00A156F4">
        <w:rPr>
          <w:sz w:val="22"/>
          <w:szCs w:val="22"/>
        </w:rPr>
        <w:t xml:space="preserve"> los servicios de radiodifusión sonora y televisiva de acceso libre, según se establece en </w:t>
      </w:r>
      <w:r w:rsidR="00AA3B54" w:rsidRPr="00A156F4">
        <w:rPr>
          <w:sz w:val="22"/>
          <w:szCs w:val="22"/>
        </w:rPr>
        <w:t>el</w:t>
      </w:r>
      <w:r w:rsidR="00CC1B23" w:rsidRPr="00A156F4">
        <w:rPr>
          <w:sz w:val="22"/>
          <w:szCs w:val="22"/>
        </w:rPr>
        <w:t xml:space="preserve"> artículo 29 y en el Capítulo II del Título III de </w:t>
      </w:r>
      <w:r w:rsidR="00EF6462" w:rsidRPr="00A156F4">
        <w:rPr>
          <w:sz w:val="22"/>
          <w:szCs w:val="22"/>
        </w:rPr>
        <w:t xml:space="preserve">la </w:t>
      </w:r>
      <w:bookmarkStart w:id="3" w:name="_Hlk523322262"/>
      <w:bookmarkStart w:id="4" w:name="_Hlk524339700"/>
      <w:r w:rsidR="00EF6462" w:rsidRPr="00A156F4">
        <w:rPr>
          <w:sz w:val="22"/>
          <w:szCs w:val="22"/>
        </w:rPr>
        <w:t xml:space="preserve">Ley General de Telecomunicaciones, Ley </w:t>
      </w:r>
      <w:proofErr w:type="spellStart"/>
      <w:r w:rsidR="00EF6462" w:rsidRPr="00A156F4">
        <w:rPr>
          <w:sz w:val="22"/>
          <w:szCs w:val="22"/>
        </w:rPr>
        <w:t>N°</w:t>
      </w:r>
      <w:proofErr w:type="spellEnd"/>
      <w:r w:rsidR="00EF6462" w:rsidRPr="00A156F4">
        <w:rPr>
          <w:sz w:val="22"/>
          <w:szCs w:val="22"/>
        </w:rPr>
        <w:t xml:space="preserve">. 8642, del </w:t>
      </w:r>
      <w:r w:rsidR="00D94FD1" w:rsidRPr="00A156F4">
        <w:rPr>
          <w:sz w:val="22"/>
          <w:szCs w:val="22"/>
        </w:rPr>
        <w:t>4</w:t>
      </w:r>
      <w:r w:rsidR="00EF6462" w:rsidRPr="00A156F4">
        <w:rPr>
          <w:sz w:val="22"/>
          <w:szCs w:val="22"/>
        </w:rPr>
        <w:t xml:space="preserve"> de junio de 20</w:t>
      </w:r>
      <w:r w:rsidR="00D94FD1" w:rsidRPr="00A156F4">
        <w:rPr>
          <w:sz w:val="22"/>
          <w:szCs w:val="22"/>
        </w:rPr>
        <w:t>08</w:t>
      </w:r>
      <w:bookmarkEnd w:id="3"/>
      <w:r w:rsidR="00A614C5" w:rsidRPr="00A156F4">
        <w:rPr>
          <w:sz w:val="22"/>
          <w:szCs w:val="22"/>
        </w:rPr>
        <w:t>,</w:t>
      </w:r>
      <w:r w:rsidR="001F665B" w:rsidRPr="00A156F4">
        <w:rPr>
          <w:sz w:val="22"/>
          <w:szCs w:val="22"/>
        </w:rPr>
        <w:t xml:space="preserve"> sus reformas y sus reglamentos</w:t>
      </w:r>
      <w:bookmarkEnd w:id="4"/>
      <w:r w:rsidRPr="00A156F4">
        <w:rPr>
          <w:sz w:val="22"/>
          <w:szCs w:val="22"/>
        </w:rPr>
        <w:t>.</w:t>
      </w:r>
      <w:bookmarkStart w:id="5" w:name="_Toc281427838"/>
    </w:p>
    <w:p w14:paraId="38FA59C9" w14:textId="77777777" w:rsidR="005F7DB9" w:rsidRPr="00A156F4" w:rsidRDefault="005F7DB9" w:rsidP="004B2F8B">
      <w:pPr>
        <w:widowControl w:val="0"/>
        <w:jc w:val="both"/>
        <w:rPr>
          <w:b/>
          <w:bCs/>
          <w:sz w:val="22"/>
          <w:szCs w:val="22"/>
        </w:rPr>
      </w:pPr>
    </w:p>
    <w:p w14:paraId="7A2B46B6" w14:textId="77777777" w:rsidR="003C5B99" w:rsidRPr="00A156F4" w:rsidRDefault="008954D5" w:rsidP="004B2F8B">
      <w:pPr>
        <w:widowControl w:val="0"/>
        <w:jc w:val="both"/>
        <w:rPr>
          <w:b/>
          <w:sz w:val="22"/>
          <w:szCs w:val="22"/>
        </w:rPr>
      </w:pPr>
      <w:r w:rsidRPr="00A156F4">
        <w:rPr>
          <w:b/>
          <w:bCs/>
          <w:sz w:val="22"/>
          <w:szCs w:val="22"/>
        </w:rPr>
        <w:t xml:space="preserve">Artículo </w:t>
      </w:r>
      <w:r w:rsidR="00634652" w:rsidRPr="00A156F4">
        <w:rPr>
          <w:b/>
          <w:bCs/>
          <w:sz w:val="22"/>
          <w:szCs w:val="22"/>
        </w:rPr>
        <w:t>3</w:t>
      </w:r>
      <w:r w:rsidR="003C5B99" w:rsidRPr="00A156F4">
        <w:rPr>
          <w:b/>
          <w:bCs/>
          <w:sz w:val="22"/>
          <w:szCs w:val="22"/>
        </w:rPr>
        <w:t>.-</w:t>
      </w:r>
      <w:r w:rsidR="00013A61" w:rsidRPr="00A156F4">
        <w:rPr>
          <w:b/>
          <w:bCs/>
          <w:sz w:val="22"/>
          <w:szCs w:val="22"/>
        </w:rPr>
        <w:t xml:space="preserve"> </w:t>
      </w:r>
      <w:r w:rsidR="003C5B99" w:rsidRPr="00A156F4">
        <w:rPr>
          <w:b/>
          <w:bCs/>
          <w:sz w:val="22"/>
          <w:szCs w:val="22"/>
        </w:rPr>
        <w:t>Funciones y potestades de</w:t>
      </w:r>
      <w:r w:rsidR="007A39BB" w:rsidRPr="00A156F4">
        <w:rPr>
          <w:b/>
          <w:bCs/>
          <w:sz w:val="22"/>
          <w:szCs w:val="22"/>
        </w:rPr>
        <w:t xml:space="preserve"> </w:t>
      </w:r>
      <w:bookmarkEnd w:id="5"/>
      <w:r w:rsidR="006925CF" w:rsidRPr="00A156F4">
        <w:rPr>
          <w:b/>
          <w:bCs/>
          <w:sz w:val="22"/>
          <w:szCs w:val="22"/>
        </w:rPr>
        <w:t>las autoridades de competenci</w:t>
      </w:r>
      <w:r w:rsidR="009C2563" w:rsidRPr="00A156F4">
        <w:rPr>
          <w:b/>
          <w:bCs/>
          <w:sz w:val="22"/>
          <w:szCs w:val="22"/>
        </w:rPr>
        <w:t>a</w:t>
      </w:r>
      <w:r w:rsidR="009D7962" w:rsidRPr="00A156F4">
        <w:rPr>
          <w:b/>
          <w:bCs/>
          <w:sz w:val="22"/>
          <w:szCs w:val="22"/>
        </w:rPr>
        <w:t xml:space="preserve"> </w:t>
      </w:r>
    </w:p>
    <w:p w14:paraId="6944A33C" w14:textId="77777777" w:rsidR="00334F65" w:rsidRPr="00A156F4" w:rsidRDefault="00334F65" w:rsidP="004B2F8B">
      <w:pPr>
        <w:widowControl w:val="0"/>
        <w:jc w:val="both"/>
        <w:rPr>
          <w:sz w:val="22"/>
          <w:szCs w:val="22"/>
        </w:rPr>
      </w:pPr>
    </w:p>
    <w:p w14:paraId="09371D07" w14:textId="77777777" w:rsidR="003C5B99" w:rsidRPr="00A156F4" w:rsidRDefault="00DD51F7" w:rsidP="004B2F8B">
      <w:pPr>
        <w:widowControl w:val="0"/>
        <w:jc w:val="both"/>
        <w:rPr>
          <w:rFonts w:eastAsia="Times New Roman"/>
          <w:sz w:val="22"/>
          <w:szCs w:val="22"/>
          <w:lang w:val="es-CR" w:eastAsia="en-US"/>
        </w:rPr>
      </w:pPr>
      <w:r w:rsidRPr="00A156F4">
        <w:rPr>
          <w:rFonts w:eastAsia="Times New Roman"/>
          <w:sz w:val="22"/>
          <w:szCs w:val="22"/>
          <w:lang w:val="es-CR" w:eastAsia="en-US"/>
        </w:rPr>
        <w:t xml:space="preserve">La </w:t>
      </w:r>
      <w:proofErr w:type="spellStart"/>
      <w:r w:rsidRPr="00A156F4">
        <w:rPr>
          <w:rFonts w:eastAsia="Times New Roman"/>
          <w:sz w:val="22"/>
          <w:szCs w:val="22"/>
          <w:lang w:val="es-CR" w:eastAsia="en-US"/>
        </w:rPr>
        <w:t>Coprocom</w:t>
      </w:r>
      <w:proofErr w:type="spellEnd"/>
      <w:r w:rsidRPr="00A156F4">
        <w:rPr>
          <w:rFonts w:eastAsia="Times New Roman"/>
          <w:sz w:val="22"/>
          <w:szCs w:val="22"/>
          <w:lang w:val="es-CR" w:eastAsia="en-US"/>
        </w:rPr>
        <w:t xml:space="preserve"> tendrá las siguientes</w:t>
      </w:r>
      <w:r w:rsidR="002676EB" w:rsidRPr="00A156F4">
        <w:rPr>
          <w:rFonts w:eastAsia="Times New Roman"/>
          <w:sz w:val="22"/>
          <w:szCs w:val="22"/>
          <w:lang w:val="es-CR" w:eastAsia="en-US"/>
        </w:rPr>
        <w:t xml:space="preserve"> funciones y</w:t>
      </w:r>
      <w:r w:rsidRPr="00A156F4">
        <w:rPr>
          <w:rFonts w:eastAsia="Times New Roman"/>
          <w:sz w:val="22"/>
          <w:szCs w:val="22"/>
          <w:lang w:val="es-CR" w:eastAsia="en-US"/>
        </w:rPr>
        <w:t xml:space="preserve"> potestades:</w:t>
      </w:r>
      <w:r w:rsidR="009C2563" w:rsidRPr="00A156F4">
        <w:rPr>
          <w:rFonts w:eastAsia="Times New Roman"/>
          <w:sz w:val="22"/>
          <w:szCs w:val="22"/>
          <w:lang w:val="es-CR" w:eastAsia="en-US"/>
        </w:rPr>
        <w:t xml:space="preserve"> </w:t>
      </w:r>
    </w:p>
    <w:p w14:paraId="22613C0F" w14:textId="77777777" w:rsidR="00966A74" w:rsidRPr="00A156F4" w:rsidRDefault="00966A74" w:rsidP="004B2F8B">
      <w:pPr>
        <w:widowControl w:val="0"/>
        <w:ind w:firstLine="708"/>
        <w:jc w:val="both"/>
        <w:rPr>
          <w:sz w:val="22"/>
          <w:szCs w:val="22"/>
        </w:rPr>
      </w:pPr>
    </w:p>
    <w:p w14:paraId="5CFD7D81" w14:textId="3C955AB5" w:rsidR="000569DD" w:rsidRPr="00A156F4" w:rsidRDefault="001C0F08" w:rsidP="000569DD">
      <w:pPr>
        <w:pStyle w:val="Default"/>
        <w:numPr>
          <w:ilvl w:val="0"/>
          <w:numId w:val="1"/>
        </w:numPr>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P</w:t>
      </w:r>
      <w:r w:rsidR="00315747" w:rsidRPr="00A156F4">
        <w:rPr>
          <w:rFonts w:ascii="Times New Roman" w:hAnsi="Times New Roman" w:cs="Times New Roman"/>
          <w:color w:val="auto"/>
          <w:sz w:val="22"/>
          <w:szCs w:val="22"/>
        </w:rPr>
        <w:t xml:space="preserve">revenir </w:t>
      </w:r>
      <w:r w:rsidR="00560B57" w:rsidRPr="00A156F4">
        <w:rPr>
          <w:rFonts w:ascii="Times New Roman" w:hAnsi="Times New Roman" w:cs="Times New Roman"/>
          <w:color w:val="auto"/>
          <w:sz w:val="22"/>
          <w:szCs w:val="22"/>
        </w:rPr>
        <w:t xml:space="preserve">los monopolios, </w:t>
      </w:r>
      <w:r w:rsidRPr="00A156F4">
        <w:rPr>
          <w:rFonts w:ascii="Times New Roman" w:hAnsi="Times New Roman" w:cs="Times New Roman"/>
          <w:color w:val="auto"/>
          <w:sz w:val="22"/>
          <w:szCs w:val="22"/>
        </w:rPr>
        <w:t xml:space="preserve">investigar </w:t>
      </w:r>
      <w:r w:rsidR="00315747" w:rsidRPr="00A156F4">
        <w:rPr>
          <w:rFonts w:ascii="Times New Roman" w:hAnsi="Times New Roman" w:cs="Times New Roman"/>
          <w:color w:val="auto"/>
          <w:sz w:val="22"/>
          <w:szCs w:val="22"/>
        </w:rPr>
        <w:t>las prácticas monop</w:t>
      </w:r>
      <w:r w:rsidR="00DD53A4" w:rsidRPr="00A156F4">
        <w:rPr>
          <w:rFonts w:ascii="Times New Roman" w:hAnsi="Times New Roman" w:cs="Times New Roman"/>
          <w:color w:val="auto"/>
          <w:sz w:val="22"/>
          <w:szCs w:val="22"/>
        </w:rPr>
        <w:t>olísticas</w:t>
      </w:r>
      <w:r w:rsidR="00315747" w:rsidRPr="00A156F4">
        <w:rPr>
          <w:rFonts w:ascii="Times New Roman" w:hAnsi="Times New Roman" w:cs="Times New Roman"/>
          <w:color w:val="auto"/>
          <w:sz w:val="22"/>
          <w:szCs w:val="22"/>
        </w:rPr>
        <w:t>, las concentraciones</w:t>
      </w:r>
      <w:r w:rsidR="00406283" w:rsidRPr="00A156F4">
        <w:rPr>
          <w:rFonts w:ascii="Times New Roman" w:hAnsi="Times New Roman" w:cs="Times New Roman"/>
          <w:color w:val="auto"/>
          <w:sz w:val="22"/>
          <w:szCs w:val="22"/>
        </w:rPr>
        <w:t xml:space="preserve"> ilícitas</w:t>
      </w:r>
      <w:r w:rsidR="00315747" w:rsidRPr="00A156F4">
        <w:rPr>
          <w:rFonts w:ascii="Times New Roman" w:hAnsi="Times New Roman" w:cs="Times New Roman"/>
          <w:color w:val="auto"/>
          <w:sz w:val="22"/>
          <w:szCs w:val="22"/>
        </w:rPr>
        <w:t xml:space="preserve"> y demás restricciones al funcionamiento eficiente de los mercados, e imponer </w:t>
      </w:r>
      <w:r w:rsidR="00020B5A" w:rsidRPr="00A156F4">
        <w:rPr>
          <w:rFonts w:ascii="Times New Roman" w:hAnsi="Times New Roman" w:cs="Times New Roman"/>
          <w:color w:val="auto"/>
          <w:sz w:val="22"/>
          <w:szCs w:val="22"/>
        </w:rPr>
        <w:t>las</w:t>
      </w:r>
      <w:r w:rsidR="00790D24" w:rsidRPr="00A156F4">
        <w:rPr>
          <w:rFonts w:ascii="Times New Roman" w:hAnsi="Times New Roman" w:cs="Times New Roman"/>
          <w:color w:val="auto"/>
          <w:sz w:val="22"/>
          <w:szCs w:val="22"/>
        </w:rPr>
        <w:t xml:space="preserve"> medidas y</w:t>
      </w:r>
      <w:r w:rsidR="00020B5A" w:rsidRPr="00A156F4">
        <w:rPr>
          <w:rFonts w:ascii="Times New Roman" w:hAnsi="Times New Roman" w:cs="Times New Roman"/>
          <w:color w:val="auto"/>
          <w:sz w:val="22"/>
          <w:szCs w:val="22"/>
        </w:rPr>
        <w:t xml:space="preserve"> sanciones </w:t>
      </w:r>
      <w:r w:rsidR="00315747" w:rsidRPr="00A156F4">
        <w:rPr>
          <w:rFonts w:ascii="Times New Roman" w:hAnsi="Times New Roman" w:cs="Times New Roman"/>
          <w:color w:val="auto"/>
          <w:sz w:val="22"/>
          <w:szCs w:val="22"/>
        </w:rPr>
        <w:t>dispuest</w:t>
      </w:r>
      <w:r w:rsidR="00020B5A" w:rsidRPr="00A156F4">
        <w:rPr>
          <w:rFonts w:ascii="Times New Roman" w:hAnsi="Times New Roman" w:cs="Times New Roman"/>
          <w:color w:val="auto"/>
          <w:sz w:val="22"/>
          <w:szCs w:val="22"/>
        </w:rPr>
        <w:t>as</w:t>
      </w:r>
      <w:r w:rsidR="00470A85" w:rsidRPr="00A156F4">
        <w:rPr>
          <w:rFonts w:ascii="Times New Roman" w:hAnsi="Times New Roman" w:cs="Times New Roman"/>
          <w:color w:val="auto"/>
          <w:sz w:val="22"/>
          <w:szCs w:val="22"/>
        </w:rPr>
        <w:t xml:space="preserve"> en </w:t>
      </w:r>
      <w:r w:rsidR="0054527C" w:rsidRPr="00A156F4">
        <w:rPr>
          <w:rFonts w:ascii="Times New Roman" w:hAnsi="Times New Roman" w:cs="Times New Roman"/>
          <w:color w:val="auto"/>
          <w:sz w:val="22"/>
          <w:szCs w:val="22"/>
        </w:rPr>
        <w:t>la presente ley</w:t>
      </w:r>
      <w:r w:rsidR="002728D5" w:rsidRPr="00A156F4">
        <w:rPr>
          <w:rFonts w:ascii="Times New Roman" w:hAnsi="Times New Roman" w:cs="Times New Roman"/>
          <w:color w:val="auto"/>
          <w:sz w:val="22"/>
          <w:szCs w:val="22"/>
        </w:rPr>
        <w:t>, cuando corresponda</w:t>
      </w:r>
      <w:r w:rsidR="000569DD" w:rsidRPr="00A156F4">
        <w:rPr>
          <w:rFonts w:ascii="Times New Roman" w:hAnsi="Times New Roman" w:cs="Times New Roman"/>
          <w:color w:val="auto"/>
          <w:sz w:val="22"/>
          <w:szCs w:val="22"/>
        </w:rPr>
        <w:t>.</w:t>
      </w:r>
    </w:p>
    <w:p w14:paraId="354503B7" w14:textId="77777777" w:rsidR="007D5151" w:rsidRPr="00A156F4" w:rsidRDefault="007D5151" w:rsidP="004B2F8B">
      <w:pPr>
        <w:pStyle w:val="Default"/>
        <w:tabs>
          <w:tab w:val="left" w:pos="426"/>
        </w:tabs>
        <w:ind w:left="720" w:right="57"/>
        <w:jc w:val="both"/>
        <w:textAlignment w:val="center"/>
        <w:rPr>
          <w:rFonts w:ascii="Times New Roman" w:hAnsi="Times New Roman" w:cs="Times New Roman"/>
          <w:color w:val="auto"/>
          <w:sz w:val="22"/>
          <w:szCs w:val="22"/>
        </w:rPr>
      </w:pPr>
    </w:p>
    <w:p w14:paraId="769063F1" w14:textId="1F871DBA" w:rsidR="007D5151" w:rsidRPr="00A156F4" w:rsidRDefault="007D5151" w:rsidP="004B2F8B">
      <w:pPr>
        <w:pStyle w:val="Default"/>
        <w:numPr>
          <w:ilvl w:val="0"/>
          <w:numId w:val="1"/>
        </w:numPr>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Autorizar o denegar concentraciones</w:t>
      </w:r>
      <w:r w:rsidR="000569DD"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e imponer las condiciones</w:t>
      </w:r>
      <w:r w:rsidR="000569DD"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que considere necesarias</w:t>
      </w:r>
      <w:r w:rsidR="000569DD"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para contrarrestar los posibles efectos anticompetitivos</w:t>
      </w:r>
      <w:r w:rsidR="000569DD"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 xml:space="preserve">derivados de una concentración o estimular </w:t>
      </w:r>
      <w:r w:rsidR="00AA3B54" w:rsidRPr="00A156F4">
        <w:rPr>
          <w:rFonts w:ascii="Times New Roman" w:hAnsi="Times New Roman" w:cs="Times New Roman"/>
          <w:color w:val="auto"/>
          <w:sz w:val="22"/>
          <w:szCs w:val="22"/>
        </w:rPr>
        <w:t>sus</w:t>
      </w:r>
      <w:r w:rsidRPr="00A156F4">
        <w:rPr>
          <w:rFonts w:ascii="Times New Roman" w:hAnsi="Times New Roman" w:cs="Times New Roman"/>
          <w:color w:val="auto"/>
          <w:sz w:val="22"/>
          <w:szCs w:val="22"/>
        </w:rPr>
        <w:t xml:space="preserve"> efectos </w:t>
      </w:r>
      <w:proofErr w:type="spellStart"/>
      <w:r w:rsidRPr="00A156F4">
        <w:rPr>
          <w:rFonts w:ascii="Times New Roman" w:hAnsi="Times New Roman" w:cs="Times New Roman"/>
          <w:color w:val="auto"/>
          <w:sz w:val="22"/>
          <w:szCs w:val="22"/>
        </w:rPr>
        <w:t>procompetitivos</w:t>
      </w:r>
      <w:proofErr w:type="spellEnd"/>
      <w:r w:rsidRPr="00A156F4">
        <w:rPr>
          <w:rFonts w:ascii="Times New Roman" w:hAnsi="Times New Roman" w:cs="Times New Roman"/>
          <w:color w:val="auto"/>
          <w:sz w:val="22"/>
          <w:szCs w:val="22"/>
        </w:rPr>
        <w:t>.</w:t>
      </w:r>
    </w:p>
    <w:p w14:paraId="1D8C2EA1" w14:textId="77777777" w:rsidR="005F7DB9" w:rsidRPr="00A156F4" w:rsidRDefault="005F7DB9" w:rsidP="005F7DB9">
      <w:pPr>
        <w:pStyle w:val="Default"/>
        <w:tabs>
          <w:tab w:val="left" w:pos="426"/>
        </w:tabs>
        <w:ind w:right="57"/>
        <w:jc w:val="both"/>
        <w:textAlignment w:val="center"/>
        <w:rPr>
          <w:rFonts w:ascii="Times New Roman" w:hAnsi="Times New Roman" w:cs="Times New Roman"/>
          <w:color w:val="auto"/>
          <w:sz w:val="22"/>
          <w:szCs w:val="22"/>
        </w:rPr>
      </w:pPr>
    </w:p>
    <w:p w14:paraId="1C5703D2" w14:textId="709AD70D" w:rsidR="007D5151" w:rsidRPr="00A156F4" w:rsidRDefault="007D5151" w:rsidP="005B1F1F">
      <w:pPr>
        <w:pStyle w:val="Default"/>
        <w:numPr>
          <w:ilvl w:val="0"/>
          <w:numId w:val="1"/>
        </w:numPr>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 xml:space="preserve">Solicitar a cualquier persona física o jurídica, entidad de hecho o de derecho, pública o privada, nacional o extranjera, la información y la documentación que requiera para atender sus funciones e indagar sobre posibles violaciones a la presente </w:t>
      </w:r>
      <w:r w:rsidR="0083653A" w:rsidRPr="00A156F4">
        <w:rPr>
          <w:rFonts w:ascii="Times New Roman" w:hAnsi="Times New Roman" w:cs="Times New Roman"/>
          <w:color w:val="auto"/>
          <w:sz w:val="22"/>
          <w:szCs w:val="22"/>
        </w:rPr>
        <w:t>l</w:t>
      </w:r>
      <w:r w:rsidRPr="00A156F4">
        <w:rPr>
          <w:rFonts w:ascii="Times New Roman" w:hAnsi="Times New Roman" w:cs="Times New Roman"/>
          <w:color w:val="auto"/>
          <w:sz w:val="22"/>
          <w:szCs w:val="22"/>
        </w:rPr>
        <w:t>ey</w:t>
      </w:r>
      <w:r w:rsidR="0083653A" w:rsidRPr="00A156F4">
        <w:rPr>
          <w:rFonts w:ascii="Times New Roman" w:hAnsi="Times New Roman" w:cs="Times New Roman"/>
          <w:color w:val="auto"/>
          <w:sz w:val="22"/>
          <w:szCs w:val="22"/>
        </w:rPr>
        <w:t>, sus reformas y sus reglamentos</w:t>
      </w:r>
      <w:r w:rsidRPr="00A156F4">
        <w:rPr>
          <w:rFonts w:ascii="Times New Roman" w:hAnsi="Times New Roman" w:cs="Times New Roman"/>
          <w:color w:val="auto"/>
          <w:sz w:val="22"/>
          <w:szCs w:val="22"/>
        </w:rPr>
        <w:t xml:space="preserve"> </w:t>
      </w:r>
      <w:r w:rsidR="0083653A" w:rsidRPr="00A156F4">
        <w:rPr>
          <w:rFonts w:ascii="Times New Roman" w:hAnsi="Times New Roman" w:cs="Times New Roman"/>
          <w:color w:val="auto"/>
          <w:sz w:val="22"/>
          <w:szCs w:val="22"/>
        </w:rPr>
        <w:t xml:space="preserve">y </w:t>
      </w:r>
      <w:r w:rsidRPr="00A156F4">
        <w:rPr>
          <w:rFonts w:ascii="Times New Roman" w:hAnsi="Times New Roman" w:cs="Times New Roman"/>
          <w:color w:val="auto"/>
          <w:sz w:val="22"/>
          <w:szCs w:val="22"/>
        </w:rPr>
        <w:t xml:space="preserve">a la Ley de Promoción de la Competencia y Defensa Efectiva del Consumidor, Ley </w:t>
      </w:r>
      <w:proofErr w:type="spellStart"/>
      <w:r w:rsidRPr="00A156F4">
        <w:rPr>
          <w:rFonts w:ascii="Times New Roman" w:hAnsi="Times New Roman" w:cs="Times New Roman"/>
          <w:color w:val="auto"/>
          <w:sz w:val="22"/>
          <w:szCs w:val="22"/>
        </w:rPr>
        <w:t>N°</w:t>
      </w:r>
      <w:proofErr w:type="spellEnd"/>
      <w:r w:rsidR="00AA04A5" w:rsidRPr="00A156F4">
        <w:rPr>
          <w:rFonts w:ascii="Times New Roman" w:hAnsi="Times New Roman" w:cs="Times New Roman"/>
          <w:color w:val="auto"/>
          <w:sz w:val="22"/>
          <w:szCs w:val="22"/>
        </w:rPr>
        <w:t>.</w:t>
      </w:r>
      <w:r w:rsidRPr="00A156F4">
        <w:rPr>
          <w:rFonts w:ascii="Times New Roman" w:hAnsi="Times New Roman" w:cs="Times New Roman"/>
          <w:color w:val="auto"/>
          <w:sz w:val="22"/>
          <w:szCs w:val="22"/>
        </w:rPr>
        <w:t xml:space="preserve"> 7472, de</w:t>
      </w:r>
      <w:r w:rsidR="00B76ED6" w:rsidRPr="00A156F4">
        <w:rPr>
          <w:rFonts w:ascii="Times New Roman" w:hAnsi="Times New Roman" w:cs="Times New Roman"/>
          <w:color w:val="auto"/>
          <w:sz w:val="22"/>
          <w:szCs w:val="22"/>
        </w:rPr>
        <w:t>l</w:t>
      </w:r>
      <w:r w:rsidRPr="00A156F4">
        <w:rPr>
          <w:rFonts w:ascii="Times New Roman" w:hAnsi="Times New Roman" w:cs="Times New Roman"/>
          <w:color w:val="auto"/>
          <w:sz w:val="22"/>
          <w:szCs w:val="22"/>
        </w:rPr>
        <w:t xml:space="preserve"> 20 de diciembre de 1994</w:t>
      </w:r>
      <w:r w:rsidR="00FE546D" w:rsidRPr="00A156F4">
        <w:rPr>
          <w:rFonts w:ascii="Times New Roman" w:hAnsi="Times New Roman" w:cs="Times New Roman"/>
          <w:color w:val="auto"/>
          <w:sz w:val="22"/>
          <w:szCs w:val="22"/>
        </w:rPr>
        <w:t>,</w:t>
      </w:r>
      <w:r w:rsidRPr="00A156F4">
        <w:rPr>
          <w:rFonts w:ascii="Times New Roman" w:hAnsi="Times New Roman" w:cs="Times New Roman"/>
          <w:color w:val="auto"/>
          <w:sz w:val="22"/>
          <w:szCs w:val="22"/>
        </w:rPr>
        <w:t xml:space="preserve"> sus reformas</w:t>
      </w:r>
      <w:r w:rsidR="009A75B7" w:rsidRPr="00A156F4">
        <w:rPr>
          <w:rFonts w:ascii="Times New Roman" w:hAnsi="Times New Roman" w:cs="Times New Roman"/>
          <w:color w:val="auto"/>
          <w:sz w:val="22"/>
          <w:szCs w:val="22"/>
        </w:rPr>
        <w:t xml:space="preserve"> y sus reglamentos</w:t>
      </w:r>
      <w:r w:rsidRPr="00A156F4">
        <w:rPr>
          <w:rFonts w:ascii="Times New Roman" w:hAnsi="Times New Roman" w:cs="Times New Roman"/>
          <w:color w:val="auto"/>
          <w:sz w:val="22"/>
          <w:szCs w:val="22"/>
        </w:rPr>
        <w:t>.</w:t>
      </w:r>
    </w:p>
    <w:p w14:paraId="513A5F16" w14:textId="77777777" w:rsidR="007D5151" w:rsidRPr="00A156F4" w:rsidRDefault="007D5151" w:rsidP="004B2F8B">
      <w:pPr>
        <w:pStyle w:val="Default"/>
        <w:tabs>
          <w:tab w:val="left" w:pos="426"/>
        </w:tabs>
        <w:ind w:left="360" w:right="57"/>
        <w:jc w:val="both"/>
        <w:textAlignment w:val="center"/>
        <w:rPr>
          <w:rFonts w:ascii="Times New Roman" w:hAnsi="Times New Roman" w:cs="Times New Roman"/>
          <w:color w:val="auto"/>
          <w:sz w:val="22"/>
          <w:szCs w:val="22"/>
        </w:rPr>
      </w:pPr>
    </w:p>
    <w:p w14:paraId="475EB9FD" w14:textId="454318E1" w:rsidR="00FD026C" w:rsidRPr="00A156F4" w:rsidRDefault="00FD026C" w:rsidP="005B1F1F">
      <w:pPr>
        <w:pStyle w:val="Default"/>
        <w:numPr>
          <w:ilvl w:val="0"/>
          <w:numId w:val="1"/>
        </w:numPr>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Autorizar</w:t>
      </w:r>
      <w:r w:rsidR="000569DD"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a los funcionarios del Órgano Técnico</w:t>
      </w:r>
      <w:r w:rsidR="00F96D29" w:rsidRPr="00A156F4">
        <w:rPr>
          <w:rFonts w:ascii="Times New Roman" w:hAnsi="Times New Roman" w:cs="Times New Roman"/>
          <w:color w:val="auto"/>
          <w:sz w:val="22"/>
          <w:szCs w:val="22"/>
        </w:rPr>
        <w:t xml:space="preserve"> correspondiente</w:t>
      </w:r>
      <w:r w:rsidRPr="00A156F4">
        <w:rPr>
          <w:rFonts w:ascii="Times New Roman" w:hAnsi="Times New Roman" w:cs="Times New Roman"/>
          <w:color w:val="auto"/>
          <w:sz w:val="22"/>
          <w:szCs w:val="22"/>
        </w:rPr>
        <w:t>, previa autorización fundada de</w:t>
      </w:r>
      <w:r w:rsidR="00AA3B54" w:rsidRPr="00A156F4">
        <w:rPr>
          <w:rFonts w:ascii="Times New Roman" w:hAnsi="Times New Roman" w:cs="Times New Roman"/>
          <w:color w:val="auto"/>
          <w:sz w:val="22"/>
          <w:szCs w:val="22"/>
        </w:rPr>
        <w:t>l Juzgado de lo Contencioso-Administrativo</w:t>
      </w:r>
      <w:r w:rsidRPr="00A156F4">
        <w:rPr>
          <w:rFonts w:ascii="Times New Roman" w:hAnsi="Times New Roman" w:cs="Times New Roman"/>
          <w:color w:val="auto"/>
          <w:sz w:val="22"/>
          <w:szCs w:val="22"/>
        </w:rPr>
        <w:t>, para</w:t>
      </w:r>
      <w:r w:rsidR="00BA0885"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 xml:space="preserve">inspeccionar los </w:t>
      </w:r>
      <w:r w:rsidR="00B84E03" w:rsidRPr="00A156F4">
        <w:rPr>
          <w:rFonts w:ascii="Times New Roman" w:hAnsi="Times New Roman" w:cs="Times New Roman"/>
          <w:color w:val="auto"/>
          <w:sz w:val="22"/>
          <w:szCs w:val="22"/>
        </w:rPr>
        <w:t>establecimientos industriales, comerciales</w:t>
      </w:r>
      <w:r w:rsidR="00E075A3" w:rsidRPr="00A156F4">
        <w:rPr>
          <w:rFonts w:ascii="Times New Roman" w:hAnsi="Times New Roman" w:cs="Times New Roman"/>
          <w:color w:val="auto"/>
          <w:sz w:val="22"/>
          <w:szCs w:val="22"/>
        </w:rPr>
        <w:t xml:space="preserve"> </w:t>
      </w:r>
      <w:r w:rsidR="00B84E03" w:rsidRPr="00A156F4">
        <w:rPr>
          <w:rFonts w:ascii="Times New Roman" w:hAnsi="Times New Roman" w:cs="Times New Roman"/>
          <w:color w:val="auto"/>
          <w:sz w:val="22"/>
          <w:szCs w:val="22"/>
        </w:rPr>
        <w:t>y</w:t>
      </w:r>
      <w:r w:rsidR="000569DD" w:rsidRPr="00A156F4">
        <w:rPr>
          <w:rFonts w:ascii="Times New Roman" w:hAnsi="Times New Roman" w:cs="Times New Roman"/>
          <w:color w:val="auto"/>
          <w:sz w:val="22"/>
          <w:szCs w:val="22"/>
        </w:rPr>
        <w:t xml:space="preserve"> </w:t>
      </w:r>
      <w:r w:rsidR="00B84E03" w:rsidRPr="00A156F4">
        <w:rPr>
          <w:rFonts w:ascii="Times New Roman" w:hAnsi="Times New Roman" w:cs="Times New Roman"/>
          <w:color w:val="auto"/>
          <w:sz w:val="22"/>
          <w:szCs w:val="22"/>
        </w:rPr>
        <w:t xml:space="preserve">demás propiedades muebles e inmuebles </w:t>
      </w:r>
      <w:r w:rsidRPr="00A156F4">
        <w:rPr>
          <w:rFonts w:ascii="Times New Roman" w:hAnsi="Times New Roman" w:cs="Times New Roman"/>
          <w:color w:val="auto"/>
          <w:sz w:val="22"/>
          <w:szCs w:val="22"/>
        </w:rPr>
        <w:t>de los agentes económicos, cuando esto sea indispensable para recabar, evitar que se pierda o destruya evidencia útil para la investigación de prácticas monopolísticas absolutas o relativas</w:t>
      </w:r>
      <w:r w:rsidR="000569DD" w:rsidRPr="00A156F4">
        <w:rPr>
          <w:rFonts w:ascii="Times New Roman" w:hAnsi="Times New Roman" w:cs="Times New Roman"/>
          <w:color w:val="auto"/>
          <w:sz w:val="22"/>
          <w:szCs w:val="22"/>
        </w:rPr>
        <w:t>,</w:t>
      </w:r>
      <w:r w:rsidRPr="00A156F4">
        <w:rPr>
          <w:rFonts w:ascii="Times New Roman" w:hAnsi="Times New Roman" w:cs="Times New Roman"/>
          <w:color w:val="auto"/>
          <w:sz w:val="22"/>
          <w:szCs w:val="22"/>
        </w:rPr>
        <w:t xml:space="preserve"> contempladas en la Ley </w:t>
      </w:r>
      <w:proofErr w:type="spellStart"/>
      <w:r w:rsidR="0054527C" w:rsidRPr="00A156F4">
        <w:rPr>
          <w:rFonts w:ascii="Times New Roman" w:hAnsi="Times New Roman" w:cs="Times New Roman"/>
          <w:color w:val="auto"/>
          <w:sz w:val="22"/>
          <w:szCs w:val="22"/>
        </w:rPr>
        <w:t>N°</w:t>
      </w:r>
      <w:proofErr w:type="spellEnd"/>
      <w:r w:rsidR="0054527C"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7472, sus reformas y sus reglamentos.</w:t>
      </w:r>
    </w:p>
    <w:p w14:paraId="18120770" w14:textId="77777777" w:rsidR="00FD026C" w:rsidRPr="00A156F4" w:rsidRDefault="00FD026C" w:rsidP="00FD026C">
      <w:pPr>
        <w:pStyle w:val="Default"/>
        <w:tabs>
          <w:tab w:val="left" w:pos="426"/>
        </w:tabs>
        <w:ind w:left="720" w:right="57"/>
        <w:jc w:val="both"/>
        <w:textAlignment w:val="center"/>
        <w:rPr>
          <w:rFonts w:ascii="Times New Roman" w:hAnsi="Times New Roman" w:cs="Times New Roman"/>
          <w:color w:val="auto"/>
          <w:sz w:val="22"/>
          <w:szCs w:val="22"/>
        </w:rPr>
      </w:pPr>
    </w:p>
    <w:p w14:paraId="20B0DB34" w14:textId="43DA7550" w:rsidR="00244883" w:rsidRPr="00A156F4" w:rsidRDefault="00244883" w:rsidP="00244883">
      <w:pPr>
        <w:pStyle w:val="Prrafodelista"/>
        <w:widowControl w:val="0"/>
        <w:numPr>
          <w:ilvl w:val="0"/>
          <w:numId w:val="1"/>
        </w:numPr>
        <w:tabs>
          <w:tab w:val="left" w:pos="426"/>
        </w:tabs>
        <w:spacing w:after="0" w:line="240" w:lineRule="auto"/>
        <w:jc w:val="both"/>
        <w:outlineLvl w:val="0"/>
        <w:rPr>
          <w:rFonts w:ascii="Times New Roman" w:hAnsi="Times New Roman"/>
        </w:rPr>
      </w:pPr>
      <w:r w:rsidRPr="00A156F4">
        <w:rPr>
          <w:rFonts w:ascii="Times New Roman" w:hAnsi="Times New Roman"/>
        </w:rPr>
        <w:t>Impugnar ante la jurisdicción competente, con legitimación procesal activa</w:t>
      </w:r>
      <w:r w:rsidR="0054527C" w:rsidRPr="00A156F4">
        <w:rPr>
          <w:rFonts w:ascii="Times New Roman" w:hAnsi="Times New Roman"/>
        </w:rPr>
        <w:t>,</w:t>
      </w:r>
      <w:r w:rsidRPr="00A156F4">
        <w:rPr>
          <w:rFonts w:ascii="Times New Roman" w:hAnsi="Times New Roman"/>
        </w:rPr>
        <w:t xml:space="preserve"> los actos, las resoluciones y conductas administrativas y las normas, que sean contrarias al artículo 46 de la Constitución Política y de los principios de la </w:t>
      </w:r>
      <w:r w:rsidR="00FE546D" w:rsidRPr="00A156F4">
        <w:rPr>
          <w:rFonts w:ascii="Times New Roman" w:hAnsi="Times New Roman"/>
        </w:rPr>
        <w:t xml:space="preserve">Ley de Promoción de la Competencia y Defensa Efectiva del Consumidor, Ley </w:t>
      </w:r>
      <w:proofErr w:type="spellStart"/>
      <w:r w:rsidR="00FE546D" w:rsidRPr="00A156F4">
        <w:rPr>
          <w:rFonts w:ascii="Times New Roman" w:hAnsi="Times New Roman"/>
        </w:rPr>
        <w:t>N°</w:t>
      </w:r>
      <w:proofErr w:type="spellEnd"/>
      <w:r w:rsidR="00FE546D" w:rsidRPr="00A156F4">
        <w:rPr>
          <w:rFonts w:ascii="Times New Roman" w:hAnsi="Times New Roman"/>
        </w:rPr>
        <w:t>. 7472, del 20 de diciembre de 1994, sus reformas y sus reglamentos</w:t>
      </w:r>
      <w:r w:rsidRPr="00A156F4">
        <w:rPr>
          <w:rFonts w:ascii="Times New Roman" w:hAnsi="Times New Roman"/>
        </w:rPr>
        <w:t>.</w:t>
      </w:r>
    </w:p>
    <w:p w14:paraId="47ACABB4" w14:textId="77777777" w:rsidR="00244883" w:rsidRPr="00A156F4" w:rsidRDefault="00244883" w:rsidP="00244883">
      <w:pPr>
        <w:widowControl w:val="0"/>
        <w:tabs>
          <w:tab w:val="left" w:pos="426"/>
        </w:tabs>
        <w:jc w:val="both"/>
        <w:outlineLvl w:val="0"/>
        <w:rPr>
          <w:sz w:val="22"/>
          <w:szCs w:val="22"/>
        </w:rPr>
      </w:pPr>
    </w:p>
    <w:p w14:paraId="06B41614" w14:textId="7409836B" w:rsidR="00315747" w:rsidRPr="00A156F4" w:rsidRDefault="00052C69" w:rsidP="005B1F1F">
      <w:pPr>
        <w:pStyle w:val="Default"/>
        <w:numPr>
          <w:ilvl w:val="0"/>
          <w:numId w:val="1"/>
        </w:numPr>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Realizar actividades de promoción y abogacía de la competencia.</w:t>
      </w:r>
    </w:p>
    <w:p w14:paraId="0D3A87C6" w14:textId="77777777" w:rsidR="006E4178" w:rsidRPr="00A156F4" w:rsidRDefault="006E4178" w:rsidP="00244883">
      <w:pPr>
        <w:rPr>
          <w:sz w:val="22"/>
          <w:szCs w:val="22"/>
        </w:rPr>
      </w:pPr>
    </w:p>
    <w:p w14:paraId="49933C02" w14:textId="1F92AAB1" w:rsidR="00045BF2" w:rsidRPr="00A156F4" w:rsidRDefault="006E4178" w:rsidP="005B1F1F">
      <w:pPr>
        <w:pStyle w:val="Default"/>
        <w:numPr>
          <w:ilvl w:val="0"/>
          <w:numId w:val="1"/>
        </w:numPr>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Emitir opinión, en materia de competencia y libre concurrencia, respecto de las leyes, los reglamentos, los acuerdos, las circulares y los demás actos administrativos.</w:t>
      </w:r>
    </w:p>
    <w:p w14:paraId="37553BBE" w14:textId="77777777" w:rsidR="00CA62E4" w:rsidRPr="00A156F4" w:rsidRDefault="00CA62E4" w:rsidP="000569DD">
      <w:pPr>
        <w:pStyle w:val="Prrafodelista"/>
        <w:spacing w:after="0"/>
        <w:rPr>
          <w:rFonts w:ascii="Times New Roman" w:hAnsi="Times New Roman"/>
        </w:rPr>
      </w:pPr>
    </w:p>
    <w:p w14:paraId="7A53453B" w14:textId="00FC93AC" w:rsidR="00CA62E4" w:rsidRPr="00A156F4" w:rsidRDefault="00CA62E4" w:rsidP="005B1F1F">
      <w:pPr>
        <w:pStyle w:val="Prrafodelista"/>
        <w:numPr>
          <w:ilvl w:val="0"/>
          <w:numId w:val="1"/>
        </w:numPr>
        <w:spacing w:after="0" w:line="252" w:lineRule="auto"/>
        <w:jc w:val="both"/>
        <w:rPr>
          <w:rFonts w:ascii="Times New Roman" w:hAnsi="Times New Roman"/>
        </w:rPr>
      </w:pPr>
      <w:r w:rsidRPr="00A156F4">
        <w:rPr>
          <w:rFonts w:ascii="Times New Roman" w:hAnsi="Times New Roman"/>
        </w:rPr>
        <w:t xml:space="preserve">Establecer mecanismos de coordinación con otras entidades del Poder Ejecutivo, órganos reguladores y demás </w:t>
      </w:r>
      <w:r w:rsidR="00794AAE" w:rsidRPr="00A156F4">
        <w:rPr>
          <w:rFonts w:ascii="Times New Roman" w:hAnsi="Times New Roman"/>
        </w:rPr>
        <w:t>entidades públicas</w:t>
      </w:r>
      <w:r w:rsidR="000569DD" w:rsidRPr="00A156F4">
        <w:rPr>
          <w:rFonts w:ascii="Times New Roman" w:hAnsi="Times New Roman"/>
        </w:rPr>
        <w:t>,</w:t>
      </w:r>
      <w:r w:rsidRPr="00A156F4">
        <w:rPr>
          <w:rFonts w:ascii="Times New Roman" w:hAnsi="Times New Roman"/>
        </w:rPr>
        <w:t xml:space="preserve"> </w:t>
      </w:r>
      <w:r w:rsidR="000569DD" w:rsidRPr="00A156F4">
        <w:rPr>
          <w:rFonts w:ascii="Times New Roman" w:hAnsi="Times New Roman"/>
        </w:rPr>
        <w:t>con el</w:t>
      </w:r>
      <w:r w:rsidRPr="00A156F4">
        <w:rPr>
          <w:rFonts w:ascii="Times New Roman" w:hAnsi="Times New Roman"/>
        </w:rPr>
        <w:t xml:space="preserve"> fin de prevenir monopolios y concentraciones ilícitas, así como para investigar prácticas anticompetitivas y eliminar restricciones innecesarias a</w:t>
      </w:r>
      <w:r w:rsidR="00AA3B54" w:rsidRPr="00A156F4">
        <w:rPr>
          <w:rFonts w:ascii="Times New Roman" w:hAnsi="Times New Roman"/>
        </w:rPr>
        <w:t xml:space="preserve"> </w:t>
      </w:r>
      <w:r w:rsidRPr="00A156F4">
        <w:rPr>
          <w:rFonts w:ascii="Times New Roman" w:hAnsi="Times New Roman"/>
        </w:rPr>
        <w:t>l</w:t>
      </w:r>
      <w:r w:rsidR="00AA3B54" w:rsidRPr="00A156F4">
        <w:rPr>
          <w:rFonts w:ascii="Times New Roman" w:hAnsi="Times New Roman"/>
        </w:rPr>
        <w:t>a competencia</w:t>
      </w:r>
      <w:r w:rsidR="001F1F47" w:rsidRPr="00A156F4">
        <w:rPr>
          <w:rFonts w:ascii="Times New Roman" w:hAnsi="Times New Roman"/>
        </w:rPr>
        <w:t xml:space="preserve"> y libre concurrencia</w:t>
      </w:r>
      <w:r w:rsidR="00AA3B54" w:rsidRPr="00A156F4">
        <w:rPr>
          <w:rFonts w:ascii="Times New Roman" w:hAnsi="Times New Roman"/>
        </w:rPr>
        <w:t xml:space="preserve"> del</w:t>
      </w:r>
      <w:r w:rsidRPr="00A156F4">
        <w:rPr>
          <w:rFonts w:ascii="Times New Roman" w:hAnsi="Times New Roman"/>
        </w:rPr>
        <w:t xml:space="preserve"> mercado.</w:t>
      </w:r>
      <w:r w:rsidR="001D4CCB" w:rsidRPr="00A156F4">
        <w:rPr>
          <w:rFonts w:ascii="Times New Roman" w:hAnsi="Times New Roman"/>
        </w:rPr>
        <w:t xml:space="preserve"> </w:t>
      </w:r>
    </w:p>
    <w:p w14:paraId="6793F094" w14:textId="77777777" w:rsidR="00CA62E4" w:rsidRPr="00A156F4" w:rsidRDefault="00CA62E4" w:rsidP="00CA62E4">
      <w:pPr>
        <w:rPr>
          <w:rFonts w:eastAsia="Times New Roman"/>
          <w:sz w:val="22"/>
          <w:szCs w:val="22"/>
          <w:lang w:val="es-CR" w:eastAsia="en-US"/>
        </w:rPr>
      </w:pPr>
    </w:p>
    <w:p w14:paraId="4640A57B" w14:textId="1F08B176" w:rsidR="00CA62E4" w:rsidRPr="00A156F4" w:rsidRDefault="00244F04" w:rsidP="005B1F1F">
      <w:pPr>
        <w:pStyle w:val="Prrafodelista"/>
        <w:numPr>
          <w:ilvl w:val="0"/>
          <w:numId w:val="1"/>
        </w:numPr>
        <w:spacing w:after="0" w:line="252" w:lineRule="auto"/>
        <w:jc w:val="both"/>
        <w:rPr>
          <w:rFonts w:ascii="Times New Roman" w:hAnsi="Times New Roman"/>
        </w:rPr>
      </w:pPr>
      <w:r w:rsidRPr="00A156F4">
        <w:rPr>
          <w:rFonts w:ascii="Times New Roman" w:hAnsi="Times New Roman"/>
        </w:rPr>
        <w:t>Recomendar a la Administración Pú</w:t>
      </w:r>
      <w:r w:rsidR="002A6E2E" w:rsidRPr="00A156F4">
        <w:rPr>
          <w:rFonts w:ascii="Times New Roman" w:hAnsi="Times New Roman"/>
        </w:rPr>
        <w:t xml:space="preserve">blica la regulación </w:t>
      </w:r>
      <w:r w:rsidR="005226F8" w:rsidRPr="00A156F4">
        <w:rPr>
          <w:rFonts w:ascii="Times New Roman" w:hAnsi="Times New Roman"/>
        </w:rPr>
        <w:t xml:space="preserve">o desregulación </w:t>
      </w:r>
      <w:r w:rsidR="002A6E2E" w:rsidRPr="00A156F4">
        <w:rPr>
          <w:rFonts w:ascii="Times New Roman" w:hAnsi="Times New Roman"/>
        </w:rPr>
        <w:t xml:space="preserve">de precios </w:t>
      </w:r>
      <w:r w:rsidRPr="00A156F4">
        <w:rPr>
          <w:rFonts w:ascii="Times New Roman" w:hAnsi="Times New Roman"/>
        </w:rPr>
        <w:t>cuando proceda</w:t>
      </w:r>
      <w:r w:rsidR="000569DD" w:rsidRPr="00A156F4">
        <w:rPr>
          <w:rFonts w:ascii="Times New Roman" w:hAnsi="Times New Roman"/>
        </w:rPr>
        <w:t>,</w:t>
      </w:r>
      <w:r w:rsidRPr="00A156F4">
        <w:rPr>
          <w:rFonts w:ascii="Times New Roman" w:hAnsi="Times New Roman"/>
        </w:rPr>
        <w:t xml:space="preserve"> de conf</w:t>
      </w:r>
      <w:r w:rsidR="002A6E2E" w:rsidRPr="00A156F4">
        <w:rPr>
          <w:rFonts w:ascii="Times New Roman" w:hAnsi="Times New Roman"/>
        </w:rPr>
        <w:t xml:space="preserve">ormidad con </w:t>
      </w:r>
      <w:r w:rsidR="008D37B4" w:rsidRPr="00A156F4">
        <w:rPr>
          <w:rFonts w:ascii="Times New Roman" w:hAnsi="Times New Roman"/>
        </w:rPr>
        <w:t>el</w:t>
      </w:r>
      <w:r w:rsidR="002A6E2E" w:rsidRPr="00A156F4">
        <w:rPr>
          <w:rFonts w:ascii="Times New Roman" w:hAnsi="Times New Roman"/>
        </w:rPr>
        <w:t xml:space="preserve"> artículo 5 </w:t>
      </w:r>
      <w:r w:rsidRPr="00A156F4">
        <w:rPr>
          <w:rFonts w:ascii="Times New Roman" w:hAnsi="Times New Roman"/>
        </w:rPr>
        <w:t>de</w:t>
      </w:r>
      <w:r w:rsidR="009D4C0B" w:rsidRPr="00A156F4">
        <w:rPr>
          <w:rFonts w:ascii="Times New Roman" w:hAnsi="Times New Roman"/>
        </w:rPr>
        <w:t xml:space="preserve"> la</w:t>
      </w:r>
      <w:r w:rsidRPr="00A156F4">
        <w:rPr>
          <w:rFonts w:ascii="Times New Roman" w:hAnsi="Times New Roman"/>
        </w:rPr>
        <w:t xml:space="preserve"> </w:t>
      </w:r>
      <w:r w:rsidR="009D4C0B" w:rsidRPr="00A156F4">
        <w:rPr>
          <w:rFonts w:ascii="Times New Roman" w:hAnsi="Times New Roman"/>
        </w:rPr>
        <w:t xml:space="preserve">Ley de Promoción de la Competencia y Defensa Efectiva del Consumidor, Ley </w:t>
      </w:r>
      <w:proofErr w:type="spellStart"/>
      <w:r w:rsidR="009D4C0B" w:rsidRPr="00A156F4">
        <w:rPr>
          <w:rFonts w:ascii="Times New Roman" w:hAnsi="Times New Roman"/>
        </w:rPr>
        <w:t>N.°</w:t>
      </w:r>
      <w:proofErr w:type="spellEnd"/>
      <w:r w:rsidR="009D4C0B" w:rsidRPr="00A156F4">
        <w:rPr>
          <w:rFonts w:ascii="Times New Roman" w:hAnsi="Times New Roman"/>
        </w:rPr>
        <w:t xml:space="preserve"> 7472, del 20 de diciembre de 1994, sus reformas y sus reglamentos</w:t>
      </w:r>
      <w:r w:rsidRPr="00A156F4">
        <w:rPr>
          <w:rFonts w:ascii="Times New Roman" w:hAnsi="Times New Roman"/>
        </w:rPr>
        <w:t>.</w:t>
      </w:r>
    </w:p>
    <w:p w14:paraId="3919474F" w14:textId="77777777" w:rsidR="00CA62E4" w:rsidRPr="00A156F4" w:rsidRDefault="00CA62E4" w:rsidP="00433AAF">
      <w:pPr>
        <w:rPr>
          <w:sz w:val="22"/>
          <w:szCs w:val="22"/>
        </w:rPr>
      </w:pPr>
    </w:p>
    <w:p w14:paraId="2D67B32D" w14:textId="3D431D70" w:rsidR="00212C9C" w:rsidRPr="00A156F4" w:rsidRDefault="00473059" w:rsidP="005B1F1F">
      <w:pPr>
        <w:pStyle w:val="Prrafodelista"/>
        <w:numPr>
          <w:ilvl w:val="0"/>
          <w:numId w:val="1"/>
        </w:numPr>
        <w:spacing w:after="0" w:line="252" w:lineRule="auto"/>
        <w:jc w:val="both"/>
        <w:rPr>
          <w:rFonts w:ascii="Times New Roman" w:hAnsi="Times New Roman"/>
        </w:rPr>
      </w:pPr>
      <w:r w:rsidRPr="00A156F4">
        <w:rPr>
          <w:rFonts w:ascii="Times New Roman" w:hAnsi="Times New Roman"/>
        </w:rPr>
        <w:t>G</w:t>
      </w:r>
      <w:r w:rsidR="00212C9C" w:rsidRPr="00A156F4">
        <w:rPr>
          <w:rFonts w:ascii="Times New Roman" w:hAnsi="Times New Roman"/>
        </w:rPr>
        <w:t xml:space="preserve">estionar y administrar sus recursos y presupuesto, así como las modificaciones que </w:t>
      </w:r>
      <w:r w:rsidR="006757C2" w:rsidRPr="00A156F4">
        <w:rPr>
          <w:rFonts w:ascii="Times New Roman" w:hAnsi="Times New Roman"/>
        </w:rPr>
        <w:t>e</w:t>
      </w:r>
      <w:r w:rsidR="00212C9C" w:rsidRPr="00A156F4">
        <w:rPr>
          <w:rFonts w:ascii="Times New Roman" w:hAnsi="Times New Roman"/>
        </w:rPr>
        <w:t xml:space="preserve">ste requiera. El trámite aprobatorio externo del presupuesto será realizado de forma exclusiva por la </w:t>
      </w:r>
      <w:proofErr w:type="spellStart"/>
      <w:r w:rsidR="00212C9C" w:rsidRPr="00A156F4">
        <w:rPr>
          <w:rFonts w:ascii="Times New Roman" w:hAnsi="Times New Roman"/>
        </w:rPr>
        <w:t>Coprocom</w:t>
      </w:r>
      <w:proofErr w:type="spellEnd"/>
      <w:r w:rsidR="00212C9C" w:rsidRPr="00A156F4">
        <w:rPr>
          <w:rFonts w:ascii="Times New Roman" w:hAnsi="Times New Roman"/>
        </w:rPr>
        <w:t xml:space="preserve">. </w:t>
      </w:r>
    </w:p>
    <w:p w14:paraId="7E51A0C2" w14:textId="77777777" w:rsidR="00212C9C" w:rsidRPr="00A156F4" w:rsidRDefault="00212C9C" w:rsidP="002B75F3">
      <w:pPr>
        <w:pStyle w:val="Prrafodelista"/>
        <w:spacing w:after="0" w:line="240" w:lineRule="auto"/>
        <w:ind w:left="720"/>
        <w:jc w:val="both"/>
        <w:rPr>
          <w:rFonts w:ascii="Times New Roman" w:hAnsi="Times New Roman"/>
        </w:rPr>
      </w:pPr>
    </w:p>
    <w:p w14:paraId="1C912365" w14:textId="04E4F552" w:rsidR="003B565A" w:rsidRPr="00A156F4" w:rsidRDefault="00315747" w:rsidP="005B1F1F">
      <w:pPr>
        <w:pStyle w:val="Default"/>
        <w:numPr>
          <w:ilvl w:val="0"/>
          <w:numId w:val="1"/>
        </w:numPr>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 xml:space="preserve">Las demás que le confiera </w:t>
      </w:r>
      <w:r w:rsidR="009D4C0B" w:rsidRPr="00A156F4">
        <w:rPr>
          <w:rFonts w:ascii="Times New Roman" w:hAnsi="Times New Roman" w:cs="Times New Roman"/>
          <w:color w:val="auto"/>
          <w:sz w:val="22"/>
          <w:szCs w:val="22"/>
        </w:rPr>
        <w:t xml:space="preserve">la Ley de Promoción de la Competencia y Defensa Efectiva del Consumidor, Ley </w:t>
      </w:r>
      <w:proofErr w:type="spellStart"/>
      <w:r w:rsidR="009D4C0B" w:rsidRPr="00A156F4">
        <w:rPr>
          <w:rFonts w:ascii="Times New Roman" w:hAnsi="Times New Roman" w:cs="Times New Roman"/>
          <w:color w:val="auto"/>
          <w:sz w:val="22"/>
          <w:szCs w:val="22"/>
        </w:rPr>
        <w:t>N.°</w:t>
      </w:r>
      <w:proofErr w:type="spellEnd"/>
      <w:r w:rsidR="009D4C0B" w:rsidRPr="00A156F4">
        <w:rPr>
          <w:rFonts w:ascii="Times New Roman" w:hAnsi="Times New Roman" w:cs="Times New Roman"/>
          <w:color w:val="auto"/>
          <w:sz w:val="22"/>
          <w:szCs w:val="22"/>
        </w:rPr>
        <w:t xml:space="preserve"> 7472, del 20 de diciembre de 1994, sus reformas y sus reglamentos </w:t>
      </w:r>
      <w:r w:rsidRPr="00A156F4">
        <w:rPr>
          <w:rFonts w:ascii="Times New Roman" w:hAnsi="Times New Roman" w:cs="Times New Roman"/>
          <w:color w:val="auto"/>
          <w:sz w:val="22"/>
          <w:szCs w:val="22"/>
        </w:rPr>
        <w:t xml:space="preserve">y demás normativa que regule la materia. </w:t>
      </w:r>
    </w:p>
    <w:p w14:paraId="0707A958" w14:textId="77777777" w:rsidR="00E075A3" w:rsidRPr="00A156F4" w:rsidRDefault="00E075A3" w:rsidP="004B2F8B">
      <w:pPr>
        <w:jc w:val="both"/>
        <w:rPr>
          <w:rFonts w:eastAsia="Times New Roman"/>
          <w:sz w:val="22"/>
          <w:szCs w:val="22"/>
          <w:lang w:val="es-CR" w:eastAsia="en-US"/>
        </w:rPr>
      </w:pPr>
    </w:p>
    <w:p w14:paraId="4BF84BAA" w14:textId="2ED36338" w:rsidR="00A74348" w:rsidRPr="00A156F4" w:rsidRDefault="00A74348" w:rsidP="004B2F8B">
      <w:pPr>
        <w:jc w:val="both"/>
        <w:rPr>
          <w:rFonts w:eastAsia="Times New Roman"/>
          <w:sz w:val="22"/>
          <w:szCs w:val="22"/>
          <w:lang w:val="es-CR" w:eastAsia="en-US"/>
        </w:rPr>
      </w:pPr>
      <w:r w:rsidRPr="00A156F4">
        <w:rPr>
          <w:rFonts w:eastAsia="Times New Roman"/>
          <w:sz w:val="22"/>
          <w:szCs w:val="22"/>
          <w:lang w:val="es-CR" w:eastAsia="en-US"/>
        </w:rPr>
        <w:t xml:space="preserve">A la </w:t>
      </w:r>
      <w:proofErr w:type="spellStart"/>
      <w:r w:rsidRPr="00A156F4">
        <w:rPr>
          <w:rFonts w:eastAsia="Times New Roman"/>
          <w:sz w:val="22"/>
          <w:szCs w:val="22"/>
          <w:lang w:val="es-CR" w:eastAsia="en-US"/>
        </w:rPr>
        <w:t>Coprocom</w:t>
      </w:r>
      <w:proofErr w:type="spellEnd"/>
      <w:r w:rsidRPr="00A156F4">
        <w:rPr>
          <w:rFonts w:eastAsia="Times New Roman"/>
          <w:sz w:val="22"/>
          <w:szCs w:val="22"/>
          <w:lang w:val="es-CR" w:eastAsia="en-US"/>
        </w:rPr>
        <w:t xml:space="preserve"> no le corresponde</w:t>
      </w:r>
      <w:r w:rsidR="00156109" w:rsidRPr="00A156F4">
        <w:rPr>
          <w:rFonts w:eastAsia="Times New Roman"/>
          <w:sz w:val="22"/>
          <w:szCs w:val="22"/>
          <w:lang w:val="es-CR" w:eastAsia="en-US"/>
        </w:rPr>
        <w:t>rá</w:t>
      </w:r>
      <w:r w:rsidRPr="00A156F4">
        <w:rPr>
          <w:rFonts w:eastAsia="Times New Roman"/>
          <w:sz w:val="22"/>
          <w:szCs w:val="22"/>
          <w:lang w:val="es-CR" w:eastAsia="en-US"/>
        </w:rPr>
        <w:t xml:space="preserve"> conocer de los actos de competencia desleal en los términos estipulados en el artículo 17 de </w:t>
      </w:r>
      <w:r w:rsidR="00156109" w:rsidRPr="00A156F4">
        <w:rPr>
          <w:rFonts w:eastAsia="Times New Roman"/>
          <w:sz w:val="22"/>
          <w:szCs w:val="22"/>
          <w:lang w:val="es-CR" w:eastAsia="en-US"/>
        </w:rPr>
        <w:t xml:space="preserve">la </w:t>
      </w:r>
      <w:r w:rsidR="00156109" w:rsidRPr="00A156F4">
        <w:rPr>
          <w:sz w:val="22"/>
          <w:szCs w:val="22"/>
        </w:rPr>
        <w:t xml:space="preserve">Ley de Promoción de la Competencia y Defensa Efectiva del Consumidor, Ley </w:t>
      </w:r>
      <w:proofErr w:type="spellStart"/>
      <w:r w:rsidR="00156109" w:rsidRPr="00A156F4">
        <w:rPr>
          <w:sz w:val="22"/>
          <w:szCs w:val="22"/>
        </w:rPr>
        <w:t>N°</w:t>
      </w:r>
      <w:proofErr w:type="spellEnd"/>
      <w:r w:rsidR="00AF77F9" w:rsidRPr="00A156F4">
        <w:rPr>
          <w:sz w:val="22"/>
          <w:szCs w:val="22"/>
        </w:rPr>
        <w:t>.</w:t>
      </w:r>
      <w:r w:rsidR="00156109" w:rsidRPr="00A156F4">
        <w:rPr>
          <w:sz w:val="22"/>
          <w:szCs w:val="22"/>
        </w:rPr>
        <w:t xml:space="preserve"> 7472, del 20 de diciembre de 1994</w:t>
      </w:r>
      <w:r w:rsidR="009A75B7" w:rsidRPr="00A156F4">
        <w:rPr>
          <w:sz w:val="22"/>
          <w:szCs w:val="22"/>
        </w:rPr>
        <w:t>,</w:t>
      </w:r>
      <w:r w:rsidR="00B76ED6" w:rsidRPr="00A156F4">
        <w:rPr>
          <w:sz w:val="22"/>
          <w:szCs w:val="22"/>
        </w:rPr>
        <w:t xml:space="preserve"> sus reformas</w:t>
      </w:r>
      <w:r w:rsidR="009A75B7" w:rsidRPr="00A156F4">
        <w:rPr>
          <w:sz w:val="22"/>
          <w:szCs w:val="22"/>
        </w:rPr>
        <w:t xml:space="preserve"> y sus reglamento</w:t>
      </w:r>
      <w:r w:rsidR="00FE546D" w:rsidRPr="00A156F4">
        <w:rPr>
          <w:sz w:val="22"/>
          <w:szCs w:val="22"/>
        </w:rPr>
        <w:t>s</w:t>
      </w:r>
      <w:r w:rsidRPr="00A156F4">
        <w:rPr>
          <w:rFonts w:eastAsia="Times New Roman"/>
          <w:sz w:val="22"/>
          <w:szCs w:val="22"/>
          <w:lang w:val="es-CR" w:eastAsia="en-US"/>
        </w:rPr>
        <w:t>. Estos casos s</w:t>
      </w:r>
      <w:r w:rsidR="001F1F47" w:rsidRPr="00A156F4">
        <w:rPr>
          <w:rFonts w:eastAsia="Times New Roman"/>
          <w:sz w:val="22"/>
          <w:szCs w:val="22"/>
          <w:lang w:val="es-CR" w:eastAsia="en-US"/>
        </w:rPr>
        <w:t>erán</w:t>
      </w:r>
      <w:r w:rsidRPr="00A156F4">
        <w:rPr>
          <w:rFonts w:eastAsia="Times New Roman"/>
          <w:sz w:val="22"/>
          <w:szCs w:val="22"/>
          <w:lang w:val="es-CR" w:eastAsia="en-US"/>
        </w:rPr>
        <w:t xml:space="preserve"> del conocimiento exclusivo de los órganos jurisdiccionales competentes.</w:t>
      </w:r>
    </w:p>
    <w:p w14:paraId="0F7BA987" w14:textId="77777777" w:rsidR="00A74348" w:rsidRPr="00A156F4" w:rsidRDefault="00A74348" w:rsidP="004B2F8B">
      <w:pPr>
        <w:jc w:val="both"/>
        <w:rPr>
          <w:rFonts w:eastAsia="Times New Roman"/>
          <w:sz w:val="22"/>
          <w:szCs w:val="22"/>
          <w:lang w:val="es-CR" w:eastAsia="en-US"/>
        </w:rPr>
      </w:pPr>
    </w:p>
    <w:p w14:paraId="162361AF" w14:textId="01958AF0" w:rsidR="00A822C2" w:rsidRPr="00A156F4" w:rsidRDefault="00A37514" w:rsidP="004B2F8B">
      <w:pPr>
        <w:pStyle w:val="Default"/>
        <w:tabs>
          <w:tab w:val="left" w:pos="426"/>
        </w:tabs>
        <w:ind w:right="57"/>
        <w:jc w:val="both"/>
        <w:textAlignment w:val="center"/>
        <w:rPr>
          <w:rFonts w:ascii="Times New Roman" w:hAnsi="Times New Roman" w:cs="Times New Roman"/>
          <w:color w:val="auto"/>
          <w:sz w:val="22"/>
          <w:szCs w:val="22"/>
        </w:rPr>
      </w:pPr>
      <w:r w:rsidRPr="00A156F4">
        <w:rPr>
          <w:rFonts w:ascii="Times New Roman" w:hAnsi="Times New Roman" w:cs="Times New Roman"/>
          <w:color w:val="auto"/>
          <w:sz w:val="22"/>
          <w:szCs w:val="22"/>
        </w:rPr>
        <w:t>Pa</w:t>
      </w:r>
      <w:r w:rsidR="009C524F" w:rsidRPr="00A156F4">
        <w:rPr>
          <w:rFonts w:ascii="Times New Roman" w:hAnsi="Times New Roman" w:cs="Times New Roman"/>
          <w:color w:val="auto"/>
          <w:sz w:val="22"/>
          <w:szCs w:val="22"/>
        </w:rPr>
        <w:t xml:space="preserve">ra el caso de </w:t>
      </w:r>
      <w:r w:rsidR="003C5432" w:rsidRPr="00A156F4">
        <w:rPr>
          <w:rFonts w:ascii="Times New Roman" w:hAnsi="Times New Roman" w:cs="Times New Roman"/>
          <w:color w:val="auto"/>
          <w:sz w:val="22"/>
          <w:szCs w:val="22"/>
        </w:rPr>
        <w:t xml:space="preserve">la </w:t>
      </w:r>
      <w:proofErr w:type="spellStart"/>
      <w:r w:rsidR="009C524F" w:rsidRPr="00A156F4">
        <w:rPr>
          <w:rFonts w:ascii="Times New Roman" w:hAnsi="Times New Roman" w:cs="Times New Roman"/>
          <w:color w:val="auto"/>
          <w:sz w:val="22"/>
          <w:szCs w:val="22"/>
        </w:rPr>
        <w:t>Sutel</w:t>
      </w:r>
      <w:proofErr w:type="spellEnd"/>
      <w:r w:rsidR="009C524F" w:rsidRPr="00A156F4">
        <w:rPr>
          <w:rFonts w:ascii="Times New Roman" w:hAnsi="Times New Roman" w:cs="Times New Roman"/>
          <w:color w:val="auto"/>
          <w:sz w:val="22"/>
          <w:szCs w:val="22"/>
        </w:rPr>
        <w:t xml:space="preserve">, tendrá las funciones y potestades </w:t>
      </w:r>
      <w:r w:rsidR="00CC1B23" w:rsidRPr="00A156F4">
        <w:rPr>
          <w:rFonts w:ascii="Times New Roman" w:hAnsi="Times New Roman" w:cs="Times New Roman"/>
          <w:color w:val="auto"/>
          <w:sz w:val="22"/>
          <w:szCs w:val="22"/>
        </w:rPr>
        <w:t>definidas en el artículo 52</w:t>
      </w:r>
      <w:r w:rsidR="00BA0885" w:rsidRPr="00A156F4">
        <w:rPr>
          <w:rFonts w:ascii="Times New Roman" w:hAnsi="Times New Roman" w:cs="Times New Roman"/>
          <w:color w:val="auto"/>
          <w:sz w:val="22"/>
          <w:szCs w:val="22"/>
        </w:rPr>
        <w:t xml:space="preserve"> </w:t>
      </w:r>
      <w:r w:rsidR="00CC1B23" w:rsidRPr="00A156F4">
        <w:rPr>
          <w:rFonts w:ascii="Times New Roman" w:hAnsi="Times New Roman" w:cs="Times New Roman"/>
          <w:color w:val="auto"/>
          <w:sz w:val="22"/>
          <w:szCs w:val="22"/>
        </w:rPr>
        <w:t xml:space="preserve">de </w:t>
      </w:r>
      <w:r w:rsidR="00A822C2" w:rsidRPr="00A156F4">
        <w:rPr>
          <w:rFonts w:ascii="Times New Roman" w:hAnsi="Times New Roman" w:cs="Times New Roman"/>
          <w:color w:val="auto"/>
          <w:sz w:val="22"/>
          <w:szCs w:val="22"/>
        </w:rPr>
        <w:t xml:space="preserve">la Ley General de Telecomunicaciones, Ley </w:t>
      </w:r>
      <w:proofErr w:type="spellStart"/>
      <w:r w:rsidR="00A822C2" w:rsidRPr="00A156F4">
        <w:rPr>
          <w:rFonts w:ascii="Times New Roman" w:hAnsi="Times New Roman" w:cs="Times New Roman"/>
          <w:color w:val="auto"/>
          <w:sz w:val="22"/>
          <w:szCs w:val="22"/>
        </w:rPr>
        <w:t>N°</w:t>
      </w:r>
      <w:proofErr w:type="spellEnd"/>
      <w:r w:rsidR="00A822C2" w:rsidRPr="00A156F4">
        <w:rPr>
          <w:rFonts w:ascii="Times New Roman" w:hAnsi="Times New Roman" w:cs="Times New Roman"/>
          <w:color w:val="auto"/>
          <w:sz w:val="22"/>
          <w:szCs w:val="22"/>
        </w:rPr>
        <w:t xml:space="preserve">. 8642, del </w:t>
      </w:r>
      <w:r w:rsidR="00D94FD1" w:rsidRPr="00A156F4">
        <w:rPr>
          <w:rFonts w:ascii="Times New Roman" w:hAnsi="Times New Roman" w:cs="Times New Roman"/>
          <w:color w:val="auto"/>
          <w:sz w:val="22"/>
          <w:szCs w:val="22"/>
        </w:rPr>
        <w:t>4</w:t>
      </w:r>
      <w:r w:rsidR="00A822C2" w:rsidRPr="00A156F4">
        <w:rPr>
          <w:rFonts w:ascii="Times New Roman" w:hAnsi="Times New Roman" w:cs="Times New Roman"/>
          <w:color w:val="auto"/>
          <w:sz w:val="22"/>
          <w:szCs w:val="22"/>
        </w:rPr>
        <w:t xml:space="preserve"> de junio de 20</w:t>
      </w:r>
      <w:r w:rsidR="00D94FD1" w:rsidRPr="00A156F4">
        <w:rPr>
          <w:rFonts w:ascii="Times New Roman" w:hAnsi="Times New Roman" w:cs="Times New Roman"/>
          <w:color w:val="auto"/>
          <w:sz w:val="22"/>
          <w:szCs w:val="22"/>
        </w:rPr>
        <w:t>08</w:t>
      </w:r>
      <w:r w:rsidR="001F665B" w:rsidRPr="00A156F4">
        <w:rPr>
          <w:rFonts w:ascii="Times New Roman" w:hAnsi="Times New Roman" w:cs="Times New Roman"/>
          <w:color w:val="auto"/>
          <w:sz w:val="22"/>
          <w:szCs w:val="22"/>
        </w:rPr>
        <w:t xml:space="preserve">, sus reformas y sus reglamentos. </w:t>
      </w:r>
    </w:p>
    <w:p w14:paraId="60FFD2F5" w14:textId="514CDC91" w:rsidR="00E41269" w:rsidRPr="00A156F4" w:rsidRDefault="00E41269" w:rsidP="004B2F8B">
      <w:pPr>
        <w:pStyle w:val="Default"/>
        <w:tabs>
          <w:tab w:val="left" w:pos="426"/>
        </w:tabs>
        <w:ind w:right="57"/>
        <w:jc w:val="both"/>
        <w:textAlignment w:val="center"/>
        <w:rPr>
          <w:rFonts w:ascii="Times New Roman" w:hAnsi="Times New Roman" w:cs="Times New Roman"/>
          <w:color w:val="auto"/>
          <w:sz w:val="22"/>
          <w:szCs w:val="22"/>
        </w:rPr>
      </w:pPr>
    </w:p>
    <w:p w14:paraId="51F1282A" w14:textId="3F1DC2CB" w:rsidR="00E41269" w:rsidRPr="00A156F4" w:rsidRDefault="00E41269" w:rsidP="00E41269">
      <w:pPr>
        <w:widowControl w:val="0"/>
        <w:jc w:val="both"/>
        <w:rPr>
          <w:bCs/>
          <w:sz w:val="22"/>
          <w:szCs w:val="22"/>
          <w:lang w:eastAsia="es-CR"/>
        </w:rPr>
      </w:pPr>
      <w:r w:rsidRPr="00A156F4">
        <w:rPr>
          <w:b/>
          <w:bCs/>
          <w:sz w:val="22"/>
          <w:szCs w:val="22"/>
        </w:rPr>
        <w:t xml:space="preserve">Artículo </w:t>
      </w:r>
      <w:r w:rsidR="00FC6E92" w:rsidRPr="00A156F4">
        <w:rPr>
          <w:b/>
          <w:bCs/>
          <w:sz w:val="22"/>
          <w:szCs w:val="22"/>
          <w:lang w:eastAsia="es-CR"/>
        </w:rPr>
        <w:t>4</w:t>
      </w:r>
      <w:r w:rsidRPr="00A156F4">
        <w:rPr>
          <w:b/>
          <w:bCs/>
          <w:sz w:val="22"/>
          <w:szCs w:val="22"/>
          <w:lang w:eastAsia="es-CR"/>
        </w:rPr>
        <w:t>.- Representación y legitimación judicial</w:t>
      </w:r>
      <w:r w:rsidR="00193FE7" w:rsidRPr="00A156F4">
        <w:rPr>
          <w:b/>
          <w:bCs/>
          <w:sz w:val="22"/>
          <w:szCs w:val="22"/>
          <w:lang w:eastAsia="es-CR"/>
        </w:rPr>
        <w:t xml:space="preserve"> de la </w:t>
      </w:r>
      <w:proofErr w:type="spellStart"/>
      <w:r w:rsidR="00193FE7" w:rsidRPr="00A156F4">
        <w:rPr>
          <w:b/>
          <w:bCs/>
          <w:sz w:val="22"/>
          <w:szCs w:val="22"/>
          <w:lang w:eastAsia="es-CR"/>
        </w:rPr>
        <w:t>Coprocom</w:t>
      </w:r>
      <w:proofErr w:type="spellEnd"/>
    </w:p>
    <w:p w14:paraId="2B9EBFC1" w14:textId="77777777" w:rsidR="00E41269" w:rsidRPr="00A156F4" w:rsidRDefault="00E41269" w:rsidP="00E41269">
      <w:pPr>
        <w:widowControl w:val="0"/>
        <w:jc w:val="both"/>
        <w:rPr>
          <w:bCs/>
          <w:sz w:val="22"/>
          <w:szCs w:val="22"/>
          <w:lang w:eastAsia="es-CR"/>
        </w:rPr>
      </w:pPr>
    </w:p>
    <w:p w14:paraId="0CB68AA2" w14:textId="71329D76" w:rsidR="00E41269" w:rsidRPr="00A156F4" w:rsidRDefault="00E41269" w:rsidP="004B2F8B">
      <w:pPr>
        <w:pStyle w:val="Default"/>
        <w:tabs>
          <w:tab w:val="left" w:pos="426"/>
        </w:tabs>
        <w:ind w:right="57"/>
        <w:jc w:val="both"/>
        <w:textAlignment w:val="center"/>
        <w:rPr>
          <w:rFonts w:ascii="Times New Roman" w:hAnsi="Times New Roman" w:cs="Times New Roman"/>
          <w:color w:val="auto"/>
          <w:sz w:val="22"/>
          <w:szCs w:val="22"/>
        </w:rPr>
      </w:pPr>
      <w:r w:rsidRPr="00A156F4">
        <w:rPr>
          <w:rFonts w:ascii="Times New Roman" w:eastAsiaTheme="minorHAnsi" w:hAnsi="Times New Roman" w:cs="Times New Roman"/>
          <w:color w:val="auto"/>
          <w:sz w:val="22"/>
          <w:szCs w:val="22"/>
          <w:lang w:val="es-ES_tradnl" w:eastAsia="es-ES_tradnl"/>
        </w:rPr>
        <w:t xml:space="preserve">La </w:t>
      </w:r>
      <w:proofErr w:type="spellStart"/>
      <w:r w:rsidRPr="00A156F4">
        <w:rPr>
          <w:rFonts w:ascii="Times New Roman" w:eastAsiaTheme="minorHAnsi" w:hAnsi="Times New Roman" w:cs="Times New Roman"/>
          <w:color w:val="auto"/>
          <w:sz w:val="22"/>
          <w:szCs w:val="22"/>
          <w:lang w:val="es-ES_tradnl" w:eastAsia="es-ES_tradnl"/>
        </w:rPr>
        <w:t>Coprocom</w:t>
      </w:r>
      <w:proofErr w:type="spellEnd"/>
      <w:r w:rsidRPr="00A156F4">
        <w:rPr>
          <w:rFonts w:ascii="Times New Roman" w:eastAsiaTheme="minorHAnsi" w:hAnsi="Times New Roman" w:cs="Times New Roman"/>
          <w:color w:val="auto"/>
          <w:sz w:val="22"/>
          <w:szCs w:val="22"/>
          <w:lang w:val="es-ES_tradnl" w:eastAsia="es-ES_tradnl"/>
        </w:rPr>
        <w:t xml:space="preserve"> asumirá en forma exclusiva la representación y defensa en aquellos procesos judiciales en que se revisen actos emitidos por </w:t>
      </w:r>
      <w:r w:rsidR="001F1F47" w:rsidRPr="00A156F4">
        <w:rPr>
          <w:rFonts w:ascii="Times New Roman" w:eastAsiaTheme="minorHAnsi" w:hAnsi="Times New Roman" w:cs="Times New Roman"/>
          <w:color w:val="auto"/>
          <w:sz w:val="22"/>
          <w:szCs w:val="22"/>
          <w:lang w:val="es-ES_tradnl" w:eastAsia="es-ES_tradnl"/>
        </w:rPr>
        <w:t>e</w:t>
      </w:r>
      <w:r w:rsidRPr="00A156F4">
        <w:rPr>
          <w:rFonts w:ascii="Times New Roman" w:eastAsiaTheme="minorHAnsi" w:hAnsi="Times New Roman" w:cs="Times New Roman"/>
          <w:color w:val="auto"/>
          <w:sz w:val="22"/>
          <w:szCs w:val="22"/>
          <w:lang w:val="es-ES_tradnl" w:eastAsia="es-ES_tradnl"/>
        </w:rPr>
        <w:t xml:space="preserve">sta en el ejercicio de sus competencias legales, con legitimación procesal activa plena ante dichas instancias judiciales o ante aquellas instancias administrativas en que también corresponda la defensa de sus intereses. </w:t>
      </w:r>
    </w:p>
    <w:p w14:paraId="66672E8B" w14:textId="3AFE5423" w:rsidR="00F14297" w:rsidRPr="00A156F4" w:rsidRDefault="00F14297" w:rsidP="004B2F8B">
      <w:pPr>
        <w:pStyle w:val="Default"/>
        <w:tabs>
          <w:tab w:val="left" w:pos="426"/>
        </w:tabs>
        <w:ind w:right="57"/>
        <w:jc w:val="both"/>
        <w:textAlignment w:val="center"/>
        <w:rPr>
          <w:rFonts w:ascii="Times New Roman" w:hAnsi="Times New Roman" w:cs="Times New Roman"/>
          <w:color w:val="auto"/>
          <w:sz w:val="22"/>
          <w:szCs w:val="22"/>
        </w:rPr>
      </w:pPr>
    </w:p>
    <w:p w14:paraId="49EE9CC7" w14:textId="77777777" w:rsidR="005F7DB9" w:rsidRPr="00A156F4" w:rsidRDefault="005F7DB9" w:rsidP="004B2F8B">
      <w:pPr>
        <w:pStyle w:val="Default"/>
        <w:tabs>
          <w:tab w:val="left" w:pos="426"/>
        </w:tabs>
        <w:ind w:right="57"/>
        <w:jc w:val="both"/>
        <w:textAlignment w:val="center"/>
        <w:rPr>
          <w:rFonts w:ascii="Times New Roman" w:hAnsi="Times New Roman" w:cs="Times New Roman"/>
          <w:color w:val="auto"/>
          <w:sz w:val="22"/>
          <w:szCs w:val="22"/>
        </w:rPr>
      </w:pPr>
    </w:p>
    <w:p w14:paraId="1F717EA3" w14:textId="77777777" w:rsidR="003C5B99" w:rsidRPr="00A156F4" w:rsidRDefault="009E3D0D" w:rsidP="004B2F8B">
      <w:pPr>
        <w:widowControl w:val="0"/>
        <w:jc w:val="center"/>
        <w:outlineLvl w:val="0"/>
        <w:rPr>
          <w:b/>
          <w:sz w:val="22"/>
          <w:szCs w:val="22"/>
        </w:rPr>
      </w:pPr>
      <w:bookmarkStart w:id="6" w:name="_Hlk523045398"/>
      <w:r w:rsidRPr="00A156F4">
        <w:rPr>
          <w:b/>
          <w:sz w:val="22"/>
          <w:szCs w:val="22"/>
        </w:rPr>
        <w:t>CAPÍTULO</w:t>
      </w:r>
      <w:r w:rsidR="003C5B99" w:rsidRPr="00A156F4">
        <w:rPr>
          <w:b/>
          <w:sz w:val="22"/>
          <w:szCs w:val="22"/>
        </w:rPr>
        <w:t xml:space="preserve"> II </w:t>
      </w:r>
    </w:p>
    <w:p w14:paraId="6013FB85" w14:textId="1B89A0F7" w:rsidR="003C5B99" w:rsidRPr="00A156F4" w:rsidRDefault="003C5B99" w:rsidP="004B2F8B">
      <w:pPr>
        <w:widowControl w:val="0"/>
        <w:jc w:val="center"/>
        <w:rPr>
          <w:b/>
          <w:sz w:val="22"/>
          <w:szCs w:val="22"/>
        </w:rPr>
      </w:pPr>
      <w:r w:rsidRPr="00A156F4">
        <w:rPr>
          <w:b/>
          <w:sz w:val="22"/>
          <w:szCs w:val="22"/>
        </w:rPr>
        <w:t xml:space="preserve">Estructura </w:t>
      </w:r>
      <w:r w:rsidR="008440E6" w:rsidRPr="00A156F4">
        <w:rPr>
          <w:b/>
          <w:sz w:val="22"/>
          <w:szCs w:val="22"/>
        </w:rPr>
        <w:t>O</w:t>
      </w:r>
      <w:r w:rsidRPr="00A156F4">
        <w:rPr>
          <w:b/>
          <w:sz w:val="22"/>
          <w:szCs w:val="22"/>
        </w:rPr>
        <w:t>rgánica</w:t>
      </w:r>
      <w:r w:rsidR="00323493" w:rsidRPr="00A156F4">
        <w:rPr>
          <w:b/>
          <w:sz w:val="22"/>
          <w:szCs w:val="22"/>
        </w:rPr>
        <w:t xml:space="preserve"> de las Autoridades de Competencia</w:t>
      </w:r>
    </w:p>
    <w:p w14:paraId="09F0D782" w14:textId="38309151" w:rsidR="002B4412" w:rsidRPr="00A156F4" w:rsidRDefault="002B4412" w:rsidP="004B2F8B">
      <w:pPr>
        <w:widowControl w:val="0"/>
        <w:jc w:val="center"/>
        <w:rPr>
          <w:b/>
          <w:sz w:val="22"/>
          <w:szCs w:val="22"/>
        </w:rPr>
      </w:pPr>
    </w:p>
    <w:p w14:paraId="3A439297" w14:textId="106FCA13" w:rsidR="002B4412" w:rsidRPr="00A156F4" w:rsidRDefault="002B4412" w:rsidP="004B2F8B">
      <w:pPr>
        <w:widowControl w:val="0"/>
        <w:jc w:val="center"/>
        <w:rPr>
          <w:b/>
          <w:sz w:val="22"/>
          <w:szCs w:val="22"/>
        </w:rPr>
      </w:pPr>
      <w:r w:rsidRPr="00A156F4">
        <w:rPr>
          <w:b/>
          <w:sz w:val="22"/>
          <w:szCs w:val="22"/>
        </w:rPr>
        <w:t>SECCIÓN I</w:t>
      </w:r>
    </w:p>
    <w:p w14:paraId="2BA8023C" w14:textId="282ACE85" w:rsidR="002B4412" w:rsidRPr="00A156F4" w:rsidRDefault="002B4412" w:rsidP="004B2F8B">
      <w:pPr>
        <w:widowControl w:val="0"/>
        <w:jc w:val="center"/>
        <w:rPr>
          <w:b/>
          <w:sz w:val="22"/>
          <w:szCs w:val="22"/>
        </w:rPr>
      </w:pPr>
      <w:r w:rsidRPr="00A156F4">
        <w:rPr>
          <w:b/>
          <w:sz w:val="22"/>
          <w:szCs w:val="22"/>
        </w:rPr>
        <w:t xml:space="preserve">Del Órgano Superior de la </w:t>
      </w:r>
      <w:proofErr w:type="spellStart"/>
      <w:r w:rsidRPr="00A156F4">
        <w:rPr>
          <w:b/>
          <w:sz w:val="22"/>
          <w:szCs w:val="22"/>
        </w:rPr>
        <w:t>Coprocom</w:t>
      </w:r>
      <w:proofErr w:type="spellEnd"/>
    </w:p>
    <w:bookmarkEnd w:id="6"/>
    <w:p w14:paraId="79A50204" w14:textId="71C8C150" w:rsidR="009E3D0D" w:rsidRPr="00A156F4" w:rsidRDefault="009E3D0D" w:rsidP="004B2F8B">
      <w:pPr>
        <w:widowControl w:val="0"/>
        <w:rPr>
          <w:b/>
          <w:sz w:val="22"/>
          <w:szCs w:val="22"/>
        </w:rPr>
      </w:pPr>
    </w:p>
    <w:p w14:paraId="3DAD129F" w14:textId="77777777" w:rsidR="005F7DB9" w:rsidRPr="00A156F4" w:rsidRDefault="005F7DB9" w:rsidP="004B2F8B">
      <w:pPr>
        <w:widowControl w:val="0"/>
        <w:rPr>
          <w:b/>
          <w:sz w:val="22"/>
          <w:szCs w:val="22"/>
        </w:rPr>
      </w:pPr>
    </w:p>
    <w:p w14:paraId="4A4B5873" w14:textId="5FC298AF" w:rsidR="00F81153" w:rsidRPr="00A156F4" w:rsidRDefault="003A4B27" w:rsidP="004B2F8B">
      <w:pPr>
        <w:widowControl w:val="0"/>
        <w:jc w:val="both"/>
        <w:outlineLvl w:val="0"/>
        <w:rPr>
          <w:b/>
          <w:bCs/>
          <w:sz w:val="22"/>
          <w:szCs w:val="22"/>
        </w:rPr>
      </w:pPr>
      <w:r w:rsidRPr="00A156F4">
        <w:rPr>
          <w:b/>
          <w:bCs/>
          <w:sz w:val="22"/>
          <w:szCs w:val="22"/>
        </w:rPr>
        <w:t>A</w:t>
      </w:r>
      <w:r w:rsidR="008440E6" w:rsidRPr="00A156F4">
        <w:rPr>
          <w:b/>
          <w:bCs/>
          <w:sz w:val="22"/>
          <w:szCs w:val="22"/>
        </w:rPr>
        <w:t>rtículo</w:t>
      </w:r>
      <w:r w:rsidRPr="00A156F4">
        <w:rPr>
          <w:b/>
          <w:bCs/>
          <w:sz w:val="22"/>
          <w:szCs w:val="22"/>
        </w:rPr>
        <w:t xml:space="preserve"> </w:t>
      </w:r>
      <w:r w:rsidR="00B82C4F" w:rsidRPr="00A156F4">
        <w:rPr>
          <w:b/>
          <w:bCs/>
          <w:sz w:val="22"/>
          <w:szCs w:val="22"/>
        </w:rPr>
        <w:t>5</w:t>
      </w:r>
      <w:r w:rsidRPr="00A156F4">
        <w:rPr>
          <w:b/>
          <w:bCs/>
          <w:sz w:val="22"/>
          <w:szCs w:val="22"/>
        </w:rPr>
        <w:t>.-</w:t>
      </w:r>
      <w:r w:rsidR="007F1603" w:rsidRPr="00A156F4">
        <w:rPr>
          <w:b/>
          <w:bCs/>
          <w:sz w:val="22"/>
          <w:szCs w:val="22"/>
        </w:rPr>
        <w:t xml:space="preserve"> Del </w:t>
      </w:r>
      <w:r w:rsidR="00F81153" w:rsidRPr="00A156F4">
        <w:rPr>
          <w:b/>
          <w:bCs/>
          <w:sz w:val="22"/>
          <w:szCs w:val="22"/>
        </w:rPr>
        <w:t>Órgano Superior</w:t>
      </w:r>
      <w:r w:rsidR="001F1F47" w:rsidRPr="00A156F4">
        <w:rPr>
          <w:b/>
          <w:bCs/>
          <w:sz w:val="22"/>
          <w:szCs w:val="22"/>
        </w:rPr>
        <w:t xml:space="preserve"> de la </w:t>
      </w:r>
      <w:proofErr w:type="spellStart"/>
      <w:r w:rsidR="001F1F47" w:rsidRPr="00A156F4">
        <w:rPr>
          <w:b/>
          <w:bCs/>
          <w:sz w:val="22"/>
          <w:szCs w:val="22"/>
        </w:rPr>
        <w:t>Coprocom</w:t>
      </w:r>
      <w:proofErr w:type="spellEnd"/>
    </w:p>
    <w:p w14:paraId="478D1D80" w14:textId="77777777" w:rsidR="007F297F" w:rsidRPr="00A156F4" w:rsidRDefault="007F297F" w:rsidP="004B2F8B">
      <w:pPr>
        <w:widowControl w:val="0"/>
        <w:jc w:val="both"/>
        <w:outlineLvl w:val="0"/>
        <w:rPr>
          <w:b/>
          <w:bCs/>
          <w:sz w:val="22"/>
          <w:szCs w:val="22"/>
        </w:rPr>
      </w:pPr>
    </w:p>
    <w:p w14:paraId="0BB19CA8" w14:textId="6026B24A" w:rsidR="003A4B27" w:rsidRPr="00A156F4" w:rsidRDefault="002B4412" w:rsidP="004B2F8B">
      <w:pPr>
        <w:autoSpaceDE w:val="0"/>
        <w:autoSpaceDN w:val="0"/>
        <w:jc w:val="both"/>
        <w:rPr>
          <w:sz w:val="22"/>
          <w:szCs w:val="22"/>
        </w:rPr>
      </w:pPr>
      <w:r w:rsidRPr="00A156F4">
        <w:rPr>
          <w:sz w:val="22"/>
          <w:szCs w:val="22"/>
        </w:rPr>
        <w:t xml:space="preserve">La </w:t>
      </w:r>
      <w:proofErr w:type="spellStart"/>
      <w:r w:rsidRPr="00A156F4">
        <w:rPr>
          <w:sz w:val="22"/>
          <w:szCs w:val="22"/>
        </w:rPr>
        <w:t>Coprocom</w:t>
      </w:r>
      <w:proofErr w:type="spellEnd"/>
      <w:r w:rsidR="003A4B27" w:rsidRPr="00A156F4">
        <w:rPr>
          <w:sz w:val="22"/>
          <w:szCs w:val="22"/>
        </w:rPr>
        <w:t xml:space="preserve"> contará con un Órgano Superior</w:t>
      </w:r>
      <w:r w:rsidRPr="00A156F4">
        <w:rPr>
          <w:sz w:val="22"/>
          <w:szCs w:val="22"/>
        </w:rPr>
        <w:t xml:space="preserve"> que se denominará</w:t>
      </w:r>
      <w:r w:rsidR="001F1F47" w:rsidRPr="00A156F4">
        <w:rPr>
          <w:sz w:val="22"/>
          <w:szCs w:val="22"/>
        </w:rPr>
        <w:t xml:space="preserve"> </w:t>
      </w:r>
      <w:r w:rsidR="003A4B27" w:rsidRPr="00A156F4">
        <w:rPr>
          <w:sz w:val="22"/>
          <w:szCs w:val="22"/>
        </w:rPr>
        <w:t>Comisión</w:t>
      </w:r>
      <w:r w:rsidR="008440E6" w:rsidRPr="00A156F4">
        <w:rPr>
          <w:sz w:val="22"/>
          <w:szCs w:val="22"/>
        </w:rPr>
        <w:t xml:space="preserve">, según se establece en </w:t>
      </w:r>
      <w:r w:rsidR="00240BCC" w:rsidRPr="00A156F4">
        <w:rPr>
          <w:sz w:val="22"/>
          <w:szCs w:val="22"/>
        </w:rPr>
        <w:t>la presente</w:t>
      </w:r>
      <w:r w:rsidR="008440E6" w:rsidRPr="00A156F4">
        <w:rPr>
          <w:sz w:val="22"/>
          <w:szCs w:val="22"/>
        </w:rPr>
        <w:t xml:space="preserve"> </w:t>
      </w:r>
      <w:r w:rsidR="0083653A" w:rsidRPr="00A156F4">
        <w:rPr>
          <w:sz w:val="22"/>
          <w:szCs w:val="22"/>
        </w:rPr>
        <w:t>l</w:t>
      </w:r>
      <w:r w:rsidR="008440E6" w:rsidRPr="00A156F4">
        <w:rPr>
          <w:sz w:val="22"/>
          <w:szCs w:val="22"/>
        </w:rPr>
        <w:t>ey</w:t>
      </w:r>
      <w:r w:rsidR="003A4B27" w:rsidRPr="00A156F4">
        <w:rPr>
          <w:sz w:val="22"/>
          <w:szCs w:val="22"/>
        </w:rPr>
        <w:t xml:space="preserve">. </w:t>
      </w:r>
    </w:p>
    <w:p w14:paraId="37D394C0" w14:textId="77777777" w:rsidR="008440E6" w:rsidRPr="00A156F4" w:rsidRDefault="008440E6" w:rsidP="004B2F8B">
      <w:pPr>
        <w:widowControl w:val="0"/>
        <w:jc w:val="both"/>
        <w:outlineLvl w:val="0"/>
        <w:rPr>
          <w:b/>
          <w:bCs/>
          <w:sz w:val="22"/>
          <w:szCs w:val="22"/>
        </w:rPr>
      </w:pPr>
    </w:p>
    <w:p w14:paraId="4AFE5AAC" w14:textId="2076A066" w:rsidR="0088716A" w:rsidRPr="00A156F4" w:rsidRDefault="008440E6" w:rsidP="004B2F8B">
      <w:pPr>
        <w:widowControl w:val="0"/>
        <w:jc w:val="both"/>
        <w:outlineLvl w:val="0"/>
        <w:rPr>
          <w:b/>
          <w:bCs/>
          <w:sz w:val="22"/>
          <w:szCs w:val="22"/>
        </w:rPr>
      </w:pPr>
      <w:r w:rsidRPr="00A156F4">
        <w:rPr>
          <w:b/>
          <w:bCs/>
          <w:sz w:val="22"/>
          <w:szCs w:val="22"/>
        </w:rPr>
        <w:t xml:space="preserve">Artículo </w:t>
      </w:r>
      <w:r w:rsidR="00A5301D" w:rsidRPr="00A156F4">
        <w:rPr>
          <w:b/>
          <w:bCs/>
          <w:sz w:val="22"/>
          <w:szCs w:val="22"/>
        </w:rPr>
        <w:t>6</w:t>
      </w:r>
      <w:r w:rsidR="003C5B99" w:rsidRPr="00A156F4">
        <w:rPr>
          <w:b/>
          <w:bCs/>
          <w:sz w:val="22"/>
          <w:szCs w:val="22"/>
        </w:rPr>
        <w:t>.-</w:t>
      </w:r>
      <w:r w:rsidR="00F35344" w:rsidRPr="00A156F4">
        <w:rPr>
          <w:b/>
          <w:bCs/>
          <w:sz w:val="22"/>
          <w:szCs w:val="22"/>
        </w:rPr>
        <w:t xml:space="preserve"> </w:t>
      </w:r>
      <w:r w:rsidR="0054350B" w:rsidRPr="00A156F4">
        <w:rPr>
          <w:b/>
          <w:bCs/>
          <w:sz w:val="22"/>
          <w:szCs w:val="22"/>
        </w:rPr>
        <w:t>De</w:t>
      </w:r>
      <w:r w:rsidR="00380A66" w:rsidRPr="00A156F4">
        <w:rPr>
          <w:b/>
          <w:bCs/>
          <w:sz w:val="22"/>
          <w:szCs w:val="22"/>
        </w:rPr>
        <w:t xml:space="preserve"> la integración de</w:t>
      </w:r>
      <w:r w:rsidR="00C301D1" w:rsidRPr="00A156F4">
        <w:rPr>
          <w:b/>
          <w:bCs/>
          <w:sz w:val="22"/>
          <w:szCs w:val="22"/>
        </w:rPr>
        <w:t xml:space="preserve"> la Comisión</w:t>
      </w:r>
      <w:r w:rsidR="00BA0885" w:rsidRPr="00A156F4">
        <w:rPr>
          <w:b/>
          <w:bCs/>
          <w:sz w:val="22"/>
          <w:szCs w:val="22"/>
        </w:rPr>
        <w:t xml:space="preserve"> </w:t>
      </w:r>
      <w:r w:rsidR="00417667" w:rsidRPr="00A156F4">
        <w:rPr>
          <w:b/>
          <w:bCs/>
          <w:sz w:val="22"/>
          <w:szCs w:val="22"/>
        </w:rPr>
        <w:t xml:space="preserve">y su </w:t>
      </w:r>
      <w:proofErr w:type="gramStart"/>
      <w:r w:rsidR="006903CB" w:rsidRPr="00A156F4">
        <w:rPr>
          <w:b/>
          <w:bCs/>
          <w:sz w:val="22"/>
          <w:szCs w:val="22"/>
        </w:rPr>
        <w:t>P</w:t>
      </w:r>
      <w:r w:rsidR="00417667" w:rsidRPr="00A156F4">
        <w:rPr>
          <w:b/>
          <w:bCs/>
          <w:sz w:val="22"/>
          <w:szCs w:val="22"/>
        </w:rPr>
        <w:t>residente</w:t>
      </w:r>
      <w:proofErr w:type="gramEnd"/>
    </w:p>
    <w:p w14:paraId="1AE958EB" w14:textId="77777777" w:rsidR="00F81153" w:rsidRPr="00A156F4" w:rsidRDefault="00F81153" w:rsidP="004B2F8B">
      <w:pPr>
        <w:widowControl w:val="0"/>
        <w:ind w:firstLine="708"/>
        <w:jc w:val="both"/>
        <w:outlineLvl w:val="0"/>
        <w:rPr>
          <w:b/>
          <w:bCs/>
          <w:sz w:val="22"/>
          <w:szCs w:val="22"/>
        </w:rPr>
      </w:pPr>
    </w:p>
    <w:p w14:paraId="05B14112" w14:textId="611D2284" w:rsidR="00696FE6" w:rsidRPr="00A156F4" w:rsidRDefault="003728E9" w:rsidP="006A3D7A">
      <w:pPr>
        <w:widowControl w:val="0"/>
        <w:jc w:val="both"/>
        <w:rPr>
          <w:sz w:val="22"/>
          <w:szCs w:val="22"/>
        </w:rPr>
      </w:pPr>
      <w:r w:rsidRPr="00A156F4">
        <w:rPr>
          <w:sz w:val="22"/>
          <w:szCs w:val="22"/>
        </w:rPr>
        <w:t>La Co</w:t>
      </w:r>
      <w:r w:rsidR="006E4178" w:rsidRPr="00A156F4">
        <w:rPr>
          <w:sz w:val="22"/>
          <w:szCs w:val="22"/>
        </w:rPr>
        <w:t>misión</w:t>
      </w:r>
      <w:r w:rsidRPr="00A156F4">
        <w:rPr>
          <w:sz w:val="22"/>
          <w:szCs w:val="22"/>
        </w:rPr>
        <w:t xml:space="preserve"> </w:t>
      </w:r>
      <w:r w:rsidR="003C5B99" w:rsidRPr="00A156F4">
        <w:rPr>
          <w:sz w:val="22"/>
          <w:szCs w:val="22"/>
        </w:rPr>
        <w:t xml:space="preserve">estará </w:t>
      </w:r>
      <w:r w:rsidR="00144220" w:rsidRPr="00A156F4">
        <w:rPr>
          <w:sz w:val="22"/>
          <w:szCs w:val="22"/>
        </w:rPr>
        <w:t xml:space="preserve">conformada </w:t>
      </w:r>
      <w:r w:rsidR="003C5B99" w:rsidRPr="00A156F4">
        <w:rPr>
          <w:sz w:val="22"/>
          <w:szCs w:val="22"/>
        </w:rPr>
        <w:t xml:space="preserve">por </w:t>
      </w:r>
      <w:r w:rsidR="00AA70FC" w:rsidRPr="00A156F4">
        <w:rPr>
          <w:sz w:val="22"/>
          <w:szCs w:val="22"/>
        </w:rPr>
        <w:t xml:space="preserve">tres </w:t>
      </w:r>
      <w:r w:rsidR="003C5B99" w:rsidRPr="00A156F4">
        <w:rPr>
          <w:sz w:val="22"/>
          <w:szCs w:val="22"/>
        </w:rPr>
        <w:t>miembros</w:t>
      </w:r>
      <w:r w:rsidR="009F5024" w:rsidRPr="00A156F4">
        <w:rPr>
          <w:sz w:val="22"/>
          <w:szCs w:val="22"/>
        </w:rPr>
        <w:t xml:space="preserve"> propietarios</w:t>
      </w:r>
      <w:r w:rsidR="00042F1D" w:rsidRPr="00A156F4">
        <w:rPr>
          <w:sz w:val="22"/>
          <w:szCs w:val="22"/>
        </w:rPr>
        <w:t>, que inclu</w:t>
      </w:r>
      <w:r w:rsidR="00560DB9" w:rsidRPr="00A156F4">
        <w:rPr>
          <w:sz w:val="22"/>
          <w:szCs w:val="22"/>
        </w:rPr>
        <w:t>irán</w:t>
      </w:r>
      <w:r w:rsidR="00042F1D" w:rsidRPr="00A156F4">
        <w:rPr>
          <w:sz w:val="22"/>
          <w:szCs w:val="22"/>
        </w:rPr>
        <w:t xml:space="preserve"> al menos un abogado y un economista, pudiendo ser el tercero de ellos</w:t>
      </w:r>
      <w:r w:rsidR="002A16BA" w:rsidRPr="00A156F4">
        <w:rPr>
          <w:sz w:val="22"/>
          <w:szCs w:val="22"/>
        </w:rPr>
        <w:t xml:space="preserve"> tanto abogado como economista, o</w:t>
      </w:r>
      <w:r w:rsidR="00042F1D" w:rsidRPr="00A156F4">
        <w:rPr>
          <w:sz w:val="22"/>
          <w:szCs w:val="22"/>
        </w:rPr>
        <w:t xml:space="preserve"> de profesión afín a las funciones de la </w:t>
      </w:r>
      <w:proofErr w:type="spellStart"/>
      <w:r w:rsidR="000B4F5A" w:rsidRPr="00A156F4">
        <w:rPr>
          <w:sz w:val="22"/>
          <w:szCs w:val="22"/>
        </w:rPr>
        <w:t>Coprocom</w:t>
      </w:r>
      <w:proofErr w:type="spellEnd"/>
      <w:r w:rsidR="00042F1D" w:rsidRPr="00A156F4">
        <w:rPr>
          <w:sz w:val="22"/>
          <w:szCs w:val="22"/>
        </w:rPr>
        <w:t>.</w:t>
      </w:r>
      <w:r w:rsidR="00A4497D" w:rsidRPr="00A156F4">
        <w:rPr>
          <w:sz w:val="22"/>
          <w:szCs w:val="22"/>
        </w:rPr>
        <w:t xml:space="preserve"> </w:t>
      </w:r>
      <w:r w:rsidR="006110FB" w:rsidRPr="00A156F4">
        <w:rPr>
          <w:sz w:val="22"/>
          <w:szCs w:val="22"/>
        </w:rPr>
        <w:t>E</w:t>
      </w:r>
      <w:r w:rsidR="003C5B99" w:rsidRPr="00A156F4">
        <w:rPr>
          <w:sz w:val="22"/>
          <w:szCs w:val="22"/>
        </w:rPr>
        <w:t>starán nombrados a tiempo completo</w:t>
      </w:r>
      <w:r w:rsidR="00C2371F" w:rsidRPr="00A156F4">
        <w:rPr>
          <w:sz w:val="22"/>
          <w:szCs w:val="22"/>
        </w:rPr>
        <w:t xml:space="preserve"> y</w:t>
      </w:r>
      <w:r w:rsidR="00D12D54" w:rsidRPr="00A156F4">
        <w:rPr>
          <w:sz w:val="22"/>
          <w:szCs w:val="22"/>
        </w:rPr>
        <w:t xml:space="preserve"> con dedicación exclusiva</w:t>
      </w:r>
      <w:r w:rsidR="00C2371F" w:rsidRPr="00A156F4">
        <w:rPr>
          <w:sz w:val="22"/>
          <w:szCs w:val="22"/>
        </w:rPr>
        <w:t xml:space="preserve"> </w:t>
      </w:r>
      <w:r w:rsidR="00593CE3" w:rsidRPr="00A156F4">
        <w:rPr>
          <w:sz w:val="22"/>
          <w:szCs w:val="22"/>
        </w:rPr>
        <w:t xml:space="preserve">en sus funciones, a excepción de la docencia universitaria, siempre y cuando </w:t>
      </w:r>
      <w:r w:rsidR="00211E86" w:rsidRPr="00A156F4">
        <w:rPr>
          <w:sz w:val="22"/>
          <w:szCs w:val="22"/>
        </w:rPr>
        <w:t>e</w:t>
      </w:r>
      <w:r w:rsidR="00593CE3" w:rsidRPr="00A156F4">
        <w:rPr>
          <w:sz w:val="22"/>
          <w:szCs w:val="22"/>
        </w:rPr>
        <w:t>sta no vaya en menoscabo de las obligaciones de sus cargos</w:t>
      </w:r>
      <w:r w:rsidR="003C5B99" w:rsidRPr="00A156F4">
        <w:rPr>
          <w:sz w:val="22"/>
          <w:szCs w:val="22"/>
        </w:rPr>
        <w:t>.</w:t>
      </w:r>
      <w:r w:rsidR="00B92F06" w:rsidRPr="00A156F4">
        <w:rPr>
          <w:sz w:val="22"/>
          <w:szCs w:val="22"/>
        </w:rPr>
        <w:t xml:space="preserve"> </w:t>
      </w:r>
    </w:p>
    <w:p w14:paraId="7C19F1EE" w14:textId="225589E0" w:rsidR="00F81153" w:rsidRPr="00A156F4" w:rsidRDefault="00F81153" w:rsidP="004B2F8B">
      <w:pPr>
        <w:widowControl w:val="0"/>
        <w:jc w:val="both"/>
        <w:outlineLvl w:val="0"/>
        <w:rPr>
          <w:sz w:val="22"/>
          <w:szCs w:val="22"/>
        </w:rPr>
      </w:pPr>
    </w:p>
    <w:p w14:paraId="46970BA6" w14:textId="739B4FC0" w:rsidR="00DB3862" w:rsidRPr="00A156F4" w:rsidRDefault="00DB3862" w:rsidP="004B2F8B">
      <w:pPr>
        <w:widowControl w:val="0"/>
        <w:jc w:val="both"/>
        <w:outlineLvl w:val="0"/>
        <w:rPr>
          <w:sz w:val="22"/>
          <w:szCs w:val="22"/>
        </w:rPr>
      </w:pPr>
      <w:r w:rsidRPr="00A156F4">
        <w:rPr>
          <w:sz w:val="22"/>
          <w:szCs w:val="22"/>
        </w:rPr>
        <w:t xml:space="preserve">Para suplir las ausencias contarán con dos miembros suplentes, un abogado y un economista, que suplirán a los de su misma profesión o al tercero. </w:t>
      </w:r>
      <w:r w:rsidR="004071B2" w:rsidRPr="00A156F4">
        <w:rPr>
          <w:sz w:val="22"/>
          <w:szCs w:val="22"/>
        </w:rPr>
        <w:t>La</w:t>
      </w:r>
      <w:r w:rsidR="00246B62" w:rsidRPr="00A156F4">
        <w:rPr>
          <w:sz w:val="22"/>
          <w:szCs w:val="22"/>
        </w:rPr>
        <w:t xml:space="preserve"> suplencia será exclusivamente </w:t>
      </w:r>
      <w:r w:rsidR="003F56B6" w:rsidRPr="00A156F4">
        <w:rPr>
          <w:sz w:val="22"/>
          <w:szCs w:val="22"/>
        </w:rPr>
        <w:t>para suplir ausencias temporales</w:t>
      </w:r>
      <w:r w:rsidR="00246B62" w:rsidRPr="00A156F4">
        <w:rPr>
          <w:sz w:val="22"/>
          <w:szCs w:val="22"/>
        </w:rPr>
        <w:t xml:space="preserve"> del miembro propietario, o bien en el asunto particular en el que este último presentare impedimento</w:t>
      </w:r>
      <w:r w:rsidR="001F1F47" w:rsidRPr="00A156F4">
        <w:rPr>
          <w:sz w:val="22"/>
          <w:szCs w:val="22"/>
        </w:rPr>
        <w:t>;</w:t>
      </w:r>
      <w:r w:rsidR="00246B62" w:rsidRPr="00A156F4">
        <w:rPr>
          <w:sz w:val="22"/>
          <w:szCs w:val="22"/>
        </w:rPr>
        <w:t xml:space="preserve"> percibiendo el pago correspondiente por el tiempo destinado a atender tales asuntos. </w:t>
      </w:r>
    </w:p>
    <w:p w14:paraId="4C598BD0" w14:textId="77777777" w:rsidR="00DB3862" w:rsidRPr="00A156F4" w:rsidRDefault="00DB3862" w:rsidP="004B2F8B">
      <w:pPr>
        <w:widowControl w:val="0"/>
        <w:jc w:val="both"/>
        <w:outlineLvl w:val="0"/>
        <w:rPr>
          <w:sz w:val="22"/>
          <w:szCs w:val="22"/>
        </w:rPr>
      </w:pPr>
    </w:p>
    <w:p w14:paraId="0A631F9D" w14:textId="35C1F9B2" w:rsidR="00593CE3" w:rsidRPr="00A156F4" w:rsidRDefault="0040552B" w:rsidP="004B2F8B">
      <w:pPr>
        <w:widowControl w:val="0"/>
        <w:jc w:val="both"/>
        <w:outlineLvl w:val="0"/>
        <w:rPr>
          <w:sz w:val="22"/>
          <w:szCs w:val="22"/>
        </w:rPr>
      </w:pPr>
      <w:r w:rsidRPr="00A156F4">
        <w:rPr>
          <w:sz w:val="22"/>
          <w:szCs w:val="22"/>
        </w:rPr>
        <w:t>C</w:t>
      </w:r>
      <w:r w:rsidR="00593CE3" w:rsidRPr="00A156F4">
        <w:rPr>
          <w:sz w:val="22"/>
          <w:szCs w:val="22"/>
        </w:rPr>
        <w:t xml:space="preserve">orresponderá al </w:t>
      </w:r>
      <w:proofErr w:type="gramStart"/>
      <w:r w:rsidR="006903CB" w:rsidRPr="00A156F4">
        <w:rPr>
          <w:sz w:val="22"/>
          <w:szCs w:val="22"/>
        </w:rPr>
        <w:t>P</w:t>
      </w:r>
      <w:r w:rsidR="00593CE3" w:rsidRPr="00A156F4">
        <w:rPr>
          <w:sz w:val="22"/>
          <w:szCs w:val="22"/>
        </w:rPr>
        <w:t>residente</w:t>
      </w:r>
      <w:proofErr w:type="gramEnd"/>
      <w:r w:rsidR="00593CE3" w:rsidRPr="00A156F4">
        <w:rPr>
          <w:sz w:val="22"/>
          <w:szCs w:val="22"/>
        </w:rPr>
        <w:t xml:space="preserve"> la representación judicial y extrajudicial de</w:t>
      </w:r>
      <w:r w:rsidR="003728E9" w:rsidRPr="00A156F4">
        <w:rPr>
          <w:sz w:val="22"/>
          <w:szCs w:val="22"/>
        </w:rPr>
        <w:t xml:space="preserve"> la </w:t>
      </w:r>
      <w:proofErr w:type="spellStart"/>
      <w:r w:rsidR="003728E9" w:rsidRPr="00A156F4">
        <w:rPr>
          <w:sz w:val="22"/>
          <w:szCs w:val="22"/>
        </w:rPr>
        <w:t>C</w:t>
      </w:r>
      <w:r w:rsidR="006E4178" w:rsidRPr="00A156F4">
        <w:rPr>
          <w:sz w:val="22"/>
          <w:szCs w:val="22"/>
        </w:rPr>
        <w:t>oprocom</w:t>
      </w:r>
      <w:proofErr w:type="spellEnd"/>
      <w:r w:rsidR="00C20E5F" w:rsidRPr="00A156F4">
        <w:rPr>
          <w:sz w:val="22"/>
          <w:szCs w:val="22"/>
        </w:rPr>
        <w:t>,</w:t>
      </w:r>
      <w:r w:rsidR="00117EE5" w:rsidRPr="00A156F4">
        <w:rPr>
          <w:sz w:val="22"/>
          <w:szCs w:val="22"/>
        </w:rPr>
        <w:t xml:space="preserve"> </w:t>
      </w:r>
      <w:r w:rsidR="00C20E5F" w:rsidRPr="00A156F4">
        <w:rPr>
          <w:sz w:val="22"/>
          <w:szCs w:val="22"/>
        </w:rPr>
        <w:t>con</w:t>
      </w:r>
      <w:r w:rsidR="00593CE3" w:rsidRPr="00A156F4">
        <w:rPr>
          <w:sz w:val="22"/>
          <w:szCs w:val="22"/>
        </w:rPr>
        <w:t xml:space="preserve"> facultades de apoderado generalísimo sin límite de suma; </w:t>
      </w:r>
      <w:r w:rsidR="00302B97" w:rsidRPr="00A156F4">
        <w:rPr>
          <w:sz w:val="22"/>
          <w:szCs w:val="22"/>
        </w:rPr>
        <w:t>quien</w:t>
      </w:r>
      <w:r w:rsidR="00F70DA2" w:rsidRPr="00A156F4">
        <w:rPr>
          <w:sz w:val="22"/>
          <w:szCs w:val="22"/>
        </w:rPr>
        <w:t xml:space="preserve"> </w:t>
      </w:r>
      <w:r w:rsidR="0023332A" w:rsidRPr="00A156F4">
        <w:rPr>
          <w:sz w:val="22"/>
          <w:szCs w:val="22"/>
        </w:rPr>
        <w:t>podrá delegar</w:t>
      </w:r>
      <w:r w:rsidR="001F1F47" w:rsidRPr="00A156F4">
        <w:rPr>
          <w:sz w:val="22"/>
          <w:szCs w:val="22"/>
        </w:rPr>
        <w:t>la</w:t>
      </w:r>
      <w:r w:rsidR="003F56B6" w:rsidRPr="00A156F4">
        <w:rPr>
          <w:sz w:val="22"/>
          <w:szCs w:val="22"/>
        </w:rPr>
        <w:t xml:space="preserve"> en otros Comisionados o funcionarios de la entidad para actos o asuntos específicos</w:t>
      </w:r>
      <w:r w:rsidR="0023332A" w:rsidRPr="00A156F4">
        <w:rPr>
          <w:sz w:val="22"/>
          <w:szCs w:val="22"/>
        </w:rPr>
        <w:t xml:space="preserve"> mediante poder</w:t>
      </w:r>
      <w:r w:rsidR="003F56B6" w:rsidRPr="00A156F4">
        <w:rPr>
          <w:sz w:val="22"/>
          <w:szCs w:val="22"/>
        </w:rPr>
        <w:t xml:space="preserve"> especial</w:t>
      </w:r>
      <w:r w:rsidR="0023332A" w:rsidRPr="00A156F4">
        <w:rPr>
          <w:sz w:val="22"/>
          <w:szCs w:val="22"/>
        </w:rPr>
        <w:t xml:space="preserve">. El </w:t>
      </w:r>
      <w:proofErr w:type="gramStart"/>
      <w:r w:rsidR="0023332A" w:rsidRPr="00A156F4">
        <w:rPr>
          <w:sz w:val="22"/>
          <w:szCs w:val="22"/>
        </w:rPr>
        <w:t>Presidente</w:t>
      </w:r>
      <w:proofErr w:type="gramEnd"/>
      <w:r w:rsidR="00593CE3" w:rsidRPr="00A156F4">
        <w:rPr>
          <w:sz w:val="22"/>
          <w:szCs w:val="22"/>
        </w:rPr>
        <w:t xml:space="preserve"> ejercer</w:t>
      </w:r>
      <w:r w:rsidR="003B0B09" w:rsidRPr="00A156F4">
        <w:rPr>
          <w:sz w:val="22"/>
          <w:szCs w:val="22"/>
        </w:rPr>
        <w:t>á</w:t>
      </w:r>
      <w:r w:rsidR="00593CE3" w:rsidRPr="00A156F4">
        <w:rPr>
          <w:sz w:val="22"/>
          <w:szCs w:val="22"/>
        </w:rPr>
        <w:t xml:space="preserve"> las facultades de organización y coordinación del funcionamiento de la entidad que le asigne </w:t>
      </w:r>
      <w:r w:rsidR="003B0B09" w:rsidRPr="00A156F4">
        <w:rPr>
          <w:sz w:val="22"/>
          <w:szCs w:val="22"/>
        </w:rPr>
        <w:t xml:space="preserve">la </w:t>
      </w:r>
      <w:r w:rsidR="003728E9" w:rsidRPr="00A156F4">
        <w:rPr>
          <w:sz w:val="22"/>
          <w:szCs w:val="22"/>
        </w:rPr>
        <w:t>Co</w:t>
      </w:r>
      <w:r w:rsidR="006E4178" w:rsidRPr="00A156F4">
        <w:rPr>
          <w:sz w:val="22"/>
          <w:szCs w:val="22"/>
        </w:rPr>
        <w:t>misión</w:t>
      </w:r>
      <w:r w:rsidRPr="00A156F4">
        <w:rPr>
          <w:sz w:val="22"/>
          <w:szCs w:val="22"/>
        </w:rPr>
        <w:t>, así como la representación oficial en actividades que se lleven a cabo a nivel nacional e internacional</w:t>
      </w:r>
      <w:r w:rsidR="00B44CEE" w:rsidRPr="00A156F4">
        <w:rPr>
          <w:sz w:val="22"/>
          <w:szCs w:val="22"/>
        </w:rPr>
        <w:t>, que</w:t>
      </w:r>
      <w:r w:rsidRPr="00A156F4">
        <w:rPr>
          <w:sz w:val="22"/>
          <w:szCs w:val="22"/>
        </w:rPr>
        <w:t xml:space="preserve"> </w:t>
      </w:r>
      <w:r w:rsidR="00B44CEE" w:rsidRPr="00A156F4">
        <w:rPr>
          <w:sz w:val="22"/>
          <w:szCs w:val="22"/>
        </w:rPr>
        <w:t xml:space="preserve">igualmente </w:t>
      </w:r>
      <w:r w:rsidRPr="00A156F4">
        <w:rPr>
          <w:sz w:val="22"/>
          <w:szCs w:val="22"/>
        </w:rPr>
        <w:t>podrá delega</w:t>
      </w:r>
      <w:r w:rsidR="00B44CEE" w:rsidRPr="00A156F4">
        <w:rPr>
          <w:sz w:val="22"/>
          <w:szCs w:val="22"/>
        </w:rPr>
        <w:t>r</w:t>
      </w:r>
      <w:r w:rsidRPr="00A156F4">
        <w:rPr>
          <w:sz w:val="22"/>
          <w:szCs w:val="22"/>
        </w:rPr>
        <w:t xml:space="preserve">. </w:t>
      </w:r>
    </w:p>
    <w:p w14:paraId="2094649E" w14:textId="77777777" w:rsidR="00945F31" w:rsidRPr="00A156F4" w:rsidRDefault="00945F31" w:rsidP="004B2F8B">
      <w:pPr>
        <w:widowControl w:val="0"/>
        <w:jc w:val="both"/>
        <w:rPr>
          <w:sz w:val="22"/>
          <w:szCs w:val="22"/>
        </w:rPr>
      </w:pPr>
    </w:p>
    <w:p w14:paraId="77E4B971" w14:textId="2DB86EDE" w:rsidR="004178C0" w:rsidRPr="00A156F4" w:rsidRDefault="00D2752F" w:rsidP="004B2F8B">
      <w:pPr>
        <w:widowControl w:val="0"/>
        <w:jc w:val="both"/>
        <w:rPr>
          <w:b/>
          <w:sz w:val="22"/>
          <w:szCs w:val="22"/>
        </w:rPr>
      </w:pPr>
      <w:r w:rsidRPr="00A156F4">
        <w:rPr>
          <w:b/>
          <w:bCs/>
          <w:sz w:val="22"/>
          <w:szCs w:val="22"/>
        </w:rPr>
        <w:t xml:space="preserve">Artículo </w:t>
      </w:r>
      <w:r w:rsidR="00A5301D" w:rsidRPr="00A156F4">
        <w:rPr>
          <w:b/>
          <w:bCs/>
          <w:sz w:val="22"/>
          <w:szCs w:val="22"/>
        </w:rPr>
        <w:t>7</w:t>
      </w:r>
      <w:r w:rsidR="00380A66" w:rsidRPr="00A156F4">
        <w:rPr>
          <w:b/>
          <w:bCs/>
          <w:sz w:val="22"/>
          <w:szCs w:val="22"/>
        </w:rPr>
        <w:t>.- D</w:t>
      </w:r>
      <w:r w:rsidR="00C950ED" w:rsidRPr="00A156F4">
        <w:rPr>
          <w:b/>
          <w:bCs/>
          <w:sz w:val="22"/>
          <w:szCs w:val="22"/>
        </w:rPr>
        <w:t>el</w:t>
      </w:r>
      <w:r w:rsidR="00380A66" w:rsidRPr="00A156F4">
        <w:rPr>
          <w:b/>
          <w:bCs/>
          <w:sz w:val="22"/>
          <w:szCs w:val="22"/>
        </w:rPr>
        <w:t xml:space="preserve"> procedimiento de conformación</w:t>
      </w:r>
      <w:r w:rsidR="00380A66" w:rsidRPr="00A156F4">
        <w:rPr>
          <w:b/>
          <w:sz w:val="22"/>
          <w:szCs w:val="22"/>
        </w:rPr>
        <w:t xml:space="preserve"> </w:t>
      </w:r>
      <w:r w:rsidR="00C950ED" w:rsidRPr="00A156F4">
        <w:rPr>
          <w:b/>
          <w:sz w:val="22"/>
          <w:szCs w:val="22"/>
        </w:rPr>
        <w:t>y plazo de nombramiento</w:t>
      </w:r>
      <w:r w:rsidR="00403773" w:rsidRPr="00A156F4">
        <w:rPr>
          <w:b/>
          <w:sz w:val="22"/>
          <w:szCs w:val="22"/>
        </w:rPr>
        <w:t xml:space="preserve"> de</w:t>
      </w:r>
      <w:r w:rsidR="002F088D" w:rsidRPr="00A156F4">
        <w:rPr>
          <w:b/>
          <w:sz w:val="22"/>
          <w:szCs w:val="22"/>
        </w:rPr>
        <w:t xml:space="preserve"> </w:t>
      </w:r>
      <w:r w:rsidR="004C2BAB" w:rsidRPr="00A156F4">
        <w:rPr>
          <w:b/>
          <w:sz w:val="22"/>
          <w:szCs w:val="22"/>
        </w:rPr>
        <w:t>l</w:t>
      </w:r>
      <w:r w:rsidR="002F088D" w:rsidRPr="00A156F4">
        <w:rPr>
          <w:b/>
          <w:sz w:val="22"/>
          <w:szCs w:val="22"/>
        </w:rPr>
        <w:t>a</w:t>
      </w:r>
      <w:r w:rsidR="00403773" w:rsidRPr="00A156F4">
        <w:rPr>
          <w:b/>
          <w:sz w:val="22"/>
          <w:szCs w:val="22"/>
        </w:rPr>
        <w:t xml:space="preserve"> </w:t>
      </w:r>
      <w:r w:rsidR="002F088D" w:rsidRPr="00A156F4">
        <w:rPr>
          <w:b/>
          <w:sz w:val="22"/>
          <w:szCs w:val="22"/>
        </w:rPr>
        <w:t>Comisión</w:t>
      </w:r>
    </w:p>
    <w:p w14:paraId="1CAB1F29" w14:textId="77777777" w:rsidR="00A62C88" w:rsidRPr="00A156F4" w:rsidRDefault="00A62C88" w:rsidP="004B2F8B">
      <w:pPr>
        <w:jc w:val="both"/>
        <w:rPr>
          <w:sz w:val="22"/>
          <w:szCs w:val="22"/>
        </w:rPr>
      </w:pPr>
    </w:p>
    <w:p w14:paraId="6BD72C27" w14:textId="79F7D3E8" w:rsidR="001F1AB7" w:rsidRPr="00A156F4" w:rsidRDefault="00623C53" w:rsidP="004B2F8B">
      <w:pPr>
        <w:jc w:val="both"/>
        <w:rPr>
          <w:sz w:val="22"/>
          <w:szCs w:val="22"/>
        </w:rPr>
      </w:pPr>
      <w:r w:rsidRPr="00A156F4">
        <w:rPr>
          <w:sz w:val="22"/>
          <w:szCs w:val="22"/>
        </w:rPr>
        <w:t>El Poder Ejecutivo nombrará</w:t>
      </w:r>
      <w:r w:rsidR="00037BA6" w:rsidRPr="00A156F4">
        <w:rPr>
          <w:sz w:val="22"/>
          <w:szCs w:val="22"/>
        </w:rPr>
        <w:t>, por un periodo de cinco años,</w:t>
      </w:r>
      <w:r w:rsidRPr="00A156F4">
        <w:rPr>
          <w:sz w:val="22"/>
          <w:szCs w:val="22"/>
        </w:rPr>
        <w:t xml:space="preserve"> a l</w:t>
      </w:r>
      <w:r w:rsidR="00EE5FC2" w:rsidRPr="00A156F4">
        <w:rPr>
          <w:sz w:val="22"/>
          <w:szCs w:val="22"/>
        </w:rPr>
        <w:t xml:space="preserve">os miembros </w:t>
      </w:r>
      <w:r w:rsidR="00780DA9" w:rsidRPr="00A156F4">
        <w:rPr>
          <w:sz w:val="22"/>
          <w:szCs w:val="22"/>
        </w:rPr>
        <w:t xml:space="preserve">propietarios </w:t>
      </w:r>
      <w:r w:rsidRPr="00A156F4">
        <w:rPr>
          <w:sz w:val="22"/>
          <w:szCs w:val="22"/>
        </w:rPr>
        <w:t>y</w:t>
      </w:r>
      <w:r w:rsidR="00EE5FC2" w:rsidRPr="00A156F4">
        <w:rPr>
          <w:sz w:val="22"/>
          <w:szCs w:val="22"/>
        </w:rPr>
        <w:t xml:space="preserve"> suplentes de </w:t>
      </w:r>
      <w:r w:rsidR="00393B9A" w:rsidRPr="00A156F4">
        <w:rPr>
          <w:sz w:val="22"/>
          <w:szCs w:val="22"/>
        </w:rPr>
        <w:t>la Co</w:t>
      </w:r>
      <w:r w:rsidR="006E4178" w:rsidRPr="00A156F4">
        <w:rPr>
          <w:sz w:val="22"/>
          <w:szCs w:val="22"/>
        </w:rPr>
        <w:t>misión</w:t>
      </w:r>
      <w:r w:rsidRPr="00A156F4">
        <w:rPr>
          <w:sz w:val="22"/>
          <w:szCs w:val="22"/>
        </w:rPr>
        <w:t>, quienes serán seleccionados por idoneidad</w:t>
      </w:r>
      <w:r w:rsidR="00037BA6" w:rsidRPr="00A156F4">
        <w:rPr>
          <w:sz w:val="22"/>
          <w:szCs w:val="22"/>
        </w:rPr>
        <w:t>,</w:t>
      </w:r>
      <w:r w:rsidRPr="00A156F4">
        <w:rPr>
          <w:sz w:val="22"/>
          <w:szCs w:val="22"/>
        </w:rPr>
        <w:t xml:space="preserve"> comprobada mediante concurso público de antecedentes</w:t>
      </w:r>
      <w:r w:rsidR="00393B9A" w:rsidRPr="00A156F4">
        <w:rPr>
          <w:sz w:val="22"/>
          <w:szCs w:val="22"/>
        </w:rPr>
        <w:t>, conforme lo que se disponga reglamentariamente</w:t>
      </w:r>
      <w:r w:rsidRPr="00A156F4">
        <w:rPr>
          <w:sz w:val="22"/>
          <w:szCs w:val="22"/>
        </w:rPr>
        <w:t xml:space="preserve">. Estos </w:t>
      </w:r>
      <w:r w:rsidR="00EE5FC2" w:rsidRPr="00A156F4">
        <w:rPr>
          <w:sz w:val="22"/>
          <w:szCs w:val="22"/>
        </w:rPr>
        <w:t>podrán ser reelegidos por una sola vez</w:t>
      </w:r>
      <w:r w:rsidR="002609CF" w:rsidRPr="00A156F4">
        <w:rPr>
          <w:sz w:val="22"/>
          <w:szCs w:val="22"/>
        </w:rPr>
        <w:t xml:space="preserve"> por parte del Poder Ejecutivo</w:t>
      </w:r>
      <w:r w:rsidR="00393B9A" w:rsidRPr="00A156F4">
        <w:rPr>
          <w:sz w:val="22"/>
          <w:szCs w:val="22"/>
        </w:rPr>
        <w:t xml:space="preserve">, mediante </w:t>
      </w:r>
      <w:r w:rsidR="00FF1C71" w:rsidRPr="00A156F4">
        <w:rPr>
          <w:sz w:val="22"/>
          <w:szCs w:val="22"/>
        </w:rPr>
        <w:t xml:space="preserve">un </w:t>
      </w:r>
      <w:r w:rsidR="00D45887" w:rsidRPr="00A156F4">
        <w:rPr>
          <w:sz w:val="22"/>
          <w:szCs w:val="22"/>
        </w:rPr>
        <w:t>concurso público de antecedentes, conforme lo que se disponga reglamentariamente</w:t>
      </w:r>
      <w:r w:rsidR="001270E7" w:rsidRPr="00A156F4">
        <w:rPr>
          <w:sz w:val="22"/>
          <w:szCs w:val="22"/>
        </w:rPr>
        <w:t>.</w:t>
      </w:r>
    </w:p>
    <w:p w14:paraId="38C5C037" w14:textId="77777777" w:rsidR="00A62C88" w:rsidRPr="00A156F4" w:rsidRDefault="00A62C88" w:rsidP="004B2F8B">
      <w:pPr>
        <w:widowControl w:val="0"/>
        <w:jc w:val="both"/>
        <w:rPr>
          <w:sz w:val="22"/>
          <w:szCs w:val="22"/>
        </w:rPr>
      </w:pPr>
    </w:p>
    <w:p w14:paraId="156BD520" w14:textId="6FC5A51E" w:rsidR="001F1AB7" w:rsidRPr="00A156F4" w:rsidRDefault="001F1AB7" w:rsidP="004B2F8B">
      <w:pPr>
        <w:widowControl w:val="0"/>
        <w:jc w:val="both"/>
        <w:rPr>
          <w:sz w:val="22"/>
          <w:szCs w:val="22"/>
        </w:rPr>
      </w:pPr>
      <w:r w:rsidRPr="00A156F4">
        <w:rPr>
          <w:sz w:val="22"/>
          <w:szCs w:val="22"/>
        </w:rPr>
        <w:t xml:space="preserve">Una vez que el Poder Ejecutivo haya nombrado a los miembros </w:t>
      </w:r>
      <w:r w:rsidR="00780DA9" w:rsidRPr="00A156F4">
        <w:rPr>
          <w:sz w:val="22"/>
          <w:szCs w:val="22"/>
        </w:rPr>
        <w:t xml:space="preserve">propietarios </w:t>
      </w:r>
      <w:r w:rsidR="000A6CFD" w:rsidRPr="00A156F4">
        <w:rPr>
          <w:sz w:val="22"/>
          <w:szCs w:val="22"/>
        </w:rPr>
        <w:t>o suplentes de la Co</w:t>
      </w:r>
      <w:r w:rsidR="006E4178" w:rsidRPr="00A156F4">
        <w:rPr>
          <w:sz w:val="22"/>
          <w:szCs w:val="22"/>
        </w:rPr>
        <w:t>misión</w:t>
      </w:r>
      <w:r w:rsidRPr="00A156F4">
        <w:rPr>
          <w:sz w:val="22"/>
          <w:szCs w:val="22"/>
        </w:rPr>
        <w:t xml:space="preserve">, enviará todos los expedientes a la Asamblea Legislativa, </w:t>
      </w:r>
      <w:r w:rsidR="00311E26" w:rsidRPr="00A156F4">
        <w:rPr>
          <w:sz w:val="22"/>
          <w:szCs w:val="22"/>
        </w:rPr>
        <w:t>que</w:t>
      </w:r>
      <w:r w:rsidRPr="00A156F4">
        <w:rPr>
          <w:sz w:val="22"/>
          <w:szCs w:val="22"/>
        </w:rPr>
        <w:t xml:space="preserve"> dispondrá de un plazo de 30 días</w:t>
      </w:r>
      <w:r w:rsidR="00D45887" w:rsidRPr="00A156F4">
        <w:rPr>
          <w:sz w:val="22"/>
          <w:szCs w:val="22"/>
        </w:rPr>
        <w:t xml:space="preserve"> naturales</w:t>
      </w:r>
      <w:r w:rsidRPr="00A156F4">
        <w:rPr>
          <w:sz w:val="22"/>
          <w:szCs w:val="22"/>
        </w:rPr>
        <w:t xml:space="preserve"> para objetar los nombramientos. Si en ese lapso no se produjere objeción, se tendrán por ratificados. En caso de objeción, el </w:t>
      </w:r>
      <w:r w:rsidR="00F83C40" w:rsidRPr="00A156F4">
        <w:rPr>
          <w:sz w:val="22"/>
          <w:szCs w:val="22"/>
        </w:rPr>
        <w:t xml:space="preserve">Poder Ejecutivo </w:t>
      </w:r>
      <w:r w:rsidRPr="00A156F4">
        <w:rPr>
          <w:sz w:val="22"/>
          <w:szCs w:val="22"/>
        </w:rPr>
        <w:t>sustituirá al miembro de la Comisión objetado y el nuevo designado será objeto del mismo procedimiento.</w:t>
      </w:r>
      <w:r w:rsidR="000011E4" w:rsidRPr="00A156F4">
        <w:rPr>
          <w:sz w:val="22"/>
          <w:szCs w:val="22"/>
        </w:rPr>
        <w:t xml:space="preserve"> </w:t>
      </w:r>
    </w:p>
    <w:p w14:paraId="0C5C68E9" w14:textId="5031739B" w:rsidR="00151400" w:rsidRPr="00A156F4" w:rsidRDefault="00151400" w:rsidP="004B2F8B">
      <w:pPr>
        <w:widowControl w:val="0"/>
        <w:jc w:val="both"/>
        <w:rPr>
          <w:sz w:val="22"/>
          <w:szCs w:val="22"/>
        </w:rPr>
      </w:pPr>
    </w:p>
    <w:p w14:paraId="1AA61289" w14:textId="77777777" w:rsidR="00151400" w:rsidRPr="00A156F4" w:rsidRDefault="00151400" w:rsidP="00151400">
      <w:pPr>
        <w:autoSpaceDE w:val="0"/>
        <w:autoSpaceDN w:val="0"/>
        <w:spacing w:before="40" w:after="40"/>
        <w:jc w:val="both"/>
        <w:rPr>
          <w:sz w:val="22"/>
          <w:szCs w:val="22"/>
        </w:rPr>
      </w:pPr>
      <w:r w:rsidRPr="00A156F4">
        <w:rPr>
          <w:sz w:val="22"/>
          <w:szCs w:val="22"/>
        </w:rPr>
        <w:t xml:space="preserve">El Poder Ejecutivo iniciará el concurso público de antecedentes con al menos seis meses de anticipación a la finalización del nombramiento del miembro de la Comisión. </w:t>
      </w:r>
    </w:p>
    <w:p w14:paraId="64DBE99D" w14:textId="77777777" w:rsidR="001844E4" w:rsidRPr="00A156F4" w:rsidRDefault="001844E4" w:rsidP="004B2F8B">
      <w:pPr>
        <w:widowControl w:val="0"/>
        <w:jc w:val="both"/>
        <w:rPr>
          <w:sz w:val="22"/>
          <w:szCs w:val="22"/>
        </w:rPr>
      </w:pPr>
    </w:p>
    <w:p w14:paraId="639E26B1" w14:textId="120F4EF1" w:rsidR="00830AD1" w:rsidRPr="00A156F4" w:rsidRDefault="00830AD1" w:rsidP="004B2F8B">
      <w:pPr>
        <w:widowControl w:val="0"/>
        <w:jc w:val="both"/>
        <w:rPr>
          <w:sz w:val="22"/>
          <w:szCs w:val="22"/>
        </w:rPr>
      </w:pPr>
      <w:r w:rsidRPr="00A156F4">
        <w:rPr>
          <w:sz w:val="22"/>
          <w:szCs w:val="22"/>
        </w:rPr>
        <w:t xml:space="preserve">En caso de ausencia permanente de alguno de los miembros propietarios o suplentes, </w:t>
      </w:r>
      <w:r w:rsidR="000A6CFD" w:rsidRPr="00A156F4">
        <w:rPr>
          <w:sz w:val="22"/>
          <w:szCs w:val="22"/>
        </w:rPr>
        <w:t xml:space="preserve">la </w:t>
      </w:r>
      <w:proofErr w:type="spellStart"/>
      <w:r w:rsidR="000A6CFD" w:rsidRPr="00A156F4">
        <w:rPr>
          <w:sz w:val="22"/>
          <w:szCs w:val="22"/>
        </w:rPr>
        <w:t>Coprocom</w:t>
      </w:r>
      <w:proofErr w:type="spellEnd"/>
      <w:r w:rsidR="00517F8F" w:rsidRPr="00A156F4">
        <w:rPr>
          <w:sz w:val="22"/>
          <w:szCs w:val="22"/>
        </w:rPr>
        <w:t xml:space="preserve"> lo comunicará al Poder Ejecutivo en un plazo no mayor a tres días hábiles desde que se conoce el hecho, para que este inicie el concurso público dentro de los </w:t>
      </w:r>
      <w:r w:rsidRPr="00A156F4">
        <w:rPr>
          <w:sz w:val="22"/>
          <w:szCs w:val="22"/>
        </w:rPr>
        <w:t>30 días</w:t>
      </w:r>
      <w:r w:rsidR="00D45887" w:rsidRPr="00A156F4">
        <w:rPr>
          <w:sz w:val="22"/>
          <w:szCs w:val="22"/>
        </w:rPr>
        <w:t xml:space="preserve"> naturales</w:t>
      </w:r>
      <w:r w:rsidRPr="00A156F4">
        <w:rPr>
          <w:sz w:val="22"/>
          <w:szCs w:val="22"/>
        </w:rPr>
        <w:t xml:space="preserve"> siguientes</w:t>
      </w:r>
      <w:r w:rsidR="00517F8F" w:rsidRPr="00A156F4">
        <w:rPr>
          <w:sz w:val="22"/>
          <w:szCs w:val="22"/>
        </w:rPr>
        <w:t xml:space="preserve"> a dicha comunicación. </w:t>
      </w:r>
      <w:r w:rsidR="003F56B6" w:rsidRPr="00A156F4">
        <w:rPr>
          <w:sz w:val="22"/>
          <w:szCs w:val="22"/>
        </w:rPr>
        <w:t>Q</w:t>
      </w:r>
      <w:r w:rsidR="00FC2419" w:rsidRPr="00A156F4">
        <w:rPr>
          <w:sz w:val="22"/>
          <w:szCs w:val="22"/>
        </w:rPr>
        <w:t xml:space="preserve">uien lo sustituya deberá ser nombrado por el plazo restante del nombramiento original. </w:t>
      </w:r>
    </w:p>
    <w:p w14:paraId="602E5E66" w14:textId="77777777" w:rsidR="001F1AB7" w:rsidRPr="00A156F4" w:rsidRDefault="001F1AB7" w:rsidP="004B2F8B">
      <w:pPr>
        <w:widowControl w:val="0"/>
        <w:jc w:val="both"/>
        <w:rPr>
          <w:sz w:val="22"/>
          <w:szCs w:val="22"/>
        </w:rPr>
      </w:pPr>
    </w:p>
    <w:p w14:paraId="6DE85EC5" w14:textId="1633FC99" w:rsidR="003C5B99" w:rsidRPr="00A156F4" w:rsidRDefault="00D2752F" w:rsidP="004B2F8B">
      <w:pPr>
        <w:widowControl w:val="0"/>
        <w:jc w:val="both"/>
        <w:rPr>
          <w:b/>
          <w:sz w:val="22"/>
          <w:szCs w:val="22"/>
        </w:rPr>
      </w:pPr>
      <w:r w:rsidRPr="00A156F4">
        <w:rPr>
          <w:b/>
          <w:bCs/>
          <w:sz w:val="22"/>
          <w:szCs w:val="22"/>
        </w:rPr>
        <w:t xml:space="preserve">Artículo </w:t>
      </w:r>
      <w:r w:rsidR="00A5301D" w:rsidRPr="00A156F4">
        <w:rPr>
          <w:b/>
          <w:bCs/>
          <w:sz w:val="22"/>
          <w:szCs w:val="22"/>
        </w:rPr>
        <w:t>8</w:t>
      </w:r>
      <w:r w:rsidR="006739DB" w:rsidRPr="00A156F4">
        <w:rPr>
          <w:b/>
          <w:sz w:val="22"/>
          <w:szCs w:val="22"/>
        </w:rPr>
        <w:t>.</w:t>
      </w:r>
      <w:r w:rsidR="003C5B99" w:rsidRPr="00A156F4">
        <w:rPr>
          <w:b/>
          <w:sz w:val="22"/>
          <w:szCs w:val="22"/>
        </w:rPr>
        <w:t>-</w:t>
      </w:r>
      <w:r w:rsidR="007E348E" w:rsidRPr="00A156F4">
        <w:rPr>
          <w:b/>
          <w:sz w:val="22"/>
          <w:szCs w:val="22"/>
        </w:rPr>
        <w:t xml:space="preserve"> </w:t>
      </w:r>
      <w:r w:rsidR="003C5B99" w:rsidRPr="00A156F4">
        <w:rPr>
          <w:b/>
          <w:sz w:val="22"/>
          <w:szCs w:val="22"/>
        </w:rPr>
        <w:t xml:space="preserve">Requisitos </w:t>
      </w:r>
      <w:r w:rsidR="00E13B80" w:rsidRPr="00A156F4">
        <w:rPr>
          <w:b/>
          <w:sz w:val="22"/>
          <w:szCs w:val="22"/>
        </w:rPr>
        <w:t xml:space="preserve">e impedimentos </w:t>
      </w:r>
      <w:r w:rsidR="00016316" w:rsidRPr="00A156F4">
        <w:rPr>
          <w:b/>
          <w:sz w:val="22"/>
          <w:szCs w:val="22"/>
        </w:rPr>
        <w:t xml:space="preserve">de </w:t>
      </w:r>
      <w:r w:rsidR="003C5B99" w:rsidRPr="00A156F4">
        <w:rPr>
          <w:b/>
          <w:sz w:val="22"/>
          <w:szCs w:val="22"/>
        </w:rPr>
        <w:t xml:space="preserve">los </w:t>
      </w:r>
      <w:r w:rsidR="00016316" w:rsidRPr="00A156F4">
        <w:rPr>
          <w:b/>
          <w:sz w:val="22"/>
          <w:szCs w:val="22"/>
        </w:rPr>
        <w:t xml:space="preserve">integrantes </w:t>
      </w:r>
      <w:r w:rsidR="00151400" w:rsidRPr="00A156F4">
        <w:rPr>
          <w:b/>
          <w:sz w:val="22"/>
          <w:szCs w:val="22"/>
        </w:rPr>
        <w:t>de la Comisión</w:t>
      </w:r>
    </w:p>
    <w:p w14:paraId="0688A51B" w14:textId="77777777" w:rsidR="007C28E9" w:rsidRPr="00A156F4" w:rsidRDefault="007C28E9" w:rsidP="004B2F8B">
      <w:pPr>
        <w:widowControl w:val="0"/>
        <w:jc w:val="both"/>
        <w:rPr>
          <w:sz w:val="22"/>
          <w:szCs w:val="22"/>
        </w:rPr>
      </w:pPr>
    </w:p>
    <w:p w14:paraId="4332A1E6" w14:textId="77777777" w:rsidR="003C5B99" w:rsidRPr="00A156F4" w:rsidRDefault="003B3A46" w:rsidP="004B2F8B">
      <w:pPr>
        <w:widowControl w:val="0"/>
        <w:jc w:val="both"/>
        <w:rPr>
          <w:sz w:val="22"/>
          <w:szCs w:val="22"/>
        </w:rPr>
      </w:pPr>
      <w:r w:rsidRPr="00A156F4">
        <w:rPr>
          <w:sz w:val="22"/>
          <w:szCs w:val="22"/>
        </w:rPr>
        <w:t xml:space="preserve">Los requisitos para ser </w:t>
      </w:r>
      <w:r w:rsidR="003C5B99" w:rsidRPr="00A156F4">
        <w:rPr>
          <w:sz w:val="22"/>
          <w:szCs w:val="22"/>
        </w:rPr>
        <w:t>miembro p</w:t>
      </w:r>
      <w:r w:rsidR="00771A8B" w:rsidRPr="00A156F4">
        <w:rPr>
          <w:sz w:val="22"/>
          <w:szCs w:val="22"/>
        </w:rPr>
        <w:t xml:space="preserve">ropietario </w:t>
      </w:r>
      <w:r w:rsidRPr="00A156F4">
        <w:rPr>
          <w:sz w:val="22"/>
          <w:szCs w:val="22"/>
        </w:rPr>
        <w:t>o</w:t>
      </w:r>
      <w:r w:rsidR="003C5B99" w:rsidRPr="00A156F4">
        <w:rPr>
          <w:sz w:val="22"/>
          <w:szCs w:val="22"/>
        </w:rPr>
        <w:t xml:space="preserve"> suplente de</w:t>
      </w:r>
      <w:r w:rsidR="008777B0" w:rsidRPr="00A156F4">
        <w:rPr>
          <w:sz w:val="22"/>
          <w:szCs w:val="22"/>
        </w:rPr>
        <w:t xml:space="preserve"> la Co</w:t>
      </w:r>
      <w:r w:rsidR="006E4178" w:rsidRPr="00A156F4">
        <w:rPr>
          <w:sz w:val="22"/>
          <w:szCs w:val="22"/>
        </w:rPr>
        <w:t>misión</w:t>
      </w:r>
      <w:r w:rsidR="008777B0" w:rsidRPr="00A156F4">
        <w:rPr>
          <w:sz w:val="22"/>
          <w:szCs w:val="22"/>
        </w:rPr>
        <w:t xml:space="preserve"> </w:t>
      </w:r>
      <w:r w:rsidRPr="00A156F4">
        <w:rPr>
          <w:sz w:val="22"/>
          <w:szCs w:val="22"/>
        </w:rPr>
        <w:t>son los siguientes</w:t>
      </w:r>
      <w:r w:rsidR="003C5B99" w:rsidRPr="00A156F4">
        <w:rPr>
          <w:sz w:val="22"/>
          <w:szCs w:val="22"/>
        </w:rPr>
        <w:t>:</w:t>
      </w:r>
    </w:p>
    <w:p w14:paraId="0879CB07" w14:textId="77777777" w:rsidR="00FE0B3F" w:rsidRPr="00A156F4" w:rsidRDefault="00FE0B3F" w:rsidP="004B2F8B">
      <w:pPr>
        <w:pStyle w:val="Prrafodelista1"/>
        <w:spacing w:after="0" w:line="240" w:lineRule="auto"/>
        <w:ind w:left="0"/>
        <w:jc w:val="both"/>
        <w:rPr>
          <w:rFonts w:ascii="Times New Roman" w:eastAsiaTheme="minorHAnsi" w:hAnsi="Times New Roman"/>
          <w:lang w:val="es-ES_tradnl" w:eastAsia="es-ES_tradnl"/>
        </w:rPr>
      </w:pPr>
    </w:p>
    <w:p w14:paraId="436E702F" w14:textId="77777777" w:rsidR="003C5B99" w:rsidRPr="00A156F4" w:rsidRDefault="003C5B99" w:rsidP="005B1F1F">
      <w:pPr>
        <w:pStyle w:val="Prrafodelista1"/>
        <w:numPr>
          <w:ilvl w:val="0"/>
          <w:numId w:val="3"/>
        </w:numPr>
        <w:spacing w:after="0" w:line="240" w:lineRule="auto"/>
        <w:jc w:val="both"/>
        <w:rPr>
          <w:rFonts w:ascii="Times New Roman" w:hAnsi="Times New Roman"/>
        </w:rPr>
      </w:pPr>
      <w:r w:rsidRPr="00A156F4">
        <w:rPr>
          <w:rFonts w:ascii="Times New Roman" w:hAnsi="Times New Roman"/>
        </w:rPr>
        <w:t>Ser costarricense.</w:t>
      </w:r>
    </w:p>
    <w:p w14:paraId="7ED28E17" w14:textId="77777777" w:rsidR="00E13B80" w:rsidRPr="00A156F4" w:rsidRDefault="00E13B80" w:rsidP="004B2F8B">
      <w:pPr>
        <w:pStyle w:val="Prrafodelista1"/>
        <w:spacing w:after="0" w:line="240" w:lineRule="auto"/>
        <w:ind w:left="0"/>
        <w:jc w:val="both"/>
        <w:rPr>
          <w:rFonts w:ascii="Times New Roman" w:hAnsi="Times New Roman"/>
        </w:rPr>
      </w:pPr>
    </w:p>
    <w:p w14:paraId="6EA21272" w14:textId="6909BEE3" w:rsidR="003C5B99" w:rsidRPr="00A156F4" w:rsidRDefault="003C5B99" w:rsidP="005B1F1F">
      <w:pPr>
        <w:pStyle w:val="Prrafodelista1"/>
        <w:numPr>
          <w:ilvl w:val="0"/>
          <w:numId w:val="3"/>
        </w:numPr>
        <w:spacing w:after="0" w:line="240" w:lineRule="auto"/>
        <w:jc w:val="both"/>
        <w:rPr>
          <w:rFonts w:ascii="Times New Roman" w:hAnsi="Times New Roman"/>
        </w:rPr>
      </w:pPr>
      <w:r w:rsidRPr="00A156F4">
        <w:rPr>
          <w:rFonts w:ascii="Times New Roman" w:hAnsi="Times New Roman"/>
        </w:rPr>
        <w:t xml:space="preserve">Ser mayor de 30 </w:t>
      </w:r>
      <w:r w:rsidR="00933D9B" w:rsidRPr="00A156F4">
        <w:rPr>
          <w:rFonts w:ascii="Times New Roman" w:hAnsi="Times New Roman"/>
        </w:rPr>
        <w:t>años</w:t>
      </w:r>
      <w:r w:rsidRPr="00A156F4">
        <w:rPr>
          <w:rFonts w:ascii="Times New Roman" w:hAnsi="Times New Roman"/>
        </w:rPr>
        <w:t>.</w:t>
      </w:r>
    </w:p>
    <w:p w14:paraId="5AAA96A0" w14:textId="77777777" w:rsidR="003C5B99" w:rsidRPr="00A156F4" w:rsidRDefault="003C5B99" w:rsidP="004B2F8B">
      <w:pPr>
        <w:pStyle w:val="Prrafodelista1"/>
        <w:spacing w:after="0" w:line="240" w:lineRule="auto"/>
        <w:ind w:left="850"/>
        <w:jc w:val="both"/>
        <w:rPr>
          <w:rFonts w:ascii="Times New Roman" w:hAnsi="Times New Roman"/>
        </w:rPr>
      </w:pPr>
    </w:p>
    <w:p w14:paraId="5D6151AA" w14:textId="17321243" w:rsidR="003C5B99" w:rsidRPr="00A156F4" w:rsidRDefault="007873B3" w:rsidP="005B1F1F">
      <w:pPr>
        <w:pStyle w:val="Prrafodelista1"/>
        <w:numPr>
          <w:ilvl w:val="0"/>
          <w:numId w:val="3"/>
        </w:numPr>
        <w:spacing w:after="0" w:line="240" w:lineRule="auto"/>
        <w:jc w:val="both"/>
        <w:rPr>
          <w:rFonts w:ascii="Times New Roman" w:hAnsi="Times New Roman"/>
        </w:rPr>
      </w:pPr>
      <w:r w:rsidRPr="00A156F4">
        <w:rPr>
          <w:rFonts w:ascii="Times New Roman" w:hAnsi="Times New Roman"/>
        </w:rPr>
        <w:t xml:space="preserve">Tener </w:t>
      </w:r>
      <w:r w:rsidR="002B4007" w:rsidRPr="00A156F4">
        <w:rPr>
          <w:rFonts w:ascii="Times New Roman" w:hAnsi="Times New Roman"/>
        </w:rPr>
        <w:t xml:space="preserve">grado </w:t>
      </w:r>
      <w:r w:rsidR="00A3505A" w:rsidRPr="00A156F4">
        <w:rPr>
          <w:rFonts w:ascii="Times New Roman" w:hAnsi="Times New Roman"/>
        </w:rPr>
        <w:t xml:space="preserve">académico </w:t>
      </w:r>
      <w:r w:rsidR="002B4007" w:rsidRPr="00A156F4">
        <w:rPr>
          <w:rFonts w:ascii="Times New Roman" w:hAnsi="Times New Roman"/>
        </w:rPr>
        <w:t>universitario</w:t>
      </w:r>
      <w:r w:rsidR="00D215FE" w:rsidRPr="00A156F4">
        <w:rPr>
          <w:rFonts w:ascii="Times New Roman" w:hAnsi="Times New Roman"/>
        </w:rPr>
        <w:t>, según corresponda,</w:t>
      </w:r>
      <w:r w:rsidR="00EE5315" w:rsidRPr="00A156F4">
        <w:rPr>
          <w:rFonts w:ascii="Times New Roman" w:hAnsi="Times New Roman"/>
        </w:rPr>
        <w:t xml:space="preserve"> </w:t>
      </w:r>
      <w:r w:rsidR="003C5B99" w:rsidRPr="00A156F4">
        <w:rPr>
          <w:rFonts w:ascii="Times New Roman" w:hAnsi="Times New Roman"/>
        </w:rPr>
        <w:t>en economía</w:t>
      </w:r>
      <w:r w:rsidR="00A7440F" w:rsidRPr="00A156F4">
        <w:rPr>
          <w:rFonts w:ascii="Times New Roman" w:hAnsi="Times New Roman"/>
        </w:rPr>
        <w:t xml:space="preserve">, </w:t>
      </w:r>
      <w:r w:rsidR="003C5B99" w:rsidRPr="00A156F4">
        <w:rPr>
          <w:rFonts w:ascii="Times New Roman" w:hAnsi="Times New Roman"/>
        </w:rPr>
        <w:t>derecho</w:t>
      </w:r>
      <w:r w:rsidR="00A7440F" w:rsidRPr="00A156F4">
        <w:rPr>
          <w:rFonts w:ascii="Times New Roman" w:hAnsi="Times New Roman"/>
        </w:rPr>
        <w:t xml:space="preserve"> o carrera </w:t>
      </w:r>
      <w:r w:rsidR="00966F40" w:rsidRPr="00A156F4">
        <w:rPr>
          <w:rFonts w:ascii="Times New Roman" w:hAnsi="Times New Roman"/>
        </w:rPr>
        <w:t>relacionada</w:t>
      </w:r>
      <w:r w:rsidR="00BA0885" w:rsidRPr="00A156F4">
        <w:rPr>
          <w:rFonts w:ascii="Times New Roman" w:hAnsi="Times New Roman"/>
        </w:rPr>
        <w:t xml:space="preserve"> </w:t>
      </w:r>
      <w:r w:rsidR="00966F40" w:rsidRPr="00A156F4">
        <w:rPr>
          <w:rFonts w:ascii="Times New Roman" w:hAnsi="Times New Roman"/>
        </w:rPr>
        <w:t xml:space="preserve">con </w:t>
      </w:r>
      <w:r w:rsidR="00A7440F" w:rsidRPr="00A156F4">
        <w:rPr>
          <w:rFonts w:ascii="Times New Roman" w:hAnsi="Times New Roman"/>
        </w:rPr>
        <w:t xml:space="preserve">las </w:t>
      </w:r>
      <w:r w:rsidR="00966F40" w:rsidRPr="00A156F4">
        <w:rPr>
          <w:rFonts w:ascii="Times New Roman" w:hAnsi="Times New Roman"/>
        </w:rPr>
        <w:t xml:space="preserve">actividades </w:t>
      </w:r>
      <w:r w:rsidR="00A7440F" w:rsidRPr="00A156F4">
        <w:rPr>
          <w:rFonts w:ascii="Times New Roman" w:hAnsi="Times New Roman"/>
        </w:rPr>
        <w:t xml:space="preserve">de </w:t>
      </w:r>
      <w:r w:rsidR="00C01A94" w:rsidRPr="00A156F4">
        <w:rPr>
          <w:rFonts w:ascii="Times New Roman" w:hAnsi="Times New Roman"/>
        </w:rPr>
        <w:t xml:space="preserve">la </w:t>
      </w:r>
      <w:proofErr w:type="spellStart"/>
      <w:r w:rsidR="00C01A94" w:rsidRPr="00A156F4">
        <w:rPr>
          <w:rFonts w:ascii="Times New Roman" w:hAnsi="Times New Roman"/>
        </w:rPr>
        <w:t>Coprocom</w:t>
      </w:r>
      <w:proofErr w:type="spellEnd"/>
      <w:r w:rsidR="003C5B99" w:rsidRPr="00A156F4">
        <w:rPr>
          <w:rFonts w:ascii="Times New Roman" w:hAnsi="Times New Roman"/>
        </w:rPr>
        <w:t>.</w:t>
      </w:r>
      <w:r w:rsidR="00EE5315" w:rsidRPr="00A156F4">
        <w:rPr>
          <w:rFonts w:ascii="Times New Roman" w:hAnsi="Times New Roman"/>
        </w:rPr>
        <w:t xml:space="preserve"> </w:t>
      </w:r>
    </w:p>
    <w:p w14:paraId="7986C2EB" w14:textId="77777777" w:rsidR="003C5B99" w:rsidRPr="00A156F4" w:rsidRDefault="003C5B99" w:rsidP="004B2F8B">
      <w:pPr>
        <w:pStyle w:val="Prrafodelista1"/>
        <w:spacing w:after="0" w:line="240" w:lineRule="auto"/>
        <w:ind w:left="850"/>
        <w:jc w:val="both"/>
        <w:rPr>
          <w:rFonts w:ascii="Times New Roman" w:hAnsi="Times New Roman"/>
        </w:rPr>
      </w:pPr>
    </w:p>
    <w:p w14:paraId="41F09B3F" w14:textId="77777777" w:rsidR="004F7F90" w:rsidRPr="00A156F4" w:rsidRDefault="007C25B8" w:rsidP="005B1F1F">
      <w:pPr>
        <w:pStyle w:val="Prrafodelista1"/>
        <w:numPr>
          <w:ilvl w:val="0"/>
          <w:numId w:val="3"/>
        </w:numPr>
        <w:spacing w:after="0" w:line="240" w:lineRule="auto"/>
        <w:jc w:val="both"/>
        <w:rPr>
          <w:rFonts w:ascii="Times New Roman" w:hAnsi="Times New Roman"/>
        </w:rPr>
      </w:pPr>
      <w:r w:rsidRPr="00A156F4">
        <w:rPr>
          <w:rFonts w:ascii="Times New Roman" w:hAnsi="Times New Roman"/>
        </w:rPr>
        <w:t xml:space="preserve">Acreditar </w:t>
      </w:r>
      <w:r w:rsidR="007873B3" w:rsidRPr="00A156F4">
        <w:rPr>
          <w:rFonts w:ascii="Times New Roman" w:hAnsi="Times New Roman"/>
        </w:rPr>
        <w:t xml:space="preserve">al menos </w:t>
      </w:r>
      <w:r w:rsidR="00A3505A" w:rsidRPr="00A156F4">
        <w:rPr>
          <w:rFonts w:ascii="Times New Roman" w:hAnsi="Times New Roman"/>
        </w:rPr>
        <w:t>cinco</w:t>
      </w:r>
      <w:r w:rsidR="007873B3" w:rsidRPr="00A156F4">
        <w:rPr>
          <w:rFonts w:ascii="Times New Roman" w:hAnsi="Times New Roman"/>
        </w:rPr>
        <w:t xml:space="preserve"> años de </w:t>
      </w:r>
      <w:r w:rsidR="003C5B99" w:rsidRPr="00A156F4">
        <w:rPr>
          <w:rFonts w:ascii="Times New Roman" w:hAnsi="Times New Roman"/>
        </w:rPr>
        <w:t>experiencia</w:t>
      </w:r>
      <w:r w:rsidR="00267F1E" w:rsidRPr="00A156F4">
        <w:rPr>
          <w:rFonts w:ascii="Times New Roman" w:hAnsi="Times New Roman"/>
        </w:rPr>
        <w:t xml:space="preserve"> en el ejercicio profesional</w:t>
      </w:r>
      <w:r w:rsidR="003C5B99" w:rsidRPr="00A156F4">
        <w:rPr>
          <w:rFonts w:ascii="Times New Roman" w:hAnsi="Times New Roman"/>
        </w:rPr>
        <w:t xml:space="preserve"> en</w:t>
      </w:r>
      <w:r w:rsidR="00B012BF" w:rsidRPr="00A156F4">
        <w:rPr>
          <w:rFonts w:ascii="Times New Roman" w:hAnsi="Times New Roman"/>
        </w:rPr>
        <w:t xml:space="preserve"> </w:t>
      </w:r>
      <w:r w:rsidR="00CC0E3D" w:rsidRPr="00A156F4">
        <w:rPr>
          <w:rFonts w:ascii="Times New Roman" w:hAnsi="Times New Roman"/>
        </w:rPr>
        <w:t xml:space="preserve">materia de </w:t>
      </w:r>
      <w:r w:rsidR="003B3A46" w:rsidRPr="00A156F4">
        <w:rPr>
          <w:rFonts w:ascii="Times New Roman" w:hAnsi="Times New Roman"/>
        </w:rPr>
        <w:t>C</w:t>
      </w:r>
      <w:r w:rsidR="00CC0E3D" w:rsidRPr="00A156F4">
        <w:rPr>
          <w:rFonts w:ascii="Times New Roman" w:hAnsi="Times New Roman"/>
        </w:rPr>
        <w:t>ompetencia</w:t>
      </w:r>
      <w:r w:rsidR="00FE0B3F" w:rsidRPr="00A156F4">
        <w:rPr>
          <w:rFonts w:ascii="Times New Roman" w:hAnsi="Times New Roman"/>
        </w:rPr>
        <w:t xml:space="preserve">. </w:t>
      </w:r>
    </w:p>
    <w:p w14:paraId="46808CB0" w14:textId="77777777" w:rsidR="004F7F90" w:rsidRPr="00A156F4" w:rsidRDefault="004F7F90" w:rsidP="004B2F8B">
      <w:pPr>
        <w:pStyle w:val="Prrafodelista1"/>
        <w:spacing w:after="0" w:line="240" w:lineRule="auto"/>
        <w:ind w:left="0"/>
        <w:jc w:val="both"/>
        <w:rPr>
          <w:rFonts w:ascii="Times New Roman" w:hAnsi="Times New Roman"/>
        </w:rPr>
      </w:pPr>
    </w:p>
    <w:p w14:paraId="4CA21CBF" w14:textId="7E13E202" w:rsidR="004F7F90" w:rsidRPr="00A156F4" w:rsidRDefault="004F7F90" w:rsidP="005B1F1F">
      <w:pPr>
        <w:pStyle w:val="Prrafodelista1"/>
        <w:numPr>
          <w:ilvl w:val="0"/>
          <w:numId w:val="3"/>
        </w:numPr>
        <w:spacing w:after="0" w:line="240" w:lineRule="auto"/>
        <w:jc w:val="both"/>
        <w:rPr>
          <w:rFonts w:ascii="Times New Roman" w:hAnsi="Times New Roman"/>
        </w:rPr>
      </w:pPr>
      <w:r w:rsidRPr="00A156F4">
        <w:rPr>
          <w:rFonts w:ascii="Times New Roman" w:hAnsi="Times New Roman"/>
        </w:rPr>
        <w:t>Estar incorporado y activo en el colegio profesional respectivo</w:t>
      </w:r>
      <w:r w:rsidR="001A2FFD" w:rsidRPr="00A156F4">
        <w:rPr>
          <w:rFonts w:ascii="Times New Roman" w:hAnsi="Times New Roman"/>
        </w:rPr>
        <w:t xml:space="preserve">, cuando dicha colegiatura sea obligatoria por </w:t>
      </w:r>
      <w:r w:rsidR="000A6101" w:rsidRPr="00A156F4">
        <w:rPr>
          <w:rFonts w:ascii="Times New Roman" w:hAnsi="Times New Roman"/>
        </w:rPr>
        <w:t>l</w:t>
      </w:r>
      <w:r w:rsidR="001A2FFD" w:rsidRPr="00A156F4">
        <w:rPr>
          <w:rFonts w:ascii="Times New Roman" w:hAnsi="Times New Roman"/>
        </w:rPr>
        <w:t>ey</w:t>
      </w:r>
      <w:r w:rsidRPr="00A156F4">
        <w:rPr>
          <w:rFonts w:ascii="Times New Roman" w:hAnsi="Times New Roman"/>
        </w:rPr>
        <w:t>.</w:t>
      </w:r>
    </w:p>
    <w:p w14:paraId="023598F1" w14:textId="77777777" w:rsidR="004F7F90" w:rsidRPr="00A156F4" w:rsidRDefault="004F7F90" w:rsidP="004B2F8B">
      <w:pPr>
        <w:pStyle w:val="Prrafodelista1"/>
        <w:widowControl w:val="0"/>
        <w:spacing w:after="0" w:line="240" w:lineRule="auto"/>
        <w:ind w:left="0"/>
        <w:jc w:val="both"/>
        <w:rPr>
          <w:rFonts w:ascii="Times New Roman" w:hAnsi="Times New Roman"/>
        </w:rPr>
      </w:pPr>
    </w:p>
    <w:p w14:paraId="5D3908F3" w14:textId="3286D364" w:rsidR="00235B20" w:rsidRPr="00A156F4" w:rsidRDefault="004F7F90" w:rsidP="005B1F1F">
      <w:pPr>
        <w:pStyle w:val="Prrafodelista1"/>
        <w:numPr>
          <w:ilvl w:val="0"/>
          <w:numId w:val="3"/>
        </w:numPr>
        <w:spacing w:after="0" w:line="240" w:lineRule="auto"/>
        <w:jc w:val="both"/>
        <w:rPr>
          <w:rFonts w:ascii="Times New Roman" w:hAnsi="Times New Roman"/>
        </w:rPr>
      </w:pPr>
      <w:r w:rsidRPr="00A156F4">
        <w:rPr>
          <w:rFonts w:ascii="Times New Roman" w:hAnsi="Times New Roman"/>
        </w:rPr>
        <w:t>Demostrar</w:t>
      </w:r>
      <w:r w:rsidR="005D7C10" w:rsidRPr="00A156F4">
        <w:rPr>
          <w:rFonts w:ascii="Times New Roman" w:hAnsi="Times New Roman"/>
        </w:rPr>
        <w:t xml:space="preserve"> </w:t>
      </w:r>
      <w:r w:rsidR="00235B20" w:rsidRPr="00A156F4">
        <w:rPr>
          <w:rFonts w:ascii="Times New Roman" w:hAnsi="Times New Roman"/>
        </w:rPr>
        <w:t>los conocimientos técnicos necesarios para el ejercicio del cargo</w:t>
      </w:r>
      <w:r w:rsidR="000A6101" w:rsidRPr="00A156F4">
        <w:rPr>
          <w:rFonts w:ascii="Times New Roman" w:hAnsi="Times New Roman"/>
        </w:rPr>
        <w:t>,</w:t>
      </w:r>
      <w:r w:rsidRPr="00A156F4">
        <w:rPr>
          <w:rFonts w:ascii="Times New Roman" w:hAnsi="Times New Roman"/>
        </w:rPr>
        <w:t xml:space="preserve"> mediante la aprobación de las pruebas establecidas </w:t>
      </w:r>
      <w:r w:rsidR="003B3A46" w:rsidRPr="00A156F4">
        <w:rPr>
          <w:rFonts w:ascii="Times New Roman" w:hAnsi="Times New Roman"/>
        </w:rPr>
        <w:t xml:space="preserve">para tal fin </w:t>
      </w:r>
      <w:r w:rsidRPr="00A156F4">
        <w:rPr>
          <w:rFonts w:ascii="Times New Roman" w:hAnsi="Times New Roman"/>
        </w:rPr>
        <w:t xml:space="preserve">en el </w:t>
      </w:r>
      <w:r w:rsidR="0000175B" w:rsidRPr="00A156F4">
        <w:rPr>
          <w:rFonts w:ascii="Times New Roman" w:hAnsi="Times New Roman"/>
        </w:rPr>
        <w:t>r</w:t>
      </w:r>
      <w:r w:rsidRPr="00A156F4">
        <w:rPr>
          <w:rFonts w:ascii="Times New Roman" w:hAnsi="Times New Roman"/>
        </w:rPr>
        <w:t>eglamento.</w:t>
      </w:r>
    </w:p>
    <w:p w14:paraId="70194358" w14:textId="77777777" w:rsidR="003C5B99" w:rsidRPr="00A156F4" w:rsidRDefault="003C5B99" w:rsidP="004B2F8B">
      <w:pPr>
        <w:pStyle w:val="Prrafodelista1"/>
        <w:spacing w:after="0" w:line="240" w:lineRule="auto"/>
        <w:ind w:left="0"/>
        <w:jc w:val="both"/>
        <w:rPr>
          <w:rFonts w:ascii="Times New Roman" w:hAnsi="Times New Roman"/>
          <w:lang w:val="es-ES_tradnl"/>
        </w:rPr>
      </w:pPr>
    </w:p>
    <w:p w14:paraId="14397B7C" w14:textId="77777777" w:rsidR="00AA70FC" w:rsidRPr="00A156F4" w:rsidRDefault="00E13B80" w:rsidP="004B2F8B">
      <w:pPr>
        <w:pStyle w:val="Prrafodelista1"/>
        <w:spacing w:after="0" w:line="240" w:lineRule="auto"/>
        <w:ind w:left="0"/>
        <w:jc w:val="both"/>
        <w:rPr>
          <w:rFonts w:ascii="Times New Roman" w:hAnsi="Times New Roman"/>
        </w:rPr>
      </w:pPr>
      <w:r w:rsidRPr="00A156F4">
        <w:rPr>
          <w:rFonts w:ascii="Times New Roman" w:eastAsiaTheme="minorHAnsi" w:hAnsi="Times New Roman"/>
          <w:lang w:val="es-ES_tradnl" w:eastAsia="es-ES_tradnl"/>
        </w:rPr>
        <w:t>T</w:t>
      </w:r>
      <w:r w:rsidR="003B3A46" w:rsidRPr="00A156F4">
        <w:rPr>
          <w:rFonts w:ascii="Times New Roman" w:eastAsiaTheme="minorHAnsi" w:hAnsi="Times New Roman"/>
          <w:lang w:val="es-ES_tradnl" w:eastAsia="es-ES_tradnl"/>
        </w:rPr>
        <w:t>ienen</w:t>
      </w:r>
      <w:r w:rsidRPr="00A156F4">
        <w:rPr>
          <w:rFonts w:ascii="Times New Roman" w:eastAsiaTheme="minorHAnsi" w:hAnsi="Times New Roman"/>
          <w:lang w:val="es-ES_tradnl" w:eastAsia="es-ES_tradnl"/>
        </w:rPr>
        <w:t xml:space="preserve"> </w:t>
      </w:r>
      <w:r w:rsidRPr="00A156F4">
        <w:rPr>
          <w:rFonts w:ascii="Times New Roman" w:hAnsi="Times New Roman"/>
        </w:rPr>
        <w:t>impedimento para ser</w:t>
      </w:r>
      <w:r w:rsidR="002A3CFC" w:rsidRPr="00A156F4">
        <w:rPr>
          <w:rFonts w:ascii="Times New Roman" w:hAnsi="Times New Roman"/>
        </w:rPr>
        <w:t xml:space="preserve"> </w:t>
      </w:r>
      <w:proofErr w:type="gramStart"/>
      <w:r w:rsidR="002A3CFC" w:rsidRPr="00A156F4">
        <w:rPr>
          <w:rFonts w:ascii="Times New Roman" w:hAnsi="Times New Roman"/>
        </w:rPr>
        <w:t>nombrados como</w:t>
      </w:r>
      <w:proofErr w:type="gramEnd"/>
      <w:r w:rsidRPr="00A156F4">
        <w:rPr>
          <w:rFonts w:ascii="Times New Roman" w:hAnsi="Times New Roman"/>
        </w:rPr>
        <w:t xml:space="preserve"> miembro</w:t>
      </w:r>
      <w:r w:rsidR="00B52D0F" w:rsidRPr="00A156F4">
        <w:rPr>
          <w:rFonts w:ascii="Times New Roman" w:hAnsi="Times New Roman"/>
        </w:rPr>
        <w:t>s</w:t>
      </w:r>
      <w:r w:rsidR="008777B0" w:rsidRPr="00A156F4">
        <w:rPr>
          <w:rFonts w:ascii="Times New Roman" w:hAnsi="Times New Roman"/>
        </w:rPr>
        <w:t xml:space="preserve"> de la Co</w:t>
      </w:r>
      <w:r w:rsidR="006E4178" w:rsidRPr="00A156F4">
        <w:rPr>
          <w:rFonts w:ascii="Times New Roman" w:hAnsi="Times New Roman"/>
        </w:rPr>
        <w:t>misión</w:t>
      </w:r>
      <w:r w:rsidRPr="00A156F4">
        <w:rPr>
          <w:rFonts w:ascii="Times New Roman" w:hAnsi="Times New Roman"/>
        </w:rPr>
        <w:t xml:space="preserve">: </w:t>
      </w:r>
    </w:p>
    <w:p w14:paraId="7C4308E7" w14:textId="77777777" w:rsidR="0052250E" w:rsidRPr="00A156F4" w:rsidRDefault="0052250E" w:rsidP="004B2F8B">
      <w:pPr>
        <w:widowControl w:val="0"/>
        <w:ind w:firstLine="709"/>
        <w:jc w:val="both"/>
        <w:rPr>
          <w:rFonts w:eastAsia="Times New Roman"/>
          <w:sz w:val="22"/>
          <w:szCs w:val="22"/>
          <w:lang w:val="es-CR" w:eastAsia="en-US"/>
        </w:rPr>
      </w:pPr>
    </w:p>
    <w:p w14:paraId="32B98359" w14:textId="44453576" w:rsidR="0008584E" w:rsidRPr="00A156F4" w:rsidRDefault="00D45847" w:rsidP="00561760">
      <w:pPr>
        <w:pStyle w:val="Prrafodelista"/>
        <w:widowControl w:val="0"/>
        <w:numPr>
          <w:ilvl w:val="0"/>
          <w:numId w:val="3"/>
        </w:numPr>
        <w:spacing w:after="0"/>
        <w:jc w:val="both"/>
        <w:rPr>
          <w:rFonts w:ascii="Times New Roman" w:eastAsiaTheme="minorHAnsi" w:hAnsi="Times New Roman"/>
        </w:rPr>
      </w:pPr>
      <w:r w:rsidRPr="00A156F4">
        <w:rPr>
          <w:rFonts w:ascii="Times New Roman" w:hAnsi="Times New Roman"/>
        </w:rPr>
        <w:t>Quienes</w:t>
      </w:r>
      <w:r w:rsidR="0008584E" w:rsidRPr="00A156F4">
        <w:rPr>
          <w:rFonts w:ascii="Times New Roman" w:hAnsi="Times New Roman"/>
        </w:rPr>
        <w:t xml:space="preserve"> estén ligad</w:t>
      </w:r>
      <w:r w:rsidRPr="00A156F4">
        <w:rPr>
          <w:rFonts w:ascii="Times New Roman" w:hAnsi="Times New Roman"/>
        </w:rPr>
        <w:t>o</w:t>
      </w:r>
      <w:r w:rsidR="0008584E" w:rsidRPr="00A156F4">
        <w:rPr>
          <w:rFonts w:ascii="Times New Roman" w:hAnsi="Times New Roman"/>
        </w:rPr>
        <w:t xml:space="preserve">s </w:t>
      </w:r>
      <w:r w:rsidRPr="00A156F4">
        <w:rPr>
          <w:rFonts w:ascii="Times New Roman" w:hAnsi="Times New Roman"/>
        </w:rPr>
        <w:t>con otro miembro de la Comisión</w:t>
      </w:r>
      <w:r w:rsidR="0008584E" w:rsidRPr="00A156F4">
        <w:rPr>
          <w:rFonts w:ascii="Times New Roman" w:hAnsi="Times New Roman"/>
        </w:rPr>
        <w:t xml:space="preserve"> por parentesco</w:t>
      </w:r>
      <w:r w:rsidR="008858C8" w:rsidRPr="00A156F4">
        <w:rPr>
          <w:rFonts w:ascii="Times New Roman" w:hAnsi="Times New Roman"/>
        </w:rPr>
        <w:t>,</w:t>
      </w:r>
      <w:r w:rsidR="0008584E" w:rsidRPr="00A156F4">
        <w:rPr>
          <w:rFonts w:ascii="Times New Roman" w:hAnsi="Times New Roman"/>
        </w:rPr>
        <w:t xml:space="preserve"> consanguinidad</w:t>
      </w:r>
      <w:r w:rsidR="008858C8" w:rsidRPr="00A156F4">
        <w:rPr>
          <w:rFonts w:ascii="Times New Roman" w:hAnsi="Times New Roman"/>
        </w:rPr>
        <w:t>,</w:t>
      </w:r>
      <w:r w:rsidR="0008584E" w:rsidRPr="00A156F4">
        <w:rPr>
          <w:rFonts w:ascii="Times New Roman" w:hAnsi="Times New Roman"/>
        </w:rPr>
        <w:t xml:space="preserve"> o afinidad, incluso hasta</w:t>
      </w:r>
      <w:r w:rsidR="0008584E" w:rsidRPr="00A156F4">
        <w:rPr>
          <w:rFonts w:ascii="Times New Roman" w:eastAsiaTheme="minorHAnsi" w:hAnsi="Times New Roman"/>
        </w:rPr>
        <w:t xml:space="preserve"> el tercer grado.</w:t>
      </w:r>
    </w:p>
    <w:p w14:paraId="11F0C9DF" w14:textId="77777777" w:rsidR="001801B6" w:rsidRPr="00A156F4" w:rsidRDefault="001801B6" w:rsidP="00561760">
      <w:pPr>
        <w:widowControl w:val="0"/>
        <w:jc w:val="both"/>
        <w:rPr>
          <w:sz w:val="22"/>
          <w:szCs w:val="22"/>
        </w:rPr>
      </w:pPr>
    </w:p>
    <w:p w14:paraId="5D7D3000" w14:textId="39D462A3" w:rsidR="009D54C4" w:rsidRPr="00A156F4" w:rsidRDefault="003B3A46" w:rsidP="005B1F1F">
      <w:pPr>
        <w:pStyle w:val="Prrafodelista"/>
        <w:widowControl w:val="0"/>
        <w:numPr>
          <w:ilvl w:val="0"/>
          <w:numId w:val="3"/>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Los p</w:t>
      </w:r>
      <w:r w:rsidR="003C5B99" w:rsidRPr="00A156F4">
        <w:rPr>
          <w:rFonts w:ascii="Times New Roman" w:eastAsiaTheme="minorHAnsi" w:hAnsi="Times New Roman"/>
          <w:lang w:val="es-ES_tradnl" w:eastAsia="es-ES_tradnl"/>
        </w:rPr>
        <w:t>arientes</w:t>
      </w:r>
      <w:r w:rsidRPr="00A156F4">
        <w:rPr>
          <w:rFonts w:ascii="Times New Roman" w:eastAsiaTheme="minorHAnsi" w:hAnsi="Times New Roman"/>
          <w:lang w:val="es-ES_tradnl" w:eastAsia="es-ES_tradnl"/>
        </w:rPr>
        <w:t>,</w:t>
      </w:r>
      <w:r w:rsidR="003C5B99" w:rsidRPr="00A156F4">
        <w:rPr>
          <w:rFonts w:ascii="Times New Roman" w:eastAsiaTheme="minorHAnsi" w:hAnsi="Times New Roman"/>
          <w:lang w:val="es-ES_tradnl" w:eastAsia="es-ES_tradnl"/>
        </w:rPr>
        <w:t xml:space="preserve"> en el mismo grado señalado</w:t>
      </w:r>
      <w:r w:rsidR="000A6101" w:rsidRPr="00A156F4">
        <w:rPr>
          <w:rFonts w:ascii="Times New Roman" w:eastAsiaTheme="minorHAnsi" w:hAnsi="Times New Roman"/>
          <w:lang w:val="es-ES_tradnl" w:eastAsia="es-ES_tradnl"/>
        </w:rPr>
        <w:t xml:space="preserve"> en el inciso anterior</w:t>
      </w:r>
      <w:r w:rsidR="003C5B99" w:rsidRPr="00A156F4">
        <w:rPr>
          <w:rFonts w:ascii="Times New Roman" w:eastAsiaTheme="minorHAnsi" w:hAnsi="Times New Roman"/>
          <w:lang w:val="es-ES_tradnl" w:eastAsia="es-ES_tradnl"/>
        </w:rPr>
        <w:t xml:space="preserve">, del </w:t>
      </w:r>
      <w:proofErr w:type="gramStart"/>
      <w:r w:rsidR="003C5B99" w:rsidRPr="00A156F4">
        <w:rPr>
          <w:rFonts w:ascii="Times New Roman" w:eastAsiaTheme="minorHAnsi" w:hAnsi="Times New Roman"/>
          <w:lang w:val="es-ES_tradnl" w:eastAsia="es-ES_tradnl"/>
        </w:rPr>
        <w:t>Ministro</w:t>
      </w:r>
      <w:proofErr w:type="gramEnd"/>
      <w:r w:rsidR="003C5B99" w:rsidRPr="00A156F4">
        <w:rPr>
          <w:rFonts w:ascii="Times New Roman" w:eastAsiaTheme="minorHAnsi" w:hAnsi="Times New Roman"/>
          <w:lang w:val="es-ES_tradnl" w:eastAsia="es-ES_tradnl"/>
        </w:rPr>
        <w:t xml:space="preserve"> o Viceministros del Ministerio de Economía, Industria y Comercio</w:t>
      </w:r>
      <w:r w:rsidR="003F56B6" w:rsidRPr="00A156F4">
        <w:rPr>
          <w:rFonts w:ascii="Times New Roman" w:eastAsiaTheme="minorHAnsi" w:hAnsi="Times New Roman"/>
          <w:lang w:val="es-ES_tradnl" w:eastAsia="es-ES_tradnl"/>
        </w:rPr>
        <w:t>, o del encargado del Órgano Técnico</w:t>
      </w:r>
      <w:r w:rsidR="006D6307" w:rsidRPr="00A156F4">
        <w:rPr>
          <w:rFonts w:ascii="Times New Roman" w:eastAsiaTheme="minorHAnsi" w:hAnsi="Times New Roman"/>
          <w:lang w:val="es-ES_tradnl" w:eastAsia="es-ES_tradnl"/>
        </w:rPr>
        <w:t>.</w:t>
      </w:r>
    </w:p>
    <w:p w14:paraId="26A74E7D" w14:textId="77777777" w:rsidR="00F1512E" w:rsidRPr="00A156F4" w:rsidRDefault="00F1512E" w:rsidP="004B2F8B">
      <w:pPr>
        <w:widowControl w:val="0"/>
        <w:jc w:val="both"/>
        <w:rPr>
          <w:sz w:val="22"/>
          <w:szCs w:val="22"/>
        </w:rPr>
      </w:pPr>
    </w:p>
    <w:p w14:paraId="7B7AC6C1" w14:textId="570226A1" w:rsidR="000011E4" w:rsidRPr="00A156F4" w:rsidRDefault="000011E4" w:rsidP="004B2F8B">
      <w:pPr>
        <w:widowControl w:val="0"/>
        <w:jc w:val="both"/>
        <w:rPr>
          <w:sz w:val="22"/>
          <w:szCs w:val="22"/>
        </w:rPr>
      </w:pPr>
      <w:r w:rsidRPr="00A156F4">
        <w:rPr>
          <w:sz w:val="22"/>
          <w:szCs w:val="22"/>
        </w:rPr>
        <w:t xml:space="preserve">Cuando, con posterioridad al nombramiento, se compruebe la existencia previa del impedimento establecido en el inciso </w:t>
      </w:r>
      <w:r w:rsidR="00FC2419" w:rsidRPr="00A156F4">
        <w:rPr>
          <w:sz w:val="22"/>
          <w:szCs w:val="22"/>
        </w:rPr>
        <w:t>g</w:t>
      </w:r>
      <w:r w:rsidRPr="00A156F4">
        <w:rPr>
          <w:sz w:val="22"/>
          <w:szCs w:val="22"/>
        </w:rPr>
        <w:t>) anterior se procederá a la destitución del miembro de la Comisión con menor antigüedad en el cargo.</w:t>
      </w:r>
    </w:p>
    <w:p w14:paraId="3027E6E8" w14:textId="77777777" w:rsidR="00F1512E" w:rsidRPr="00A156F4" w:rsidRDefault="00F1512E" w:rsidP="004B2F8B">
      <w:pPr>
        <w:widowControl w:val="0"/>
        <w:jc w:val="both"/>
        <w:rPr>
          <w:sz w:val="22"/>
          <w:szCs w:val="22"/>
        </w:rPr>
      </w:pPr>
    </w:p>
    <w:p w14:paraId="612DC805" w14:textId="04589FC8" w:rsidR="00137757" w:rsidRPr="00A156F4" w:rsidRDefault="00D2752F" w:rsidP="002B4412">
      <w:pPr>
        <w:widowControl w:val="0"/>
        <w:jc w:val="both"/>
        <w:outlineLvl w:val="0"/>
        <w:rPr>
          <w:b/>
          <w:sz w:val="22"/>
          <w:szCs w:val="22"/>
        </w:rPr>
      </w:pPr>
      <w:r w:rsidRPr="00A156F4">
        <w:rPr>
          <w:b/>
          <w:bCs/>
          <w:sz w:val="22"/>
          <w:szCs w:val="22"/>
        </w:rPr>
        <w:t xml:space="preserve">Artículo </w:t>
      </w:r>
      <w:r w:rsidR="00A5301D" w:rsidRPr="00A156F4">
        <w:rPr>
          <w:b/>
          <w:bCs/>
          <w:sz w:val="22"/>
          <w:szCs w:val="22"/>
        </w:rPr>
        <w:t>9</w:t>
      </w:r>
      <w:r w:rsidR="003C5B99" w:rsidRPr="00A156F4">
        <w:rPr>
          <w:b/>
          <w:sz w:val="22"/>
          <w:szCs w:val="22"/>
        </w:rPr>
        <w:t>.-</w:t>
      </w:r>
      <w:r w:rsidR="003E7A3A" w:rsidRPr="00A156F4">
        <w:rPr>
          <w:b/>
          <w:sz w:val="22"/>
          <w:szCs w:val="22"/>
        </w:rPr>
        <w:t xml:space="preserve"> </w:t>
      </w:r>
      <w:r w:rsidR="003C5B99" w:rsidRPr="00A156F4">
        <w:rPr>
          <w:b/>
          <w:sz w:val="22"/>
          <w:szCs w:val="22"/>
        </w:rPr>
        <w:t>Incompatibilidades y prohibiciones</w:t>
      </w:r>
      <w:r w:rsidR="00067E8E" w:rsidRPr="00A156F4">
        <w:rPr>
          <w:b/>
          <w:sz w:val="22"/>
          <w:szCs w:val="22"/>
        </w:rPr>
        <w:t xml:space="preserve"> </w:t>
      </w:r>
      <w:r w:rsidR="00016316" w:rsidRPr="00A156F4">
        <w:rPr>
          <w:b/>
          <w:sz w:val="22"/>
          <w:szCs w:val="22"/>
        </w:rPr>
        <w:t xml:space="preserve">de los integrantes </w:t>
      </w:r>
      <w:r w:rsidR="004C2BAB" w:rsidRPr="00A156F4">
        <w:rPr>
          <w:b/>
          <w:sz w:val="22"/>
          <w:szCs w:val="22"/>
        </w:rPr>
        <w:t>de</w:t>
      </w:r>
      <w:r w:rsidR="008858C8" w:rsidRPr="00A156F4">
        <w:rPr>
          <w:b/>
          <w:sz w:val="22"/>
          <w:szCs w:val="22"/>
        </w:rPr>
        <w:t xml:space="preserve"> </w:t>
      </w:r>
      <w:r w:rsidR="004C2BAB" w:rsidRPr="00A156F4">
        <w:rPr>
          <w:b/>
          <w:sz w:val="22"/>
          <w:szCs w:val="22"/>
        </w:rPr>
        <w:t>l</w:t>
      </w:r>
      <w:r w:rsidR="008858C8" w:rsidRPr="00A156F4">
        <w:rPr>
          <w:b/>
          <w:sz w:val="22"/>
          <w:szCs w:val="22"/>
        </w:rPr>
        <w:t>a</w:t>
      </w:r>
      <w:r w:rsidR="004C2BAB" w:rsidRPr="00A156F4">
        <w:rPr>
          <w:b/>
          <w:sz w:val="22"/>
          <w:szCs w:val="22"/>
        </w:rPr>
        <w:t xml:space="preserve"> </w:t>
      </w:r>
      <w:r w:rsidR="008858C8" w:rsidRPr="00A156F4">
        <w:rPr>
          <w:b/>
          <w:sz w:val="22"/>
          <w:szCs w:val="22"/>
        </w:rPr>
        <w:t>Comisión</w:t>
      </w:r>
    </w:p>
    <w:p w14:paraId="43A1ABB9" w14:textId="77777777" w:rsidR="005F7DB9" w:rsidRPr="00A156F4" w:rsidRDefault="005F7DB9" w:rsidP="002B4412">
      <w:pPr>
        <w:widowControl w:val="0"/>
        <w:jc w:val="both"/>
        <w:outlineLvl w:val="0"/>
        <w:rPr>
          <w:b/>
          <w:sz w:val="22"/>
          <w:szCs w:val="22"/>
        </w:rPr>
      </w:pPr>
    </w:p>
    <w:p w14:paraId="345F4DA5" w14:textId="58A1DCB0" w:rsidR="003C5B99" w:rsidRPr="00A156F4" w:rsidRDefault="003C5B99" w:rsidP="001D0E37">
      <w:pPr>
        <w:autoSpaceDE w:val="0"/>
        <w:autoSpaceDN w:val="0"/>
        <w:jc w:val="both"/>
        <w:rPr>
          <w:sz w:val="22"/>
          <w:szCs w:val="22"/>
        </w:rPr>
      </w:pPr>
      <w:r w:rsidRPr="00A156F4">
        <w:rPr>
          <w:sz w:val="22"/>
          <w:szCs w:val="22"/>
        </w:rPr>
        <w:t xml:space="preserve">Será incompatible con </w:t>
      </w:r>
      <w:r w:rsidR="000A6101" w:rsidRPr="00A156F4">
        <w:rPr>
          <w:sz w:val="22"/>
          <w:szCs w:val="22"/>
        </w:rPr>
        <w:t>el</w:t>
      </w:r>
      <w:r w:rsidRPr="00A156F4">
        <w:rPr>
          <w:sz w:val="22"/>
          <w:szCs w:val="22"/>
        </w:rPr>
        <w:t xml:space="preserve"> cargo de miembro p</w:t>
      </w:r>
      <w:r w:rsidR="00B52D0F" w:rsidRPr="00A156F4">
        <w:rPr>
          <w:sz w:val="22"/>
          <w:szCs w:val="22"/>
        </w:rPr>
        <w:t>ropietario</w:t>
      </w:r>
      <w:r w:rsidR="00067E8E" w:rsidRPr="00A156F4">
        <w:rPr>
          <w:sz w:val="22"/>
          <w:szCs w:val="22"/>
        </w:rPr>
        <w:t xml:space="preserve"> </w:t>
      </w:r>
      <w:r w:rsidRPr="00A156F4">
        <w:rPr>
          <w:sz w:val="22"/>
          <w:szCs w:val="22"/>
        </w:rPr>
        <w:t>de</w:t>
      </w:r>
      <w:r w:rsidR="00067E8E" w:rsidRPr="00A156F4">
        <w:rPr>
          <w:sz w:val="22"/>
          <w:szCs w:val="22"/>
        </w:rPr>
        <w:t xml:space="preserve"> la </w:t>
      </w:r>
      <w:r w:rsidRPr="00A156F4">
        <w:rPr>
          <w:sz w:val="22"/>
          <w:szCs w:val="22"/>
        </w:rPr>
        <w:t>C</w:t>
      </w:r>
      <w:r w:rsidR="00245212" w:rsidRPr="00A156F4">
        <w:rPr>
          <w:sz w:val="22"/>
          <w:szCs w:val="22"/>
        </w:rPr>
        <w:t>o</w:t>
      </w:r>
      <w:r w:rsidR="006E4178" w:rsidRPr="00A156F4">
        <w:rPr>
          <w:sz w:val="22"/>
          <w:szCs w:val="22"/>
        </w:rPr>
        <w:t>misión</w:t>
      </w:r>
      <w:r w:rsidR="003667D9" w:rsidRPr="00A156F4">
        <w:rPr>
          <w:sz w:val="22"/>
          <w:szCs w:val="22"/>
        </w:rPr>
        <w:t>,</w:t>
      </w:r>
      <w:r w:rsidRPr="00A156F4">
        <w:rPr>
          <w:sz w:val="22"/>
          <w:szCs w:val="22"/>
        </w:rPr>
        <w:t xml:space="preserve"> el ejercicio </w:t>
      </w:r>
      <w:r w:rsidR="000C285A" w:rsidRPr="00A156F4">
        <w:rPr>
          <w:sz w:val="22"/>
          <w:szCs w:val="22"/>
        </w:rPr>
        <w:t xml:space="preserve">liberal </w:t>
      </w:r>
      <w:r w:rsidRPr="00A156F4">
        <w:rPr>
          <w:sz w:val="22"/>
          <w:szCs w:val="22"/>
        </w:rPr>
        <w:t>de actividades profesionales</w:t>
      </w:r>
      <w:r w:rsidR="00AF231D" w:rsidRPr="00A156F4">
        <w:rPr>
          <w:sz w:val="22"/>
          <w:szCs w:val="22"/>
        </w:rPr>
        <w:t>,</w:t>
      </w:r>
      <w:r w:rsidRPr="00A156F4">
        <w:rPr>
          <w:sz w:val="22"/>
          <w:szCs w:val="22"/>
        </w:rPr>
        <w:t xml:space="preserve"> </w:t>
      </w:r>
      <w:r w:rsidR="009F6329" w:rsidRPr="00A156F4">
        <w:rPr>
          <w:sz w:val="22"/>
          <w:szCs w:val="22"/>
        </w:rPr>
        <w:t xml:space="preserve">remuneradas o no, </w:t>
      </w:r>
      <w:r w:rsidRPr="00A156F4">
        <w:rPr>
          <w:sz w:val="22"/>
          <w:szCs w:val="22"/>
        </w:rPr>
        <w:t>durante su nombramiento</w:t>
      </w:r>
      <w:r w:rsidR="001D0E37" w:rsidRPr="00A156F4">
        <w:rPr>
          <w:sz w:val="22"/>
          <w:szCs w:val="22"/>
        </w:rPr>
        <w:t xml:space="preserve">. No obstante, podrá ejercer la docencia universitaria, siempre y cuando esta no vaya en menoscabo de las obligaciones de su cargo, según se establece en el artículo 6 de </w:t>
      </w:r>
      <w:r w:rsidR="00700641">
        <w:rPr>
          <w:sz w:val="22"/>
          <w:szCs w:val="22"/>
        </w:rPr>
        <w:t>la presente</w:t>
      </w:r>
      <w:r w:rsidR="001D0E37" w:rsidRPr="00A156F4">
        <w:rPr>
          <w:sz w:val="22"/>
          <w:szCs w:val="22"/>
        </w:rPr>
        <w:t xml:space="preserve"> ley.</w:t>
      </w:r>
      <w:r w:rsidR="00EC2DB4" w:rsidRPr="00A156F4">
        <w:rPr>
          <w:sz w:val="22"/>
          <w:szCs w:val="22"/>
        </w:rPr>
        <w:t xml:space="preserve"> </w:t>
      </w:r>
      <w:r w:rsidR="00D24AED" w:rsidRPr="00A156F4">
        <w:rPr>
          <w:sz w:val="22"/>
          <w:szCs w:val="22"/>
        </w:rPr>
        <w:t>Adicionalmente,</w:t>
      </w:r>
      <w:r w:rsidR="00803B20" w:rsidRPr="00A156F4">
        <w:rPr>
          <w:sz w:val="22"/>
          <w:szCs w:val="22"/>
        </w:rPr>
        <w:t xml:space="preserve"> a los miembros propietarios o suplentes de la</w:t>
      </w:r>
      <w:r w:rsidR="00245212" w:rsidRPr="00A156F4">
        <w:rPr>
          <w:sz w:val="22"/>
          <w:szCs w:val="22"/>
        </w:rPr>
        <w:t xml:space="preserve"> Co</w:t>
      </w:r>
      <w:r w:rsidR="006E4178" w:rsidRPr="00A156F4">
        <w:rPr>
          <w:sz w:val="22"/>
          <w:szCs w:val="22"/>
        </w:rPr>
        <w:t>misión</w:t>
      </w:r>
      <w:r w:rsidR="00803B20" w:rsidRPr="00A156F4">
        <w:rPr>
          <w:sz w:val="22"/>
          <w:szCs w:val="22"/>
        </w:rPr>
        <w:t>, les</w:t>
      </w:r>
      <w:r w:rsidR="00D24AED" w:rsidRPr="00A156F4">
        <w:rPr>
          <w:sz w:val="22"/>
          <w:szCs w:val="22"/>
        </w:rPr>
        <w:t xml:space="preserve"> aplicará</w:t>
      </w:r>
      <w:r w:rsidR="00803B20" w:rsidRPr="00A156F4">
        <w:rPr>
          <w:sz w:val="22"/>
          <w:szCs w:val="22"/>
        </w:rPr>
        <w:t>n</w:t>
      </w:r>
      <w:r w:rsidR="00D24AED" w:rsidRPr="00A156F4">
        <w:rPr>
          <w:sz w:val="22"/>
          <w:szCs w:val="22"/>
        </w:rPr>
        <w:t xml:space="preserve"> las</w:t>
      </w:r>
      <w:r w:rsidR="00593CE3" w:rsidRPr="00A156F4">
        <w:rPr>
          <w:sz w:val="22"/>
          <w:szCs w:val="22"/>
        </w:rPr>
        <w:t xml:space="preserve"> causales por incompatibilidad establecidas en </w:t>
      </w:r>
      <w:bookmarkStart w:id="7" w:name="_Hlk524340678"/>
      <w:r w:rsidR="00593CE3" w:rsidRPr="00A156F4">
        <w:rPr>
          <w:sz w:val="22"/>
          <w:szCs w:val="22"/>
        </w:rPr>
        <w:t xml:space="preserve">la Ley </w:t>
      </w:r>
      <w:r w:rsidR="00632A5C" w:rsidRPr="00A156F4">
        <w:rPr>
          <w:sz w:val="22"/>
          <w:szCs w:val="22"/>
        </w:rPr>
        <w:t>C</w:t>
      </w:r>
      <w:r w:rsidR="00593CE3" w:rsidRPr="00A156F4">
        <w:rPr>
          <w:sz w:val="22"/>
          <w:szCs w:val="22"/>
        </w:rPr>
        <w:t xml:space="preserve">ontra la </w:t>
      </w:r>
      <w:r w:rsidR="00632A5C" w:rsidRPr="00A156F4">
        <w:rPr>
          <w:sz w:val="22"/>
          <w:szCs w:val="22"/>
        </w:rPr>
        <w:t>C</w:t>
      </w:r>
      <w:r w:rsidR="00593CE3" w:rsidRPr="00A156F4">
        <w:rPr>
          <w:sz w:val="22"/>
          <w:szCs w:val="22"/>
        </w:rPr>
        <w:t xml:space="preserve">orrupción y el </w:t>
      </w:r>
      <w:r w:rsidR="00632A5C" w:rsidRPr="00A156F4">
        <w:rPr>
          <w:sz w:val="22"/>
          <w:szCs w:val="22"/>
        </w:rPr>
        <w:t>E</w:t>
      </w:r>
      <w:r w:rsidR="00593CE3" w:rsidRPr="00A156F4">
        <w:rPr>
          <w:sz w:val="22"/>
          <w:szCs w:val="22"/>
        </w:rPr>
        <w:t xml:space="preserve">nriquecimiento </w:t>
      </w:r>
      <w:r w:rsidR="00632A5C" w:rsidRPr="00A156F4">
        <w:rPr>
          <w:sz w:val="22"/>
          <w:szCs w:val="22"/>
        </w:rPr>
        <w:t>I</w:t>
      </w:r>
      <w:r w:rsidR="00593CE3" w:rsidRPr="00A156F4">
        <w:rPr>
          <w:sz w:val="22"/>
          <w:szCs w:val="22"/>
        </w:rPr>
        <w:t xml:space="preserve">lícito en la </w:t>
      </w:r>
      <w:r w:rsidR="00632A5C" w:rsidRPr="00A156F4">
        <w:rPr>
          <w:sz w:val="22"/>
          <w:szCs w:val="22"/>
        </w:rPr>
        <w:t>F</w:t>
      </w:r>
      <w:r w:rsidR="00593CE3" w:rsidRPr="00A156F4">
        <w:rPr>
          <w:sz w:val="22"/>
          <w:szCs w:val="22"/>
        </w:rPr>
        <w:t xml:space="preserve">unción </w:t>
      </w:r>
      <w:r w:rsidR="00632A5C" w:rsidRPr="00A156F4">
        <w:rPr>
          <w:sz w:val="22"/>
          <w:szCs w:val="22"/>
        </w:rPr>
        <w:t>P</w:t>
      </w:r>
      <w:r w:rsidR="00593CE3" w:rsidRPr="00A156F4">
        <w:rPr>
          <w:sz w:val="22"/>
          <w:szCs w:val="22"/>
        </w:rPr>
        <w:t xml:space="preserve">ública, Ley </w:t>
      </w:r>
      <w:proofErr w:type="spellStart"/>
      <w:r w:rsidR="003C59C8" w:rsidRPr="00A156F4">
        <w:rPr>
          <w:sz w:val="22"/>
          <w:szCs w:val="22"/>
        </w:rPr>
        <w:t>N°</w:t>
      </w:r>
      <w:proofErr w:type="spellEnd"/>
      <w:r w:rsidR="003C59C8" w:rsidRPr="00A156F4">
        <w:rPr>
          <w:sz w:val="22"/>
          <w:szCs w:val="22"/>
        </w:rPr>
        <w:t xml:space="preserve">. </w:t>
      </w:r>
      <w:r w:rsidR="00593CE3" w:rsidRPr="00A156F4">
        <w:rPr>
          <w:sz w:val="22"/>
          <w:szCs w:val="22"/>
        </w:rPr>
        <w:t xml:space="preserve">8422, </w:t>
      </w:r>
      <w:r w:rsidR="00632A5C" w:rsidRPr="00A156F4">
        <w:rPr>
          <w:sz w:val="22"/>
          <w:szCs w:val="22"/>
        </w:rPr>
        <w:t>d</w:t>
      </w:r>
      <w:r w:rsidR="00593CE3" w:rsidRPr="00A156F4">
        <w:rPr>
          <w:sz w:val="22"/>
          <w:szCs w:val="22"/>
        </w:rPr>
        <w:t>e</w:t>
      </w:r>
      <w:r w:rsidR="00632A5C" w:rsidRPr="00A156F4">
        <w:rPr>
          <w:sz w:val="22"/>
          <w:szCs w:val="22"/>
        </w:rPr>
        <w:t>l</w:t>
      </w:r>
      <w:r w:rsidR="00593CE3" w:rsidRPr="00A156F4">
        <w:rPr>
          <w:sz w:val="22"/>
          <w:szCs w:val="22"/>
        </w:rPr>
        <w:t xml:space="preserve"> 6 de octubre de 2004</w:t>
      </w:r>
      <w:bookmarkEnd w:id="7"/>
      <w:r w:rsidR="00593CE3" w:rsidRPr="00A156F4">
        <w:rPr>
          <w:sz w:val="22"/>
          <w:szCs w:val="22"/>
        </w:rPr>
        <w:t>.</w:t>
      </w:r>
      <w:r w:rsidR="00593CE3" w:rsidRPr="00A156F4" w:rsidDel="00593CE3">
        <w:rPr>
          <w:sz w:val="22"/>
          <w:szCs w:val="22"/>
        </w:rPr>
        <w:t xml:space="preserve"> </w:t>
      </w:r>
    </w:p>
    <w:p w14:paraId="47328703" w14:textId="77777777" w:rsidR="00204289" w:rsidRPr="00A156F4" w:rsidRDefault="00204289" w:rsidP="004B2F8B">
      <w:pPr>
        <w:widowControl w:val="0"/>
        <w:ind w:firstLine="709"/>
        <w:jc w:val="both"/>
        <w:rPr>
          <w:sz w:val="22"/>
          <w:szCs w:val="22"/>
        </w:rPr>
      </w:pPr>
    </w:p>
    <w:p w14:paraId="78725048" w14:textId="5FC28BDE" w:rsidR="00F1512E" w:rsidRPr="00A156F4" w:rsidRDefault="00FF5FCB" w:rsidP="004B2F8B">
      <w:pPr>
        <w:widowControl w:val="0"/>
        <w:jc w:val="both"/>
        <w:rPr>
          <w:sz w:val="22"/>
          <w:szCs w:val="22"/>
        </w:rPr>
      </w:pPr>
      <w:r w:rsidRPr="00A156F4">
        <w:rPr>
          <w:sz w:val="22"/>
          <w:szCs w:val="22"/>
          <w:lang w:val="es-CR"/>
        </w:rPr>
        <w:t xml:space="preserve">Una vez cesado su nombramiento, los miembros de la </w:t>
      </w:r>
      <w:r w:rsidR="00245212" w:rsidRPr="00A156F4">
        <w:rPr>
          <w:sz w:val="22"/>
          <w:szCs w:val="22"/>
        </w:rPr>
        <w:t>Co</w:t>
      </w:r>
      <w:r w:rsidR="006E4178" w:rsidRPr="00A156F4">
        <w:rPr>
          <w:sz w:val="22"/>
          <w:szCs w:val="22"/>
        </w:rPr>
        <w:t>misión</w:t>
      </w:r>
      <w:r w:rsidR="00245212" w:rsidRPr="00A156F4">
        <w:rPr>
          <w:sz w:val="22"/>
          <w:szCs w:val="22"/>
          <w:lang w:val="es-CR"/>
        </w:rPr>
        <w:t xml:space="preserve"> </w:t>
      </w:r>
      <w:r w:rsidRPr="00A156F4">
        <w:rPr>
          <w:sz w:val="22"/>
          <w:szCs w:val="22"/>
          <w:lang w:val="es-CR"/>
        </w:rPr>
        <w:t xml:space="preserve">se </w:t>
      </w:r>
      <w:r w:rsidR="00EC2DB4" w:rsidRPr="00A156F4">
        <w:rPr>
          <w:sz w:val="22"/>
          <w:szCs w:val="22"/>
          <w:lang w:val="es-CR"/>
        </w:rPr>
        <w:t xml:space="preserve">deberán </w:t>
      </w:r>
      <w:r w:rsidRPr="00A156F4">
        <w:rPr>
          <w:sz w:val="22"/>
          <w:szCs w:val="22"/>
          <w:lang w:val="es-CR"/>
        </w:rPr>
        <w:t>absten</w:t>
      </w:r>
      <w:r w:rsidR="00EC2DB4" w:rsidRPr="00A156F4">
        <w:rPr>
          <w:sz w:val="22"/>
          <w:szCs w:val="22"/>
          <w:lang w:val="es-CR"/>
        </w:rPr>
        <w:t xml:space="preserve">er </w:t>
      </w:r>
      <w:r w:rsidRPr="00A156F4">
        <w:rPr>
          <w:sz w:val="22"/>
          <w:szCs w:val="22"/>
          <w:lang w:val="es-CR"/>
        </w:rPr>
        <w:t>de patrocinar, asesorar, o de cualquier forma participar en asuntos que hubiese</w:t>
      </w:r>
      <w:r w:rsidR="00C45032" w:rsidRPr="00A156F4">
        <w:rPr>
          <w:sz w:val="22"/>
          <w:szCs w:val="22"/>
          <w:lang w:val="es-CR"/>
        </w:rPr>
        <w:t>n</w:t>
      </w:r>
      <w:r w:rsidRPr="00A156F4">
        <w:rPr>
          <w:sz w:val="22"/>
          <w:szCs w:val="22"/>
          <w:lang w:val="es-CR"/>
        </w:rPr>
        <w:t xml:space="preserve"> conocido en tal carácter.</w:t>
      </w:r>
      <w:r w:rsidR="00BA0885" w:rsidRPr="00A156F4">
        <w:rPr>
          <w:sz w:val="22"/>
          <w:szCs w:val="22"/>
          <w:lang w:val="es-CR"/>
        </w:rPr>
        <w:t xml:space="preserve"> </w:t>
      </w:r>
      <w:r w:rsidRPr="00A156F4">
        <w:rPr>
          <w:sz w:val="22"/>
          <w:szCs w:val="22"/>
          <w:lang w:val="es-CR"/>
        </w:rPr>
        <w:t xml:space="preserve">Asimismo, durante </w:t>
      </w:r>
      <w:r w:rsidR="00DD2F8B" w:rsidRPr="00A156F4">
        <w:rPr>
          <w:sz w:val="22"/>
          <w:szCs w:val="22"/>
          <w:lang w:val="es-CR"/>
        </w:rPr>
        <w:t>e</w:t>
      </w:r>
      <w:r w:rsidRPr="00A156F4">
        <w:rPr>
          <w:sz w:val="22"/>
          <w:szCs w:val="22"/>
          <w:lang w:val="es-CR"/>
        </w:rPr>
        <w:t>l año siguiente al cese de su cargo</w:t>
      </w:r>
      <w:r w:rsidR="00DD2F8B" w:rsidRPr="00A156F4">
        <w:rPr>
          <w:sz w:val="22"/>
          <w:szCs w:val="22"/>
          <w:lang w:val="es-CR"/>
        </w:rPr>
        <w:t>,</w:t>
      </w:r>
      <w:r w:rsidRPr="00A156F4">
        <w:rPr>
          <w:sz w:val="22"/>
          <w:szCs w:val="22"/>
          <w:lang w:val="es-CR"/>
        </w:rPr>
        <w:t xml:space="preserve"> se deberán abstener de participar de cualquier forma en asuntos que deb</w:t>
      </w:r>
      <w:r w:rsidR="00AF231D" w:rsidRPr="00A156F4">
        <w:rPr>
          <w:sz w:val="22"/>
          <w:szCs w:val="22"/>
          <w:lang w:val="es-CR"/>
        </w:rPr>
        <w:t>a</w:t>
      </w:r>
      <w:r w:rsidRPr="00A156F4">
        <w:rPr>
          <w:sz w:val="22"/>
          <w:szCs w:val="22"/>
          <w:lang w:val="es-CR"/>
        </w:rPr>
        <w:t xml:space="preserve">n ser resueltos por </w:t>
      </w:r>
      <w:r w:rsidR="00DD2F8B" w:rsidRPr="00A156F4">
        <w:rPr>
          <w:sz w:val="22"/>
          <w:szCs w:val="22"/>
          <w:lang w:val="es-CR"/>
        </w:rPr>
        <w:t xml:space="preserve">la </w:t>
      </w:r>
      <w:proofErr w:type="spellStart"/>
      <w:r w:rsidRPr="00A156F4">
        <w:rPr>
          <w:sz w:val="22"/>
          <w:szCs w:val="22"/>
          <w:lang w:val="es-CR"/>
        </w:rPr>
        <w:t>Coprocom</w:t>
      </w:r>
      <w:proofErr w:type="spellEnd"/>
      <w:r w:rsidRPr="00A156F4">
        <w:rPr>
          <w:sz w:val="22"/>
          <w:szCs w:val="22"/>
          <w:lang w:val="es-CR"/>
        </w:rPr>
        <w:t>. Durante ese mismo plazo se deberán abstener de prestar servicios, sea o no bajo una relación de dependencia, para beneficio directo o indirecto de personas físicas o jurídicas</w:t>
      </w:r>
      <w:r w:rsidR="00DD2F8B" w:rsidRPr="00A156F4">
        <w:rPr>
          <w:sz w:val="22"/>
          <w:szCs w:val="22"/>
          <w:lang w:val="es-CR"/>
        </w:rPr>
        <w:t>,</w:t>
      </w:r>
      <w:r w:rsidRPr="00A156F4">
        <w:rPr>
          <w:sz w:val="22"/>
          <w:szCs w:val="22"/>
          <w:lang w:val="es-CR"/>
        </w:rPr>
        <w:t xml:space="preserve"> que hubiesen sido parte</w:t>
      </w:r>
      <w:r w:rsidR="00AF231D" w:rsidRPr="00A156F4">
        <w:rPr>
          <w:sz w:val="22"/>
          <w:szCs w:val="22"/>
          <w:lang w:val="es-CR"/>
        </w:rPr>
        <w:t xml:space="preserve"> </w:t>
      </w:r>
      <w:r w:rsidRPr="00A156F4">
        <w:rPr>
          <w:sz w:val="22"/>
          <w:szCs w:val="22"/>
          <w:lang w:val="es-CR"/>
        </w:rPr>
        <w:t xml:space="preserve">en asuntos que conocieron durante </w:t>
      </w:r>
      <w:r w:rsidR="00365377" w:rsidRPr="00A156F4">
        <w:rPr>
          <w:sz w:val="22"/>
          <w:szCs w:val="22"/>
          <w:lang w:val="es-CR"/>
        </w:rPr>
        <w:t>el</w:t>
      </w:r>
      <w:r w:rsidRPr="00A156F4">
        <w:rPr>
          <w:sz w:val="22"/>
          <w:szCs w:val="22"/>
          <w:lang w:val="es-CR"/>
        </w:rPr>
        <w:t xml:space="preserve"> año previo al cese de sus funciones</w:t>
      </w:r>
      <w:r w:rsidRPr="00A156F4">
        <w:rPr>
          <w:sz w:val="22"/>
          <w:szCs w:val="22"/>
        </w:rPr>
        <w:t xml:space="preserve">. </w:t>
      </w:r>
      <w:r w:rsidR="00626FCE" w:rsidRPr="00A156F4">
        <w:rPr>
          <w:sz w:val="22"/>
          <w:szCs w:val="22"/>
        </w:rPr>
        <w:t xml:space="preserve">El incumplimiento de esta prohibición será sancionado por </w:t>
      </w:r>
      <w:r w:rsidR="00EE1605" w:rsidRPr="00A156F4">
        <w:rPr>
          <w:sz w:val="22"/>
          <w:szCs w:val="22"/>
        </w:rPr>
        <w:t>la Contraloría General de la República</w:t>
      </w:r>
      <w:r w:rsidR="00626FCE" w:rsidRPr="00A156F4">
        <w:rPr>
          <w:sz w:val="22"/>
          <w:szCs w:val="22"/>
        </w:rPr>
        <w:t xml:space="preserve"> con inhabilitación para el ejercicio de cargos públicos hasta por </w:t>
      </w:r>
      <w:r w:rsidR="00EE1605" w:rsidRPr="00A156F4">
        <w:rPr>
          <w:sz w:val="22"/>
          <w:szCs w:val="22"/>
        </w:rPr>
        <w:t>cuatro</w:t>
      </w:r>
      <w:r w:rsidR="00626FCE" w:rsidRPr="00A156F4">
        <w:rPr>
          <w:sz w:val="22"/>
          <w:szCs w:val="22"/>
        </w:rPr>
        <w:t xml:space="preserve"> años. </w:t>
      </w:r>
    </w:p>
    <w:p w14:paraId="55DCEE91" w14:textId="77777777" w:rsidR="00F1512E" w:rsidRPr="00A156F4" w:rsidRDefault="00F1512E" w:rsidP="004B2F8B">
      <w:pPr>
        <w:widowControl w:val="0"/>
        <w:jc w:val="both"/>
        <w:rPr>
          <w:sz w:val="22"/>
          <w:szCs w:val="22"/>
        </w:rPr>
      </w:pPr>
    </w:p>
    <w:p w14:paraId="17B90A5E" w14:textId="4D3E9F00" w:rsidR="003C5B99" w:rsidRPr="00A156F4" w:rsidRDefault="00D2752F" w:rsidP="00E075A3">
      <w:pPr>
        <w:widowControl w:val="0"/>
        <w:shd w:val="clear" w:color="auto" w:fill="FFFFFF" w:themeFill="background1"/>
        <w:jc w:val="both"/>
        <w:outlineLvl w:val="0"/>
        <w:rPr>
          <w:b/>
          <w:bCs/>
          <w:sz w:val="22"/>
          <w:szCs w:val="22"/>
        </w:rPr>
      </w:pPr>
      <w:r w:rsidRPr="00A156F4">
        <w:rPr>
          <w:b/>
          <w:bCs/>
          <w:sz w:val="22"/>
          <w:szCs w:val="22"/>
        </w:rPr>
        <w:t xml:space="preserve">Artículo </w:t>
      </w:r>
      <w:r w:rsidR="00A5301D" w:rsidRPr="00A156F4">
        <w:rPr>
          <w:b/>
          <w:bCs/>
          <w:sz w:val="22"/>
          <w:szCs w:val="22"/>
        </w:rPr>
        <w:t>10</w:t>
      </w:r>
      <w:r w:rsidR="003C5B99" w:rsidRPr="00A156F4">
        <w:rPr>
          <w:b/>
          <w:bCs/>
          <w:sz w:val="22"/>
          <w:szCs w:val="22"/>
        </w:rPr>
        <w:t>.-</w:t>
      </w:r>
      <w:r w:rsidR="00570FB1" w:rsidRPr="00A156F4">
        <w:rPr>
          <w:b/>
          <w:bCs/>
          <w:sz w:val="22"/>
          <w:szCs w:val="22"/>
        </w:rPr>
        <w:t xml:space="preserve"> </w:t>
      </w:r>
      <w:r w:rsidR="003C5B99" w:rsidRPr="00A156F4">
        <w:rPr>
          <w:b/>
          <w:bCs/>
          <w:sz w:val="22"/>
          <w:szCs w:val="22"/>
        </w:rPr>
        <w:t>Causas de remoción</w:t>
      </w:r>
      <w:r w:rsidR="00323493" w:rsidRPr="00A156F4">
        <w:rPr>
          <w:b/>
          <w:bCs/>
          <w:sz w:val="22"/>
          <w:szCs w:val="22"/>
        </w:rPr>
        <w:t xml:space="preserve"> de los </w:t>
      </w:r>
      <w:r w:rsidR="00016316" w:rsidRPr="00A156F4">
        <w:rPr>
          <w:b/>
          <w:bCs/>
          <w:sz w:val="22"/>
          <w:szCs w:val="22"/>
        </w:rPr>
        <w:t xml:space="preserve">integrantes </w:t>
      </w:r>
      <w:r w:rsidR="00323493" w:rsidRPr="00A156F4">
        <w:rPr>
          <w:b/>
          <w:bCs/>
          <w:sz w:val="22"/>
          <w:szCs w:val="22"/>
        </w:rPr>
        <w:t xml:space="preserve">del Órgano Superior </w:t>
      </w:r>
      <w:r w:rsidR="002D6E40" w:rsidRPr="00A156F4">
        <w:rPr>
          <w:b/>
          <w:bCs/>
          <w:sz w:val="22"/>
          <w:szCs w:val="22"/>
        </w:rPr>
        <w:t xml:space="preserve">de la </w:t>
      </w:r>
      <w:proofErr w:type="spellStart"/>
      <w:r w:rsidR="002D6E40" w:rsidRPr="00A156F4">
        <w:rPr>
          <w:b/>
          <w:bCs/>
          <w:sz w:val="22"/>
          <w:szCs w:val="22"/>
        </w:rPr>
        <w:t>Coprocom</w:t>
      </w:r>
      <w:proofErr w:type="spellEnd"/>
    </w:p>
    <w:p w14:paraId="30CF7BE3" w14:textId="77777777" w:rsidR="007851B6" w:rsidRPr="00A156F4" w:rsidRDefault="007851B6" w:rsidP="004B2F8B">
      <w:pPr>
        <w:widowControl w:val="0"/>
        <w:jc w:val="both"/>
        <w:outlineLvl w:val="0"/>
        <w:rPr>
          <w:b/>
          <w:bCs/>
          <w:sz w:val="22"/>
          <w:szCs w:val="22"/>
        </w:rPr>
      </w:pPr>
    </w:p>
    <w:p w14:paraId="22D06EBC" w14:textId="77777777" w:rsidR="0033263D" w:rsidRPr="00A156F4" w:rsidRDefault="003C5B99" w:rsidP="004B2F8B">
      <w:pPr>
        <w:widowControl w:val="0"/>
        <w:jc w:val="both"/>
        <w:rPr>
          <w:sz w:val="22"/>
          <w:szCs w:val="22"/>
        </w:rPr>
      </w:pPr>
      <w:r w:rsidRPr="00A156F4">
        <w:rPr>
          <w:sz w:val="22"/>
          <w:szCs w:val="22"/>
        </w:rPr>
        <w:t xml:space="preserve">Son causas justas para destituir a los </w:t>
      </w:r>
      <w:r w:rsidR="007851B6" w:rsidRPr="00A156F4">
        <w:rPr>
          <w:sz w:val="22"/>
          <w:szCs w:val="22"/>
        </w:rPr>
        <w:t>integrantes</w:t>
      </w:r>
      <w:r w:rsidRPr="00A156F4">
        <w:rPr>
          <w:sz w:val="22"/>
          <w:szCs w:val="22"/>
        </w:rPr>
        <w:t xml:space="preserve"> de</w:t>
      </w:r>
      <w:r w:rsidR="00B45C82" w:rsidRPr="00A156F4">
        <w:rPr>
          <w:sz w:val="22"/>
          <w:szCs w:val="22"/>
        </w:rPr>
        <w:t xml:space="preserve"> </w:t>
      </w:r>
      <w:r w:rsidR="00F65C88" w:rsidRPr="00A156F4">
        <w:rPr>
          <w:sz w:val="22"/>
          <w:szCs w:val="22"/>
        </w:rPr>
        <w:t xml:space="preserve">la Comisión </w:t>
      </w:r>
      <w:r w:rsidRPr="00A156F4">
        <w:rPr>
          <w:sz w:val="22"/>
          <w:szCs w:val="22"/>
        </w:rPr>
        <w:t xml:space="preserve">las siguientes: </w:t>
      </w:r>
    </w:p>
    <w:p w14:paraId="3134EFC6" w14:textId="77777777" w:rsidR="003D7E03" w:rsidRPr="00A156F4" w:rsidRDefault="003D7E03" w:rsidP="004B2F8B">
      <w:pPr>
        <w:widowControl w:val="0"/>
        <w:ind w:firstLine="709"/>
        <w:jc w:val="both"/>
        <w:rPr>
          <w:sz w:val="22"/>
          <w:szCs w:val="22"/>
        </w:rPr>
      </w:pPr>
    </w:p>
    <w:p w14:paraId="56DF51B9" w14:textId="77777777" w:rsidR="00784737" w:rsidRPr="00A156F4" w:rsidRDefault="00784737"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Dejar de cumplir los requisitos establecidos para ejercer el cargo o incurrir en alguno de los impedimentos señalados.</w:t>
      </w:r>
    </w:p>
    <w:p w14:paraId="504F1B65" w14:textId="77777777" w:rsidR="00784737" w:rsidRPr="00A156F4" w:rsidRDefault="00784737" w:rsidP="004B2F8B">
      <w:pPr>
        <w:pStyle w:val="Prrafodelista"/>
        <w:widowControl w:val="0"/>
        <w:spacing w:after="0" w:line="240" w:lineRule="auto"/>
        <w:ind w:left="720"/>
        <w:jc w:val="both"/>
        <w:rPr>
          <w:rFonts w:ascii="Times New Roman" w:eastAsiaTheme="minorHAnsi" w:hAnsi="Times New Roman"/>
          <w:lang w:val="es-ES_tradnl" w:eastAsia="es-ES_tradnl"/>
        </w:rPr>
      </w:pPr>
    </w:p>
    <w:p w14:paraId="05DACED5" w14:textId="77777777" w:rsidR="00551865" w:rsidRPr="00A156F4" w:rsidRDefault="003C5B99"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Incurrir en alguna incompatibilidad o prohibición durante el ejercicio de su cargo.</w:t>
      </w:r>
    </w:p>
    <w:p w14:paraId="363D6C64" w14:textId="77777777" w:rsidR="001801B6" w:rsidRPr="00A156F4" w:rsidRDefault="001801B6" w:rsidP="004B2F8B">
      <w:pPr>
        <w:pStyle w:val="Prrafodelista"/>
        <w:widowControl w:val="0"/>
        <w:spacing w:after="0" w:line="240" w:lineRule="auto"/>
        <w:ind w:left="720"/>
        <w:jc w:val="both"/>
        <w:rPr>
          <w:rFonts w:ascii="Times New Roman" w:eastAsiaTheme="minorHAnsi" w:hAnsi="Times New Roman"/>
          <w:lang w:val="es-ES_tradnl" w:eastAsia="es-ES_tradnl"/>
        </w:rPr>
      </w:pPr>
    </w:p>
    <w:p w14:paraId="6D73F5D8" w14:textId="77777777" w:rsidR="001801B6" w:rsidRPr="00A156F4" w:rsidRDefault="00B41B6B"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Incurrir en negligencia reiterada</w:t>
      </w:r>
      <w:r w:rsidR="005725E1" w:rsidRPr="00A156F4">
        <w:rPr>
          <w:rFonts w:ascii="Times New Roman" w:eastAsiaTheme="minorHAnsi" w:hAnsi="Times New Roman"/>
          <w:lang w:val="es-ES_tradnl" w:eastAsia="es-ES_tradnl"/>
        </w:rPr>
        <w:t xml:space="preserve"> o ineficiencia </w:t>
      </w:r>
      <w:r w:rsidRPr="00A156F4">
        <w:rPr>
          <w:rFonts w:ascii="Times New Roman" w:eastAsiaTheme="minorHAnsi" w:hAnsi="Times New Roman"/>
          <w:lang w:val="es-ES_tradnl" w:eastAsia="es-ES_tradnl"/>
        </w:rPr>
        <w:t>en el cumplimiento de los deberes de su cargo.</w:t>
      </w:r>
    </w:p>
    <w:p w14:paraId="14AB3E2E" w14:textId="77777777" w:rsidR="001801B6" w:rsidRPr="00A156F4" w:rsidRDefault="001801B6" w:rsidP="004B2F8B">
      <w:pPr>
        <w:widowControl w:val="0"/>
        <w:jc w:val="both"/>
        <w:rPr>
          <w:sz w:val="22"/>
          <w:szCs w:val="22"/>
        </w:rPr>
      </w:pPr>
    </w:p>
    <w:p w14:paraId="087D34F8" w14:textId="77777777" w:rsidR="001801B6" w:rsidRPr="00A156F4" w:rsidRDefault="001D4C5E"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Ser</w:t>
      </w:r>
      <w:r w:rsidR="00B44689" w:rsidRPr="00A156F4">
        <w:rPr>
          <w:rFonts w:ascii="Times New Roman" w:eastAsiaTheme="minorHAnsi" w:hAnsi="Times New Roman"/>
          <w:lang w:val="es-ES_tradnl" w:eastAsia="es-ES_tradnl"/>
        </w:rPr>
        <w:t xml:space="preserve"> condenado, en sentencia firme, por </w:t>
      </w:r>
      <w:r w:rsidR="004E5C57" w:rsidRPr="00A156F4">
        <w:rPr>
          <w:rFonts w:ascii="Times New Roman" w:eastAsiaTheme="minorHAnsi" w:hAnsi="Times New Roman"/>
          <w:lang w:val="es-ES_tradnl" w:eastAsia="es-ES_tradnl"/>
        </w:rPr>
        <w:t>cualquier</w:t>
      </w:r>
      <w:r w:rsidR="00B44689" w:rsidRPr="00A156F4">
        <w:rPr>
          <w:rFonts w:ascii="Times New Roman" w:eastAsiaTheme="minorHAnsi" w:hAnsi="Times New Roman"/>
          <w:lang w:val="es-ES_tradnl" w:eastAsia="es-ES_tradnl"/>
        </w:rPr>
        <w:t xml:space="preserve"> delito</w:t>
      </w:r>
      <w:r w:rsidRPr="00A156F4">
        <w:rPr>
          <w:rFonts w:ascii="Times New Roman" w:eastAsiaTheme="minorHAnsi" w:hAnsi="Times New Roman"/>
          <w:lang w:val="es-ES_tradnl" w:eastAsia="es-ES_tradnl"/>
        </w:rPr>
        <w:t xml:space="preserve"> doloso, incluso en grado de tentativa</w:t>
      </w:r>
      <w:r w:rsidR="00DD2007" w:rsidRPr="00A156F4">
        <w:rPr>
          <w:rFonts w:ascii="Times New Roman" w:eastAsiaTheme="minorHAnsi" w:hAnsi="Times New Roman"/>
          <w:lang w:val="es-ES_tradnl" w:eastAsia="es-ES_tradnl"/>
        </w:rPr>
        <w:t>.</w:t>
      </w:r>
    </w:p>
    <w:p w14:paraId="4665C1CB" w14:textId="77777777" w:rsidR="001801B6" w:rsidRPr="00A156F4" w:rsidRDefault="001801B6" w:rsidP="004B2F8B">
      <w:pPr>
        <w:widowControl w:val="0"/>
        <w:jc w:val="both"/>
        <w:rPr>
          <w:sz w:val="22"/>
          <w:szCs w:val="22"/>
        </w:rPr>
      </w:pPr>
    </w:p>
    <w:p w14:paraId="48C86F53" w14:textId="77777777" w:rsidR="00020B5A" w:rsidRPr="00A156F4" w:rsidRDefault="001D4C5E"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Ser</w:t>
      </w:r>
      <w:r w:rsidR="00B44689" w:rsidRPr="00A156F4">
        <w:rPr>
          <w:rFonts w:ascii="Times New Roman" w:eastAsiaTheme="minorHAnsi" w:hAnsi="Times New Roman"/>
          <w:lang w:val="es-ES_tradnl" w:eastAsia="es-ES_tradnl"/>
        </w:rPr>
        <w:t xml:space="preserve"> </w:t>
      </w:r>
      <w:r w:rsidR="00DD2007" w:rsidRPr="00A156F4">
        <w:rPr>
          <w:rFonts w:ascii="Times New Roman" w:eastAsiaTheme="minorHAnsi" w:hAnsi="Times New Roman"/>
          <w:lang w:val="es-ES_tradnl" w:eastAsia="es-ES_tradnl"/>
        </w:rPr>
        <w:t xml:space="preserve">inhabilitado </w:t>
      </w:r>
      <w:r w:rsidR="00B44689" w:rsidRPr="00A156F4">
        <w:rPr>
          <w:rFonts w:ascii="Times New Roman" w:eastAsiaTheme="minorHAnsi" w:hAnsi="Times New Roman"/>
          <w:lang w:val="es-ES_tradnl" w:eastAsia="es-ES_tradnl"/>
        </w:rPr>
        <w:t>para el desempeño de cargos u oficios públicos</w:t>
      </w:r>
      <w:r w:rsidR="000F519A" w:rsidRPr="00A156F4">
        <w:rPr>
          <w:rFonts w:ascii="Times New Roman" w:eastAsiaTheme="minorHAnsi" w:hAnsi="Times New Roman"/>
          <w:lang w:val="es-ES_tradnl" w:eastAsia="es-ES_tradnl"/>
        </w:rPr>
        <w:t>.</w:t>
      </w:r>
    </w:p>
    <w:p w14:paraId="4C63902E" w14:textId="77777777" w:rsidR="001801B6" w:rsidRPr="00A156F4" w:rsidRDefault="001801B6" w:rsidP="004B2F8B">
      <w:pPr>
        <w:widowControl w:val="0"/>
        <w:jc w:val="both"/>
        <w:rPr>
          <w:sz w:val="22"/>
          <w:szCs w:val="22"/>
        </w:rPr>
      </w:pPr>
    </w:p>
    <w:p w14:paraId="229F0410" w14:textId="77777777" w:rsidR="001801B6" w:rsidRPr="00A156F4" w:rsidRDefault="0083120E"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Conocer o votar sobre asuntos para los cuales haya tenido motivo de excusa o impedimento.</w:t>
      </w:r>
    </w:p>
    <w:p w14:paraId="496B9B00" w14:textId="77777777" w:rsidR="001801B6" w:rsidRPr="00A156F4" w:rsidRDefault="001801B6" w:rsidP="004B2F8B">
      <w:pPr>
        <w:widowControl w:val="0"/>
        <w:jc w:val="both"/>
        <w:rPr>
          <w:sz w:val="22"/>
          <w:szCs w:val="22"/>
        </w:rPr>
      </w:pPr>
    </w:p>
    <w:p w14:paraId="402629E3" w14:textId="77777777" w:rsidR="00020B5A" w:rsidRPr="00A156F4" w:rsidRDefault="00DD2007"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Ausentarse de</w:t>
      </w:r>
      <w:r w:rsidR="0064478B" w:rsidRPr="00A156F4">
        <w:rPr>
          <w:rFonts w:ascii="Times New Roman" w:eastAsiaTheme="minorHAnsi" w:hAnsi="Times New Roman"/>
          <w:lang w:val="es-ES_tradnl" w:eastAsia="es-ES_tradnl"/>
        </w:rPr>
        <w:t xml:space="preserve"> participar en</w:t>
      </w:r>
      <w:r w:rsidRPr="00A156F4">
        <w:rPr>
          <w:rFonts w:ascii="Times New Roman" w:eastAsiaTheme="minorHAnsi" w:hAnsi="Times New Roman"/>
          <w:lang w:val="es-ES_tradnl" w:eastAsia="es-ES_tradnl"/>
        </w:rPr>
        <w:t xml:space="preserve"> </w:t>
      </w:r>
      <w:r w:rsidR="0064478B" w:rsidRPr="00A156F4">
        <w:rPr>
          <w:rFonts w:ascii="Times New Roman" w:eastAsiaTheme="minorHAnsi" w:hAnsi="Times New Roman"/>
          <w:lang w:val="es-ES_tradnl" w:eastAsia="es-ES_tradnl"/>
        </w:rPr>
        <w:t xml:space="preserve">al menos </w:t>
      </w:r>
      <w:r w:rsidR="003433CC" w:rsidRPr="00A156F4">
        <w:rPr>
          <w:rFonts w:ascii="Times New Roman" w:eastAsiaTheme="minorHAnsi" w:hAnsi="Times New Roman"/>
          <w:lang w:val="es-ES_tradnl" w:eastAsia="es-ES_tradnl"/>
        </w:rPr>
        <w:t xml:space="preserve">dos </w:t>
      </w:r>
      <w:r w:rsidRPr="00A156F4">
        <w:rPr>
          <w:rFonts w:ascii="Times New Roman" w:eastAsiaTheme="minorHAnsi" w:hAnsi="Times New Roman"/>
          <w:lang w:val="es-ES_tradnl" w:eastAsia="es-ES_tradnl"/>
        </w:rPr>
        <w:t>sesion</w:t>
      </w:r>
      <w:r w:rsidR="0064478B" w:rsidRPr="00A156F4">
        <w:rPr>
          <w:rFonts w:ascii="Times New Roman" w:eastAsiaTheme="minorHAnsi" w:hAnsi="Times New Roman"/>
          <w:lang w:val="es-ES_tradnl" w:eastAsia="es-ES_tradnl"/>
        </w:rPr>
        <w:t>es</w:t>
      </w:r>
      <w:r w:rsidRPr="00A156F4">
        <w:rPr>
          <w:rFonts w:ascii="Times New Roman" w:eastAsiaTheme="minorHAnsi" w:hAnsi="Times New Roman"/>
          <w:lang w:val="es-ES_tradnl" w:eastAsia="es-ES_tradnl"/>
        </w:rPr>
        <w:t xml:space="preserve"> </w:t>
      </w:r>
      <w:r w:rsidR="000B6D77" w:rsidRPr="00A156F4">
        <w:rPr>
          <w:rFonts w:ascii="Times New Roman" w:eastAsiaTheme="minorHAnsi" w:hAnsi="Times New Roman"/>
          <w:lang w:val="es-ES_tradnl" w:eastAsia="es-ES_tradnl"/>
        </w:rPr>
        <w:t>en un mes calendario</w:t>
      </w:r>
      <w:r w:rsidR="003A7EBD" w:rsidRPr="00A156F4">
        <w:rPr>
          <w:rFonts w:ascii="Times New Roman" w:eastAsiaTheme="minorHAnsi" w:hAnsi="Times New Roman"/>
          <w:lang w:val="es-ES_tradnl" w:eastAsia="es-ES_tradnl"/>
        </w:rPr>
        <w:t>,</w:t>
      </w:r>
      <w:r w:rsidR="000B6D77" w:rsidRPr="00A156F4">
        <w:rPr>
          <w:rFonts w:ascii="Times New Roman" w:eastAsiaTheme="minorHAnsi" w:hAnsi="Times New Roman"/>
          <w:lang w:val="es-ES_tradnl" w:eastAsia="es-ES_tradnl"/>
        </w:rPr>
        <w:t xml:space="preserve"> </w:t>
      </w:r>
      <w:r w:rsidRPr="00A156F4">
        <w:rPr>
          <w:rFonts w:ascii="Times New Roman" w:eastAsiaTheme="minorHAnsi" w:hAnsi="Times New Roman"/>
          <w:lang w:val="es-ES_tradnl" w:eastAsia="es-ES_tradnl"/>
        </w:rPr>
        <w:t>sin causa justificada</w:t>
      </w:r>
      <w:r w:rsidR="003C5B99" w:rsidRPr="00A156F4">
        <w:rPr>
          <w:rFonts w:ascii="Times New Roman" w:eastAsiaTheme="minorHAnsi" w:hAnsi="Times New Roman"/>
          <w:lang w:val="es-ES_tradnl" w:eastAsia="es-ES_tradnl"/>
        </w:rPr>
        <w:t>.</w:t>
      </w:r>
    </w:p>
    <w:p w14:paraId="1321CFF8" w14:textId="77777777" w:rsidR="001801B6" w:rsidRPr="00A156F4" w:rsidRDefault="001801B6" w:rsidP="004B2F8B">
      <w:pPr>
        <w:widowControl w:val="0"/>
        <w:jc w:val="both"/>
        <w:rPr>
          <w:sz w:val="22"/>
          <w:szCs w:val="22"/>
        </w:rPr>
      </w:pPr>
    </w:p>
    <w:p w14:paraId="13342328" w14:textId="77777777" w:rsidR="00424504" w:rsidRPr="00A156F4" w:rsidRDefault="00424504"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Ausentarse del país por más de un mes</w:t>
      </w:r>
      <w:r w:rsidR="00593CE3" w:rsidRPr="00A156F4">
        <w:rPr>
          <w:rFonts w:ascii="Times New Roman" w:eastAsiaTheme="minorHAnsi" w:hAnsi="Times New Roman"/>
          <w:lang w:val="es-ES_tradnl" w:eastAsia="es-ES_tradnl"/>
        </w:rPr>
        <w:t xml:space="preserve"> sin autorización de</w:t>
      </w:r>
      <w:r w:rsidR="00895631" w:rsidRPr="00A156F4">
        <w:rPr>
          <w:rFonts w:ascii="Times New Roman" w:eastAsiaTheme="minorHAnsi" w:hAnsi="Times New Roman"/>
          <w:lang w:val="es-ES_tradnl" w:eastAsia="es-ES_tradnl"/>
        </w:rPr>
        <w:t xml:space="preserve"> </w:t>
      </w:r>
      <w:r w:rsidR="00593CE3" w:rsidRPr="00A156F4">
        <w:rPr>
          <w:rFonts w:ascii="Times New Roman" w:eastAsiaTheme="minorHAnsi" w:hAnsi="Times New Roman"/>
          <w:lang w:val="es-ES_tradnl" w:eastAsia="es-ES_tradnl"/>
        </w:rPr>
        <w:t>l</w:t>
      </w:r>
      <w:r w:rsidR="00895631" w:rsidRPr="00A156F4">
        <w:rPr>
          <w:rFonts w:ascii="Times New Roman" w:eastAsiaTheme="minorHAnsi" w:hAnsi="Times New Roman"/>
          <w:lang w:val="es-ES_tradnl" w:eastAsia="es-ES_tradnl"/>
        </w:rPr>
        <w:t>a</w:t>
      </w:r>
      <w:r w:rsidR="00593CE3" w:rsidRPr="00A156F4">
        <w:rPr>
          <w:rFonts w:ascii="Times New Roman" w:eastAsiaTheme="minorHAnsi" w:hAnsi="Times New Roman"/>
          <w:lang w:val="es-ES_tradnl" w:eastAsia="es-ES_tradnl"/>
        </w:rPr>
        <w:t xml:space="preserve"> </w:t>
      </w:r>
      <w:r w:rsidR="00895631" w:rsidRPr="00A156F4">
        <w:rPr>
          <w:rFonts w:ascii="Times New Roman" w:eastAsiaTheme="minorHAnsi" w:hAnsi="Times New Roman"/>
          <w:lang w:val="es-ES_tradnl" w:eastAsia="es-ES_tradnl"/>
        </w:rPr>
        <w:t>Comisión</w:t>
      </w:r>
      <w:r w:rsidR="00593CE3" w:rsidRPr="00A156F4">
        <w:rPr>
          <w:rFonts w:ascii="Times New Roman" w:eastAsiaTheme="minorHAnsi" w:hAnsi="Times New Roman"/>
          <w:lang w:val="es-ES_tradnl" w:eastAsia="es-ES_tradnl"/>
        </w:rPr>
        <w:t>.</w:t>
      </w:r>
      <w:r w:rsidRPr="00A156F4">
        <w:rPr>
          <w:rFonts w:ascii="Times New Roman" w:eastAsiaTheme="minorHAnsi" w:hAnsi="Times New Roman"/>
          <w:lang w:val="es-ES_tradnl" w:eastAsia="es-ES_tradnl"/>
        </w:rPr>
        <w:t xml:space="preserve"> </w:t>
      </w:r>
      <w:r w:rsidR="00593CE3" w:rsidRPr="00A156F4">
        <w:rPr>
          <w:rFonts w:ascii="Times New Roman" w:eastAsiaTheme="minorHAnsi" w:hAnsi="Times New Roman"/>
          <w:lang w:val="es-ES_tradnl" w:eastAsia="es-ES_tradnl"/>
        </w:rPr>
        <w:t>E</w:t>
      </w:r>
      <w:r w:rsidRPr="00A156F4">
        <w:rPr>
          <w:rFonts w:ascii="Times New Roman" w:eastAsiaTheme="minorHAnsi" w:hAnsi="Times New Roman"/>
          <w:lang w:val="es-ES_tradnl" w:eastAsia="es-ES_tradnl"/>
        </w:rPr>
        <w:t xml:space="preserve">n ningún caso, los permisos otorgados podrán exceder los tres meses. </w:t>
      </w:r>
    </w:p>
    <w:p w14:paraId="523562A3" w14:textId="77777777" w:rsidR="001801B6" w:rsidRPr="00A156F4" w:rsidRDefault="001801B6" w:rsidP="004B2F8B">
      <w:pPr>
        <w:widowControl w:val="0"/>
        <w:jc w:val="both"/>
        <w:rPr>
          <w:sz w:val="22"/>
          <w:szCs w:val="22"/>
        </w:rPr>
      </w:pPr>
    </w:p>
    <w:p w14:paraId="6515EE64" w14:textId="77777777" w:rsidR="00020B5A" w:rsidRPr="00A156F4" w:rsidRDefault="003C5B99"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Abstenerse de resolver sin causa justificada los asuntos de su competencia</w:t>
      </w:r>
      <w:r w:rsidR="00020B5A" w:rsidRPr="00A156F4">
        <w:rPr>
          <w:rFonts w:ascii="Times New Roman" w:eastAsiaTheme="minorHAnsi" w:hAnsi="Times New Roman"/>
          <w:lang w:val="es-ES_tradnl" w:eastAsia="es-ES_tradnl"/>
        </w:rPr>
        <w:t>.</w:t>
      </w:r>
    </w:p>
    <w:p w14:paraId="156750BE" w14:textId="77777777" w:rsidR="001801B6" w:rsidRPr="00A156F4" w:rsidRDefault="001801B6" w:rsidP="004B2F8B">
      <w:pPr>
        <w:widowControl w:val="0"/>
        <w:jc w:val="both"/>
        <w:rPr>
          <w:sz w:val="22"/>
          <w:szCs w:val="22"/>
        </w:rPr>
      </w:pPr>
    </w:p>
    <w:p w14:paraId="37913768" w14:textId="77777777" w:rsidR="001801B6" w:rsidRPr="00A156F4" w:rsidRDefault="003C5B99"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 xml:space="preserve">Utilizar en beneficio propio o de terceros, </w:t>
      </w:r>
      <w:r w:rsidR="002D2600" w:rsidRPr="00A156F4">
        <w:rPr>
          <w:rFonts w:ascii="Times New Roman" w:eastAsiaTheme="minorHAnsi" w:hAnsi="Times New Roman"/>
          <w:lang w:val="es-ES_tradnl" w:eastAsia="es-ES_tradnl"/>
        </w:rPr>
        <w:t xml:space="preserve">así como divulgar, </w:t>
      </w:r>
      <w:r w:rsidRPr="00A156F4">
        <w:rPr>
          <w:rFonts w:ascii="Times New Roman" w:eastAsiaTheme="minorHAnsi" w:hAnsi="Times New Roman"/>
          <w:lang w:val="es-ES_tradnl" w:eastAsia="es-ES_tradnl"/>
        </w:rPr>
        <w:t xml:space="preserve">la información confidencial que disponga </w:t>
      </w:r>
      <w:proofErr w:type="gramStart"/>
      <w:r w:rsidRPr="00A156F4">
        <w:rPr>
          <w:rFonts w:ascii="Times New Roman" w:eastAsiaTheme="minorHAnsi" w:hAnsi="Times New Roman"/>
          <w:lang w:val="es-ES_tradnl" w:eastAsia="es-ES_tradnl"/>
        </w:rPr>
        <w:t>en razón de</w:t>
      </w:r>
      <w:proofErr w:type="gramEnd"/>
      <w:r w:rsidRPr="00A156F4">
        <w:rPr>
          <w:rFonts w:ascii="Times New Roman" w:eastAsiaTheme="minorHAnsi" w:hAnsi="Times New Roman"/>
          <w:lang w:val="es-ES_tradnl" w:eastAsia="es-ES_tradnl"/>
        </w:rPr>
        <w:t xml:space="preserve"> su cargo.</w:t>
      </w:r>
    </w:p>
    <w:p w14:paraId="590754F7" w14:textId="77777777" w:rsidR="001801B6" w:rsidRPr="00A156F4" w:rsidRDefault="001801B6" w:rsidP="004B2F8B">
      <w:pPr>
        <w:widowControl w:val="0"/>
        <w:jc w:val="both"/>
        <w:rPr>
          <w:sz w:val="22"/>
          <w:szCs w:val="22"/>
        </w:rPr>
      </w:pPr>
    </w:p>
    <w:p w14:paraId="09536CD0" w14:textId="5E7B8C60" w:rsidR="002609CF" w:rsidRPr="00A156F4" w:rsidRDefault="003C5B99" w:rsidP="00117EE5">
      <w:pPr>
        <w:pStyle w:val="Prrafodelista"/>
        <w:widowControl w:val="0"/>
        <w:numPr>
          <w:ilvl w:val="0"/>
          <w:numId w:val="18"/>
        </w:numPr>
        <w:spacing w:after="0" w:line="240" w:lineRule="auto"/>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 xml:space="preserve">Presentar incapacidad física o mental </w:t>
      </w:r>
      <w:r w:rsidR="00B94B1A" w:rsidRPr="00A156F4">
        <w:rPr>
          <w:rFonts w:ascii="Times New Roman" w:eastAsiaTheme="minorHAnsi" w:hAnsi="Times New Roman"/>
          <w:lang w:val="es-ES_tradnl" w:eastAsia="es-ES_tradnl"/>
        </w:rPr>
        <w:t>sobreviniente</w:t>
      </w:r>
      <w:r w:rsidR="00C45032" w:rsidRPr="00A156F4">
        <w:rPr>
          <w:rFonts w:ascii="Times New Roman" w:eastAsiaTheme="minorHAnsi" w:hAnsi="Times New Roman"/>
          <w:lang w:val="es-ES_tradnl" w:eastAsia="es-ES_tradnl"/>
        </w:rPr>
        <w:t>,</w:t>
      </w:r>
      <w:r w:rsidR="00B94B1A" w:rsidRPr="00A156F4">
        <w:rPr>
          <w:rFonts w:ascii="Times New Roman" w:eastAsiaTheme="minorHAnsi" w:hAnsi="Times New Roman"/>
          <w:lang w:val="es-ES_tradnl" w:eastAsia="es-ES_tradnl"/>
        </w:rPr>
        <w:t xml:space="preserve"> </w:t>
      </w:r>
      <w:r w:rsidR="0086147E" w:rsidRPr="00A156F4">
        <w:rPr>
          <w:rFonts w:ascii="Times New Roman" w:eastAsiaTheme="minorHAnsi" w:hAnsi="Times New Roman"/>
          <w:lang w:val="es-ES_tradnl" w:eastAsia="es-ES_tradnl"/>
        </w:rPr>
        <w:t>debidamente acreditada</w:t>
      </w:r>
      <w:r w:rsidR="00C45032" w:rsidRPr="00A156F4">
        <w:rPr>
          <w:rFonts w:ascii="Times New Roman" w:eastAsiaTheme="minorHAnsi" w:hAnsi="Times New Roman"/>
          <w:lang w:val="es-ES_tradnl" w:eastAsia="es-ES_tradnl"/>
        </w:rPr>
        <w:t>,</w:t>
      </w:r>
      <w:r w:rsidR="0086147E" w:rsidRPr="00A156F4">
        <w:rPr>
          <w:rFonts w:ascii="Times New Roman" w:eastAsiaTheme="minorHAnsi" w:hAnsi="Times New Roman"/>
          <w:lang w:val="es-ES_tradnl" w:eastAsia="es-ES_tradnl"/>
        </w:rPr>
        <w:t xml:space="preserve"> </w:t>
      </w:r>
      <w:r w:rsidRPr="00A156F4">
        <w:rPr>
          <w:rFonts w:ascii="Times New Roman" w:eastAsiaTheme="minorHAnsi" w:hAnsi="Times New Roman"/>
          <w:lang w:val="es-ES_tradnl" w:eastAsia="es-ES_tradnl"/>
        </w:rPr>
        <w:t>que le impida desempeñar su cargo</w:t>
      </w:r>
      <w:r w:rsidR="00B57C27" w:rsidRPr="00A156F4">
        <w:rPr>
          <w:rFonts w:ascii="Times New Roman" w:eastAsiaTheme="minorHAnsi" w:hAnsi="Times New Roman"/>
          <w:lang w:val="es-ES_tradnl" w:eastAsia="es-ES_tradnl"/>
        </w:rPr>
        <w:t xml:space="preserve"> </w:t>
      </w:r>
      <w:r w:rsidR="00B94B1A" w:rsidRPr="00A156F4">
        <w:rPr>
          <w:rFonts w:ascii="Times New Roman" w:eastAsiaTheme="minorHAnsi" w:hAnsi="Times New Roman"/>
          <w:lang w:val="es-ES_tradnl" w:eastAsia="es-ES_tradnl"/>
        </w:rPr>
        <w:t>por más de seis meses</w:t>
      </w:r>
      <w:r w:rsidRPr="00A156F4">
        <w:rPr>
          <w:rFonts w:ascii="Times New Roman" w:eastAsiaTheme="minorHAnsi" w:hAnsi="Times New Roman"/>
          <w:lang w:val="es-ES_tradnl" w:eastAsia="es-ES_tradnl"/>
        </w:rPr>
        <w:t>.</w:t>
      </w:r>
    </w:p>
    <w:p w14:paraId="60821C4F" w14:textId="77777777" w:rsidR="000B4F5A" w:rsidRPr="00A156F4" w:rsidRDefault="000B4F5A" w:rsidP="004B2F8B">
      <w:pPr>
        <w:pStyle w:val="Prrafodelista"/>
        <w:widowControl w:val="0"/>
        <w:spacing w:after="0" w:line="240" w:lineRule="auto"/>
        <w:ind w:left="720"/>
        <w:jc w:val="both"/>
        <w:rPr>
          <w:rFonts w:ascii="Times New Roman" w:eastAsiaTheme="minorHAnsi" w:hAnsi="Times New Roman"/>
          <w:lang w:val="es-ES_tradnl" w:eastAsia="es-ES_tradnl"/>
        </w:rPr>
      </w:pPr>
    </w:p>
    <w:p w14:paraId="7A84FE1A" w14:textId="44ADA574" w:rsidR="00792D30" w:rsidRPr="00A156F4" w:rsidRDefault="00792D30" w:rsidP="004B2F8B">
      <w:pPr>
        <w:widowControl w:val="0"/>
        <w:tabs>
          <w:tab w:val="left" w:pos="898"/>
        </w:tabs>
        <w:jc w:val="both"/>
        <w:rPr>
          <w:sz w:val="22"/>
          <w:szCs w:val="22"/>
        </w:rPr>
      </w:pPr>
      <w:r w:rsidRPr="00A156F4">
        <w:rPr>
          <w:sz w:val="22"/>
          <w:szCs w:val="22"/>
        </w:rPr>
        <w:t xml:space="preserve">De ser la causa de la remoción lo dispuesto en el inciso f), la </w:t>
      </w:r>
      <w:r w:rsidR="00F65C88" w:rsidRPr="00A156F4">
        <w:rPr>
          <w:sz w:val="22"/>
          <w:szCs w:val="22"/>
        </w:rPr>
        <w:t>Comisión</w:t>
      </w:r>
      <w:r w:rsidR="0021408D" w:rsidRPr="00A156F4">
        <w:rPr>
          <w:sz w:val="22"/>
          <w:szCs w:val="22"/>
        </w:rPr>
        <w:t xml:space="preserve"> </w:t>
      </w:r>
      <w:r w:rsidRPr="00A156F4">
        <w:rPr>
          <w:sz w:val="22"/>
          <w:szCs w:val="22"/>
        </w:rPr>
        <w:t xml:space="preserve">deberá adicionalmente certificar el expediente y </w:t>
      </w:r>
      <w:r w:rsidR="00C5212C" w:rsidRPr="00A156F4">
        <w:rPr>
          <w:sz w:val="22"/>
          <w:szCs w:val="22"/>
        </w:rPr>
        <w:t>elevarlo</w:t>
      </w:r>
      <w:r w:rsidRPr="00A156F4">
        <w:rPr>
          <w:sz w:val="22"/>
          <w:szCs w:val="22"/>
        </w:rPr>
        <w:t xml:space="preserve"> a conocimiento del Ministerio Público, así como a la Procuraduría de la Ética Pública</w:t>
      </w:r>
      <w:r w:rsidR="00C5212C" w:rsidRPr="00A156F4">
        <w:rPr>
          <w:sz w:val="22"/>
          <w:szCs w:val="22"/>
        </w:rPr>
        <w:t xml:space="preserve">, </w:t>
      </w:r>
      <w:r w:rsidR="00AF7345" w:rsidRPr="00A156F4">
        <w:rPr>
          <w:sz w:val="22"/>
          <w:szCs w:val="22"/>
        </w:rPr>
        <w:t>para lo que corresponda</w:t>
      </w:r>
      <w:r w:rsidRPr="00A156F4">
        <w:rPr>
          <w:sz w:val="22"/>
          <w:szCs w:val="22"/>
        </w:rPr>
        <w:t xml:space="preserve">. </w:t>
      </w:r>
    </w:p>
    <w:p w14:paraId="5B1531DE" w14:textId="77777777" w:rsidR="002609CF" w:rsidRPr="00A156F4" w:rsidRDefault="002609CF" w:rsidP="004B2F8B">
      <w:pPr>
        <w:widowControl w:val="0"/>
        <w:jc w:val="both"/>
        <w:rPr>
          <w:sz w:val="22"/>
          <w:szCs w:val="22"/>
          <w:lang w:val="es-CR"/>
        </w:rPr>
      </w:pPr>
    </w:p>
    <w:p w14:paraId="5726E664" w14:textId="5287FEA6" w:rsidR="0021408D" w:rsidRPr="00A156F4" w:rsidRDefault="00D02024" w:rsidP="004B2F8B">
      <w:pPr>
        <w:widowControl w:val="0"/>
        <w:tabs>
          <w:tab w:val="left" w:pos="898"/>
        </w:tabs>
        <w:jc w:val="both"/>
        <w:rPr>
          <w:sz w:val="22"/>
          <w:szCs w:val="22"/>
        </w:rPr>
      </w:pPr>
      <w:r w:rsidRPr="00A156F4">
        <w:rPr>
          <w:sz w:val="22"/>
          <w:szCs w:val="22"/>
        </w:rPr>
        <w:t>E</w:t>
      </w:r>
      <w:r w:rsidR="00033924" w:rsidRPr="00A156F4">
        <w:rPr>
          <w:sz w:val="22"/>
          <w:szCs w:val="22"/>
        </w:rPr>
        <w:t>l</w:t>
      </w:r>
      <w:r w:rsidRPr="00A156F4">
        <w:rPr>
          <w:sz w:val="22"/>
          <w:szCs w:val="22"/>
        </w:rPr>
        <w:t xml:space="preserve"> procedimiento de remoción </w:t>
      </w:r>
      <w:r w:rsidR="00033924" w:rsidRPr="00A156F4">
        <w:rPr>
          <w:sz w:val="22"/>
          <w:szCs w:val="22"/>
        </w:rPr>
        <w:t xml:space="preserve">de los miembros de la Comisión </w:t>
      </w:r>
      <w:r w:rsidRPr="00A156F4">
        <w:rPr>
          <w:sz w:val="22"/>
          <w:szCs w:val="22"/>
        </w:rPr>
        <w:t>debe</w:t>
      </w:r>
      <w:r w:rsidR="00033924" w:rsidRPr="00A156F4">
        <w:rPr>
          <w:sz w:val="22"/>
          <w:szCs w:val="22"/>
        </w:rPr>
        <w:t>rá</w:t>
      </w:r>
      <w:r w:rsidRPr="00A156F4">
        <w:rPr>
          <w:sz w:val="22"/>
          <w:szCs w:val="22"/>
        </w:rPr>
        <w:t xml:space="preserve"> tramitarse ante el Consejo de Gobierno, conforme a lo establecido en la </w:t>
      </w:r>
      <w:bookmarkStart w:id="8" w:name="_Hlk524340765"/>
      <w:r w:rsidR="003C59C8" w:rsidRPr="00A156F4">
        <w:rPr>
          <w:sz w:val="22"/>
          <w:szCs w:val="22"/>
        </w:rPr>
        <w:t xml:space="preserve">Ley General de la Administración Pública, Ley </w:t>
      </w:r>
      <w:proofErr w:type="spellStart"/>
      <w:r w:rsidR="003C59C8" w:rsidRPr="00A156F4">
        <w:rPr>
          <w:sz w:val="22"/>
          <w:szCs w:val="22"/>
        </w:rPr>
        <w:t>N°</w:t>
      </w:r>
      <w:proofErr w:type="spellEnd"/>
      <w:r w:rsidR="003C59C8" w:rsidRPr="00A156F4">
        <w:rPr>
          <w:sz w:val="22"/>
          <w:szCs w:val="22"/>
        </w:rPr>
        <w:t>. 6227, del 2 de mayo de 1978, sus reformas y sus reglamentos</w:t>
      </w:r>
      <w:bookmarkEnd w:id="8"/>
      <w:r w:rsidRPr="00A156F4">
        <w:rPr>
          <w:sz w:val="22"/>
          <w:szCs w:val="22"/>
        </w:rPr>
        <w:t>.</w:t>
      </w:r>
      <w:r w:rsidR="00E541F1" w:rsidRPr="00A156F4">
        <w:rPr>
          <w:sz w:val="22"/>
          <w:szCs w:val="22"/>
        </w:rPr>
        <w:t xml:space="preserve"> </w:t>
      </w:r>
    </w:p>
    <w:p w14:paraId="05AB2F42" w14:textId="77777777" w:rsidR="00E541F1" w:rsidRPr="00A156F4" w:rsidRDefault="00E541F1" w:rsidP="004B2F8B">
      <w:pPr>
        <w:widowControl w:val="0"/>
        <w:tabs>
          <w:tab w:val="left" w:pos="898"/>
        </w:tabs>
        <w:jc w:val="both"/>
        <w:rPr>
          <w:sz w:val="22"/>
          <w:szCs w:val="22"/>
        </w:rPr>
      </w:pPr>
    </w:p>
    <w:p w14:paraId="1340A5A9" w14:textId="64C9B83F" w:rsidR="003C5B99" w:rsidRPr="00A156F4" w:rsidRDefault="00D2752F" w:rsidP="004B2F8B">
      <w:pPr>
        <w:widowControl w:val="0"/>
        <w:jc w:val="both"/>
        <w:outlineLvl w:val="0"/>
        <w:rPr>
          <w:b/>
          <w:bCs/>
          <w:sz w:val="22"/>
          <w:szCs w:val="22"/>
        </w:rPr>
      </w:pPr>
      <w:r w:rsidRPr="00A156F4">
        <w:rPr>
          <w:b/>
          <w:bCs/>
          <w:sz w:val="22"/>
          <w:szCs w:val="22"/>
        </w:rPr>
        <w:t xml:space="preserve">Artículo </w:t>
      </w:r>
      <w:r w:rsidR="00634652" w:rsidRPr="00A156F4">
        <w:rPr>
          <w:b/>
          <w:bCs/>
          <w:sz w:val="22"/>
          <w:szCs w:val="22"/>
        </w:rPr>
        <w:t>1</w:t>
      </w:r>
      <w:r w:rsidR="00A5301D" w:rsidRPr="00A156F4">
        <w:rPr>
          <w:b/>
          <w:bCs/>
          <w:sz w:val="22"/>
          <w:szCs w:val="22"/>
        </w:rPr>
        <w:t>1</w:t>
      </w:r>
      <w:r w:rsidR="006739DB" w:rsidRPr="00A156F4">
        <w:rPr>
          <w:b/>
          <w:bCs/>
          <w:sz w:val="22"/>
          <w:szCs w:val="22"/>
        </w:rPr>
        <w:t>.</w:t>
      </w:r>
      <w:r w:rsidR="003C5B99" w:rsidRPr="00A156F4">
        <w:rPr>
          <w:b/>
          <w:bCs/>
          <w:sz w:val="22"/>
          <w:szCs w:val="22"/>
        </w:rPr>
        <w:t>-</w:t>
      </w:r>
      <w:r w:rsidR="00570FB1" w:rsidRPr="00A156F4">
        <w:rPr>
          <w:b/>
          <w:bCs/>
          <w:sz w:val="22"/>
          <w:szCs w:val="22"/>
        </w:rPr>
        <w:t xml:space="preserve"> </w:t>
      </w:r>
      <w:r w:rsidR="003C5B99" w:rsidRPr="00A156F4">
        <w:rPr>
          <w:b/>
          <w:bCs/>
          <w:sz w:val="22"/>
          <w:szCs w:val="22"/>
        </w:rPr>
        <w:t xml:space="preserve">Impedimento, </w:t>
      </w:r>
      <w:r w:rsidR="00DC55FB" w:rsidRPr="00A156F4">
        <w:rPr>
          <w:b/>
          <w:bCs/>
          <w:sz w:val="22"/>
          <w:szCs w:val="22"/>
        </w:rPr>
        <w:t xml:space="preserve">inhibitoria </w:t>
      </w:r>
      <w:r w:rsidR="0083120E" w:rsidRPr="00A156F4">
        <w:rPr>
          <w:b/>
          <w:bCs/>
          <w:sz w:val="22"/>
          <w:szCs w:val="22"/>
        </w:rPr>
        <w:t>y</w:t>
      </w:r>
      <w:r w:rsidR="003C5B99" w:rsidRPr="00A156F4">
        <w:rPr>
          <w:b/>
          <w:bCs/>
          <w:sz w:val="22"/>
          <w:szCs w:val="22"/>
        </w:rPr>
        <w:t xml:space="preserve"> recusación</w:t>
      </w:r>
      <w:r w:rsidR="00323493" w:rsidRPr="00A156F4">
        <w:rPr>
          <w:b/>
          <w:bCs/>
          <w:sz w:val="22"/>
          <w:szCs w:val="22"/>
        </w:rPr>
        <w:t xml:space="preserve"> de los </w:t>
      </w:r>
      <w:r w:rsidR="00016316" w:rsidRPr="00A156F4">
        <w:rPr>
          <w:b/>
          <w:bCs/>
          <w:sz w:val="22"/>
          <w:szCs w:val="22"/>
        </w:rPr>
        <w:t xml:space="preserve">integrantes </w:t>
      </w:r>
      <w:r w:rsidR="004C2BAB" w:rsidRPr="00A156F4">
        <w:rPr>
          <w:b/>
          <w:sz w:val="22"/>
          <w:szCs w:val="22"/>
        </w:rPr>
        <w:t>de</w:t>
      </w:r>
      <w:r w:rsidR="00962BDA" w:rsidRPr="00A156F4">
        <w:rPr>
          <w:b/>
          <w:sz w:val="22"/>
          <w:szCs w:val="22"/>
        </w:rPr>
        <w:t xml:space="preserve"> la Comisión</w:t>
      </w:r>
    </w:p>
    <w:p w14:paraId="321FFE17" w14:textId="77777777" w:rsidR="00780DA9" w:rsidRPr="00A156F4" w:rsidRDefault="00780DA9" w:rsidP="004B2F8B">
      <w:pPr>
        <w:widowControl w:val="0"/>
        <w:jc w:val="both"/>
        <w:outlineLvl w:val="0"/>
        <w:rPr>
          <w:b/>
          <w:sz w:val="22"/>
          <w:szCs w:val="22"/>
        </w:rPr>
      </w:pPr>
    </w:p>
    <w:p w14:paraId="2C3B4F5D" w14:textId="77777777" w:rsidR="006A3D7A" w:rsidRPr="00A156F4" w:rsidRDefault="003C5B99" w:rsidP="004B2F8B">
      <w:pPr>
        <w:widowControl w:val="0"/>
        <w:jc w:val="both"/>
        <w:rPr>
          <w:sz w:val="22"/>
          <w:szCs w:val="22"/>
        </w:rPr>
      </w:pPr>
      <w:r w:rsidRPr="00A156F4">
        <w:rPr>
          <w:sz w:val="22"/>
          <w:szCs w:val="22"/>
        </w:rPr>
        <w:t>Será</w:t>
      </w:r>
      <w:r w:rsidR="00A30B48" w:rsidRPr="00A156F4">
        <w:rPr>
          <w:sz w:val="22"/>
          <w:szCs w:val="22"/>
        </w:rPr>
        <w:t>n motivos de impedimento, inhibitoria</w:t>
      </w:r>
      <w:r w:rsidRPr="00A156F4">
        <w:rPr>
          <w:sz w:val="22"/>
          <w:szCs w:val="22"/>
        </w:rPr>
        <w:t xml:space="preserve"> o recusación para los miembros de</w:t>
      </w:r>
      <w:r w:rsidR="00AD768C" w:rsidRPr="00A156F4">
        <w:rPr>
          <w:sz w:val="22"/>
          <w:szCs w:val="22"/>
        </w:rPr>
        <w:t xml:space="preserve"> </w:t>
      </w:r>
      <w:r w:rsidRPr="00A156F4">
        <w:rPr>
          <w:sz w:val="22"/>
          <w:szCs w:val="22"/>
        </w:rPr>
        <w:t>l</w:t>
      </w:r>
      <w:r w:rsidR="00AD768C" w:rsidRPr="00A156F4">
        <w:rPr>
          <w:sz w:val="22"/>
          <w:szCs w:val="22"/>
        </w:rPr>
        <w:t>a</w:t>
      </w:r>
      <w:r w:rsidRPr="00A156F4">
        <w:rPr>
          <w:sz w:val="22"/>
          <w:szCs w:val="22"/>
        </w:rPr>
        <w:t xml:space="preserve"> </w:t>
      </w:r>
      <w:r w:rsidR="00A30B48" w:rsidRPr="00A156F4">
        <w:rPr>
          <w:sz w:val="22"/>
          <w:szCs w:val="22"/>
        </w:rPr>
        <w:t>Co</w:t>
      </w:r>
      <w:r w:rsidR="00F65C88" w:rsidRPr="00A156F4">
        <w:rPr>
          <w:sz w:val="22"/>
          <w:szCs w:val="22"/>
        </w:rPr>
        <w:t>misión</w:t>
      </w:r>
      <w:r w:rsidR="00CF0478" w:rsidRPr="00A156F4">
        <w:rPr>
          <w:sz w:val="22"/>
          <w:szCs w:val="22"/>
        </w:rPr>
        <w:t xml:space="preserve">, </w:t>
      </w:r>
      <w:r w:rsidR="006A3D7A" w:rsidRPr="00A156F4">
        <w:rPr>
          <w:sz w:val="22"/>
          <w:szCs w:val="22"/>
        </w:rPr>
        <w:t xml:space="preserve">además de </w:t>
      </w:r>
      <w:r w:rsidRPr="00A156F4">
        <w:rPr>
          <w:sz w:val="22"/>
          <w:szCs w:val="22"/>
        </w:rPr>
        <w:t xml:space="preserve">los establecidos en el Código Procesal Civil, </w:t>
      </w:r>
      <w:r w:rsidR="006A3D7A" w:rsidRPr="00A156F4">
        <w:rPr>
          <w:sz w:val="22"/>
          <w:szCs w:val="22"/>
        </w:rPr>
        <w:t>los siguientes:</w:t>
      </w:r>
    </w:p>
    <w:p w14:paraId="601314E5" w14:textId="77777777" w:rsidR="006A3D7A" w:rsidRPr="00A156F4" w:rsidRDefault="006A3D7A" w:rsidP="004B2F8B">
      <w:pPr>
        <w:widowControl w:val="0"/>
        <w:jc w:val="both"/>
        <w:rPr>
          <w:sz w:val="22"/>
          <w:szCs w:val="22"/>
        </w:rPr>
      </w:pPr>
    </w:p>
    <w:p w14:paraId="20DB41DB" w14:textId="0D459B93" w:rsidR="00FF3BB4" w:rsidRPr="00A156F4" w:rsidRDefault="00BA277E" w:rsidP="00117EE5">
      <w:pPr>
        <w:pStyle w:val="Prrafodelista"/>
        <w:widowControl w:val="0"/>
        <w:numPr>
          <w:ilvl w:val="0"/>
          <w:numId w:val="26"/>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H</w:t>
      </w:r>
      <w:r w:rsidR="003C5B99" w:rsidRPr="00A156F4">
        <w:rPr>
          <w:rFonts w:ascii="Times New Roman" w:eastAsiaTheme="minorHAnsi" w:hAnsi="Times New Roman"/>
          <w:lang w:val="es-ES_tradnl" w:eastAsia="es-ES_tradnl"/>
        </w:rPr>
        <w:t>aber sido consultor</w:t>
      </w:r>
      <w:r w:rsidR="00F73BD6" w:rsidRPr="00A156F4">
        <w:rPr>
          <w:rFonts w:ascii="Times New Roman" w:eastAsiaTheme="minorHAnsi" w:hAnsi="Times New Roman"/>
          <w:lang w:val="es-ES_tradnl" w:eastAsia="es-ES_tradnl"/>
        </w:rPr>
        <w:t>,</w:t>
      </w:r>
      <w:r w:rsidR="003C5B99" w:rsidRPr="00A156F4">
        <w:rPr>
          <w:rFonts w:ascii="Times New Roman" w:eastAsiaTheme="minorHAnsi" w:hAnsi="Times New Roman"/>
          <w:lang w:val="es-ES_tradnl" w:eastAsia="es-ES_tradnl"/>
        </w:rPr>
        <w:t xml:space="preserve"> asesor</w:t>
      </w:r>
      <w:r w:rsidR="003F7817" w:rsidRPr="00A156F4">
        <w:rPr>
          <w:rFonts w:ascii="Times New Roman" w:eastAsiaTheme="minorHAnsi" w:hAnsi="Times New Roman"/>
          <w:lang w:val="es-ES_tradnl" w:eastAsia="es-ES_tradnl"/>
        </w:rPr>
        <w:t xml:space="preserve"> </w:t>
      </w:r>
      <w:r w:rsidR="00687533" w:rsidRPr="00A156F4">
        <w:rPr>
          <w:rFonts w:ascii="Times New Roman" w:eastAsiaTheme="minorHAnsi" w:hAnsi="Times New Roman"/>
          <w:lang w:val="es-ES_tradnl" w:eastAsia="es-ES_tradnl"/>
        </w:rPr>
        <w:t>o abogado</w:t>
      </w:r>
      <w:r w:rsidR="006A3D7A" w:rsidRPr="00A156F4">
        <w:rPr>
          <w:rFonts w:ascii="Times New Roman" w:eastAsiaTheme="minorHAnsi" w:hAnsi="Times New Roman"/>
          <w:lang w:val="es-ES_tradnl" w:eastAsia="es-ES_tradnl"/>
        </w:rPr>
        <w:t>, durante los dos años anteriores,</w:t>
      </w:r>
      <w:r w:rsidR="00687533" w:rsidRPr="00A156F4">
        <w:rPr>
          <w:rFonts w:ascii="Times New Roman" w:eastAsiaTheme="minorHAnsi" w:hAnsi="Times New Roman"/>
          <w:lang w:val="es-ES_tradnl" w:eastAsia="es-ES_tradnl"/>
        </w:rPr>
        <w:t xml:space="preserve"> </w:t>
      </w:r>
      <w:r w:rsidR="003C5B99" w:rsidRPr="00A156F4">
        <w:rPr>
          <w:rFonts w:ascii="Times New Roman" w:eastAsiaTheme="minorHAnsi" w:hAnsi="Times New Roman"/>
          <w:lang w:val="es-ES_tradnl" w:eastAsia="es-ES_tradnl"/>
        </w:rPr>
        <w:t>de alg</w:t>
      </w:r>
      <w:r w:rsidR="0046378A" w:rsidRPr="00A156F4">
        <w:rPr>
          <w:rFonts w:ascii="Times New Roman" w:eastAsiaTheme="minorHAnsi" w:hAnsi="Times New Roman"/>
          <w:lang w:val="es-ES_tradnl" w:eastAsia="es-ES_tradnl"/>
        </w:rPr>
        <w:t>uno de los agentes económicos involucrados</w:t>
      </w:r>
      <w:r w:rsidR="00C74BF6" w:rsidRPr="00A156F4">
        <w:rPr>
          <w:rFonts w:ascii="Times New Roman" w:eastAsiaTheme="minorHAnsi" w:hAnsi="Times New Roman"/>
          <w:lang w:val="es-ES_tradnl" w:eastAsia="es-ES_tradnl"/>
        </w:rPr>
        <w:t>, de sus competidores en el mercado</w:t>
      </w:r>
      <w:r w:rsidR="003F56B6" w:rsidRPr="00A156F4">
        <w:rPr>
          <w:rFonts w:ascii="Times New Roman" w:eastAsiaTheme="minorHAnsi" w:hAnsi="Times New Roman"/>
          <w:lang w:val="es-ES_tradnl" w:eastAsia="es-ES_tradnl"/>
        </w:rPr>
        <w:t>,</w:t>
      </w:r>
      <w:r w:rsidR="00C74BF6" w:rsidRPr="00A156F4">
        <w:rPr>
          <w:rFonts w:ascii="Times New Roman" w:eastAsiaTheme="minorHAnsi" w:hAnsi="Times New Roman"/>
          <w:lang w:val="es-ES_tradnl" w:eastAsia="es-ES_tradnl"/>
        </w:rPr>
        <w:t xml:space="preserve"> </w:t>
      </w:r>
      <w:r w:rsidR="00D44342" w:rsidRPr="00A156F4">
        <w:rPr>
          <w:rFonts w:ascii="Times New Roman" w:eastAsiaTheme="minorHAnsi" w:hAnsi="Times New Roman"/>
          <w:lang w:val="es-ES_tradnl" w:eastAsia="es-ES_tradnl"/>
        </w:rPr>
        <w:t>o de</w:t>
      </w:r>
      <w:r w:rsidR="00C74BF6" w:rsidRPr="00A156F4">
        <w:rPr>
          <w:rFonts w:ascii="Times New Roman" w:eastAsiaTheme="minorHAnsi" w:hAnsi="Times New Roman"/>
          <w:lang w:val="es-ES_tradnl" w:eastAsia="es-ES_tradnl"/>
        </w:rPr>
        <w:t xml:space="preserve"> otros con un interés directo en el resultado del proceso</w:t>
      </w:r>
      <w:r w:rsidR="00C5212C" w:rsidRPr="00A156F4">
        <w:rPr>
          <w:rFonts w:ascii="Times New Roman" w:eastAsiaTheme="minorHAnsi" w:hAnsi="Times New Roman"/>
          <w:lang w:val="es-ES_tradnl" w:eastAsia="es-ES_tradnl"/>
        </w:rPr>
        <w:t>;</w:t>
      </w:r>
      <w:r w:rsidR="00FE6A76" w:rsidRPr="00A156F4">
        <w:rPr>
          <w:rFonts w:ascii="Times New Roman" w:eastAsiaTheme="minorHAnsi" w:hAnsi="Times New Roman"/>
          <w:lang w:val="es-ES_tradnl" w:eastAsia="es-ES_tradnl"/>
        </w:rPr>
        <w:t xml:space="preserve"> en algún </w:t>
      </w:r>
      <w:r w:rsidR="00995C7C" w:rsidRPr="00A156F4">
        <w:rPr>
          <w:rFonts w:ascii="Times New Roman" w:eastAsiaTheme="minorHAnsi" w:hAnsi="Times New Roman"/>
          <w:lang w:val="es-ES_tradnl" w:eastAsia="es-ES_tradnl"/>
        </w:rPr>
        <w:t xml:space="preserve">proceso </w:t>
      </w:r>
      <w:r w:rsidR="00FE6A76" w:rsidRPr="00A156F4">
        <w:rPr>
          <w:rFonts w:ascii="Times New Roman" w:eastAsiaTheme="minorHAnsi" w:hAnsi="Times New Roman"/>
          <w:lang w:val="es-ES_tradnl" w:eastAsia="es-ES_tradnl"/>
        </w:rPr>
        <w:t xml:space="preserve">que </w:t>
      </w:r>
      <w:r w:rsidR="00995C7C" w:rsidRPr="00A156F4">
        <w:rPr>
          <w:rFonts w:ascii="Times New Roman" w:eastAsiaTheme="minorHAnsi" w:hAnsi="Times New Roman"/>
          <w:lang w:val="es-ES_tradnl" w:eastAsia="es-ES_tradnl"/>
        </w:rPr>
        <w:t xml:space="preserve">vaya a iniciar o esté en trámite </w:t>
      </w:r>
      <w:r w:rsidR="00C74BF6" w:rsidRPr="00A156F4">
        <w:rPr>
          <w:rFonts w:ascii="Times New Roman" w:eastAsiaTheme="minorHAnsi" w:hAnsi="Times New Roman"/>
          <w:lang w:val="es-ES_tradnl" w:eastAsia="es-ES_tradnl"/>
        </w:rPr>
        <w:t>ante</w:t>
      </w:r>
      <w:r w:rsidR="00AF231D" w:rsidRPr="00A156F4">
        <w:rPr>
          <w:rFonts w:ascii="Times New Roman" w:eastAsiaTheme="minorHAnsi" w:hAnsi="Times New Roman"/>
          <w:lang w:val="es-ES_tradnl" w:eastAsia="es-ES_tradnl"/>
        </w:rPr>
        <w:t xml:space="preserve"> </w:t>
      </w:r>
      <w:r w:rsidR="00FE6A76" w:rsidRPr="00A156F4">
        <w:rPr>
          <w:rFonts w:ascii="Times New Roman" w:eastAsiaTheme="minorHAnsi" w:hAnsi="Times New Roman"/>
          <w:lang w:val="es-ES_tradnl" w:eastAsia="es-ES_tradnl"/>
        </w:rPr>
        <w:t xml:space="preserve">la </w:t>
      </w:r>
      <w:proofErr w:type="spellStart"/>
      <w:r w:rsidR="00FE6A76" w:rsidRPr="00A156F4">
        <w:rPr>
          <w:rFonts w:ascii="Times New Roman" w:eastAsiaTheme="minorHAnsi" w:hAnsi="Times New Roman"/>
          <w:lang w:val="es-ES_tradnl" w:eastAsia="es-ES_tradnl"/>
        </w:rPr>
        <w:t>Coprocom</w:t>
      </w:r>
      <w:proofErr w:type="spellEnd"/>
      <w:r w:rsidR="00995C7C" w:rsidRPr="00A156F4">
        <w:rPr>
          <w:rFonts w:ascii="Times New Roman" w:eastAsiaTheme="minorHAnsi" w:hAnsi="Times New Roman"/>
          <w:lang w:val="es-ES_tradnl" w:eastAsia="es-ES_tradnl"/>
        </w:rPr>
        <w:t>;</w:t>
      </w:r>
      <w:r w:rsidR="00FE6A76" w:rsidRPr="00A156F4">
        <w:rPr>
          <w:rFonts w:ascii="Times New Roman" w:eastAsiaTheme="minorHAnsi" w:hAnsi="Times New Roman"/>
          <w:lang w:val="es-ES_tradnl" w:eastAsia="es-ES_tradnl"/>
        </w:rPr>
        <w:t xml:space="preserve"> </w:t>
      </w:r>
    </w:p>
    <w:p w14:paraId="6CECB9D7" w14:textId="59DDFB8D" w:rsidR="00593CE3" w:rsidRPr="00A156F4" w:rsidRDefault="00BA277E" w:rsidP="00117EE5">
      <w:pPr>
        <w:pStyle w:val="Prrafodelista"/>
        <w:widowControl w:val="0"/>
        <w:numPr>
          <w:ilvl w:val="0"/>
          <w:numId w:val="26"/>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S</w:t>
      </w:r>
      <w:r w:rsidR="003C5B99" w:rsidRPr="00A156F4">
        <w:rPr>
          <w:rFonts w:ascii="Times New Roman" w:eastAsiaTheme="minorHAnsi" w:hAnsi="Times New Roman"/>
          <w:lang w:val="es-ES_tradnl" w:eastAsia="es-ES_tradnl"/>
        </w:rPr>
        <w:t>er propietario</w:t>
      </w:r>
      <w:r w:rsidRPr="00A156F4">
        <w:rPr>
          <w:rFonts w:ascii="Times New Roman" w:eastAsiaTheme="minorHAnsi" w:hAnsi="Times New Roman"/>
          <w:lang w:val="es-ES_tradnl" w:eastAsia="es-ES_tradnl"/>
        </w:rPr>
        <w:t>, accionista</w:t>
      </w:r>
      <w:r w:rsidR="00C5212C" w:rsidRPr="00A156F4">
        <w:rPr>
          <w:rFonts w:ascii="Times New Roman" w:eastAsiaTheme="minorHAnsi" w:hAnsi="Times New Roman"/>
          <w:lang w:val="es-ES_tradnl" w:eastAsia="es-ES_tradnl"/>
        </w:rPr>
        <w:t>,</w:t>
      </w:r>
      <w:r w:rsidR="003C5B99" w:rsidRPr="00A156F4">
        <w:rPr>
          <w:rFonts w:ascii="Times New Roman" w:eastAsiaTheme="minorHAnsi" w:hAnsi="Times New Roman"/>
          <w:lang w:val="es-ES_tradnl" w:eastAsia="es-ES_tradnl"/>
        </w:rPr>
        <w:t xml:space="preserve"> o miembro de la junta directiva</w:t>
      </w:r>
      <w:r w:rsidR="00C5212C" w:rsidRPr="00A156F4">
        <w:rPr>
          <w:rFonts w:ascii="Times New Roman" w:eastAsiaTheme="minorHAnsi" w:hAnsi="Times New Roman"/>
          <w:lang w:val="es-ES_tradnl" w:eastAsia="es-ES_tradnl"/>
        </w:rPr>
        <w:t>,</w:t>
      </w:r>
      <w:r w:rsidR="003C5B99" w:rsidRPr="00A156F4">
        <w:rPr>
          <w:rFonts w:ascii="Times New Roman" w:eastAsiaTheme="minorHAnsi" w:hAnsi="Times New Roman"/>
          <w:lang w:val="es-ES_tradnl" w:eastAsia="es-ES_tradnl"/>
        </w:rPr>
        <w:t xml:space="preserve"> de algún agente económico</w:t>
      </w:r>
      <w:r w:rsidR="00E059D1" w:rsidRPr="00A156F4">
        <w:rPr>
          <w:rFonts w:ascii="Times New Roman" w:eastAsiaTheme="minorHAnsi" w:hAnsi="Times New Roman"/>
          <w:lang w:val="es-ES_tradnl" w:eastAsia="es-ES_tradnl"/>
        </w:rPr>
        <w:t xml:space="preserve"> involucrado</w:t>
      </w:r>
      <w:r w:rsidR="00F02F16" w:rsidRPr="00A156F4">
        <w:rPr>
          <w:rFonts w:ascii="Times New Roman" w:eastAsiaTheme="minorHAnsi" w:hAnsi="Times New Roman"/>
          <w:lang w:val="es-ES_tradnl" w:eastAsia="es-ES_tradnl"/>
        </w:rPr>
        <w:t xml:space="preserve"> en </w:t>
      </w:r>
      <w:r w:rsidR="003F56B6" w:rsidRPr="00A156F4">
        <w:rPr>
          <w:rFonts w:ascii="Times New Roman" w:eastAsiaTheme="minorHAnsi" w:hAnsi="Times New Roman"/>
          <w:lang w:val="es-ES_tradnl" w:eastAsia="es-ES_tradnl"/>
        </w:rPr>
        <w:t>el</w:t>
      </w:r>
      <w:r w:rsidR="00F02F16" w:rsidRPr="00A156F4">
        <w:rPr>
          <w:rFonts w:ascii="Times New Roman" w:eastAsiaTheme="minorHAnsi" w:hAnsi="Times New Roman"/>
          <w:lang w:val="es-ES_tradnl" w:eastAsia="es-ES_tradnl"/>
        </w:rPr>
        <w:t xml:space="preserve"> procedimiento </w:t>
      </w:r>
      <w:r w:rsidR="003F56B6" w:rsidRPr="00A156F4">
        <w:rPr>
          <w:rFonts w:ascii="Times New Roman" w:eastAsiaTheme="minorHAnsi" w:hAnsi="Times New Roman"/>
          <w:lang w:val="es-ES_tradnl" w:eastAsia="es-ES_tradnl"/>
        </w:rPr>
        <w:t>en cuestión,</w:t>
      </w:r>
      <w:r w:rsidR="00F02F16" w:rsidRPr="00A156F4">
        <w:rPr>
          <w:rFonts w:ascii="Times New Roman" w:eastAsiaTheme="minorHAnsi" w:hAnsi="Times New Roman"/>
          <w:lang w:val="es-ES_tradnl" w:eastAsia="es-ES_tradnl"/>
        </w:rPr>
        <w:t xml:space="preserve"> o de un agente económico</w:t>
      </w:r>
      <w:r w:rsidR="003C5B99" w:rsidRPr="00A156F4">
        <w:rPr>
          <w:rFonts w:ascii="Times New Roman" w:eastAsiaTheme="minorHAnsi" w:hAnsi="Times New Roman"/>
          <w:lang w:val="es-ES_tradnl" w:eastAsia="es-ES_tradnl"/>
        </w:rPr>
        <w:t xml:space="preserve"> que sea competidor de </w:t>
      </w:r>
      <w:r w:rsidR="003F56B6" w:rsidRPr="00A156F4">
        <w:rPr>
          <w:rFonts w:ascii="Times New Roman" w:eastAsiaTheme="minorHAnsi" w:hAnsi="Times New Roman"/>
          <w:lang w:val="es-ES_tradnl" w:eastAsia="es-ES_tradnl"/>
        </w:rPr>
        <w:t>este</w:t>
      </w:r>
      <w:r w:rsidR="003C5B99" w:rsidRPr="00A156F4">
        <w:rPr>
          <w:rFonts w:ascii="Times New Roman" w:eastAsiaTheme="minorHAnsi" w:hAnsi="Times New Roman"/>
          <w:lang w:val="es-ES_tradnl" w:eastAsia="es-ES_tradnl"/>
        </w:rPr>
        <w:t xml:space="preserve">. </w:t>
      </w:r>
    </w:p>
    <w:p w14:paraId="50A26451" w14:textId="69191FDA" w:rsidR="00A30B48" w:rsidRPr="00A156F4" w:rsidRDefault="00A30B48" w:rsidP="00A30B48">
      <w:pPr>
        <w:widowControl w:val="0"/>
        <w:jc w:val="both"/>
        <w:rPr>
          <w:sz w:val="22"/>
          <w:szCs w:val="22"/>
        </w:rPr>
      </w:pPr>
      <w:r w:rsidRPr="00A156F4">
        <w:rPr>
          <w:sz w:val="22"/>
          <w:szCs w:val="22"/>
        </w:rPr>
        <w:t xml:space="preserve">El procedimiento por observar en estos casos es el establecido en el Libro Primero, Título Primero, </w:t>
      </w:r>
      <w:proofErr w:type="spellStart"/>
      <w:r w:rsidRPr="00A156F4">
        <w:rPr>
          <w:sz w:val="22"/>
          <w:szCs w:val="22"/>
        </w:rPr>
        <w:t>Capítu</w:t>
      </w:r>
      <w:proofErr w:type="spellEnd"/>
      <w:r w:rsidRPr="00A156F4">
        <w:rPr>
          <w:sz w:val="22"/>
          <w:szCs w:val="22"/>
        </w:rPr>
        <w:t xml:space="preserve"> IV, Sección III del Código Procesal Civil, Ley </w:t>
      </w:r>
      <w:proofErr w:type="spellStart"/>
      <w:r w:rsidRPr="00A156F4">
        <w:rPr>
          <w:sz w:val="22"/>
          <w:szCs w:val="22"/>
        </w:rPr>
        <w:t>N°</w:t>
      </w:r>
      <w:proofErr w:type="spellEnd"/>
      <w:r w:rsidRPr="00A156F4">
        <w:rPr>
          <w:sz w:val="22"/>
          <w:szCs w:val="22"/>
        </w:rPr>
        <w:t>. 9342</w:t>
      </w:r>
      <w:r w:rsidR="00F45C26" w:rsidRPr="00A156F4">
        <w:rPr>
          <w:sz w:val="22"/>
          <w:szCs w:val="22"/>
        </w:rPr>
        <w:t>, del 3 de febrero de 2016, sus reformas y sus reglamentos</w:t>
      </w:r>
      <w:r w:rsidR="00BA277E" w:rsidRPr="00A156F4">
        <w:rPr>
          <w:sz w:val="22"/>
          <w:szCs w:val="22"/>
        </w:rPr>
        <w:t>.</w:t>
      </w:r>
    </w:p>
    <w:p w14:paraId="7D5CE7B3" w14:textId="77777777" w:rsidR="00016316" w:rsidRPr="00A156F4" w:rsidRDefault="00016316" w:rsidP="004B2F8B">
      <w:pPr>
        <w:pStyle w:val="Prrafodelista1"/>
        <w:widowControl w:val="0"/>
        <w:spacing w:after="0" w:line="240" w:lineRule="auto"/>
        <w:ind w:left="0"/>
        <w:jc w:val="both"/>
        <w:rPr>
          <w:rFonts w:ascii="Times New Roman" w:hAnsi="Times New Roman"/>
        </w:rPr>
      </w:pPr>
    </w:p>
    <w:p w14:paraId="3F2231C4" w14:textId="438EED78" w:rsidR="00780DA9" w:rsidRPr="00A156F4" w:rsidRDefault="00D2752F" w:rsidP="004B2F8B">
      <w:pPr>
        <w:widowControl w:val="0"/>
        <w:jc w:val="both"/>
        <w:outlineLvl w:val="0"/>
        <w:rPr>
          <w:b/>
          <w:sz w:val="22"/>
          <w:szCs w:val="22"/>
        </w:rPr>
      </w:pPr>
      <w:r w:rsidRPr="00A156F4">
        <w:rPr>
          <w:b/>
          <w:bCs/>
          <w:sz w:val="22"/>
          <w:szCs w:val="22"/>
        </w:rPr>
        <w:t xml:space="preserve">Artículo </w:t>
      </w:r>
      <w:r w:rsidR="00C950ED" w:rsidRPr="00A156F4">
        <w:rPr>
          <w:b/>
          <w:bCs/>
          <w:sz w:val="22"/>
          <w:szCs w:val="22"/>
        </w:rPr>
        <w:t>1</w:t>
      </w:r>
      <w:r w:rsidR="00A5301D" w:rsidRPr="00A156F4">
        <w:rPr>
          <w:b/>
          <w:bCs/>
          <w:sz w:val="22"/>
          <w:szCs w:val="22"/>
        </w:rPr>
        <w:t>2</w:t>
      </w:r>
      <w:r w:rsidR="003C5B99" w:rsidRPr="00A156F4">
        <w:rPr>
          <w:b/>
          <w:bCs/>
          <w:sz w:val="22"/>
          <w:szCs w:val="22"/>
          <w:shd w:val="clear" w:color="auto" w:fill="FFFFFF" w:themeFill="background1"/>
        </w:rPr>
        <w:t>.-</w:t>
      </w:r>
      <w:r w:rsidR="00B81BA3" w:rsidRPr="00A156F4">
        <w:rPr>
          <w:b/>
          <w:bCs/>
          <w:sz w:val="22"/>
          <w:szCs w:val="22"/>
          <w:shd w:val="clear" w:color="auto" w:fill="FFFFFF" w:themeFill="background1"/>
        </w:rPr>
        <w:t xml:space="preserve"> Sesiones</w:t>
      </w:r>
      <w:r w:rsidR="00B81BA3" w:rsidRPr="00A156F4">
        <w:rPr>
          <w:b/>
          <w:bCs/>
          <w:sz w:val="22"/>
          <w:szCs w:val="22"/>
        </w:rPr>
        <w:t>,</w:t>
      </w:r>
      <w:r w:rsidR="00570FB1" w:rsidRPr="00A156F4">
        <w:rPr>
          <w:b/>
          <w:bCs/>
          <w:sz w:val="22"/>
          <w:szCs w:val="22"/>
        </w:rPr>
        <w:t xml:space="preserve"> </w:t>
      </w:r>
      <w:r w:rsidR="00B81BA3" w:rsidRPr="00A156F4">
        <w:rPr>
          <w:b/>
          <w:bCs/>
          <w:sz w:val="22"/>
          <w:szCs w:val="22"/>
        </w:rPr>
        <w:t>c</w:t>
      </w:r>
      <w:r w:rsidR="009C1DD9" w:rsidRPr="00A156F4">
        <w:rPr>
          <w:b/>
          <w:bCs/>
          <w:sz w:val="22"/>
          <w:szCs w:val="22"/>
        </w:rPr>
        <w:t xml:space="preserve">uórum </w:t>
      </w:r>
      <w:r w:rsidR="003C5B99" w:rsidRPr="00A156F4">
        <w:rPr>
          <w:b/>
          <w:bCs/>
          <w:sz w:val="22"/>
          <w:szCs w:val="22"/>
        </w:rPr>
        <w:t>y votaciones</w:t>
      </w:r>
      <w:r w:rsidR="00780DA9" w:rsidRPr="00A156F4">
        <w:rPr>
          <w:b/>
          <w:bCs/>
          <w:sz w:val="22"/>
          <w:szCs w:val="22"/>
        </w:rPr>
        <w:t xml:space="preserve"> </w:t>
      </w:r>
      <w:r w:rsidR="004C2BAB" w:rsidRPr="00A156F4">
        <w:rPr>
          <w:b/>
          <w:sz w:val="22"/>
          <w:szCs w:val="22"/>
        </w:rPr>
        <w:t xml:space="preserve">del Órgano Superior de </w:t>
      </w:r>
      <w:r w:rsidR="00A97B25" w:rsidRPr="00A156F4">
        <w:rPr>
          <w:b/>
          <w:sz w:val="22"/>
          <w:szCs w:val="22"/>
        </w:rPr>
        <w:t xml:space="preserve">la </w:t>
      </w:r>
      <w:proofErr w:type="spellStart"/>
      <w:r w:rsidR="00A97B25" w:rsidRPr="00A156F4">
        <w:rPr>
          <w:b/>
          <w:sz w:val="22"/>
          <w:szCs w:val="22"/>
        </w:rPr>
        <w:t>Coprocom</w:t>
      </w:r>
      <w:proofErr w:type="spellEnd"/>
    </w:p>
    <w:p w14:paraId="5D38F759" w14:textId="77777777" w:rsidR="00C5212C" w:rsidRPr="00A156F4" w:rsidRDefault="00C5212C" w:rsidP="004B2F8B">
      <w:pPr>
        <w:widowControl w:val="0"/>
        <w:jc w:val="both"/>
        <w:outlineLvl w:val="0"/>
        <w:rPr>
          <w:sz w:val="22"/>
          <w:szCs w:val="22"/>
        </w:rPr>
      </w:pPr>
    </w:p>
    <w:p w14:paraId="1DDC1255" w14:textId="3AB51D4B" w:rsidR="00895631" w:rsidRPr="00A156F4" w:rsidRDefault="00895631" w:rsidP="004B2F8B">
      <w:pPr>
        <w:widowControl w:val="0"/>
        <w:autoSpaceDE w:val="0"/>
        <w:autoSpaceDN w:val="0"/>
        <w:adjustRightInd w:val="0"/>
        <w:jc w:val="both"/>
        <w:rPr>
          <w:sz w:val="22"/>
          <w:szCs w:val="22"/>
        </w:rPr>
      </w:pPr>
      <w:r w:rsidRPr="00A156F4">
        <w:rPr>
          <w:sz w:val="22"/>
          <w:szCs w:val="22"/>
        </w:rPr>
        <w:t>La C</w:t>
      </w:r>
      <w:r w:rsidR="004F1A77" w:rsidRPr="00A156F4">
        <w:rPr>
          <w:sz w:val="22"/>
          <w:szCs w:val="22"/>
        </w:rPr>
        <w:t>o</w:t>
      </w:r>
      <w:r w:rsidR="00584C1E" w:rsidRPr="00A156F4">
        <w:rPr>
          <w:sz w:val="22"/>
          <w:szCs w:val="22"/>
        </w:rPr>
        <w:t>misión</w:t>
      </w:r>
      <w:r w:rsidRPr="00A156F4">
        <w:rPr>
          <w:sz w:val="22"/>
          <w:szCs w:val="22"/>
        </w:rPr>
        <w:t xml:space="preserve"> se reunirá ordinariamente una vez por semana</w:t>
      </w:r>
      <w:r w:rsidR="00C5212C" w:rsidRPr="00A156F4">
        <w:rPr>
          <w:sz w:val="22"/>
          <w:szCs w:val="22"/>
        </w:rPr>
        <w:t>,</w:t>
      </w:r>
      <w:r w:rsidRPr="00A156F4">
        <w:rPr>
          <w:sz w:val="22"/>
          <w:szCs w:val="22"/>
        </w:rPr>
        <w:t xml:space="preserve"> y </w:t>
      </w:r>
      <w:r w:rsidR="00C5212C" w:rsidRPr="00A156F4">
        <w:rPr>
          <w:sz w:val="22"/>
          <w:szCs w:val="22"/>
        </w:rPr>
        <w:t>de</w:t>
      </w:r>
      <w:r w:rsidRPr="00A156F4">
        <w:rPr>
          <w:sz w:val="22"/>
          <w:szCs w:val="22"/>
        </w:rPr>
        <w:t xml:space="preserve"> forma extraordinaria cuando</w:t>
      </w:r>
      <w:r w:rsidR="00C5212C" w:rsidRPr="00A156F4">
        <w:rPr>
          <w:sz w:val="22"/>
          <w:szCs w:val="22"/>
        </w:rPr>
        <w:t xml:space="preserve"> así</w:t>
      </w:r>
      <w:r w:rsidRPr="00A156F4">
        <w:rPr>
          <w:sz w:val="22"/>
          <w:szCs w:val="22"/>
        </w:rPr>
        <w:t xml:space="preserve"> lo considere necesario. Para sesionar, los comisionados serán convocados de oficio por el </w:t>
      </w:r>
      <w:proofErr w:type="gramStart"/>
      <w:r w:rsidR="00BA277E" w:rsidRPr="00A156F4">
        <w:rPr>
          <w:sz w:val="22"/>
          <w:szCs w:val="22"/>
        </w:rPr>
        <w:t>P</w:t>
      </w:r>
      <w:r w:rsidRPr="00A156F4">
        <w:rPr>
          <w:sz w:val="22"/>
          <w:szCs w:val="22"/>
        </w:rPr>
        <w:t>residente</w:t>
      </w:r>
      <w:proofErr w:type="gramEnd"/>
      <w:r w:rsidRPr="00A156F4">
        <w:rPr>
          <w:sz w:val="22"/>
          <w:szCs w:val="22"/>
        </w:rPr>
        <w:t xml:space="preserve">. </w:t>
      </w:r>
      <w:r w:rsidR="00C5212C" w:rsidRPr="00A156F4">
        <w:rPr>
          <w:sz w:val="22"/>
          <w:szCs w:val="22"/>
        </w:rPr>
        <w:t>Asimismo</w:t>
      </w:r>
      <w:r w:rsidRPr="00A156F4">
        <w:rPr>
          <w:sz w:val="22"/>
          <w:szCs w:val="22"/>
        </w:rPr>
        <w:t xml:space="preserve">, a solicitud de uno de sus miembros, el </w:t>
      </w:r>
      <w:proofErr w:type="gramStart"/>
      <w:r w:rsidR="00BA277E" w:rsidRPr="00A156F4">
        <w:rPr>
          <w:sz w:val="22"/>
          <w:szCs w:val="22"/>
        </w:rPr>
        <w:t>P</w:t>
      </w:r>
      <w:r w:rsidRPr="00A156F4">
        <w:rPr>
          <w:sz w:val="22"/>
          <w:szCs w:val="22"/>
        </w:rPr>
        <w:t>residente</w:t>
      </w:r>
      <w:proofErr w:type="gramEnd"/>
      <w:r w:rsidRPr="00A156F4">
        <w:rPr>
          <w:sz w:val="22"/>
          <w:szCs w:val="22"/>
        </w:rPr>
        <w:t xml:space="preserve"> deberá convocar a sesión extraordinaria y para ello, quien lo solicite</w:t>
      </w:r>
      <w:r w:rsidR="00F02F16" w:rsidRPr="00A156F4">
        <w:rPr>
          <w:sz w:val="22"/>
          <w:szCs w:val="22"/>
        </w:rPr>
        <w:t>,</w:t>
      </w:r>
      <w:r w:rsidRPr="00A156F4">
        <w:rPr>
          <w:sz w:val="22"/>
          <w:szCs w:val="22"/>
        </w:rPr>
        <w:t xml:space="preserve"> deberá señalar el tema de interés por tratar.</w:t>
      </w:r>
    </w:p>
    <w:p w14:paraId="1EB81076" w14:textId="77777777" w:rsidR="00F02F16" w:rsidRPr="00A156F4" w:rsidRDefault="00F02F16" w:rsidP="004B2F8B">
      <w:pPr>
        <w:widowControl w:val="0"/>
        <w:autoSpaceDE w:val="0"/>
        <w:autoSpaceDN w:val="0"/>
        <w:adjustRightInd w:val="0"/>
        <w:jc w:val="both"/>
        <w:rPr>
          <w:sz w:val="22"/>
          <w:szCs w:val="22"/>
        </w:rPr>
      </w:pPr>
    </w:p>
    <w:p w14:paraId="4F1E41B0" w14:textId="51318F9A" w:rsidR="00567A23" w:rsidRPr="00A156F4" w:rsidRDefault="00895631" w:rsidP="004B2F8B">
      <w:pPr>
        <w:jc w:val="both"/>
        <w:rPr>
          <w:sz w:val="22"/>
          <w:szCs w:val="22"/>
        </w:rPr>
      </w:pPr>
      <w:r w:rsidRPr="00A156F4">
        <w:rPr>
          <w:sz w:val="22"/>
          <w:szCs w:val="22"/>
        </w:rPr>
        <w:t>El cuórum se integrará con la presencia de la mayoría de los miembros</w:t>
      </w:r>
      <w:r w:rsidR="00567A23" w:rsidRPr="00A156F4">
        <w:rPr>
          <w:sz w:val="22"/>
          <w:szCs w:val="22"/>
        </w:rPr>
        <w:t>. La renuncia o el cese de uno de los miembros no implicará la desintegración del Órgano Superior, siempre y cuando el cuórum requerido para sesionar se mantenga.</w:t>
      </w:r>
    </w:p>
    <w:p w14:paraId="42083AA6" w14:textId="77777777" w:rsidR="00567A23" w:rsidRPr="00A156F4" w:rsidRDefault="00567A23" w:rsidP="004B2F8B">
      <w:pPr>
        <w:jc w:val="both"/>
        <w:rPr>
          <w:sz w:val="22"/>
          <w:szCs w:val="22"/>
        </w:rPr>
      </w:pPr>
    </w:p>
    <w:p w14:paraId="18F73728" w14:textId="44FEFF7C" w:rsidR="00567A23" w:rsidRPr="00A156F4" w:rsidRDefault="00567A23" w:rsidP="004B2F8B">
      <w:pPr>
        <w:jc w:val="both"/>
        <w:rPr>
          <w:sz w:val="22"/>
          <w:szCs w:val="22"/>
        </w:rPr>
      </w:pPr>
      <w:r w:rsidRPr="00A156F4">
        <w:rPr>
          <w:sz w:val="22"/>
          <w:szCs w:val="22"/>
        </w:rPr>
        <w:t>L</w:t>
      </w:r>
      <w:r w:rsidR="00895631" w:rsidRPr="00A156F4">
        <w:rPr>
          <w:sz w:val="22"/>
          <w:szCs w:val="22"/>
        </w:rPr>
        <w:t xml:space="preserve">os acuerdos se tomarán con el voto concurrente de la mayoría de </w:t>
      </w:r>
      <w:r w:rsidR="004E0CF3" w:rsidRPr="00A156F4">
        <w:rPr>
          <w:sz w:val="22"/>
          <w:szCs w:val="22"/>
        </w:rPr>
        <w:t>los miembros</w:t>
      </w:r>
      <w:r w:rsidR="00D44342" w:rsidRPr="00A156F4">
        <w:rPr>
          <w:sz w:val="22"/>
          <w:szCs w:val="22"/>
        </w:rPr>
        <w:t xml:space="preserve"> y quien no coincida deberá razonar su voto</w:t>
      </w:r>
      <w:r w:rsidR="00895631" w:rsidRPr="00A156F4">
        <w:rPr>
          <w:sz w:val="22"/>
          <w:szCs w:val="22"/>
        </w:rPr>
        <w:t xml:space="preserve">. Cuando se produzca un empate, el </w:t>
      </w:r>
      <w:proofErr w:type="gramStart"/>
      <w:r w:rsidR="00BA277E" w:rsidRPr="00A156F4">
        <w:rPr>
          <w:sz w:val="22"/>
          <w:szCs w:val="22"/>
        </w:rPr>
        <w:t>P</w:t>
      </w:r>
      <w:r w:rsidR="00895631" w:rsidRPr="00A156F4">
        <w:rPr>
          <w:sz w:val="22"/>
          <w:szCs w:val="22"/>
        </w:rPr>
        <w:t>residente</w:t>
      </w:r>
      <w:proofErr w:type="gramEnd"/>
      <w:r w:rsidR="00895631" w:rsidRPr="00A156F4">
        <w:rPr>
          <w:sz w:val="22"/>
          <w:szCs w:val="22"/>
        </w:rPr>
        <w:t xml:space="preserve"> resolverá con su voto de calidad. Salvo que tenga causal de impedimento o excusa, ningún miembro presente podrá abstenerse de votar.</w:t>
      </w:r>
    </w:p>
    <w:p w14:paraId="4A2E57EF" w14:textId="3BA10AC0" w:rsidR="005F7DB9" w:rsidRPr="00A156F4" w:rsidRDefault="005F7DB9" w:rsidP="004B2F8B">
      <w:pPr>
        <w:jc w:val="both"/>
        <w:rPr>
          <w:sz w:val="22"/>
          <w:szCs w:val="22"/>
        </w:rPr>
      </w:pPr>
    </w:p>
    <w:p w14:paraId="2C262AD0" w14:textId="77777777" w:rsidR="002537F9" w:rsidRPr="00A156F4" w:rsidRDefault="002537F9" w:rsidP="004B2F8B">
      <w:pPr>
        <w:jc w:val="both"/>
        <w:rPr>
          <w:sz w:val="22"/>
          <w:szCs w:val="22"/>
        </w:rPr>
      </w:pPr>
    </w:p>
    <w:p w14:paraId="433804FA" w14:textId="6551DBE9" w:rsidR="00A97B25" w:rsidRPr="00A156F4" w:rsidRDefault="00A97B25" w:rsidP="00A97B25">
      <w:pPr>
        <w:jc w:val="center"/>
        <w:rPr>
          <w:b/>
          <w:sz w:val="22"/>
          <w:szCs w:val="22"/>
        </w:rPr>
      </w:pPr>
      <w:r w:rsidRPr="00A156F4">
        <w:rPr>
          <w:b/>
          <w:sz w:val="22"/>
          <w:szCs w:val="22"/>
        </w:rPr>
        <w:t>SECCIÓN II</w:t>
      </w:r>
    </w:p>
    <w:p w14:paraId="77351E3C" w14:textId="6A02E63A" w:rsidR="00A97B25" w:rsidRPr="00A156F4" w:rsidRDefault="00A97B25" w:rsidP="00A97B25">
      <w:pPr>
        <w:jc w:val="center"/>
        <w:rPr>
          <w:b/>
          <w:sz w:val="22"/>
          <w:szCs w:val="22"/>
        </w:rPr>
      </w:pPr>
      <w:r w:rsidRPr="00A156F4">
        <w:rPr>
          <w:b/>
          <w:sz w:val="22"/>
          <w:szCs w:val="22"/>
        </w:rPr>
        <w:t xml:space="preserve">Del Órgano Superior de la </w:t>
      </w:r>
      <w:proofErr w:type="spellStart"/>
      <w:r w:rsidRPr="00A156F4">
        <w:rPr>
          <w:b/>
          <w:sz w:val="22"/>
          <w:szCs w:val="22"/>
        </w:rPr>
        <w:t>Sutel</w:t>
      </w:r>
      <w:proofErr w:type="spellEnd"/>
    </w:p>
    <w:p w14:paraId="449385F8" w14:textId="620164DE" w:rsidR="00A97B25" w:rsidRPr="00A156F4" w:rsidRDefault="00A97B25" w:rsidP="00A97B25">
      <w:pPr>
        <w:rPr>
          <w:sz w:val="22"/>
          <w:szCs w:val="22"/>
        </w:rPr>
      </w:pPr>
    </w:p>
    <w:p w14:paraId="6A878C09" w14:textId="77777777" w:rsidR="005F7DB9" w:rsidRPr="00A156F4" w:rsidRDefault="005F7DB9" w:rsidP="00A97B25">
      <w:pPr>
        <w:rPr>
          <w:sz w:val="22"/>
          <w:szCs w:val="22"/>
        </w:rPr>
      </w:pPr>
    </w:p>
    <w:p w14:paraId="11C7C5CE" w14:textId="21835F47" w:rsidR="00A97B25" w:rsidRPr="00A156F4" w:rsidRDefault="00A97B25" w:rsidP="004B2F8B">
      <w:pPr>
        <w:jc w:val="both"/>
        <w:rPr>
          <w:b/>
          <w:iCs/>
          <w:sz w:val="22"/>
          <w:szCs w:val="22"/>
        </w:rPr>
      </w:pPr>
      <w:r w:rsidRPr="00A156F4">
        <w:rPr>
          <w:b/>
          <w:iCs/>
          <w:sz w:val="22"/>
          <w:szCs w:val="22"/>
        </w:rPr>
        <w:t xml:space="preserve">Artículo </w:t>
      </w:r>
      <w:r w:rsidR="00B82C4F" w:rsidRPr="00A156F4">
        <w:rPr>
          <w:b/>
          <w:iCs/>
          <w:sz w:val="22"/>
          <w:szCs w:val="22"/>
        </w:rPr>
        <w:t>13</w:t>
      </w:r>
      <w:r w:rsidRPr="00A156F4">
        <w:rPr>
          <w:b/>
          <w:iCs/>
          <w:sz w:val="22"/>
          <w:szCs w:val="22"/>
        </w:rPr>
        <w:t xml:space="preserve">.- Del Órgano Superior de la </w:t>
      </w:r>
      <w:proofErr w:type="spellStart"/>
      <w:r w:rsidRPr="00A156F4">
        <w:rPr>
          <w:b/>
          <w:iCs/>
          <w:sz w:val="22"/>
          <w:szCs w:val="22"/>
        </w:rPr>
        <w:t>Sutel</w:t>
      </w:r>
      <w:proofErr w:type="spellEnd"/>
    </w:p>
    <w:p w14:paraId="0309F5D0" w14:textId="77777777" w:rsidR="00A97B25" w:rsidRPr="00A156F4" w:rsidRDefault="00A97B25" w:rsidP="004B2F8B">
      <w:pPr>
        <w:jc w:val="both"/>
        <w:rPr>
          <w:sz w:val="22"/>
          <w:szCs w:val="22"/>
        </w:rPr>
      </w:pPr>
    </w:p>
    <w:p w14:paraId="13F70527" w14:textId="5753DBCD" w:rsidR="00A97B25" w:rsidRPr="00A156F4" w:rsidRDefault="00A97B25" w:rsidP="004B2F8B">
      <w:pPr>
        <w:jc w:val="both"/>
        <w:rPr>
          <w:sz w:val="22"/>
          <w:szCs w:val="22"/>
        </w:rPr>
      </w:pPr>
      <w:r w:rsidRPr="00A156F4">
        <w:rPr>
          <w:sz w:val="22"/>
          <w:szCs w:val="22"/>
        </w:rPr>
        <w:t xml:space="preserve">El </w:t>
      </w:r>
      <w:r w:rsidR="00605EB0" w:rsidRPr="00A156F4">
        <w:rPr>
          <w:sz w:val="22"/>
          <w:szCs w:val="22"/>
        </w:rPr>
        <w:t>Ó</w:t>
      </w:r>
      <w:r w:rsidRPr="00A156F4">
        <w:rPr>
          <w:sz w:val="22"/>
          <w:szCs w:val="22"/>
        </w:rPr>
        <w:t xml:space="preserve">rgano </w:t>
      </w:r>
      <w:r w:rsidR="00605EB0" w:rsidRPr="00A156F4">
        <w:rPr>
          <w:sz w:val="22"/>
          <w:szCs w:val="22"/>
        </w:rPr>
        <w:t>S</w:t>
      </w:r>
      <w:r w:rsidRPr="00A156F4">
        <w:rPr>
          <w:sz w:val="22"/>
          <w:szCs w:val="22"/>
        </w:rPr>
        <w:t xml:space="preserve">uperior de la </w:t>
      </w:r>
      <w:proofErr w:type="spellStart"/>
      <w:r w:rsidR="002535A7" w:rsidRPr="00A156F4">
        <w:rPr>
          <w:sz w:val="22"/>
          <w:szCs w:val="22"/>
        </w:rPr>
        <w:t>Sutel</w:t>
      </w:r>
      <w:proofErr w:type="spellEnd"/>
      <w:r w:rsidRPr="00A156F4">
        <w:rPr>
          <w:sz w:val="22"/>
          <w:szCs w:val="22"/>
        </w:rPr>
        <w:t xml:space="preserve"> será el Consejo. La integración del Consejo</w:t>
      </w:r>
      <w:r w:rsidR="00F70DA2" w:rsidRPr="00A156F4">
        <w:rPr>
          <w:sz w:val="22"/>
          <w:szCs w:val="22"/>
        </w:rPr>
        <w:t>;</w:t>
      </w:r>
      <w:r w:rsidRPr="00A156F4">
        <w:rPr>
          <w:sz w:val="22"/>
          <w:szCs w:val="22"/>
        </w:rPr>
        <w:t xml:space="preserve"> </w:t>
      </w:r>
      <w:r w:rsidR="00605EB0" w:rsidRPr="00A156F4">
        <w:rPr>
          <w:sz w:val="22"/>
          <w:szCs w:val="22"/>
        </w:rPr>
        <w:t xml:space="preserve">los </w:t>
      </w:r>
      <w:r w:rsidRPr="00A156F4">
        <w:rPr>
          <w:sz w:val="22"/>
          <w:szCs w:val="22"/>
        </w:rPr>
        <w:t>requisitos</w:t>
      </w:r>
      <w:r w:rsidR="00605EB0" w:rsidRPr="00A156F4">
        <w:rPr>
          <w:sz w:val="22"/>
          <w:szCs w:val="22"/>
        </w:rPr>
        <w:t xml:space="preserve"> e</w:t>
      </w:r>
      <w:r w:rsidRPr="00A156F4">
        <w:rPr>
          <w:sz w:val="22"/>
          <w:szCs w:val="22"/>
        </w:rPr>
        <w:t xml:space="preserve"> impedimentos para ser miembros</w:t>
      </w:r>
      <w:r w:rsidR="00F70DA2" w:rsidRPr="00A156F4">
        <w:rPr>
          <w:sz w:val="22"/>
          <w:szCs w:val="22"/>
        </w:rPr>
        <w:t>;</w:t>
      </w:r>
      <w:r w:rsidRPr="00A156F4">
        <w:rPr>
          <w:sz w:val="22"/>
          <w:szCs w:val="22"/>
        </w:rPr>
        <w:t xml:space="preserve"> </w:t>
      </w:r>
      <w:r w:rsidR="00605EB0" w:rsidRPr="00A156F4">
        <w:rPr>
          <w:sz w:val="22"/>
          <w:szCs w:val="22"/>
        </w:rPr>
        <w:t xml:space="preserve">las </w:t>
      </w:r>
      <w:r w:rsidR="002537F9" w:rsidRPr="00A156F4">
        <w:rPr>
          <w:sz w:val="22"/>
          <w:szCs w:val="22"/>
        </w:rPr>
        <w:t>incompatibilidades</w:t>
      </w:r>
      <w:r w:rsidRPr="00A156F4">
        <w:rPr>
          <w:sz w:val="22"/>
          <w:szCs w:val="22"/>
        </w:rPr>
        <w:t xml:space="preserve"> con el cargo</w:t>
      </w:r>
      <w:r w:rsidR="00F70DA2" w:rsidRPr="00A156F4">
        <w:rPr>
          <w:sz w:val="22"/>
          <w:szCs w:val="22"/>
        </w:rPr>
        <w:t>;</w:t>
      </w:r>
      <w:r w:rsidRPr="00A156F4">
        <w:rPr>
          <w:sz w:val="22"/>
          <w:szCs w:val="22"/>
        </w:rPr>
        <w:t xml:space="preserve"> </w:t>
      </w:r>
      <w:r w:rsidR="00605EB0" w:rsidRPr="00A156F4">
        <w:rPr>
          <w:sz w:val="22"/>
          <w:szCs w:val="22"/>
        </w:rPr>
        <w:t xml:space="preserve">las </w:t>
      </w:r>
      <w:r w:rsidRPr="00A156F4">
        <w:rPr>
          <w:sz w:val="22"/>
          <w:szCs w:val="22"/>
        </w:rPr>
        <w:t>causas de cese</w:t>
      </w:r>
      <w:r w:rsidR="00F70DA2" w:rsidRPr="00A156F4">
        <w:rPr>
          <w:sz w:val="22"/>
          <w:szCs w:val="22"/>
        </w:rPr>
        <w:t>;</w:t>
      </w:r>
      <w:r w:rsidRPr="00A156F4">
        <w:rPr>
          <w:sz w:val="22"/>
          <w:szCs w:val="22"/>
        </w:rPr>
        <w:t xml:space="preserve"> </w:t>
      </w:r>
      <w:r w:rsidR="00605EB0" w:rsidRPr="00A156F4">
        <w:rPr>
          <w:sz w:val="22"/>
          <w:szCs w:val="22"/>
        </w:rPr>
        <w:t xml:space="preserve">la </w:t>
      </w:r>
      <w:r w:rsidRPr="00A156F4">
        <w:rPr>
          <w:sz w:val="22"/>
          <w:szCs w:val="22"/>
        </w:rPr>
        <w:t>responsabilidad por lesión patrimonial</w:t>
      </w:r>
      <w:r w:rsidR="00F70DA2" w:rsidRPr="00A156F4">
        <w:rPr>
          <w:sz w:val="22"/>
          <w:szCs w:val="22"/>
        </w:rPr>
        <w:t>;</w:t>
      </w:r>
      <w:r w:rsidRPr="00A156F4">
        <w:rPr>
          <w:sz w:val="22"/>
          <w:szCs w:val="22"/>
        </w:rPr>
        <w:t xml:space="preserve"> </w:t>
      </w:r>
      <w:r w:rsidR="00605EB0" w:rsidRPr="00A156F4">
        <w:rPr>
          <w:sz w:val="22"/>
          <w:szCs w:val="22"/>
        </w:rPr>
        <w:t xml:space="preserve">las causales de </w:t>
      </w:r>
      <w:r w:rsidRPr="00A156F4">
        <w:rPr>
          <w:sz w:val="22"/>
          <w:szCs w:val="22"/>
        </w:rPr>
        <w:t>impedimento, excusa y</w:t>
      </w:r>
      <w:r w:rsidR="00605EB0" w:rsidRPr="00A156F4">
        <w:rPr>
          <w:sz w:val="22"/>
          <w:szCs w:val="22"/>
        </w:rPr>
        <w:t xml:space="preserve"> </w:t>
      </w:r>
      <w:r w:rsidRPr="00A156F4">
        <w:rPr>
          <w:sz w:val="22"/>
          <w:szCs w:val="22"/>
        </w:rPr>
        <w:t>recusación</w:t>
      </w:r>
      <w:r w:rsidR="00F70DA2" w:rsidRPr="00A156F4">
        <w:rPr>
          <w:sz w:val="22"/>
          <w:szCs w:val="22"/>
        </w:rPr>
        <w:t>;</w:t>
      </w:r>
      <w:r w:rsidRPr="00A156F4">
        <w:rPr>
          <w:sz w:val="22"/>
          <w:szCs w:val="22"/>
        </w:rPr>
        <w:t xml:space="preserve"> </w:t>
      </w:r>
      <w:r w:rsidR="00605EB0" w:rsidRPr="00A156F4">
        <w:rPr>
          <w:sz w:val="22"/>
          <w:szCs w:val="22"/>
        </w:rPr>
        <w:t xml:space="preserve">las </w:t>
      </w:r>
      <w:r w:rsidRPr="00A156F4">
        <w:rPr>
          <w:sz w:val="22"/>
          <w:szCs w:val="22"/>
        </w:rPr>
        <w:t>sesiones</w:t>
      </w:r>
      <w:r w:rsidR="00F70DA2" w:rsidRPr="00A156F4">
        <w:rPr>
          <w:sz w:val="22"/>
          <w:szCs w:val="22"/>
        </w:rPr>
        <w:t>;</w:t>
      </w:r>
      <w:r w:rsidRPr="00A156F4">
        <w:rPr>
          <w:sz w:val="22"/>
          <w:szCs w:val="22"/>
        </w:rPr>
        <w:t xml:space="preserve"> </w:t>
      </w:r>
      <w:r w:rsidR="00605EB0" w:rsidRPr="00A156F4">
        <w:rPr>
          <w:sz w:val="22"/>
          <w:szCs w:val="22"/>
        </w:rPr>
        <w:t xml:space="preserve">el </w:t>
      </w:r>
      <w:r w:rsidRPr="00A156F4">
        <w:rPr>
          <w:sz w:val="22"/>
          <w:szCs w:val="22"/>
        </w:rPr>
        <w:t xml:space="preserve">quórum y </w:t>
      </w:r>
      <w:r w:rsidR="00605EB0" w:rsidRPr="00A156F4">
        <w:rPr>
          <w:sz w:val="22"/>
          <w:szCs w:val="22"/>
        </w:rPr>
        <w:t xml:space="preserve">las </w:t>
      </w:r>
      <w:r w:rsidRPr="00A156F4">
        <w:rPr>
          <w:sz w:val="22"/>
          <w:szCs w:val="22"/>
        </w:rPr>
        <w:t>votaciones</w:t>
      </w:r>
      <w:r w:rsidR="00F70DA2" w:rsidRPr="00A156F4">
        <w:rPr>
          <w:sz w:val="22"/>
          <w:szCs w:val="22"/>
        </w:rPr>
        <w:t>;</w:t>
      </w:r>
      <w:r w:rsidRPr="00A156F4">
        <w:rPr>
          <w:sz w:val="22"/>
          <w:szCs w:val="22"/>
        </w:rPr>
        <w:t xml:space="preserve"> </w:t>
      </w:r>
      <w:r w:rsidR="00605EB0" w:rsidRPr="00A156F4">
        <w:rPr>
          <w:sz w:val="22"/>
          <w:szCs w:val="22"/>
        </w:rPr>
        <w:t xml:space="preserve">la </w:t>
      </w:r>
      <w:r w:rsidRPr="00A156F4">
        <w:rPr>
          <w:sz w:val="22"/>
          <w:szCs w:val="22"/>
        </w:rPr>
        <w:t>organización</w:t>
      </w:r>
      <w:r w:rsidR="00F70DA2" w:rsidRPr="00A156F4">
        <w:rPr>
          <w:sz w:val="22"/>
          <w:szCs w:val="22"/>
        </w:rPr>
        <w:t>;</w:t>
      </w:r>
      <w:r w:rsidRPr="00A156F4">
        <w:rPr>
          <w:sz w:val="22"/>
          <w:szCs w:val="22"/>
        </w:rPr>
        <w:t xml:space="preserve"> </w:t>
      </w:r>
      <w:r w:rsidR="00605EB0" w:rsidRPr="00A156F4">
        <w:rPr>
          <w:sz w:val="22"/>
          <w:szCs w:val="22"/>
        </w:rPr>
        <w:t xml:space="preserve">la </w:t>
      </w:r>
      <w:r w:rsidRPr="00A156F4">
        <w:rPr>
          <w:sz w:val="22"/>
          <w:szCs w:val="22"/>
        </w:rPr>
        <w:t>remuneración y prohibición de prestar servicios</w:t>
      </w:r>
      <w:r w:rsidR="00F70DA2" w:rsidRPr="00A156F4">
        <w:rPr>
          <w:sz w:val="22"/>
          <w:szCs w:val="22"/>
        </w:rPr>
        <w:t>;</w:t>
      </w:r>
      <w:r w:rsidRPr="00A156F4">
        <w:rPr>
          <w:sz w:val="22"/>
          <w:szCs w:val="22"/>
        </w:rPr>
        <w:t xml:space="preserve"> </w:t>
      </w:r>
      <w:r w:rsidR="00605EB0" w:rsidRPr="00A156F4">
        <w:rPr>
          <w:sz w:val="22"/>
          <w:szCs w:val="22"/>
        </w:rPr>
        <w:t xml:space="preserve">su </w:t>
      </w:r>
      <w:r w:rsidRPr="00A156F4">
        <w:rPr>
          <w:sz w:val="22"/>
          <w:szCs w:val="22"/>
        </w:rPr>
        <w:t>presupuesto y funciones</w:t>
      </w:r>
      <w:r w:rsidR="00605EB0" w:rsidRPr="00A156F4">
        <w:rPr>
          <w:sz w:val="22"/>
          <w:szCs w:val="22"/>
        </w:rPr>
        <w:t>; la</w:t>
      </w:r>
      <w:r w:rsidR="00193FE7" w:rsidRPr="00A156F4">
        <w:rPr>
          <w:sz w:val="22"/>
          <w:szCs w:val="22"/>
        </w:rPr>
        <w:t xml:space="preserve"> representación y legitimación judicial,</w:t>
      </w:r>
      <w:r w:rsidRPr="00A156F4">
        <w:rPr>
          <w:sz w:val="22"/>
          <w:szCs w:val="22"/>
        </w:rPr>
        <w:t xml:space="preserve"> se regirán según lo establecido en el Capítulo XI de la Ley de la Autoridad Reguladora de los Servicios Públicos, Ley </w:t>
      </w:r>
      <w:proofErr w:type="spellStart"/>
      <w:r w:rsidRPr="00A156F4">
        <w:rPr>
          <w:sz w:val="22"/>
          <w:szCs w:val="22"/>
        </w:rPr>
        <w:t>N°</w:t>
      </w:r>
      <w:proofErr w:type="spellEnd"/>
      <w:r w:rsidRPr="00A156F4">
        <w:rPr>
          <w:sz w:val="22"/>
          <w:szCs w:val="22"/>
        </w:rPr>
        <w:t>. 7593, del 9 de agosto de 1996, sus reformas y sus reglamentos.</w:t>
      </w:r>
    </w:p>
    <w:p w14:paraId="5F77E7D4" w14:textId="59F1F555" w:rsidR="00A97B25" w:rsidRPr="00A156F4" w:rsidRDefault="00A97B25" w:rsidP="004B2F8B">
      <w:pPr>
        <w:jc w:val="both"/>
        <w:rPr>
          <w:sz w:val="22"/>
          <w:szCs w:val="22"/>
        </w:rPr>
      </w:pPr>
    </w:p>
    <w:p w14:paraId="325DB252" w14:textId="77777777" w:rsidR="005F7DB9" w:rsidRPr="00A156F4" w:rsidRDefault="005F7DB9" w:rsidP="004B2F8B">
      <w:pPr>
        <w:jc w:val="both"/>
        <w:rPr>
          <w:sz w:val="22"/>
          <w:szCs w:val="22"/>
        </w:rPr>
      </w:pPr>
    </w:p>
    <w:p w14:paraId="1692B63F" w14:textId="72ECC6B4" w:rsidR="00A97B25" w:rsidRPr="00A156F4" w:rsidRDefault="00A97B25" w:rsidP="00A97B25">
      <w:pPr>
        <w:jc w:val="center"/>
        <w:rPr>
          <w:b/>
          <w:sz w:val="22"/>
          <w:szCs w:val="22"/>
        </w:rPr>
      </w:pPr>
      <w:r w:rsidRPr="00A156F4">
        <w:rPr>
          <w:b/>
          <w:sz w:val="22"/>
          <w:szCs w:val="22"/>
        </w:rPr>
        <w:t xml:space="preserve">Sección III </w:t>
      </w:r>
    </w:p>
    <w:p w14:paraId="008FD970" w14:textId="2B31D620" w:rsidR="00A97B25" w:rsidRPr="00A156F4" w:rsidRDefault="00A97B25" w:rsidP="00A97B25">
      <w:pPr>
        <w:jc w:val="center"/>
        <w:rPr>
          <w:b/>
          <w:sz w:val="22"/>
          <w:szCs w:val="22"/>
        </w:rPr>
      </w:pPr>
      <w:r w:rsidRPr="00A156F4">
        <w:rPr>
          <w:b/>
          <w:sz w:val="22"/>
          <w:szCs w:val="22"/>
        </w:rPr>
        <w:t>Del Órgano Técnico de cada Autoridad de Competencia</w:t>
      </w:r>
    </w:p>
    <w:p w14:paraId="0E9F8060" w14:textId="4F8EB19B" w:rsidR="00A97B25" w:rsidRPr="00A156F4" w:rsidRDefault="00A97B25" w:rsidP="004B2F8B">
      <w:pPr>
        <w:jc w:val="both"/>
        <w:rPr>
          <w:sz w:val="22"/>
          <w:szCs w:val="22"/>
        </w:rPr>
      </w:pPr>
    </w:p>
    <w:p w14:paraId="30405B87" w14:textId="77777777" w:rsidR="005F7DB9" w:rsidRPr="00A156F4" w:rsidRDefault="005F7DB9" w:rsidP="004B2F8B">
      <w:pPr>
        <w:jc w:val="both"/>
        <w:rPr>
          <w:sz w:val="22"/>
          <w:szCs w:val="22"/>
        </w:rPr>
      </w:pPr>
    </w:p>
    <w:p w14:paraId="3BA93505" w14:textId="19092C21" w:rsidR="000C53FE" w:rsidRPr="00A156F4" w:rsidRDefault="003A4B27" w:rsidP="004B2F8B">
      <w:pPr>
        <w:autoSpaceDE w:val="0"/>
        <w:autoSpaceDN w:val="0"/>
        <w:jc w:val="both"/>
        <w:rPr>
          <w:sz w:val="22"/>
          <w:szCs w:val="22"/>
        </w:rPr>
      </w:pPr>
      <w:r w:rsidRPr="00A156F4">
        <w:rPr>
          <w:b/>
          <w:iCs/>
          <w:sz w:val="22"/>
          <w:szCs w:val="22"/>
        </w:rPr>
        <w:t xml:space="preserve">Artículo </w:t>
      </w:r>
      <w:r w:rsidR="00027994" w:rsidRPr="00A156F4">
        <w:rPr>
          <w:b/>
          <w:iCs/>
          <w:sz w:val="22"/>
          <w:szCs w:val="22"/>
        </w:rPr>
        <w:t>1</w:t>
      </w:r>
      <w:r w:rsidR="00B82C4F" w:rsidRPr="00A156F4">
        <w:rPr>
          <w:b/>
          <w:iCs/>
          <w:sz w:val="22"/>
          <w:szCs w:val="22"/>
        </w:rPr>
        <w:t>4</w:t>
      </w:r>
      <w:r w:rsidRPr="00A156F4">
        <w:rPr>
          <w:b/>
          <w:iCs/>
          <w:sz w:val="22"/>
          <w:szCs w:val="22"/>
        </w:rPr>
        <w:t>.-</w:t>
      </w:r>
      <w:r w:rsidR="00BA0885" w:rsidRPr="00A156F4">
        <w:rPr>
          <w:b/>
          <w:iCs/>
          <w:sz w:val="22"/>
          <w:szCs w:val="22"/>
        </w:rPr>
        <w:t xml:space="preserve"> </w:t>
      </w:r>
      <w:r w:rsidR="000C53FE" w:rsidRPr="00A156F4">
        <w:rPr>
          <w:b/>
          <w:iCs/>
          <w:sz w:val="22"/>
          <w:szCs w:val="22"/>
        </w:rPr>
        <w:t xml:space="preserve">Del Órgano Técnico de </w:t>
      </w:r>
      <w:r w:rsidR="004C2BAB" w:rsidRPr="00A156F4">
        <w:rPr>
          <w:b/>
          <w:iCs/>
          <w:sz w:val="22"/>
          <w:szCs w:val="22"/>
        </w:rPr>
        <w:t>cada</w:t>
      </w:r>
      <w:r w:rsidR="000F0FEA" w:rsidRPr="00A156F4">
        <w:rPr>
          <w:b/>
          <w:iCs/>
          <w:sz w:val="22"/>
          <w:szCs w:val="22"/>
        </w:rPr>
        <w:t xml:space="preserve"> autoridad de competencia</w:t>
      </w:r>
    </w:p>
    <w:p w14:paraId="6563E225" w14:textId="77777777" w:rsidR="0057787B" w:rsidRPr="00A156F4" w:rsidRDefault="0057787B" w:rsidP="004B2F8B">
      <w:pPr>
        <w:autoSpaceDE w:val="0"/>
        <w:autoSpaceDN w:val="0"/>
        <w:jc w:val="both"/>
        <w:rPr>
          <w:sz w:val="22"/>
          <w:szCs w:val="22"/>
        </w:rPr>
      </w:pPr>
    </w:p>
    <w:p w14:paraId="43E7A3C5" w14:textId="207CE7C8" w:rsidR="002602E8" w:rsidRPr="00A156F4" w:rsidRDefault="002602E8" w:rsidP="002602E8">
      <w:pPr>
        <w:autoSpaceDE w:val="0"/>
        <w:autoSpaceDN w:val="0"/>
        <w:jc w:val="both"/>
        <w:rPr>
          <w:sz w:val="22"/>
          <w:szCs w:val="22"/>
        </w:rPr>
      </w:pPr>
      <w:r w:rsidRPr="00A156F4">
        <w:rPr>
          <w:sz w:val="22"/>
          <w:szCs w:val="22"/>
        </w:rPr>
        <w:t xml:space="preserve">Cada autoridad de competencia contará con un Órgano Técnico </w:t>
      </w:r>
      <w:r w:rsidR="00BA277E" w:rsidRPr="00A156F4">
        <w:rPr>
          <w:sz w:val="22"/>
          <w:szCs w:val="22"/>
        </w:rPr>
        <w:t>p</w:t>
      </w:r>
      <w:r w:rsidRPr="00A156F4">
        <w:rPr>
          <w:sz w:val="22"/>
          <w:szCs w:val="22"/>
        </w:rPr>
        <w:t>ara cumplir con sus funciones</w:t>
      </w:r>
      <w:r w:rsidR="00BA277E" w:rsidRPr="00A156F4">
        <w:rPr>
          <w:sz w:val="22"/>
          <w:szCs w:val="22"/>
        </w:rPr>
        <w:t>. Dicho órgano</w:t>
      </w:r>
      <w:r w:rsidR="00643EE0" w:rsidRPr="00A156F4">
        <w:rPr>
          <w:sz w:val="22"/>
          <w:szCs w:val="22"/>
        </w:rPr>
        <w:t xml:space="preserve"> </w:t>
      </w:r>
      <w:r w:rsidRPr="00A156F4">
        <w:rPr>
          <w:sz w:val="22"/>
          <w:szCs w:val="22"/>
        </w:rPr>
        <w:t xml:space="preserve">contará con el personal técnico y profesional que requiera en las materias de su competencia. </w:t>
      </w:r>
    </w:p>
    <w:p w14:paraId="28829FD9" w14:textId="77777777" w:rsidR="00AB57E7" w:rsidRPr="00A156F4" w:rsidRDefault="00BA0885" w:rsidP="004B2F8B">
      <w:pPr>
        <w:rPr>
          <w:sz w:val="22"/>
          <w:szCs w:val="22"/>
        </w:rPr>
      </w:pPr>
      <w:r w:rsidRPr="00A156F4">
        <w:rPr>
          <w:sz w:val="22"/>
          <w:szCs w:val="22"/>
        </w:rPr>
        <w:t xml:space="preserve"> </w:t>
      </w:r>
    </w:p>
    <w:p w14:paraId="363B1529" w14:textId="4FD7CDDC" w:rsidR="00593CE3" w:rsidRPr="00A156F4" w:rsidRDefault="00D2752F" w:rsidP="004B2F8B">
      <w:pPr>
        <w:rPr>
          <w:b/>
          <w:sz w:val="22"/>
          <w:szCs w:val="22"/>
        </w:rPr>
      </w:pPr>
      <w:r w:rsidRPr="00A156F4">
        <w:rPr>
          <w:b/>
          <w:sz w:val="22"/>
          <w:szCs w:val="22"/>
        </w:rPr>
        <w:t xml:space="preserve">Artículo </w:t>
      </w:r>
      <w:r w:rsidR="00C950ED" w:rsidRPr="00A156F4">
        <w:rPr>
          <w:b/>
          <w:sz w:val="22"/>
          <w:szCs w:val="22"/>
        </w:rPr>
        <w:t>1</w:t>
      </w:r>
      <w:r w:rsidR="00B82C4F" w:rsidRPr="00A156F4">
        <w:rPr>
          <w:b/>
          <w:sz w:val="22"/>
          <w:szCs w:val="22"/>
        </w:rPr>
        <w:t>5</w:t>
      </w:r>
      <w:r w:rsidR="003C5B99" w:rsidRPr="00A156F4">
        <w:rPr>
          <w:b/>
          <w:sz w:val="22"/>
          <w:szCs w:val="22"/>
        </w:rPr>
        <w:t>.-</w:t>
      </w:r>
      <w:r w:rsidR="00570FB1" w:rsidRPr="00A156F4">
        <w:rPr>
          <w:b/>
          <w:sz w:val="22"/>
          <w:szCs w:val="22"/>
        </w:rPr>
        <w:t xml:space="preserve"> </w:t>
      </w:r>
      <w:r w:rsidR="003C5B99" w:rsidRPr="00A156F4">
        <w:rPr>
          <w:b/>
          <w:sz w:val="22"/>
          <w:szCs w:val="22"/>
        </w:rPr>
        <w:t>Funciones</w:t>
      </w:r>
      <w:r w:rsidR="0057787B" w:rsidRPr="00A156F4">
        <w:rPr>
          <w:b/>
          <w:sz w:val="22"/>
          <w:szCs w:val="22"/>
        </w:rPr>
        <w:t xml:space="preserve"> del </w:t>
      </w:r>
      <w:r w:rsidR="0057787B" w:rsidRPr="00A156F4">
        <w:rPr>
          <w:b/>
          <w:iCs/>
          <w:sz w:val="22"/>
          <w:szCs w:val="22"/>
        </w:rPr>
        <w:t xml:space="preserve">Órgano Técnico de </w:t>
      </w:r>
      <w:r w:rsidR="004C2BAB" w:rsidRPr="00A156F4">
        <w:rPr>
          <w:b/>
          <w:iCs/>
          <w:sz w:val="22"/>
          <w:szCs w:val="22"/>
        </w:rPr>
        <w:t>cada autoridad de competencia</w:t>
      </w:r>
    </w:p>
    <w:p w14:paraId="13A78AC2" w14:textId="77777777" w:rsidR="0041665B" w:rsidRPr="00A156F4" w:rsidRDefault="0041665B" w:rsidP="004B2F8B">
      <w:pPr>
        <w:widowControl w:val="0"/>
        <w:jc w:val="both"/>
        <w:rPr>
          <w:sz w:val="22"/>
          <w:szCs w:val="22"/>
        </w:rPr>
      </w:pPr>
    </w:p>
    <w:p w14:paraId="0F343EA3" w14:textId="609E2920" w:rsidR="003F56B6" w:rsidRPr="00A156F4" w:rsidRDefault="0033263D" w:rsidP="004B2F8B">
      <w:pPr>
        <w:widowControl w:val="0"/>
        <w:jc w:val="both"/>
        <w:rPr>
          <w:sz w:val="22"/>
          <w:szCs w:val="22"/>
        </w:rPr>
      </w:pPr>
      <w:r w:rsidRPr="00A156F4">
        <w:rPr>
          <w:sz w:val="22"/>
          <w:szCs w:val="22"/>
        </w:rPr>
        <w:t xml:space="preserve">El Órgano Técnico </w:t>
      </w:r>
      <w:bookmarkStart w:id="9" w:name="_Hlk524346616"/>
      <w:r w:rsidRPr="00A156F4">
        <w:rPr>
          <w:sz w:val="22"/>
          <w:szCs w:val="22"/>
        </w:rPr>
        <w:t xml:space="preserve">de </w:t>
      </w:r>
      <w:r w:rsidR="000B4F5A" w:rsidRPr="00A156F4">
        <w:rPr>
          <w:sz w:val="22"/>
          <w:szCs w:val="22"/>
        </w:rPr>
        <w:t xml:space="preserve">cada </w:t>
      </w:r>
      <w:r w:rsidRPr="00A156F4">
        <w:rPr>
          <w:sz w:val="22"/>
          <w:szCs w:val="22"/>
        </w:rPr>
        <w:t xml:space="preserve">autoridad de competencia </w:t>
      </w:r>
      <w:bookmarkEnd w:id="9"/>
      <w:r w:rsidRPr="00A156F4">
        <w:rPr>
          <w:sz w:val="22"/>
          <w:szCs w:val="22"/>
        </w:rPr>
        <w:t>tendrá las funciones y potestades</w:t>
      </w:r>
      <w:r w:rsidR="00CA7A28" w:rsidRPr="00A156F4">
        <w:rPr>
          <w:sz w:val="22"/>
          <w:szCs w:val="22"/>
        </w:rPr>
        <w:t xml:space="preserve"> que le otorgue la presente </w:t>
      </w:r>
      <w:r w:rsidR="0083653A" w:rsidRPr="00A156F4">
        <w:rPr>
          <w:sz w:val="22"/>
          <w:szCs w:val="22"/>
        </w:rPr>
        <w:t>l</w:t>
      </w:r>
      <w:r w:rsidR="00CA7A28" w:rsidRPr="00A156F4">
        <w:rPr>
          <w:sz w:val="22"/>
          <w:szCs w:val="22"/>
        </w:rPr>
        <w:t>ey</w:t>
      </w:r>
      <w:r w:rsidR="00CC6635" w:rsidRPr="00A156F4">
        <w:rPr>
          <w:sz w:val="22"/>
          <w:szCs w:val="22"/>
        </w:rPr>
        <w:t xml:space="preserve"> y su reglamento</w:t>
      </w:r>
      <w:r w:rsidR="00CA7A28" w:rsidRPr="00A156F4">
        <w:rPr>
          <w:sz w:val="22"/>
          <w:szCs w:val="22"/>
        </w:rPr>
        <w:t>,</w:t>
      </w:r>
      <w:r w:rsidRPr="00A156F4">
        <w:rPr>
          <w:sz w:val="22"/>
          <w:szCs w:val="22"/>
        </w:rPr>
        <w:t xml:space="preserve"> </w:t>
      </w:r>
      <w:r w:rsidR="0041665B" w:rsidRPr="00A156F4">
        <w:rPr>
          <w:sz w:val="22"/>
          <w:szCs w:val="22"/>
        </w:rPr>
        <w:t xml:space="preserve">la Ley de Promoción de la Competencia y Defensa Efectiva del Consumidor, Ley </w:t>
      </w:r>
      <w:proofErr w:type="spellStart"/>
      <w:r w:rsidR="0041665B" w:rsidRPr="00A156F4">
        <w:rPr>
          <w:sz w:val="22"/>
          <w:szCs w:val="22"/>
        </w:rPr>
        <w:t>N°</w:t>
      </w:r>
      <w:proofErr w:type="spellEnd"/>
      <w:r w:rsidR="00AA04A5" w:rsidRPr="00A156F4">
        <w:rPr>
          <w:sz w:val="22"/>
          <w:szCs w:val="22"/>
        </w:rPr>
        <w:t>.</w:t>
      </w:r>
      <w:r w:rsidR="0041665B" w:rsidRPr="00A156F4">
        <w:rPr>
          <w:sz w:val="22"/>
          <w:szCs w:val="22"/>
        </w:rPr>
        <w:t xml:space="preserve"> 7472, del 20 de diciembre de 1994</w:t>
      </w:r>
      <w:r w:rsidR="009A75B7" w:rsidRPr="00A156F4">
        <w:rPr>
          <w:sz w:val="22"/>
          <w:szCs w:val="22"/>
        </w:rPr>
        <w:t>,</w:t>
      </w:r>
      <w:r w:rsidR="00B76ED6" w:rsidRPr="00A156F4">
        <w:rPr>
          <w:sz w:val="22"/>
          <w:szCs w:val="22"/>
        </w:rPr>
        <w:t xml:space="preserve"> </w:t>
      </w:r>
      <w:r w:rsidR="009A75B7" w:rsidRPr="00A156F4">
        <w:rPr>
          <w:sz w:val="22"/>
          <w:szCs w:val="22"/>
        </w:rPr>
        <w:t xml:space="preserve">sus reformas </w:t>
      </w:r>
      <w:r w:rsidR="00B76ED6" w:rsidRPr="00A156F4">
        <w:rPr>
          <w:sz w:val="22"/>
          <w:szCs w:val="22"/>
        </w:rPr>
        <w:t xml:space="preserve">y sus </w:t>
      </w:r>
      <w:r w:rsidR="009A75B7" w:rsidRPr="00A156F4">
        <w:rPr>
          <w:sz w:val="22"/>
          <w:szCs w:val="22"/>
        </w:rPr>
        <w:t>reglamentos</w:t>
      </w:r>
      <w:r w:rsidR="0041665B" w:rsidRPr="00A156F4">
        <w:rPr>
          <w:sz w:val="22"/>
          <w:szCs w:val="22"/>
        </w:rPr>
        <w:t xml:space="preserve">, para el caso de la </w:t>
      </w:r>
      <w:proofErr w:type="spellStart"/>
      <w:r w:rsidR="0041665B" w:rsidRPr="00A156F4">
        <w:rPr>
          <w:sz w:val="22"/>
          <w:szCs w:val="22"/>
        </w:rPr>
        <w:t>Coprocom</w:t>
      </w:r>
      <w:proofErr w:type="spellEnd"/>
      <w:r w:rsidR="0041665B" w:rsidRPr="00A156F4">
        <w:rPr>
          <w:sz w:val="22"/>
          <w:szCs w:val="22"/>
        </w:rPr>
        <w:t xml:space="preserve">, y </w:t>
      </w:r>
      <w:r w:rsidR="000B530F" w:rsidRPr="00A156F4">
        <w:rPr>
          <w:sz w:val="22"/>
          <w:szCs w:val="22"/>
        </w:rPr>
        <w:t xml:space="preserve">en el caso de la </w:t>
      </w:r>
      <w:proofErr w:type="spellStart"/>
      <w:r w:rsidR="00AE6BCF" w:rsidRPr="00A156F4">
        <w:rPr>
          <w:sz w:val="22"/>
          <w:szCs w:val="22"/>
        </w:rPr>
        <w:t>Sutel</w:t>
      </w:r>
      <w:proofErr w:type="spellEnd"/>
      <w:r w:rsidR="00AE6BCF" w:rsidRPr="00A156F4">
        <w:rPr>
          <w:sz w:val="22"/>
          <w:szCs w:val="22"/>
        </w:rPr>
        <w:t xml:space="preserve"> </w:t>
      </w:r>
      <w:r w:rsidR="000B530F" w:rsidRPr="00A156F4">
        <w:rPr>
          <w:sz w:val="22"/>
          <w:szCs w:val="22"/>
        </w:rPr>
        <w:t>adicionalmente tendrá las funciones establecidas en el del Títu</w:t>
      </w:r>
      <w:r w:rsidR="00431D8B" w:rsidRPr="00A156F4">
        <w:rPr>
          <w:sz w:val="22"/>
          <w:szCs w:val="22"/>
        </w:rPr>
        <w:t>l</w:t>
      </w:r>
      <w:r w:rsidR="000B530F" w:rsidRPr="00A156F4">
        <w:rPr>
          <w:sz w:val="22"/>
          <w:szCs w:val="22"/>
        </w:rPr>
        <w:t>o III</w:t>
      </w:r>
      <w:r w:rsidR="00431D8B" w:rsidRPr="00A156F4">
        <w:rPr>
          <w:sz w:val="22"/>
          <w:szCs w:val="22"/>
        </w:rPr>
        <w:t xml:space="preserve"> Capítulo II</w:t>
      </w:r>
      <w:r w:rsidR="000B530F" w:rsidRPr="00A156F4">
        <w:rPr>
          <w:sz w:val="22"/>
          <w:szCs w:val="22"/>
        </w:rPr>
        <w:t xml:space="preserve"> de la Ley General de Telecomunicaciones, Ley </w:t>
      </w:r>
      <w:proofErr w:type="spellStart"/>
      <w:r w:rsidR="000B530F" w:rsidRPr="00A156F4">
        <w:rPr>
          <w:sz w:val="22"/>
          <w:szCs w:val="22"/>
        </w:rPr>
        <w:t>N°</w:t>
      </w:r>
      <w:proofErr w:type="spellEnd"/>
      <w:r w:rsidR="000B530F" w:rsidRPr="00A156F4">
        <w:rPr>
          <w:sz w:val="22"/>
          <w:szCs w:val="22"/>
        </w:rPr>
        <w:t>. 8642, del 4 de junio de 2008</w:t>
      </w:r>
      <w:r w:rsidR="00A614C5" w:rsidRPr="00A156F4">
        <w:rPr>
          <w:sz w:val="22"/>
          <w:szCs w:val="22"/>
        </w:rPr>
        <w:t>,</w:t>
      </w:r>
      <w:r w:rsidR="000B530F" w:rsidRPr="00A156F4">
        <w:rPr>
          <w:sz w:val="22"/>
          <w:szCs w:val="22"/>
        </w:rPr>
        <w:t xml:space="preserve"> sus reformas y sus reglamentos.</w:t>
      </w:r>
    </w:p>
    <w:p w14:paraId="3CD8955D" w14:textId="77777777" w:rsidR="003F56B6" w:rsidRPr="00A156F4" w:rsidRDefault="003F56B6" w:rsidP="004B2F8B">
      <w:pPr>
        <w:widowControl w:val="0"/>
        <w:jc w:val="both"/>
        <w:rPr>
          <w:sz w:val="22"/>
          <w:szCs w:val="22"/>
        </w:rPr>
      </w:pPr>
    </w:p>
    <w:p w14:paraId="1D82E52F" w14:textId="63B8556C" w:rsidR="00CC6635" w:rsidRPr="00A156F4" w:rsidRDefault="003F56B6" w:rsidP="004B2F8B">
      <w:pPr>
        <w:widowControl w:val="0"/>
        <w:jc w:val="both"/>
        <w:rPr>
          <w:sz w:val="22"/>
          <w:szCs w:val="22"/>
        </w:rPr>
      </w:pPr>
      <w:r w:rsidRPr="00A156F4">
        <w:rPr>
          <w:sz w:val="22"/>
          <w:szCs w:val="22"/>
        </w:rPr>
        <w:t>E</w:t>
      </w:r>
      <w:r w:rsidR="00643EE0" w:rsidRPr="00A156F4">
        <w:rPr>
          <w:sz w:val="22"/>
          <w:szCs w:val="22"/>
        </w:rPr>
        <w:t>l Órgano Técnico</w:t>
      </w:r>
      <w:r w:rsidRPr="00A156F4">
        <w:rPr>
          <w:sz w:val="22"/>
          <w:szCs w:val="22"/>
        </w:rPr>
        <w:t xml:space="preserve"> de cada autoridad de competencia</w:t>
      </w:r>
      <w:r w:rsidR="000B530F" w:rsidRPr="00A156F4">
        <w:rPr>
          <w:sz w:val="22"/>
          <w:szCs w:val="22"/>
        </w:rPr>
        <w:t xml:space="preserve"> deberá asumir las funciones y potestades que le sean delegad</w:t>
      </w:r>
      <w:r w:rsidR="0000513E" w:rsidRPr="00A156F4">
        <w:rPr>
          <w:sz w:val="22"/>
          <w:szCs w:val="22"/>
        </w:rPr>
        <w:t>a</w:t>
      </w:r>
      <w:r w:rsidR="000B530F" w:rsidRPr="00A156F4">
        <w:rPr>
          <w:sz w:val="22"/>
          <w:szCs w:val="22"/>
        </w:rPr>
        <w:t>s por el Órgano Superior</w:t>
      </w:r>
      <w:r w:rsidRPr="00A156F4">
        <w:rPr>
          <w:sz w:val="22"/>
          <w:szCs w:val="22"/>
        </w:rPr>
        <w:t xml:space="preserve"> respectivo</w:t>
      </w:r>
      <w:r w:rsidR="000B530F" w:rsidRPr="00A156F4">
        <w:rPr>
          <w:sz w:val="22"/>
          <w:szCs w:val="22"/>
        </w:rPr>
        <w:t>.</w:t>
      </w:r>
      <w:r w:rsidR="00BA0885" w:rsidRPr="00A156F4">
        <w:rPr>
          <w:sz w:val="22"/>
          <w:szCs w:val="22"/>
        </w:rPr>
        <w:t xml:space="preserve"> </w:t>
      </w:r>
    </w:p>
    <w:p w14:paraId="419EF219" w14:textId="77777777" w:rsidR="0057787B" w:rsidRPr="00A156F4" w:rsidRDefault="00BA0885" w:rsidP="004B2F8B">
      <w:pPr>
        <w:rPr>
          <w:sz w:val="22"/>
          <w:szCs w:val="22"/>
        </w:rPr>
      </w:pPr>
      <w:r w:rsidRPr="00A156F4">
        <w:rPr>
          <w:sz w:val="22"/>
          <w:szCs w:val="22"/>
        </w:rPr>
        <w:t xml:space="preserve"> </w:t>
      </w:r>
    </w:p>
    <w:p w14:paraId="09BA8180" w14:textId="3F1C3B50" w:rsidR="003C5B99" w:rsidRPr="00A156F4" w:rsidRDefault="00D2752F" w:rsidP="004B2F8B">
      <w:pPr>
        <w:jc w:val="both"/>
        <w:rPr>
          <w:b/>
          <w:sz w:val="22"/>
          <w:szCs w:val="22"/>
        </w:rPr>
      </w:pPr>
      <w:r w:rsidRPr="00A156F4">
        <w:rPr>
          <w:b/>
          <w:sz w:val="22"/>
          <w:szCs w:val="22"/>
        </w:rPr>
        <w:t xml:space="preserve">Artículo </w:t>
      </w:r>
      <w:r w:rsidR="00C950ED" w:rsidRPr="00A156F4">
        <w:rPr>
          <w:b/>
          <w:sz w:val="22"/>
          <w:szCs w:val="22"/>
        </w:rPr>
        <w:t>1</w:t>
      </w:r>
      <w:r w:rsidR="00B82C4F" w:rsidRPr="00A156F4">
        <w:rPr>
          <w:b/>
          <w:sz w:val="22"/>
          <w:szCs w:val="22"/>
        </w:rPr>
        <w:t>6</w:t>
      </w:r>
      <w:r w:rsidR="003C5B99" w:rsidRPr="00A156F4">
        <w:rPr>
          <w:b/>
          <w:sz w:val="22"/>
          <w:szCs w:val="22"/>
        </w:rPr>
        <w:t>.-</w:t>
      </w:r>
      <w:r w:rsidR="00CF4A93" w:rsidRPr="00A156F4">
        <w:rPr>
          <w:b/>
          <w:sz w:val="22"/>
          <w:szCs w:val="22"/>
        </w:rPr>
        <w:t xml:space="preserve"> </w:t>
      </w:r>
      <w:r w:rsidR="00323493" w:rsidRPr="00A156F4">
        <w:rPr>
          <w:b/>
          <w:sz w:val="22"/>
          <w:szCs w:val="22"/>
        </w:rPr>
        <w:t xml:space="preserve">Del encargado de dirigir las labores del Órgano Técnico </w:t>
      </w:r>
      <w:r w:rsidR="004C2BAB" w:rsidRPr="00A156F4">
        <w:rPr>
          <w:b/>
          <w:iCs/>
          <w:sz w:val="22"/>
          <w:szCs w:val="22"/>
        </w:rPr>
        <w:t>de cada autoridad de competencia</w:t>
      </w:r>
      <w:r w:rsidR="00FD0861" w:rsidRPr="00A156F4">
        <w:rPr>
          <w:b/>
          <w:sz w:val="22"/>
          <w:szCs w:val="22"/>
        </w:rPr>
        <w:t xml:space="preserve"> y sus funciones</w:t>
      </w:r>
    </w:p>
    <w:p w14:paraId="5306CBDD" w14:textId="77777777" w:rsidR="00D2752F" w:rsidRPr="00A156F4" w:rsidRDefault="00D2752F" w:rsidP="004B2F8B">
      <w:pPr>
        <w:rPr>
          <w:sz w:val="22"/>
          <w:szCs w:val="22"/>
        </w:rPr>
      </w:pPr>
    </w:p>
    <w:p w14:paraId="70CE026E" w14:textId="568F1DA5" w:rsidR="00642C98" w:rsidRPr="00A156F4" w:rsidRDefault="00642C98" w:rsidP="00642C98">
      <w:pPr>
        <w:jc w:val="both"/>
        <w:rPr>
          <w:sz w:val="22"/>
          <w:szCs w:val="22"/>
        </w:rPr>
      </w:pPr>
      <w:bookmarkStart w:id="10" w:name="_Hlk536087858"/>
      <w:r w:rsidRPr="00A156F4">
        <w:rPr>
          <w:sz w:val="22"/>
          <w:szCs w:val="22"/>
        </w:rPr>
        <w:t xml:space="preserve">El Órgano Técnico de cada autoridad de competencia tendrá un funcionario encargado de dirigir sus labores, según se establece en </w:t>
      </w:r>
      <w:r w:rsidR="00BD3ECA" w:rsidRPr="00A156F4">
        <w:rPr>
          <w:sz w:val="22"/>
          <w:szCs w:val="22"/>
        </w:rPr>
        <w:t xml:space="preserve">la presente </w:t>
      </w:r>
      <w:r w:rsidRPr="00A156F4">
        <w:rPr>
          <w:sz w:val="22"/>
          <w:szCs w:val="22"/>
        </w:rPr>
        <w:t xml:space="preserve">ley y su reglamento. </w:t>
      </w:r>
      <w:r w:rsidR="00BD3ECA" w:rsidRPr="00A156F4">
        <w:rPr>
          <w:sz w:val="22"/>
          <w:szCs w:val="22"/>
        </w:rPr>
        <w:t>Dicho funcionario s</w:t>
      </w:r>
      <w:r w:rsidRPr="00A156F4">
        <w:rPr>
          <w:sz w:val="22"/>
          <w:szCs w:val="22"/>
        </w:rPr>
        <w:t>erá nombrado por el Órgano Superior</w:t>
      </w:r>
      <w:r w:rsidR="00BD3ECA" w:rsidRPr="00A156F4">
        <w:rPr>
          <w:sz w:val="22"/>
          <w:szCs w:val="22"/>
        </w:rPr>
        <w:t>, por un periodo de cinco años,</w:t>
      </w:r>
      <w:r w:rsidRPr="00A156F4">
        <w:rPr>
          <w:sz w:val="22"/>
          <w:szCs w:val="22"/>
        </w:rPr>
        <w:t xml:space="preserve"> y será seleccionado por idoneidad</w:t>
      </w:r>
      <w:r w:rsidR="00BD3ECA" w:rsidRPr="00A156F4">
        <w:rPr>
          <w:sz w:val="22"/>
          <w:szCs w:val="22"/>
        </w:rPr>
        <w:t>,</w:t>
      </w:r>
      <w:r w:rsidRPr="00A156F4">
        <w:rPr>
          <w:sz w:val="22"/>
          <w:szCs w:val="22"/>
        </w:rPr>
        <w:t xml:space="preserve"> comprobada mediante concurso público de antecedentes.</w:t>
      </w:r>
    </w:p>
    <w:p w14:paraId="2A4016B2" w14:textId="77777777" w:rsidR="00642C98" w:rsidRPr="00A156F4" w:rsidRDefault="00642C98" w:rsidP="00642C98">
      <w:pPr>
        <w:jc w:val="both"/>
        <w:rPr>
          <w:sz w:val="22"/>
          <w:szCs w:val="22"/>
        </w:rPr>
      </w:pPr>
    </w:p>
    <w:p w14:paraId="2AD2DBE9" w14:textId="4FA8F109" w:rsidR="005F7DB9" w:rsidRPr="00A156F4" w:rsidRDefault="00642C98" w:rsidP="004B2F8B">
      <w:pPr>
        <w:jc w:val="both"/>
        <w:rPr>
          <w:sz w:val="22"/>
          <w:szCs w:val="22"/>
        </w:rPr>
      </w:pPr>
      <w:r w:rsidRPr="00A156F4">
        <w:rPr>
          <w:sz w:val="22"/>
          <w:szCs w:val="22"/>
        </w:rPr>
        <w:t xml:space="preserve">El encargado de dirigir las labores del Órgano Técnico de cada autoridad de </w:t>
      </w:r>
      <w:proofErr w:type="gramStart"/>
      <w:r w:rsidRPr="00A156F4">
        <w:rPr>
          <w:sz w:val="22"/>
          <w:szCs w:val="22"/>
        </w:rPr>
        <w:t>competencia,</w:t>
      </w:r>
      <w:proofErr w:type="gramEnd"/>
      <w:r w:rsidRPr="00A156F4">
        <w:rPr>
          <w:sz w:val="22"/>
          <w:szCs w:val="22"/>
        </w:rPr>
        <w:t xml:space="preserve"> contará al menos con un encargado de investigaci</w:t>
      </w:r>
      <w:r w:rsidR="00787D2E" w:rsidRPr="00A156F4">
        <w:rPr>
          <w:sz w:val="22"/>
          <w:szCs w:val="22"/>
        </w:rPr>
        <w:t>o</w:t>
      </w:r>
      <w:r w:rsidRPr="00A156F4">
        <w:rPr>
          <w:sz w:val="22"/>
          <w:szCs w:val="22"/>
        </w:rPr>
        <w:t>n</w:t>
      </w:r>
      <w:r w:rsidR="00787D2E" w:rsidRPr="00A156F4">
        <w:rPr>
          <w:sz w:val="22"/>
          <w:szCs w:val="22"/>
        </w:rPr>
        <w:t>es</w:t>
      </w:r>
      <w:r w:rsidRPr="00A156F4">
        <w:rPr>
          <w:sz w:val="22"/>
          <w:szCs w:val="22"/>
        </w:rPr>
        <w:t xml:space="preserve"> y otro de instrucción</w:t>
      </w:r>
      <w:r w:rsidR="00BD3ECA" w:rsidRPr="00A156F4">
        <w:rPr>
          <w:sz w:val="22"/>
          <w:szCs w:val="22"/>
        </w:rPr>
        <w:t>;</w:t>
      </w:r>
      <w:r w:rsidR="00787D2E" w:rsidRPr="00A156F4">
        <w:rPr>
          <w:sz w:val="22"/>
          <w:szCs w:val="22"/>
        </w:rPr>
        <w:t xml:space="preserve"> </w:t>
      </w:r>
      <w:r w:rsidR="00BD3ECA" w:rsidRPr="00A156F4">
        <w:rPr>
          <w:sz w:val="22"/>
          <w:szCs w:val="22"/>
        </w:rPr>
        <w:t>quienes</w:t>
      </w:r>
      <w:r w:rsidRPr="00A156F4">
        <w:rPr>
          <w:sz w:val="22"/>
          <w:szCs w:val="22"/>
        </w:rPr>
        <w:t xml:space="preserve"> tendrán las funciones y potestades que le asigne </w:t>
      </w:r>
      <w:r w:rsidR="00BD3ECA" w:rsidRPr="00A156F4">
        <w:rPr>
          <w:sz w:val="22"/>
          <w:szCs w:val="22"/>
        </w:rPr>
        <w:t>el Órgano Técnico</w:t>
      </w:r>
      <w:r w:rsidR="004F3E6C" w:rsidRPr="00A156F4">
        <w:rPr>
          <w:sz w:val="22"/>
          <w:szCs w:val="22"/>
        </w:rPr>
        <w:t xml:space="preserve"> correspondiente</w:t>
      </w:r>
      <w:r w:rsidRPr="00A156F4">
        <w:rPr>
          <w:sz w:val="22"/>
          <w:szCs w:val="22"/>
        </w:rPr>
        <w:t xml:space="preserve">, así como las demás que le confiera </w:t>
      </w:r>
      <w:r w:rsidR="00BD3ECA" w:rsidRPr="00A156F4">
        <w:rPr>
          <w:sz w:val="22"/>
          <w:szCs w:val="22"/>
        </w:rPr>
        <w:t>la presente</w:t>
      </w:r>
      <w:r w:rsidRPr="00A156F4">
        <w:rPr>
          <w:sz w:val="22"/>
          <w:szCs w:val="22"/>
        </w:rPr>
        <w:t xml:space="preserve"> ley</w:t>
      </w:r>
      <w:r w:rsidR="00BD3ECA" w:rsidRPr="00A156F4">
        <w:rPr>
          <w:sz w:val="22"/>
          <w:szCs w:val="22"/>
        </w:rPr>
        <w:t xml:space="preserve"> y su reglamento</w:t>
      </w:r>
      <w:r w:rsidRPr="00A156F4">
        <w:rPr>
          <w:sz w:val="22"/>
          <w:szCs w:val="22"/>
        </w:rPr>
        <w:t>.</w:t>
      </w:r>
      <w:bookmarkStart w:id="11" w:name="_Hlk523045419"/>
      <w:bookmarkEnd w:id="10"/>
    </w:p>
    <w:p w14:paraId="1F33CF2C" w14:textId="51A882BA" w:rsidR="002537F9" w:rsidRPr="00A156F4" w:rsidRDefault="002537F9" w:rsidP="004B2F8B">
      <w:pPr>
        <w:jc w:val="both"/>
        <w:rPr>
          <w:sz w:val="22"/>
          <w:szCs w:val="22"/>
        </w:rPr>
      </w:pPr>
    </w:p>
    <w:p w14:paraId="48ABF29F" w14:textId="77777777" w:rsidR="002537F9" w:rsidRPr="00A156F4" w:rsidRDefault="002537F9" w:rsidP="004B2F8B">
      <w:pPr>
        <w:jc w:val="both"/>
        <w:rPr>
          <w:sz w:val="22"/>
          <w:szCs w:val="22"/>
        </w:rPr>
      </w:pPr>
    </w:p>
    <w:p w14:paraId="1B7B4E5C" w14:textId="77777777" w:rsidR="003C5B99" w:rsidRPr="00A156F4" w:rsidRDefault="009E549B" w:rsidP="004B2F8B">
      <w:pPr>
        <w:widowControl w:val="0"/>
        <w:tabs>
          <w:tab w:val="left" w:pos="426"/>
        </w:tabs>
        <w:jc w:val="center"/>
        <w:outlineLvl w:val="0"/>
        <w:rPr>
          <w:b/>
          <w:sz w:val="22"/>
          <w:szCs w:val="22"/>
        </w:rPr>
      </w:pPr>
      <w:bookmarkStart w:id="12" w:name="_Hlk536805208"/>
      <w:r w:rsidRPr="00A156F4">
        <w:rPr>
          <w:b/>
          <w:sz w:val="22"/>
          <w:szCs w:val="22"/>
        </w:rPr>
        <w:t>CAPÍTULO</w:t>
      </w:r>
      <w:r w:rsidR="003C5B99" w:rsidRPr="00A156F4">
        <w:rPr>
          <w:b/>
          <w:sz w:val="22"/>
          <w:szCs w:val="22"/>
        </w:rPr>
        <w:t xml:space="preserve"> III</w:t>
      </w:r>
    </w:p>
    <w:p w14:paraId="6479E939" w14:textId="751776DF" w:rsidR="003C5B99" w:rsidRPr="00A156F4" w:rsidRDefault="002C0A80" w:rsidP="004B2F8B">
      <w:pPr>
        <w:widowControl w:val="0"/>
        <w:jc w:val="center"/>
        <w:rPr>
          <w:b/>
          <w:bCs/>
          <w:sz w:val="22"/>
          <w:szCs w:val="22"/>
          <w:lang w:eastAsia="es-CR"/>
        </w:rPr>
      </w:pPr>
      <w:r w:rsidRPr="00A156F4">
        <w:rPr>
          <w:b/>
          <w:bCs/>
          <w:sz w:val="22"/>
          <w:szCs w:val="22"/>
          <w:lang w:eastAsia="es-CR"/>
        </w:rPr>
        <w:t>Auditoría</w:t>
      </w:r>
      <w:r w:rsidR="0022268E" w:rsidRPr="00A156F4">
        <w:rPr>
          <w:b/>
          <w:bCs/>
          <w:sz w:val="22"/>
          <w:szCs w:val="22"/>
          <w:lang w:eastAsia="es-CR"/>
        </w:rPr>
        <w:t>,</w:t>
      </w:r>
      <w:r w:rsidR="003C5B99" w:rsidRPr="00A156F4">
        <w:rPr>
          <w:b/>
          <w:bCs/>
          <w:sz w:val="22"/>
          <w:szCs w:val="22"/>
          <w:lang w:eastAsia="es-CR"/>
        </w:rPr>
        <w:t xml:space="preserve"> </w:t>
      </w:r>
      <w:r w:rsidR="005175CA" w:rsidRPr="00A156F4">
        <w:rPr>
          <w:b/>
          <w:bCs/>
          <w:sz w:val="22"/>
          <w:szCs w:val="22"/>
          <w:lang w:eastAsia="es-CR"/>
        </w:rPr>
        <w:t>P</w:t>
      </w:r>
      <w:r w:rsidR="003C5B99" w:rsidRPr="00A156F4">
        <w:rPr>
          <w:b/>
          <w:bCs/>
          <w:sz w:val="22"/>
          <w:szCs w:val="22"/>
          <w:lang w:eastAsia="es-CR"/>
        </w:rPr>
        <w:t xml:space="preserve">resupuesto </w:t>
      </w:r>
      <w:r w:rsidRPr="00A156F4">
        <w:rPr>
          <w:b/>
          <w:bCs/>
          <w:sz w:val="22"/>
          <w:szCs w:val="22"/>
          <w:lang w:eastAsia="es-CR"/>
        </w:rPr>
        <w:t xml:space="preserve">y </w:t>
      </w:r>
      <w:r w:rsidR="005175CA" w:rsidRPr="00A156F4">
        <w:rPr>
          <w:b/>
          <w:bCs/>
          <w:sz w:val="22"/>
          <w:szCs w:val="22"/>
          <w:lang w:eastAsia="es-CR"/>
        </w:rPr>
        <w:t>R</w:t>
      </w:r>
      <w:r w:rsidRPr="00A156F4">
        <w:rPr>
          <w:b/>
          <w:bCs/>
          <w:sz w:val="22"/>
          <w:szCs w:val="22"/>
          <w:lang w:eastAsia="es-CR"/>
        </w:rPr>
        <w:t xml:space="preserve">égimen de </w:t>
      </w:r>
      <w:r w:rsidR="005175CA" w:rsidRPr="00A156F4">
        <w:rPr>
          <w:b/>
          <w:bCs/>
          <w:sz w:val="22"/>
          <w:szCs w:val="22"/>
          <w:lang w:eastAsia="es-CR"/>
        </w:rPr>
        <w:t>R</w:t>
      </w:r>
      <w:r w:rsidRPr="00A156F4">
        <w:rPr>
          <w:b/>
          <w:bCs/>
          <w:sz w:val="22"/>
          <w:szCs w:val="22"/>
          <w:lang w:eastAsia="es-CR"/>
        </w:rPr>
        <w:t xml:space="preserve">etribución </w:t>
      </w:r>
      <w:r w:rsidR="003C5B99" w:rsidRPr="00A156F4">
        <w:rPr>
          <w:b/>
          <w:bCs/>
          <w:sz w:val="22"/>
          <w:szCs w:val="22"/>
          <w:lang w:eastAsia="es-CR"/>
        </w:rPr>
        <w:t>de</w:t>
      </w:r>
      <w:r w:rsidR="00AD768C" w:rsidRPr="00A156F4">
        <w:rPr>
          <w:b/>
          <w:sz w:val="22"/>
          <w:szCs w:val="22"/>
        </w:rPr>
        <w:t xml:space="preserve"> la </w:t>
      </w:r>
      <w:proofErr w:type="spellStart"/>
      <w:r w:rsidR="001502D8" w:rsidRPr="00A156F4">
        <w:rPr>
          <w:b/>
          <w:sz w:val="22"/>
          <w:szCs w:val="22"/>
        </w:rPr>
        <w:t>C</w:t>
      </w:r>
      <w:r w:rsidR="00AD768C" w:rsidRPr="00A156F4">
        <w:rPr>
          <w:b/>
          <w:sz w:val="22"/>
          <w:szCs w:val="22"/>
        </w:rPr>
        <w:t>opro</w:t>
      </w:r>
      <w:r w:rsidR="001502D8" w:rsidRPr="00A156F4">
        <w:rPr>
          <w:b/>
          <w:sz w:val="22"/>
          <w:szCs w:val="22"/>
        </w:rPr>
        <w:t>com</w:t>
      </w:r>
      <w:bookmarkEnd w:id="12"/>
      <w:proofErr w:type="spellEnd"/>
    </w:p>
    <w:bookmarkEnd w:id="11"/>
    <w:p w14:paraId="33F52CB0" w14:textId="764B5222" w:rsidR="00541F40" w:rsidRPr="00A156F4" w:rsidRDefault="00541F40" w:rsidP="004B2F8B">
      <w:pPr>
        <w:rPr>
          <w:b/>
          <w:sz w:val="22"/>
          <w:szCs w:val="22"/>
        </w:rPr>
      </w:pPr>
    </w:p>
    <w:p w14:paraId="429AD00C" w14:textId="77777777" w:rsidR="005F7DB9" w:rsidRPr="00A156F4" w:rsidRDefault="005F7DB9" w:rsidP="004B2F8B">
      <w:pPr>
        <w:rPr>
          <w:b/>
          <w:sz w:val="22"/>
          <w:szCs w:val="22"/>
        </w:rPr>
      </w:pPr>
    </w:p>
    <w:p w14:paraId="5FC034E0" w14:textId="0AFAB461" w:rsidR="00541F40" w:rsidRPr="00A156F4" w:rsidRDefault="00541F40" w:rsidP="004B2F8B">
      <w:pPr>
        <w:widowControl w:val="0"/>
        <w:jc w:val="both"/>
        <w:outlineLvl w:val="0"/>
        <w:rPr>
          <w:sz w:val="22"/>
          <w:szCs w:val="22"/>
        </w:rPr>
      </w:pPr>
      <w:r w:rsidRPr="00A156F4">
        <w:rPr>
          <w:b/>
          <w:bCs/>
          <w:sz w:val="22"/>
          <w:szCs w:val="22"/>
        </w:rPr>
        <w:t xml:space="preserve">Artículo </w:t>
      </w:r>
      <w:r w:rsidRPr="00A156F4">
        <w:rPr>
          <w:b/>
          <w:bCs/>
          <w:sz w:val="22"/>
          <w:szCs w:val="22"/>
          <w:lang w:eastAsia="es-CR"/>
        </w:rPr>
        <w:t>1</w:t>
      </w:r>
      <w:r w:rsidR="00B82C4F" w:rsidRPr="00A156F4">
        <w:rPr>
          <w:b/>
          <w:bCs/>
          <w:sz w:val="22"/>
          <w:szCs w:val="22"/>
          <w:lang w:eastAsia="es-CR"/>
        </w:rPr>
        <w:t>7</w:t>
      </w:r>
      <w:r w:rsidRPr="00A156F4">
        <w:rPr>
          <w:b/>
          <w:bCs/>
          <w:sz w:val="22"/>
          <w:szCs w:val="22"/>
          <w:lang w:eastAsia="es-CR"/>
        </w:rPr>
        <w:t xml:space="preserve">.- </w:t>
      </w:r>
      <w:r w:rsidRPr="00A156F4">
        <w:rPr>
          <w:b/>
          <w:sz w:val="22"/>
          <w:szCs w:val="22"/>
        </w:rPr>
        <w:t xml:space="preserve">Presupuesto de la </w:t>
      </w:r>
      <w:proofErr w:type="spellStart"/>
      <w:r w:rsidRPr="00A156F4">
        <w:rPr>
          <w:b/>
          <w:sz w:val="22"/>
          <w:szCs w:val="22"/>
        </w:rPr>
        <w:t>Coprocom</w:t>
      </w:r>
      <w:proofErr w:type="spellEnd"/>
    </w:p>
    <w:p w14:paraId="6BB96684" w14:textId="77777777" w:rsidR="00541F40" w:rsidRPr="00A156F4" w:rsidRDefault="00541F40" w:rsidP="004B2F8B">
      <w:pPr>
        <w:widowControl w:val="0"/>
        <w:jc w:val="both"/>
        <w:rPr>
          <w:bCs/>
          <w:sz w:val="22"/>
          <w:szCs w:val="22"/>
        </w:rPr>
      </w:pPr>
    </w:p>
    <w:p w14:paraId="429EBA6F" w14:textId="77777777" w:rsidR="00541F40" w:rsidRPr="00A156F4" w:rsidRDefault="00541F40" w:rsidP="004B2F8B">
      <w:pPr>
        <w:widowControl w:val="0"/>
        <w:jc w:val="both"/>
        <w:rPr>
          <w:sz w:val="22"/>
          <w:szCs w:val="22"/>
        </w:rPr>
      </w:pPr>
      <w:r w:rsidRPr="00A156F4">
        <w:rPr>
          <w:bCs/>
          <w:sz w:val="22"/>
          <w:szCs w:val="22"/>
        </w:rPr>
        <w:t>El presupuesto d</w:t>
      </w:r>
      <w:r w:rsidRPr="00A156F4">
        <w:rPr>
          <w:sz w:val="22"/>
          <w:szCs w:val="22"/>
          <w:lang w:eastAsia="es-CR"/>
        </w:rPr>
        <w:t xml:space="preserve">e la </w:t>
      </w:r>
      <w:proofErr w:type="spellStart"/>
      <w:r w:rsidRPr="00A156F4">
        <w:rPr>
          <w:sz w:val="22"/>
          <w:szCs w:val="22"/>
          <w:lang w:eastAsia="es-CR"/>
        </w:rPr>
        <w:t>Coprocom</w:t>
      </w:r>
      <w:proofErr w:type="spellEnd"/>
      <w:r w:rsidRPr="00A156F4">
        <w:rPr>
          <w:bCs/>
          <w:sz w:val="22"/>
          <w:szCs w:val="22"/>
        </w:rPr>
        <w:t xml:space="preserve"> estará constituido por: </w:t>
      </w:r>
    </w:p>
    <w:p w14:paraId="5E62FE21" w14:textId="77777777" w:rsidR="00541F40" w:rsidRPr="00A156F4" w:rsidRDefault="00541F40" w:rsidP="004B2F8B">
      <w:pPr>
        <w:widowControl w:val="0"/>
        <w:jc w:val="both"/>
        <w:rPr>
          <w:bCs/>
          <w:sz w:val="22"/>
          <w:szCs w:val="22"/>
        </w:rPr>
      </w:pPr>
    </w:p>
    <w:p w14:paraId="16BC0E9C" w14:textId="1C068DA4" w:rsidR="00541F40" w:rsidRPr="00A156F4" w:rsidRDefault="00541F40" w:rsidP="005B1F1F">
      <w:pPr>
        <w:pStyle w:val="Prrafodelista1"/>
        <w:numPr>
          <w:ilvl w:val="0"/>
          <w:numId w:val="2"/>
        </w:numPr>
        <w:spacing w:after="0" w:line="240" w:lineRule="auto"/>
        <w:jc w:val="both"/>
        <w:rPr>
          <w:rFonts w:ascii="Times New Roman" w:hAnsi="Times New Roman"/>
          <w:bCs/>
        </w:rPr>
      </w:pPr>
      <w:r w:rsidRPr="00A156F4">
        <w:rPr>
          <w:rFonts w:ascii="Times New Roman" w:hAnsi="Times New Roman"/>
          <w:bCs/>
        </w:rPr>
        <w:t>Transferencias que el Estado debe</w:t>
      </w:r>
      <w:r w:rsidR="0000513E" w:rsidRPr="00A156F4">
        <w:rPr>
          <w:rFonts w:ascii="Times New Roman" w:hAnsi="Times New Roman"/>
          <w:bCs/>
        </w:rPr>
        <w:t>rá</w:t>
      </w:r>
      <w:r w:rsidRPr="00A156F4">
        <w:rPr>
          <w:rFonts w:ascii="Times New Roman" w:hAnsi="Times New Roman"/>
          <w:bCs/>
        </w:rPr>
        <w:t xml:space="preserve"> realizar a su favor. </w:t>
      </w:r>
    </w:p>
    <w:p w14:paraId="47892940" w14:textId="77777777" w:rsidR="00541F40" w:rsidRPr="00A156F4" w:rsidRDefault="00541F40" w:rsidP="004B2F8B">
      <w:pPr>
        <w:pStyle w:val="Prrafodelista1"/>
        <w:spacing w:after="0" w:line="240" w:lineRule="auto"/>
        <w:ind w:left="360"/>
        <w:jc w:val="both"/>
        <w:rPr>
          <w:rFonts w:ascii="Times New Roman" w:hAnsi="Times New Roman"/>
          <w:bCs/>
        </w:rPr>
      </w:pPr>
    </w:p>
    <w:p w14:paraId="49B1BC06" w14:textId="643A70AB" w:rsidR="00541F40" w:rsidRPr="00A156F4" w:rsidRDefault="00541F40" w:rsidP="0000513E">
      <w:pPr>
        <w:pStyle w:val="Prrafodelista1"/>
        <w:numPr>
          <w:ilvl w:val="0"/>
          <w:numId w:val="2"/>
        </w:numPr>
        <w:spacing w:after="0" w:line="240" w:lineRule="auto"/>
        <w:jc w:val="both"/>
        <w:rPr>
          <w:rFonts w:ascii="Times New Roman" w:hAnsi="Times New Roman"/>
          <w:bCs/>
        </w:rPr>
      </w:pPr>
      <w:r w:rsidRPr="00A156F4">
        <w:rPr>
          <w:rFonts w:ascii="Times New Roman" w:hAnsi="Times New Roman"/>
          <w:bCs/>
        </w:rPr>
        <w:t xml:space="preserve">Las donaciones y las subvenciones provenientes de otros </w:t>
      </w:r>
      <w:r w:rsidR="009A780B" w:rsidRPr="00A156F4">
        <w:rPr>
          <w:rFonts w:ascii="Times New Roman" w:hAnsi="Times New Roman"/>
          <w:bCs/>
        </w:rPr>
        <w:t>E</w:t>
      </w:r>
      <w:r w:rsidRPr="00A156F4">
        <w:rPr>
          <w:rFonts w:ascii="Times New Roman" w:hAnsi="Times New Roman"/>
          <w:bCs/>
        </w:rPr>
        <w:t xml:space="preserve">stados, </w:t>
      </w:r>
      <w:r w:rsidR="00E9722E" w:rsidRPr="00A156F4">
        <w:rPr>
          <w:rFonts w:ascii="Times New Roman" w:hAnsi="Times New Roman"/>
          <w:bCs/>
        </w:rPr>
        <w:t>entidades</w:t>
      </w:r>
      <w:r w:rsidRPr="00A156F4">
        <w:rPr>
          <w:rFonts w:ascii="Times New Roman" w:hAnsi="Times New Roman"/>
          <w:bCs/>
        </w:rPr>
        <w:t xml:space="preserve"> públicas u organismos internacionales,</w:t>
      </w:r>
      <w:r w:rsidR="00527C51" w:rsidRPr="00A156F4">
        <w:rPr>
          <w:rFonts w:ascii="Times New Roman" w:hAnsi="Times New Roman"/>
          <w:bCs/>
        </w:rPr>
        <w:t xml:space="preserve"> con excepción de aquellos que participan como agentes económicos en los mercados</w:t>
      </w:r>
      <w:r w:rsidR="009C35A2" w:rsidRPr="00A156F4">
        <w:rPr>
          <w:rFonts w:ascii="Times New Roman" w:hAnsi="Times New Roman"/>
          <w:bCs/>
        </w:rPr>
        <w:t xml:space="preserve"> </w:t>
      </w:r>
      <w:r w:rsidR="00527C51" w:rsidRPr="00A156F4">
        <w:rPr>
          <w:rFonts w:ascii="Times New Roman" w:hAnsi="Times New Roman"/>
          <w:bCs/>
        </w:rPr>
        <w:t>y</w:t>
      </w:r>
      <w:r w:rsidRPr="00A156F4">
        <w:rPr>
          <w:rFonts w:ascii="Times New Roman" w:hAnsi="Times New Roman"/>
          <w:bCs/>
        </w:rPr>
        <w:t xml:space="preserve"> siempre que no comprometan la independencia, la transparencia y la autonomía de </w:t>
      </w:r>
      <w:r w:rsidRPr="00A156F4">
        <w:rPr>
          <w:rFonts w:ascii="Times New Roman" w:hAnsi="Times New Roman"/>
          <w:lang w:eastAsia="es-CR"/>
        </w:rPr>
        <w:t xml:space="preserve">la </w:t>
      </w:r>
      <w:proofErr w:type="spellStart"/>
      <w:r w:rsidRPr="00A156F4">
        <w:rPr>
          <w:rFonts w:ascii="Times New Roman" w:hAnsi="Times New Roman"/>
          <w:lang w:eastAsia="es-CR"/>
        </w:rPr>
        <w:t>Coprocom</w:t>
      </w:r>
      <w:proofErr w:type="spellEnd"/>
      <w:r w:rsidRPr="00A156F4">
        <w:rPr>
          <w:rFonts w:ascii="Times New Roman" w:hAnsi="Times New Roman"/>
          <w:bCs/>
        </w:rPr>
        <w:t>.</w:t>
      </w:r>
    </w:p>
    <w:p w14:paraId="19EC0A6F" w14:textId="77777777" w:rsidR="0000513E" w:rsidRPr="00A156F4" w:rsidRDefault="0000513E" w:rsidP="0000513E">
      <w:pPr>
        <w:pStyle w:val="Prrafodelista1"/>
        <w:spacing w:after="0" w:line="240" w:lineRule="auto"/>
        <w:ind w:left="0"/>
        <w:jc w:val="both"/>
        <w:rPr>
          <w:rFonts w:ascii="Times New Roman" w:hAnsi="Times New Roman"/>
          <w:bCs/>
        </w:rPr>
      </w:pPr>
    </w:p>
    <w:p w14:paraId="79A81B50" w14:textId="68272CC7" w:rsidR="00600E1E" w:rsidRPr="00A156F4" w:rsidRDefault="00541F40" w:rsidP="0000513E">
      <w:pPr>
        <w:pStyle w:val="Prrafodelista1"/>
        <w:numPr>
          <w:ilvl w:val="0"/>
          <w:numId w:val="2"/>
        </w:numPr>
        <w:spacing w:after="0" w:line="240" w:lineRule="auto"/>
        <w:jc w:val="both"/>
        <w:rPr>
          <w:rFonts w:ascii="Times New Roman" w:hAnsi="Times New Roman"/>
          <w:bCs/>
        </w:rPr>
      </w:pPr>
      <w:r w:rsidRPr="00A156F4">
        <w:rPr>
          <w:rFonts w:ascii="Times New Roman" w:hAnsi="Times New Roman"/>
          <w:bCs/>
        </w:rPr>
        <w:t>Los recursos financieros generados por sí mism</w:t>
      </w:r>
      <w:r w:rsidR="00D33B7E" w:rsidRPr="00A156F4">
        <w:rPr>
          <w:rFonts w:ascii="Times New Roman" w:hAnsi="Times New Roman"/>
          <w:bCs/>
        </w:rPr>
        <w:t>a</w:t>
      </w:r>
      <w:r w:rsidRPr="00A156F4">
        <w:rPr>
          <w:rFonts w:ascii="Times New Roman" w:hAnsi="Times New Roman"/>
          <w:bCs/>
        </w:rPr>
        <w:t>.</w:t>
      </w:r>
    </w:p>
    <w:p w14:paraId="7B97B2D3" w14:textId="77777777" w:rsidR="0000513E" w:rsidRPr="00A156F4" w:rsidRDefault="0000513E" w:rsidP="0000513E">
      <w:pPr>
        <w:pStyle w:val="Prrafodelista1"/>
        <w:spacing w:after="0" w:line="240" w:lineRule="auto"/>
        <w:ind w:left="0"/>
        <w:jc w:val="both"/>
        <w:rPr>
          <w:rFonts w:ascii="Times New Roman" w:hAnsi="Times New Roman"/>
          <w:bCs/>
        </w:rPr>
      </w:pPr>
    </w:p>
    <w:p w14:paraId="0688544F" w14:textId="2A2CBF14" w:rsidR="00541F40" w:rsidRPr="00A156F4" w:rsidRDefault="00541F40" w:rsidP="005B1F1F">
      <w:pPr>
        <w:pStyle w:val="Prrafodelista1"/>
        <w:numPr>
          <w:ilvl w:val="0"/>
          <w:numId w:val="2"/>
        </w:numPr>
        <w:spacing w:after="0" w:line="240" w:lineRule="auto"/>
        <w:jc w:val="both"/>
        <w:rPr>
          <w:rFonts w:ascii="Times New Roman" w:hAnsi="Times New Roman"/>
          <w:bCs/>
        </w:rPr>
      </w:pPr>
      <w:r w:rsidRPr="00A156F4">
        <w:rPr>
          <w:rFonts w:ascii="Times New Roman" w:hAnsi="Times New Roman"/>
          <w:bCs/>
        </w:rPr>
        <w:t>Los ingresos por el cobro del trámite de notificación de las concentraciones económicas</w:t>
      </w:r>
      <w:r w:rsidR="000E4262" w:rsidRPr="00A156F4">
        <w:rPr>
          <w:rFonts w:ascii="Times New Roman" w:hAnsi="Times New Roman"/>
          <w:bCs/>
        </w:rPr>
        <w:t xml:space="preserve">. </w:t>
      </w:r>
      <w:r w:rsidRPr="00A156F4">
        <w:rPr>
          <w:rFonts w:ascii="Times New Roman" w:hAnsi="Times New Roman"/>
          <w:bCs/>
        </w:rPr>
        <w:t>Este cobro se</w:t>
      </w:r>
      <w:r w:rsidR="00D33B7E" w:rsidRPr="00A156F4">
        <w:rPr>
          <w:rFonts w:ascii="Times New Roman" w:hAnsi="Times New Roman"/>
          <w:bCs/>
        </w:rPr>
        <w:t>rá</w:t>
      </w:r>
      <w:r w:rsidRPr="00A156F4">
        <w:rPr>
          <w:rFonts w:ascii="Times New Roman" w:hAnsi="Times New Roman"/>
          <w:bCs/>
        </w:rPr>
        <w:t xml:space="preserve"> determina</w:t>
      </w:r>
      <w:r w:rsidR="00D33B7E" w:rsidRPr="00A156F4">
        <w:rPr>
          <w:rFonts w:ascii="Times New Roman" w:hAnsi="Times New Roman"/>
          <w:bCs/>
        </w:rPr>
        <w:t>do</w:t>
      </w:r>
      <w:r w:rsidRPr="00A156F4">
        <w:rPr>
          <w:rFonts w:ascii="Times New Roman" w:hAnsi="Times New Roman"/>
          <w:bCs/>
        </w:rPr>
        <w:t xml:space="preserve"> </w:t>
      </w:r>
      <w:r w:rsidR="00600E1E" w:rsidRPr="00A156F4">
        <w:rPr>
          <w:rFonts w:ascii="Times New Roman" w:hAnsi="Times New Roman"/>
          <w:bCs/>
        </w:rPr>
        <w:t>por el</w:t>
      </w:r>
      <w:r w:rsidR="00FF5FCB" w:rsidRPr="00A156F4">
        <w:rPr>
          <w:rFonts w:ascii="Times New Roman" w:hAnsi="Times New Roman"/>
          <w:bCs/>
        </w:rPr>
        <w:t xml:space="preserve"> Órgano Superior de la </w:t>
      </w:r>
      <w:proofErr w:type="spellStart"/>
      <w:r w:rsidR="004A2341" w:rsidRPr="00A156F4">
        <w:rPr>
          <w:rFonts w:ascii="Times New Roman" w:hAnsi="Times New Roman"/>
          <w:bCs/>
        </w:rPr>
        <w:t>Coprocom</w:t>
      </w:r>
      <w:proofErr w:type="spellEnd"/>
      <w:r w:rsidR="00FF5FCB" w:rsidRPr="00A156F4">
        <w:rPr>
          <w:rFonts w:ascii="Times New Roman" w:hAnsi="Times New Roman"/>
          <w:bCs/>
        </w:rPr>
        <w:t xml:space="preserve">, </w:t>
      </w:r>
      <w:r w:rsidR="00BA277E" w:rsidRPr="00A156F4">
        <w:rPr>
          <w:rFonts w:ascii="Times New Roman" w:hAnsi="Times New Roman"/>
          <w:bCs/>
        </w:rPr>
        <w:t>qu</w:t>
      </w:r>
      <w:r w:rsidR="00D33B7E" w:rsidRPr="00A156F4">
        <w:rPr>
          <w:rFonts w:ascii="Times New Roman" w:hAnsi="Times New Roman"/>
          <w:bCs/>
        </w:rPr>
        <w:t>ien</w:t>
      </w:r>
      <w:r w:rsidR="00BA277E" w:rsidRPr="00A156F4">
        <w:rPr>
          <w:rFonts w:ascii="Times New Roman" w:hAnsi="Times New Roman"/>
          <w:bCs/>
        </w:rPr>
        <w:t xml:space="preserve"> </w:t>
      </w:r>
      <w:r w:rsidR="00D33B7E" w:rsidRPr="00A156F4">
        <w:rPr>
          <w:rFonts w:ascii="Times New Roman" w:hAnsi="Times New Roman"/>
          <w:bCs/>
        </w:rPr>
        <w:t xml:space="preserve">deberá </w:t>
      </w:r>
      <w:r w:rsidR="00BA277E" w:rsidRPr="00A156F4">
        <w:rPr>
          <w:rFonts w:ascii="Times New Roman" w:hAnsi="Times New Roman"/>
          <w:bCs/>
        </w:rPr>
        <w:t>revisa</w:t>
      </w:r>
      <w:r w:rsidR="00D33B7E" w:rsidRPr="00A156F4">
        <w:rPr>
          <w:rFonts w:ascii="Times New Roman" w:hAnsi="Times New Roman"/>
          <w:bCs/>
        </w:rPr>
        <w:t>rlo</w:t>
      </w:r>
      <w:r w:rsidR="00FF5FCB" w:rsidRPr="00A156F4">
        <w:rPr>
          <w:rFonts w:ascii="Times New Roman" w:hAnsi="Times New Roman"/>
          <w:bCs/>
        </w:rPr>
        <w:t xml:space="preserve"> anualmente</w:t>
      </w:r>
      <w:r w:rsidR="003D20C8" w:rsidRPr="00A156F4">
        <w:rPr>
          <w:rFonts w:ascii="Times New Roman" w:hAnsi="Times New Roman"/>
          <w:bCs/>
        </w:rPr>
        <w:t>,</w:t>
      </w:r>
      <w:r w:rsidRPr="00A156F4">
        <w:rPr>
          <w:rFonts w:ascii="Times New Roman" w:hAnsi="Times New Roman"/>
          <w:bCs/>
        </w:rPr>
        <w:t xml:space="preserve"> y corresponderá al costo</w:t>
      </w:r>
      <w:r w:rsidR="00173E2A" w:rsidRPr="00A156F4">
        <w:rPr>
          <w:rFonts w:ascii="Times New Roman" w:hAnsi="Times New Roman"/>
          <w:bCs/>
        </w:rPr>
        <w:t xml:space="preserve"> promedio</w:t>
      </w:r>
      <w:r w:rsidRPr="00A156F4">
        <w:rPr>
          <w:rFonts w:ascii="Times New Roman" w:hAnsi="Times New Roman"/>
          <w:bCs/>
        </w:rPr>
        <w:t xml:space="preserve"> estimado en </w:t>
      </w:r>
      <w:r w:rsidR="003D20C8" w:rsidRPr="00A156F4">
        <w:rPr>
          <w:rFonts w:ascii="Times New Roman" w:hAnsi="Times New Roman"/>
          <w:bCs/>
        </w:rPr>
        <w:t xml:space="preserve">el </w:t>
      </w:r>
      <w:r w:rsidRPr="00A156F4">
        <w:rPr>
          <w:rFonts w:ascii="Times New Roman" w:hAnsi="Times New Roman"/>
          <w:bCs/>
        </w:rPr>
        <w:t xml:space="preserve">que incurra la </w:t>
      </w:r>
      <w:proofErr w:type="spellStart"/>
      <w:r w:rsidRPr="00A156F4">
        <w:rPr>
          <w:rFonts w:ascii="Times New Roman" w:hAnsi="Times New Roman"/>
          <w:bCs/>
        </w:rPr>
        <w:t>Coprocom</w:t>
      </w:r>
      <w:proofErr w:type="spellEnd"/>
      <w:r w:rsidRPr="00A156F4">
        <w:rPr>
          <w:rFonts w:ascii="Times New Roman" w:hAnsi="Times New Roman"/>
          <w:bCs/>
        </w:rPr>
        <w:t xml:space="preserve"> por </w:t>
      </w:r>
      <w:r w:rsidR="00481A7E" w:rsidRPr="00A156F4">
        <w:rPr>
          <w:rFonts w:ascii="Times New Roman" w:hAnsi="Times New Roman"/>
          <w:bCs/>
        </w:rPr>
        <w:t xml:space="preserve">prestar </w:t>
      </w:r>
      <w:r w:rsidRPr="00A156F4">
        <w:rPr>
          <w:rFonts w:ascii="Times New Roman" w:hAnsi="Times New Roman"/>
          <w:bCs/>
        </w:rPr>
        <w:t>el servicio de análisis de las concentraciones.</w:t>
      </w:r>
      <w:r w:rsidR="00600E1E" w:rsidRPr="00A156F4">
        <w:rPr>
          <w:rFonts w:ascii="Times New Roman" w:hAnsi="Times New Roman"/>
          <w:bCs/>
        </w:rPr>
        <w:t xml:space="preserve"> La metodología para el cálculo de dicho cobro será establecida mediante resolución razonada</w:t>
      </w:r>
      <w:r w:rsidR="003D20C8" w:rsidRPr="00A156F4">
        <w:rPr>
          <w:rFonts w:ascii="Times New Roman" w:hAnsi="Times New Roman"/>
          <w:bCs/>
        </w:rPr>
        <w:t>,</w:t>
      </w:r>
      <w:r w:rsidR="00600E1E" w:rsidRPr="00A156F4">
        <w:rPr>
          <w:rFonts w:ascii="Times New Roman" w:hAnsi="Times New Roman"/>
          <w:bCs/>
        </w:rPr>
        <w:t xml:space="preserve"> que será sometida a consulta pública previo a su emisión. </w:t>
      </w:r>
    </w:p>
    <w:p w14:paraId="0C1FD3A9" w14:textId="77777777" w:rsidR="00541F40" w:rsidRPr="00A156F4" w:rsidRDefault="00541F40" w:rsidP="004B2F8B">
      <w:pPr>
        <w:widowControl w:val="0"/>
        <w:jc w:val="both"/>
        <w:rPr>
          <w:sz w:val="22"/>
          <w:szCs w:val="22"/>
        </w:rPr>
      </w:pPr>
    </w:p>
    <w:p w14:paraId="3C07A3AE" w14:textId="57FABF5B" w:rsidR="00541F40" w:rsidRPr="00A156F4" w:rsidRDefault="00541F40" w:rsidP="004B2F8B">
      <w:pPr>
        <w:widowControl w:val="0"/>
        <w:jc w:val="both"/>
        <w:rPr>
          <w:sz w:val="22"/>
          <w:szCs w:val="22"/>
        </w:rPr>
      </w:pPr>
      <w:r w:rsidRPr="00A156F4">
        <w:rPr>
          <w:sz w:val="22"/>
          <w:szCs w:val="22"/>
        </w:rPr>
        <w:t>Se autoriza</w:t>
      </w:r>
      <w:r w:rsidR="0084183B" w:rsidRPr="00A156F4">
        <w:rPr>
          <w:sz w:val="22"/>
          <w:szCs w:val="22"/>
        </w:rPr>
        <w:t xml:space="preserve"> a las instituciones del Estado y entidades públicas estatales para que efectúen donaciones o aportes a la </w:t>
      </w:r>
      <w:proofErr w:type="spellStart"/>
      <w:r w:rsidR="0084183B" w:rsidRPr="00A156F4">
        <w:rPr>
          <w:sz w:val="22"/>
          <w:szCs w:val="22"/>
        </w:rPr>
        <w:t>Coprocom</w:t>
      </w:r>
      <w:proofErr w:type="spellEnd"/>
      <w:r w:rsidR="0084183B" w:rsidRPr="00A156F4">
        <w:rPr>
          <w:sz w:val="22"/>
          <w:szCs w:val="22"/>
        </w:rPr>
        <w:t xml:space="preserve"> y le asignen temporalmente el personal calificado y los recursos financieros para cumplir sus fines y ejecutar proyectos específicos.</w:t>
      </w:r>
      <w:r w:rsidRPr="00A156F4">
        <w:rPr>
          <w:sz w:val="22"/>
          <w:szCs w:val="22"/>
        </w:rPr>
        <w:t xml:space="preserve"> </w:t>
      </w:r>
    </w:p>
    <w:p w14:paraId="046C3D62" w14:textId="77777777" w:rsidR="00541F40" w:rsidRPr="00A156F4" w:rsidRDefault="00541F40" w:rsidP="004B2F8B">
      <w:pPr>
        <w:rPr>
          <w:b/>
          <w:sz w:val="22"/>
          <w:szCs w:val="22"/>
        </w:rPr>
      </w:pPr>
    </w:p>
    <w:p w14:paraId="477B9093" w14:textId="03202218" w:rsidR="002C0A80" w:rsidRPr="00A156F4" w:rsidRDefault="002C0A80" w:rsidP="004B2F8B">
      <w:pPr>
        <w:rPr>
          <w:b/>
          <w:sz w:val="22"/>
          <w:szCs w:val="22"/>
        </w:rPr>
      </w:pPr>
      <w:r w:rsidRPr="00A156F4">
        <w:rPr>
          <w:b/>
          <w:sz w:val="22"/>
          <w:szCs w:val="22"/>
        </w:rPr>
        <w:t>Artículo 1</w:t>
      </w:r>
      <w:r w:rsidR="00B82C4F" w:rsidRPr="00A156F4">
        <w:rPr>
          <w:b/>
          <w:sz w:val="22"/>
          <w:szCs w:val="22"/>
        </w:rPr>
        <w:t>8</w:t>
      </w:r>
      <w:r w:rsidRPr="00A156F4">
        <w:rPr>
          <w:b/>
          <w:sz w:val="22"/>
          <w:szCs w:val="22"/>
        </w:rPr>
        <w:t>.-</w:t>
      </w:r>
      <w:r w:rsidR="00BA0885" w:rsidRPr="00A156F4">
        <w:rPr>
          <w:b/>
          <w:sz w:val="22"/>
          <w:szCs w:val="22"/>
        </w:rPr>
        <w:t xml:space="preserve"> </w:t>
      </w:r>
      <w:r w:rsidRPr="00A156F4">
        <w:rPr>
          <w:b/>
          <w:sz w:val="22"/>
          <w:szCs w:val="22"/>
        </w:rPr>
        <w:t xml:space="preserve">Auditoría interna de la </w:t>
      </w:r>
      <w:proofErr w:type="spellStart"/>
      <w:r w:rsidRPr="00A156F4">
        <w:rPr>
          <w:b/>
          <w:sz w:val="22"/>
          <w:szCs w:val="22"/>
        </w:rPr>
        <w:t>Coprocom</w:t>
      </w:r>
      <w:proofErr w:type="spellEnd"/>
    </w:p>
    <w:p w14:paraId="6A66252D" w14:textId="77777777" w:rsidR="002C0A80" w:rsidRPr="00A156F4" w:rsidRDefault="002C0A80" w:rsidP="004B2F8B">
      <w:pPr>
        <w:rPr>
          <w:sz w:val="22"/>
          <w:szCs w:val="22"/>
        </w:rPr>
      </w:pPr>
    </w:p>
    <w:p w14:paraId="6BAD1E04" w14:textId="77777777" w:rsidR="002C0A80" w:rsidRPr="00A156F4" w:rsidRDefault="002C0A80" w:rsidP="004B2F8B">
      <w:pPr>
        <w:jc w:val="both"/>
        <w:rPr>
          <w:sz w:val="22"/>
          <w:szCs w:val="22"/>
        </w:rPr>
      </w:pPr>
      <w:r w:rsidRPr="00A156F4">
        <w:rPr>
          <w:sz w:val="22"/>
          <w:szCs w:val="22"/>
        </w:rPr>
        <w:t xml:space="preserve">La </w:t>
      </w:r>
      <w:proofErr w:type="spellStart"/>
      <w:r w:rsidRPr="00A156F4">
        <w:rPr>
          <w:sz w:val="22"/>
          <w:szCs w:val="22"/>
        </w:rPr>
        <w:t>Coprocom</w:t>
      </w:r>
      <w:proofErr w:type="spellEnd"/>
      <w:r w:rsidRPr="00A156F4">
        <w:rPr>
          <w:sz w:val="22"/>
          <w:szCs w:val="22"/>
        </w:rPr>
        <w:t xml:space="preserve"> será auditada por la Auditoría Interna del Ministerio de Economía, Industria y Comercio.</w:t>
      </w:r>
    </w:p>
    <w:p w14:paraId="6B656428" w14:textId="77777777" w:rsidR="0022268E" w:rsidRPr="00A156F4" w:rsidRDefault="0022268E" w:rsidP="004B2F8B">
      <w:pPr>
        <w:jc w:val="both"/>
        <w:rPr>
          <w:sz w:val="22"/>
          <w:szCs w:val="22"/>
        </w:rPr>
      </w:pPr>
    </w:p>
    <w:p w14:paraId="2BC0312B" w14:textId="5C682369" w:rsidR="003C5B99" w:rsidRPr="00A156F4" w:rsidRDefault="00D2752F" w:rsidP="004B2F8B">
      <w:pPr>
        <w:widowControl w:val="0"/>
        <w:jc w:val="both"/>
        <w:rPr>
          <w:b/>
          <w:bCs/>
          <w:sz w:val="22"/>
          <w:szCs w:val="22"/>
        </w:rPr>
      </w:pPr>
      <w:r w:rsidRPr="00A156F4">
        <w:rPr>
          <w:b/>
          <w:bCs/>
          <w:sz w:val="22"/>
          <w:szCs w:val="22"/>
        </w:rPr>
        <w:t xml:space="preserve">Artículo </w:t>
      </w:r>
      <w:r w:rsidR="00C950ED" w:rsidRPr="00A156F4">
        <w:rPr>
          <w:b/>
          <w:sz w:val="22"/>
          <w:szCs w:val="22"/>
        </w:rPr>
        <w:t>1</w:t>
      </w:r>
      <w:r w:rsidR="00B82C4F" w:rsidRPr="00A156F4">
        <w:rPr>
          <w:b/>
          <w:sz w:val="22"/>
          <w:szCs w:val="22"/>
        </w:rPr>
        <w:t>9</w:t>
      </w:r>
      <w:r w:rsidR="003C5B99" w:rsidRPr="00A156F4">
        <w:rPr>
          <w:b/>
          <w:sz w:val="22"/>
          <w:szCs w:val="22"/>
        </w:rPr>
        <w:t>.-</w:t>
      </w:r>
      <w:r w:rsidR="00585A71" w:rsidRPr="00A156F4">
        <w:rPr>
          <w:b/>
          <w:sz w:val="22"/>
          <w:szCs w:val="22"/>
        </w:rPr>
        <w:t xml:space="preserve"> </w:t>
      </w:r>
      <w:r w:rsidR="00B275A6" w:rsidRPr="00A156F4">
        <w:rPr>
          <w:b/>
          <w:sz w:val="22"/>
          <w:szCs w:val="22"/>
        </w:rPr>
        <w:t>Normas internas y r</w:t>
      </w:r>
      <w:r w:rsidR="003C5B99" w:rsidRPr="00A156F4">
        <w:rPr>
          <w:b/>
          <w:sz w:val="22"/>
          <w:szCs w:val="22"/>
        </w:rPr>
        <w:t xml:space="preserve">égimen de retribución </w:t>
      </w:r>
      <w:r w:rsidR="003C5B99" w:rsidRPr="00A156F4">
        <w:rPr>
          <w:b/>
          <w:bCs/>
          <w:sz w:val="22"/>
          <w:szCs w:val="22"/>
        </w:rPr>
        <w:t>de</w:t>
      </w:r>
      <w:r w:rsidR="00901686" w:rsidRPr="00A156F4">
        <w:rPr>
          <w:b/>
          <w:bCs/>
          <w:sz w:val="22"/>
          <w:szCs w:val="22"/>
        </w:rPr>
        <w:t xml:space="preserve"> </w:t>
      </w:r>
      <w:r w:rsidR="003C5B99" w:rsidRPr="00A156F4">
        <w:rPr>
          <w:b/>
          <w:bCs/>
          <w:sz w:val="22"/>
          <w:szCs w:val="22"/>
        </w:rPr>
        <w:t>l</w:t>
      </w:r>
      <w:r w:rsidR="00901686" w:rsidRPr="00A156F4">
        <w:rPr>
          <w:b/>
          <w:bCs/>
          <w:sz w:val="22"/>
          <w:szCs w:val="22"/>
        </w:rPr>
        <w:t>a</w:t>
      </w:r>
      <w:r w:rsidR="003C5B99" w:rsidRPr="00A156F4">
        <w:rPr>
          <w:b/>
          <w:bCs/>
          <w:sz w:val="22"/>
          <w:szCs w:val="22"/>
        </w:rPr>
        <w:t xml:space="preserve"> </w:t>
      </w:r>
      <w:proofErr w:type="spellStart"/>
      <w:r w:rsidR="001502D8" w:rsidRPr="00A156F4">
        <w:rPr>
          <w:b/>
          <w:bCs/>
          <w:sz w:val="22"/>
          <w:szCs w:val="22"/>
        </w:rPr>
        <w:t>Co</w:t>
      </w:r>
      <w:r w:rsidR="00901686" w:rsidRPr="00A156F4">
        <w:rPr>
          <w:b/>
          <w:bCs/>
          <w:sz w:val="22"/>
          <w:szCs w:val="22"/>
        </w:rPr>
        <w:t>procom</w:t>
      </w:r>
      <w:proofErr w:type="spellEnd"/>
      <w:r w:rsidR="003C5B99" w:rsidRPr="00A156F4">
        <w:rPr>
          <w:b/>
          <w:bCs/>
          <w:sz w:val="22"/>
          <w:szCs w:val="22"/>
        </w:rPr>
        <w:t xml:space="preserve"> </w:t>
      </w:r>
    </w:p>
    <w:p w14:paraId="072B01FC" w14:textId="77777777" w:rsidR="00AF0B8F" w:rsidRPr="00A156F4" w:rsidRDefault="00AF0B8F" w:rsidP="004B2F8B">
      <w:pPr>
        <w:widowControl w:val="0"/>
        <w:jc w:val="both"/>
        <w:rPr>
          <w:sz w:val="22"/>
          <w:szCs w:val="22"/>
        </w:rPr>
      </w:pPr>
    </w:p>
    <w:p w14:paraId="17F7DF57" w14:textId="4D4D30C5" w:rsidR="00B275A6" w:rsidRPr="00A156F4" w:rsidRDefault="0053754D" w:rsidP="004B2F8B">
      <w:pPr>
        <w:widowControl w:val="0"/>
        <w:jc w:val="both"/>
        <w:rPr>
          <w:b/>
          <w:bCs/>
          <w:sz w:val="22"/>
          <w:szCs w:val="22"/>
        </w:rPr>
      </w:pPr>
      <w:r w:rsidRPr="00A156F4">
        <w:rPr>
          <w:sz w:val="22"/>
          <w:szCs w:val="22"/>
        </w:rPr>
        <w:t>La Co</w:t>
      </w:r>
      <w:r w:rsidR="000954F3" w:rsidRPr="00A156F4">
        <w:rPr>
          <w:sz w:val="22"/>
          <w:szCs w:val="22"/>
        </w:rPr>
        <w:t>misión</w:t>
      </w:r>
      <w:r w:rsidR="003D20C8" w:rsidRPr="00A156F4">
        <w:rPr>
          <w:sz w:val="22"/>
          <w:szCs w:val="22"/>
        </w:rPr>
        <w:t xml:space="preserve"> se encargará de</w:t>
      </w:r>
      <w:r w:rsidR="00B275A6" w:rsidRPr="00A156F4">
        <w:rPr>
          <w:sz w:val="22"/>
          <w:szCs w:val="22"/>
        </w:rPr>
        <w:t xml:space="preserve"> </w:t>
      </w:r>
      <w:r w:rsidR="00FF5AA8" w:rsidRPr="00A156F4">
        <w:rPr>
          <w:sz w:val="22"/>
          <w:szCs w:val="22"/>
        </w:rPr>
        <w:t>dictar</w:t>
      </w:r>
      <w:r w:rsidR="00B275A6" w:rsidRPr="00A156F4">
        <w:rPr>
          <w:sz w:val="22"/>
          <w:szCs w:val="22"/>
        </w:rPr>
        <w:t xml:space="preserve"> las normas</w:t>
      </w:r>
      <w:r w:rsidR="00BB2BB5" w:rsidRPr="00A156F4">
        <w:rPr>
          <w:sz w:val="22"/>
          <w:szCs w:val="22"/>
        </w:rPr>
        <w:t>;</w:t>
      </w:r>
      <w:r w:rsidR="00B275A6" w:rsidRPr="00A156F4">
        <w:rPr>
          <w:sz w:val="22"/>
          <w:szCs w:val="22"/>
        </w:rPr>
        <w:t xml:space="preserve"> regulaciones de organización</w:t>
      </w:r>
      <w:r w:rsidR="00BB2BB5" w:rsidRPr="00A156F4">
        <w:rPr>
          <w:sz w:val="22"/>
          <w:szCs w:val="22"/>
        </w:rPr>
        <w:t>;</w:t>
      </w:r>
      <w:r w:rsidR="00B275A6" w:rsidRPr="00A156F4">
        <w:rPr>
          <w:sz w:val="22"/>
          <w:szCs w:val="22"/>
        </w:rPr>
        <w:t xml:space="preserve"> reglamentación de funciones y procedimientos</w:t>
      </w:r>
      <w:r w:rsidR="00BB2BB5" w:rsidRPr="00A156F4">
        <w:rPr>
          <w:sz w:val="22"/>
          <w:szCs w:val="22"/>
        </w:rPr>
        <w:t>;</w:t>
      </w:r>
      <w:r w:rsidR="00B275A6" w:rsidRPr="00A156F4">
        <w:rPr>
          <w:sz w:val="22"/>
          <w:szCs w:val="22"/>
        </w:rPr>
        <w:t xml:space="preserve"> las políticas y disposiciones que reglan las condiciones laborales</w:t>
      </w:r>
      <w:r w:rsidR="00BB2BB5" w:rsidRPr="00A156F4">
        <w:rPr>
          <w:sz w:val="22"/>
          <w:szCs w:val="22"/>
        </w:rPr>
        <w:t>;</w:t>
      </w:r>
      <w:r w:rsidR="00B275A6" w:rsidRPr="00A156F4">
        <w:rPr>
          <w:sz w:val="22"/>
          <w:szCs w:val="22"/>
        </w:rPr>
        <w:t xml:space="preserve"> la creación de plazas</w:t>
      </w:r>
      <w:r w:rsidR="00BB2BB5" w:rsidRPr="00A156F4">
        <w:rPr>
          <w:sz w:val="22"/>
          <w:szCs w:val="22"/>
        </w:rPr>
        <w:t>;</w:t>
      </w:r>
      <w:r w:rsidR="00B275A6" w:rsidRPr="00A156F4">
        <w:rPr>
          <w:sz w:val="22"/>
          <w:szCs w:val="22"/>
        </w:rPr>
        <w:t xml:space="preserve"> los esquemas de remuneración</w:t>
      </w:r>
      <w:r w:rsidR="00BB2BB5" w:rsidRPr="00A156F4">
        <w:rPr>
          <w:sz w:val="22"/>
          <w:szCs w:val="22"/>
        </w:rPr>
        <w:t>;</w:t>
      </w:r>
      <w:r w:rsidR="00B275A6" w:rsidRPr="00A156F4">
        <w:rPr>
          <w:sz w:val="22"/>
          <w:szCs w:val="22"/>
        </w:rPr>
        <w:t xml:space="preserve"> las obligaciones y los derechos de los trabajadores de la </w:t>
      </w:r>
      <w:proofErr w:type="spellStart"/>
      <w:r w:rsidR="00B275A6" w:rsidRPr="00A156F4">
        <w:rPr>
          <w:sz w:val="22"/>
          <w:szCs w:val="22"/>
        </w:rPr>
        <w:t>Coprocom</w:t>
      </w:r>
      <w:proofErr w:type="spellEnd"/>
      <w:r w:rsidR="003D20C8" w:rsidRPr="00A156F4">
        <w:rPr>
          <w:sz w:val="22"/>
          <w:szCs w:val="22"/>
        </w:rPr>
        <w:t>;</w:t>
      </w:r>
      <w:r w:rsidR="00B275A6" w:rsidRPr="00A156F4">
        <w:rPr>
          <w:sz w:val="22"/>
          <w:szCs w:val="22"/>
        </w:rPr>
        <w:t xml:space="preserve"> así como </w:t>
      </w:r>
      <w:r w:rsidR="003D20C8" w:rsidRPr="00A156F4">
        <w:rPr>
          <w:sz w:val="22"/>
          <w:szCs w:val="22"/>
        </w:rPr>
        <w:t xml:space="preserve">de </w:t>
      </w:r>
      <w:r w:rsidR="00B275A6" w:rsidRPr="00A156F4">
        <w:rPr>
          <w:sz w:val="22"/>
          <w:szCs w:val="22"/>
        </w:rPr>
        <w:t>nombrar al personal necesario para el efectivo cumplimiento de sus funciones, de conformidad con el ordenamiento laboral vigente.</w:t>
      </w:r>
    </w:p>
    <w:p w14:paraId="1B3FC853" w14:textId="77777777" w:rsidR="00FF2068" w:rsidRPr="00A156F4" w:rsidRDefault="00FF2068" w:rsidP="0053754D">
      <w:pPr>
        <w:jc w:val="both"/>
        <w:rPr>
          <w:sz w:val="22"/>
          <w:szCs w:val="22"/>
        </w:rPr>
      </w:pPr>
    </w:p>
    <w:p w14:paraId="55899476" w14:textId="0B17ABC0" w:rsidR="00B2069A" w:rsidRPr="00A156F4" w:rsidRDefault="0053754D" w:rsidP="00B2069A">
      <w:pPr>
        <w:jc w:val="both"/>
        <w:rPr>
          <w:sz w:val="22"/>
          <w:szCs w:val="22"/>
        </w:rPr>
      </w:pPr>
      <w:r w:rsidRPr="00A156F4">
        <w:rPr>
          <w:sz w:val="22"/>
          <w:szCs w:val="22"/>
        </w:rPr>
        <w:t>La remuneración de los miembros del Órgano Superior</w:t>
      </w:r>
      <w:r w:rsidR="00BB2BB5" w:rsidRPr="00A156F4">
        <w:rPr>
          <w:sz w:val="22"/>
          <w:szCs w:val="22"/>
        </w:rPr>
        <w:t xml:space="preserve"> </w:t>
      </w:r>
      <w:r w:rsidR="004B44AA" w:rsidRPr="00A156F4">
        <w:rPr>
          <w:sz w:val="22"/>
          <w:szCs w:val="22"/>
        </w:rPr>
        <w:t>y</w:t>
      </w:r>
      <w:r w:rsidRPr="00A156F4">
        <w:rPr>
          <w:sz w:val="22"/>
          <w:szCs w:val="22"/>
        </w:rPr>
        <w:t xml:space="preserve"> </w:t>
      </w:r>
      <w:r w:rsidR="00041AB8" w:rsidRPr="00A156F4">
        <w:rPr>
          <w:sz w:val="22"/>
          <w:szCs w:val="22"/>
        </w:rPr>
        <w:t>de</w:t>
      </w:r>
      <w:r w:rsidRPr="00A156F4">
        <w:rPr>
          <w:sz w:val="22"/>
          <w:szCs w:val="22"/>
        </w:rPr>
        <w:t xml:space="preserve"> </w:t>
      </w:r>
      <w:r w:rsidR="007B7F0B" w:rsidRPr="00A156F4">
        <w:rPr>
          <w:sz w:val="22"/>
          <w:szCs w:val="22"/>
        </w:rPr>
        <w:t>los</w:t>
      </w:r>
      <w:r w:rsidRPr="00A156F4">
        <w:rPr>
          <w:sz w:val="22"/>
          <w:szCs w:val="22"/>
        </w:rPr>
        <w:t xml:space="preserve"> funcionarios</w:t>
      </w:r>
      <w:r w:rsidR="007B7F0B" w:rsidRPr="00A156F4">
        <w:rPr>
          <w:sz w:val="22"/>
          <w:szCs w:val="22"/>
        </w:rPr>
        <w:t xml:space="preserve"> </w:t>
      </w:r>
      <w:r w:rsidR="004B44AA" w:rsidRPr="00A156F4">
        <w:rPr>
          <w:sz w:val="22"/>
          <w:szCs w:val="22"/>
        </w:rPr>
        <w:t xml:space="preserve">de </w:t>
      </w:r>
      <w:proofErr w:type="spellStart"/>
      <w:r w:rsidR="004B44AA" w:rsidRPr="00A156F4">
        <w:rPr>
          <w:sz w:val="22"/>
          <w:szCs w:val="22"/>
        </w:rPr>
        <w:t>Coprocom</w:t>
      </w:r>
      <w:proofErr w:type="spellEnd"/>
      <w:r w:rsidRPr="00A156F4">
        <w:rPr>
          <w:sz w:val="22"/>
          <w:szCs w:val="22"/>
        </w:rPr>
        <w:t xml:space="preserve"> se determinará</w:t>
      </w:r>
      <w:r w:rsidR="00BA0885" w:rsidRPr="00A156F4">
        <w:rPr>
          <w:sz w:val="22"/>
          <w:szCs w:val="22"/>
        </w:rPr>
        <w:t xml:space="preserve"> </w:t>
      </w:r>
      <w:r w:rsidR="00BB2BB5" w:rsidRPr="00A156F4">
        <w:rPr>
          <w:sz w:val="22"/>
          <w:szCs w:val="22"/>
        </w:rPr>
        <w:t xml:space="preserve">utilizando </w:t>
      </w:r>
      <w:r w:rsidR="009854D4" w:rsidRPr="00A156F4">
        <w:rPr>
          <w:sz w:val="22"/>
          <w:szCs w:val="22"/>
        </w:rPr>
        <w:t>como referencia</w:t>
      </w:r>
      <w:r w:rsidR="00BA0885" w:rsidRPr="00A156F4">
        <w:rPr>
          <w:sz w:val="22"/>
          <w:szCs w:val="22"/>
        </w:rPr>
        <w:t xml:space="preserve"> </w:t>
      </w:r>
      <w:r w:rsidRPr="00A156F4">
        <w:rPr>
          <w:sz w:val="22"/>
          <w:szCs w:val="22"/>
        </w:rPr>
        <w:t>las remuneraciones prevalecientes</w:t>
      </w:r>
      <w:r w:rsidR="00BA0885" w:rsidRPr="00A156F4">
        <w:rPr>
          <w:sz w:val="22"/>
          <w:szCs w:val="22"/>
        </w:rPr>
        <w:t xml:space="preserve"> </w:t>
      </w:r>
      <w:r w:rsidR="009854D4" w:rsidRPr="00A156F4">
        <w:rPr>
          <w:sz w:val="22"/>
          <w:szCs w:val="22"/>
        </w:rPr>
        <w:t xml:space="preserve">en </w:t>
      </w:r>
      <w:r w:rsidRPr="00A156F4">
        <w:rPr>
          <w:sz w:val="22"/>
          <w:szCs w:val="22"/>
        </w:rPr>
        <w:t>organismos con funciones similares</w:t>
      </w:r>
      <w:r w:rsidR="00BB2BB5" w:rsidRPr="00A156F4">
        <w:rPr>
          <w:sz w:val="22"/>
          <w:szCs w:val="22"/>
        </w:rPr>
        <w:t>,</w:t>
      </w:r>
      <w:r w:rsidRPr="00A156F4">
        <w:rPr>
          <w:sz w:val="22"/>
          <w:szCs w:val="22"/>
        </w:rPr>
        <w:t xml:space="preserve"> como la </w:t>
      </w:r>
      <w:proofErr w:type="spellStart"/>
      <w:r w:rsidRPr="00A156F4">
        <w:rPr>
          <w:sz w:val="22"/>
          <w:szCs w:val="22"/>
        </w:rPr>
        <w:t>Sutel</w:t>
      </w:r>
      <w:proofErr w:type="spellEnd"/>
      <w:r w:rsidR="0037046A" w:rsidRPr="00A156F4">
        <w:rPr>
          <w:sz w:val="22"/>
          <w:szCs w:val="22"/>
        </w:rPr>
        <w:t>.</w:t>
      </w:r>
      <w:r w:rsidR="00041AB8" w:rsidRPr="00A156F4">
        <w:rPr>
          <w:sz w:val="22"/>
          <w:szCs w:val="22"/>
        </w:rPr>
        <w:t xml:space="preserve"> </w:t>
      </w:r>
      <w:r w:rsidR="00B2069A" w:rsidRPr="00A156F4">
        <w:rPr>
          <w:sz w:val="22"/>
          <w:szCs w:val="22"/>
        </w:rPr>
        <w:t xml:space="preserve">La fijación de la remuneración de estos funcionarios no estará sujeta a lo dispuesto en la Ley de la Administración Financiera de la República y Presupuestos Públicos, Ley </w:t>
      </w:r>
      <w:proofErr w:type="spellStart"/>
      <w:r w:rsidR="00B2069A" w:rsidRPr="00A156F4">
        <w:rPr>
          <w:sz w:val="22"/>
          <w:szCs w:val="22"/>
        </w:rPr>
        <w:t>N°</w:t>
      </w:r>
      <w:proofErr w:type="spellEnd"/>
      <w:r w:rsidR="00B2069A" w:rsidRPr="00A156F4">
        <w:rPr>
          <w:sz w:val="22"/>
          <w:szCs w:val="22"/>
        </w:rPr>
        <w:t>. 8131, del 18 de setiembre de 2001, sus reformas y sus reglamentos.</w:t>
      </w:r>
    </w:p>
    <w:p w14:paraId="3B7D063D" w14:textId="77777777" w:rsidR="00B2069A" w:rsidRPr="00A156F4" w:rsidRDefault="00B2069A" w:rsidP="00B2069A">
      <w:pPr>
        <w:jc w:val="both"/>
        <w:rPr>
          <w:sz w:val="22"/>
          <w:szCs w:val="22"/>
        </w:rPr>
      </w:pPr>
    </w:p>
    <w:p w14:paraId="78F4E912" w14:textId="64B381DB" w:rsidR="00A8671B" w:rsidRPr="00A156F4" w:rsidRDefault="003C62F5" w:rsidP="00B2069A">
      <w:pPr>
        <w:jc w:val="both"/>
        <w:rPr>
          <w:sz w:val="22"/>
          <w:szCs w:val="22"/>
        </w:rPr>
      </w:pPr>
      <w:r w:rsidRPr="00A156F4">
        <w:rPr>
          <w:sz w:val="22"/>
          <w:szCs w:val="22"/>
        </w:rPr>
        <w:t xml:space="preserve"> Los miembros suplentes de la Comisión devengarán, ya sea por día de trabajo o por sesión, dietas proporcionales a la remuneración de los miembros propietarios.</w:t>
      </w:r>
    </w:p>
    <w:p w14:paraId="07ED012E" w14:textId="7965BF96" w:rsidR="00B2069A" w:rsidRPr="00A156F4" w:rsidRDefault="00B2069A" w:rsidP="00757A1D">
      <w:pPr>
        <w:jc w:val="both"/>
        <w:rPr>
          <w:sz w:val="22"/>
          <w:szCs w:val="22"/>
        </w:rPr>
      </w:pPr>
      <w:r w:rsidRPr="00A156F4">
        <w:rPr>
          <w:sz w:val="22"/>
          <w:szCs w:val="22"/>
        </w:rPr>
        <w:t xml:space="preserve"> </w:t>
      </w:r>
    </w:p>
    <w:p w14:paraId="3DBC8DDF" w14:textId="77777777" w:rsidR="00B124DA" w:rsidRPr="00A156F4" w:rsidRDefault="00B124DA" w:rsidP="00757A1D">
      <w:pPr>
        <w:jc w:val="both"/>
        <w:rPr>
          <w:sz w:val="22"/>
          <w:szCs w:val="22"/>
        </w:rPr>
      </w:pPr>
    </w:p>
    <w:p w14:paraId="669E5E55" w14:textId="77777777" w:rsidR="00744C2C" w:rsidRPr="00A156F4" w:rsidRDefault="00744C2C" w:rsidP="004B2F8B">
      <w:pPr>
        <w:widowControl w:val="0"/>
        <w:ind w:firstLine="708"/>
        <w:jc w:val="center"/>
        <w:rPr>
          <w:b/>
          <w:sz w:val="22"/>
          <w:szCs w:val="22"/>
          <w:lang w:eastAsia="es-CR"/>
        </w:rPr>
      </w:pPr>
      <w:bookmarkStart w:id="13" w:name="_Hlk523045432"/>
      <w:r w:rsidRPr="00A156F4">
        <w:rPr>
          <w:b/>
          <w:sz w:val="22"/>
          <w:szCs w:val="22"/>
          <w:lang w:eastAsia="es-CR"/>
        </w:rPr>
        <w:t>TÍTULO II</w:t>
      </w:r>
    </w:p>
    <w:p w14:paraId="6495DA63" w14:textId="77777777" w:rsidR="00744C2C" w:rsidRPr="00A156F4" w:rsidRDefault="00744C2C" w:rsidP="004B2F8B">
      <w:pPr>
        <w:widowControl w:val="0"/>
        <w:ind w:firstLine="708"/>
        <w:jc w:val="center"/>
        <w:rPr>
          <w:b/>
          <w:sz w:val="22"/>
          <w:szCs w:val="22"/>
          <w:lang w:eastAsia="es-CR"/>
        </w:rPr>
      </w:pPr>
      <w:r w:rsidRPr="00A156F4">
        <w:rPr>
          <w:b/>
          <w:sz w:val="22"/>
          <w:szCs w:val="22"/>
          <w:lang w:eastAsia="es-CR"/>
        </w:rPr>
        <w:t>Promoción de la Competencia</w:t>
      </w:r>
    </w:p>
    <w:bookmarkEnd w:id="13"/>
    <w:p w14:paraId="63E7FD4D" w14:textId="482C3333" w:rsidR="00F14297" w:rsidRPr="00A156F4" w:rsidRDefault="00F14297" w:rsidP="004B2F8B">
      <w:pPr>
        <w:widowControl w:val="0"/>
        <w:jc w:val="both"/>
        <w:rPr>
          <w:sz w:val="22"/>
          <w:szCs w:val="22"/>
          <w:lang w:eastAsia="es-CR"/>
        </w:rPr>
      </w:pPr>
    </w:p>
    <w:p w14:paraId="62B5195F" w14:textId="77777777" w:rsidR="005F7DB9" w:rsidRPr="00A156F4" w:rsidRDefault="005F7DB9" w:rsidP="004B2F8B">
      <w:pPr>
        <w:widowControl w:val="0"/>
        <w:jc w:val="both"/>
        <w:rPr>
          <w:sz w:val="22"/>
          <w:szCs w:val="22"/>
          <w:lang w:eastAsia="es-CR"/>
        </w:rPr>
      </w:pPr>
    </w:p>
    <w:p w14:paraId="55ED5E0B" w14:textId="3547D180" w:rsidR="00F14297" w:rsidRPr="00A156F4" w:rsidRDefault="00D2752F" w:rsidP="004B2F8B">
      <w:pPr>
        <w:pStyle w:val="Ttulo4"/>
        <w:spacing w:before="0"/>
        <w:rPr>
          <w:rFonts w:ascii="Times New Roman" w:eastAsiaTheme="minorHAnsi" w:hAnsi="Times New Roman" w:cs="Times New Roman"/>
          <w:b/>
          <w:i w:val="0"/>
          <w:iCs w:val="0"/>
          <w:color w:val="auto"/>
          <w:sz w:val="22"/>
          <w:szCs w:val="22"/>
        </w:rPr>
      </w:pPr>
      <w:r w:rsidRPr="00A156F4">
        <w:rPr>
          <w:rFonts w:ascii="Times New Roman" w:eastAsiaTheme="minorHAnsi" w:hAnsi="Times New Roman" w:cs="Times New Roman"/>
          <w:b/>
          <w:i w:val="0"/>
          <w:iCs w:val="0"/>
          <w:color w:val="auto"/>
          <w:sz w:val="22"/>
          <w:szCs w:val="22"/>
        </w:rPr>
        <w:t>Artículo</w:t>
      </w:r>
      <w:r w:rsidRPr="00A156F4">
        <w:rPr>
          <w:rFonts w:ascii="Times New Roman" w:hAnsi="Times New Roman" w:cs="Times New Roman"/>
          <w:b/>
          <w:bCs/>
          <w:sz w:val="22"/>
          <w:szCs w:val="22"/>
        </w:rPr>
        <w:t xml:space="preserve"> </w:t>
      </w:r>
      <w:r w:rsidR="00B82C4F" w:rsidRPr="00A156F4">
        <w:rPr>
          <w:rFonts w:ascii="Times New Roman" w:eastAsiaTheme="minorHAnsi" w:hAnsi="Times New Roman" w:cs="Times New Roman"/>
          <w:b/>
          <w:i w:val="0"/>
          <w:iCs w:val="0"/>
          <w:color w:val="auto"/>
          <w:sz w:val="22"/>
          <w:szCs w:val="22"/>
        </w:rPr>
        <w:t>20</w:t>
      </w:r>
      <w:r w:rsidR="00F14297" w:rsidRPr="00A156F4">
        <w:rPr>
          <w:rFonts w:ascii="Times New Roman" w:eastAsiaTheme="minorHAnsi" w:hAnsi="Times New Roman" w:cs="Times New Roman"/>
          <w:b/>
          <w:i w:val="0"/>
          <w:iCs w:val="0"/>
          <w:color w:val="auto"/>
          <w:sz w:val="22"/>
          <w:szCs w:val="22"/>
        </w:rPr>
        <w:t>.- Objetivo</w:t>
      </w:r>
      <w:r w:rsidR="00AB76FB" w:rsidRPr="00A156F4">
        <w:rPr>
          <w:rFonts w:ascii="Times New Roman" w:eastAsiaTheme="minorHAnsi" w:hAnsi="Times New Roman" w:cs="Times New Roman"/>
          <w:b/>
          <w:i w:val="0"/>
          <w:iCs w:val="0"/>
          <w:color w:val="auto"/>
          <w:sz w:val="22"/>
          <w:szCs w:val="22"/>
        </w:rPr>
        <w:t xml:space="preserve"> y </w:t>
      </w:r>
      <w:r w:rsidR="00821827" w:rsidRPr="00A156F4">
        <w:rPr>
          <w:rFonts w:ascii="Times New Roman" w:eastAsiaTheme="minorHAnsi" w:hAnsi="Times New Roman" w:cs="Times New Roman"/>
          <w:b/>
          <w:i w:val="0"/>
          <w:iCs w:val="0"/>
          <w:color w:val="auto"/>
          <w:sz w:val="22"/>
          <w:szCs w:val="22"/>
        </w:rPr>
        <w:t xml:space="preserve">lineamientos </w:t>
      </w:r>
      <w:r w:rsidR="00AB76FB" w:rsidRPr="00A156F4">
        <w:rPr>
          <w:rFonts w:ascii="Times New Roman" w:eastAsiaTheme="minorHAnsi" w:hAnsi="Times New Roman" w:cs="Times New Roman"/>
          <w:b/>
          <w:i w:val="0"/>
          <w:iCs w:val="0"/>
          <w:color w:val="auto"/>
          <w:sz w:val="22"/>
          <w:szCs w:val="22"/>
        </w:rPr>
        <w:t>estratégico</w:t>
      </w:r>
      <w:r w:rsidR="00821827" w:rsidRPr="00A156F4">
        <w:rPr>
          <w:rFonts w:ascii="Times New Roman" w:eastAsiaTheme="minorHAnsi" w:hAnsi="Times New Roman" w:cs="Times New Roman"/>
          <w:b/>
          <w:i w:val="0"/>
          <w:iCs w:val="0"/>
          <w:color w:val="auto"/>
          <w:sz w:val="22"/>
          <w:szCs w:val="22"/>
        </w:rPr>
        <w:t>s</w:t>
      </w:r>
      <w:r w:rsidR="00BB2BB5" w:rsidRPr="00A156F4">
        <w:rPr>
          <w:rFonts w:ascii="Times New Roman" w:eastAsiaTheme="minorHAnsi" w:hAnsi="Times New Roman" w:cs="Times New Roman"/>
          <w:b/>
          <w:i w:val="0"/>
          <w:iCs w:val="0"/>
          <w:color w:val="auto"/>
          <w:sz w:val="22"/>
          <w:szCs w:val="22"/>
        </w:rPr>
        <w:t xml:space="preserve"> de cada autoridad de competencia</w:t>
      </w:r>
    </w:p>
    <w:p w14:paraId="0E3DBB7E" w14:textId="77777777" w:rsidR="00901686" w:rsidRPr="00A156F4" w:rsidRDefault="00901686" w:rsidP="004B2F8B">
      <w:pPr>
        <w:rPr>
          <w:i/>
          <w:iCs/>
          <w:sz w:val="22"/>
          <w:szCs w:val="22"/>
        </w:rPr>
      </w:pPr>
    </w:p>
    <w:p w14:paraId="338322EA" w14:textId="1FA5F8F7" w:rsidR="00B3194C" w:rsidRPr="00A156F4" w:rsidRDefault="00CB19F3" w:rsidP="004B2F8B">
      <w:pPr>
        <w:widowControl w:val="0"/>
        <w:jc w:val="both"/>
        <w:rPr>
          <w:sz w:val="22"/>
          <w:szCs w:val="22"/>
        </w:rPr>
      </w:pPr>
      <w:r w:rsidRPr="00A156F4">
        <w:rPr>
          <w:sz w:val="22"/>
          <w:szCs w:val="22"/>
        </w:rPr>
        <w:t>L</w:t>
      </w:r>
      <w:r w:rsidR="00F14297" w:rsidRPr="00A156F4">
        <w:rPr>
          <w:sz w:val="22"/>
          <w:szCs w:val="22"/>
        </w:rPr>
        <w:t>as actividades</w:t>
      </w:r>
      <w:r w:rsidR="00F81EA6" w:rsidRPr="00A156F4">
        <w:rPr>
          <w:sz w:val="22"/>
          <w:szCs w:val="22"/>
        </w:rPr>
        <w:t xml:space="preserve"> de</w:t>
      </w:r>
      <w:r w:rsidR="00F14297" w:rsidRPr="00A156F4">
        <w:rPr>
          <w:sz w:val="22"/>
          <w:szCs w:val="22"/>
        </w:rPr>
        <w:t xml:space="preserve"> promoción </w:t>
      </w:r>
      <w:r w:rsidR="00F81EA6" w:rsidRPr="00A156F4">
        <w:rPr>
          <w:sz w:val="22"/>
          <w:szCs w:val="22"/>
        </w:rPr>
        <w:t>y</w:t>
      </w:r>
      <w:r w:rsidR="00F14297" w:rsidRPr="00A156F4">
        <w:rPr>
          <w:sz w:val="22"/>
          <w:szCs w:val="22"/>
        </w:rPr>
        <w:t xml:space="preserve"> abogacía de la </w:t>
      </w:r>
      <w:r w:rsidR="00117EE5" w:rsidRPr="00A156F4">
        <w:rPr>
          <w:sz w:val="22"/>
          <w:szCs w:val="22"/>
        </w:rPr>
        <w:t>competencia</w:t>
      </w:r>
      <w:r w:rsidR="00F81EA6" w:rsidRPr="00A156F4">
        <w:rPr>
          <w:sz w:val="22"/>
          <w:szCs w:val="22"/>
        </w:rPr>
        <w:t xml:space="preserve"> </w:t>
      </w:r>
      <w:r w:rsidR="002367E6" w:rsidRPr="00A156F4">
        <w:rPr>
          <w:sz w:val="22"/>
          <w:szCs w:val="22"/>
        </w:rPr>
        <w:t xml:space="preserve">tendrán como objetivo </w:t>
      </w:r>
      <w:r w:rsidR="00F14297" w:rsidRPr="00A156F4">
        <w:rPr>
          <w:sz w:val="22"/>
          <w:szCs w:val="22"/>
        </w:rPr>
        <w:t>fomentar e impulsar mejoras en el proceso de competencia</w:t>
      </w:r>
      <w:r w:rsidR="00CF4609" w:rsidRPr="00A156F4">
        <w:rPr>
          <w:sz w:val="22"/>
          <w:szCs w:val="22"/>
        </w:rPr>
        <w:t xml:space="preserve"> y libre concurrencia</w:t>
      </w:r>
      <w:r w:rsidR="00F14297" w:rsidRPr="00A156F4">
        <w:rPr>
          <w:sz w:val="22"/>
          <w:szCs w:val="22"/>
        </w:rPr>
        <w:t xml:space="preserve"> en </w:t>
      </w:r>
      <w:r w:rsidR="00A43EC6" w:rsidRPr="00A156F4">
        <w:rPr>
          <w:sz w:val="22"/>
          <w:szCs w:val="22"/>
        </w:rPr>
        <w:t>el mercado</w:t>
      </w:r>
      <w:r w:rsidR="00BB2BB5" w:rsidRPr="00A156F4">
        <w:rPr>
          <w:sz w:val="22"/>
          <w:szCs w:val="22"/>
        </w:rPr>
        <w:t>;</w:t>
      </w:r>
      <w:r w:rsidR="0070488A" w:rsidRPr="00A156F4">
        <w:rPr>
          <w:sz w:val="22"/>
          <w:szCs w:val="22"/>
        </w:rPr>
        <w:t xml:space="preserve"> eliminar y evitar las </w:t>
      </w:r>
      <w:r w:rsidR="00B3194C" w:rsidRPr="00A156F4">
        <w:rPr>
          <w:sz w:val="22"/>
          <w:szCs w:val="22"/>
        </w:rPr>
        <w:t>distorsiones</w:t>
      </w:r>
      <w:r w:rsidRPr="00A156F4">
        <w:rPr>
          <w:sz w:val="22"/>
          <w:szCs w:val="22"/>
        </w:rPr>
        <w:t xml:space="preserve"> o barreras</w:t>
      </w:r>
      <w:r w:rsidR="00CF4609" w:rsidRPr="00A156F4">
        <w:rPr>
          <w:sz w:val="22"/>
          <w:szCs w:val="22"/>
        </w:rPr>
        <w:t xml:space="preserve"> de entrada</w:t>
      </w:r>
      <w:r w:rsidR="00BB2BB5" w:rsidRPr="00A156F4">
        <w:rPr>
          <w:sz w:val="22"/>
          <w:szCs w:val="22"/>
        </w:rPr>
        <w:t>;</w:t>
      </w:r>
      <w:r w:rsidR="00666ED4" w:rsidRPr="00A156F4">
        <w:rPr>
          <w:sz w:val="22"/>
          <w:szCs w:val="22"/>
        </w:rPr>
        <w:t xml:space="preserve"> así como aumentar el conocimiento y la conciencia pública </w:t>
      </w:r>
      <w:r w:rsidR="00B3194C" w:rsidRPr="00A156F4">
        <w:rPr>
          <w:sz w:val="22"/>
          <w:szCs w:val="22"/>
        </w:rPr>
        <w:t xml:space="preserve">sobre </w:t>
      </w:r>
      <w:r w:rsidR="00666ED4" w:rsidRPr="00A156F4">
        <w:rPr>
          <w:sz w:val="22"/>
          <w:szCs w:val="22"/>
        </w:rPr>
        <w:t xml:space="preserve">los beneficios de la competencia. </w:t>
      </w:r>
    </w:p>
    <w:p w14:paraId="733F4F7F" w14:textId="77777777" w:rsidR="00CB19F3" w:rsidRPr="00A156F4" w:rsidRDefault="00CB19F3" w:rsidP="004B2F8B">
      <w:pPr>
        <w:widowControl w:val="0"/>
        <w:jc w:val="both"/>
        <w:rPr>
          <w:sz w:val="22"/>
          <w:szCs w:val="22"/>
        </w:rPr>
      </w:pPr>
    </w:p>
    <w:p w14:paraId="714E8F09" w14:textId="7799A80B" w:rsidR="00F14297" w:rsidRPr="00A156F4" w:rsidRDefault="00666ED4" w:rsidP="004B2F8B">
      <w:pPr>
        <w:widowControl w:val="0"/>
        <w:jc w:val="both"/>
        <w:rPr>
          <w:sz w:val="22"/>
          <w:szCs w:val="22"/>
        </w:rPr>
      </w:pPr>
      <w:r w:rsidRPr="00A156F4">
        <w:rPr>
          <w:sz w:val="22"/>
          <w:szCs w:val="22"/>
        </w:rPr>
        <w:t>Para e</w:t>
      </w:r>
      <w:r w:rsidR="00A43EC6" w:rsidRPr="00A156F4">
        <w:rPr>
          <w:sz w:val="22"/>
          <w:szCs w:val="22"/>
        </w:rPr>
        <w:t>llo</w:t>
      </w:r>
      <w:r w:rsidRPr="00A156F4">
        <w:rPr>
          <w:sz w:val="22"/>
          <w:szCs w:val="22"/>
        </w:rPr>
        <w:t>, utilizarán</w:t>
      </w:r>
      <w:r w:rsidR="00F14297" w:rsidRPr="00A156F4">
        <w:rPr>
          <w:sz w:val="22"/>
          <w:szCs w:val="22"/>
        </w:rPr>
        <w:t xml:space="preserve"> medios no-coactivos, </w:t>
      </w:r>
      <w:r w:rsidRPr="00A156F4">
        <w:rPr>
          <w:sz w:val="22"/>
          <w:szCs w:val="22"/>
        </w:rPr>
        <w:t>tales como</w:t>
      </w:r>
      <w:r w:rsidR="00F14297" w:rsidRPr="00A156F4">
        <w:rPr>
          <w:sz w:val="22"/>
          <w:szCs w:val="22"/>
        </w:rPr>
        <w:t xml:space="preserve"> </w:t>
      </w:r>
      <w:r w:rsidR="001C3596" w:rsidRPr="00A156F4">
        <w:rPr>
          <w:sz w:val="22"/>
          <w:szCs w:val="22"/>
        </w:rPr>
        <w:t>la emisión de opiniones</w:t>
      </w:r>
      <w:r w:rsidR="00497A18" w:rsidRPr="00A156F4">
        <w:rPr>
          <w:sz w:val="22"/>
          <w:szCs w:val="22"/>
        </w:rPr>
        <w:t xml:space="preserve"> y</w:t>
      </w:r>
      <w:r w:rsidR="001C3596" w:rsidRPr="00A156F4">
        <w:rPr>
          <w:sz w:val="22"/>
          <w:szCs w:val="22"/>
        </w:rPr>
        <w:t xml:space="preserve"> guías</w:t>
      </w:r>
      <w:r w:rsidR="00497A18" w:rsidRPr="00A156F4">
        <w:rPr>
          <w:sz w:val="22"/>
          <w:szCs w:val="22"/>
        </w:rPr>
        <w:t>;</w:t>
      </w:r>
      <w:r w:rsidR="001C3596" w:rsidRPr="00A156F4">
        <w:rPr>
          <w:sz w:val="22"/>
          <w:szCs w:val="22"/>
        </w:rPr>
        <w:t xml:space="preserve"> </w:t>
      </w:r>
      <w:r w:rsidRPr="00A156F4">
        <w:rPr>
          <w:sz w:val="22"/>
          <w:szCs w:val="22"/>
        </w:rPr>
        <w:t xml:space="preserve">la </w:t>
      </w:r>
      <w:r w:rsidR="00497A18" w:rsidRPr="00A156F4">
        <w:rPr>
          <w:sz w:val="22"/>
          <w:szCs w:val="22"/>
        </w:rPr>
        <w:t xml:space="preserve">realización de </w:t>
      </w:r>
      <w:r w:rsidR="001C3596" w:rsidRPr="00A156F4">
        <w:rPr>
          <w:sz w:val="22"/>
          <w:szCs w:val="22"/>
        </w:rPr>
        <w:t>estudios de mercado</w:t>
      </w:r>
      <w:r w:rsidR="00497A18" w:rsidRPr="00A156F4">
        <w:rPr>
          <w:sz w:val="22"/>
          <w:szCs w:val="22"/>
        </w:rPr>
        <w:t xml:space="preserve"> y de actividades de </w:t>
      </w:r>
      <w:r w:rsidRPr="00A156F4">
        <w:rPr>
          <w:sz w:val="22"/>
          <w:szCs w:val="22"/>
        </w:rPr>
        <w:t xml:space="preserve">asesoramiento, </w:t>
      </w:r>
      <w:r w:rsidR="00497A18" w:rsidRPr="00A156F4">
        <w:rPr>
          <w:sz w:val="22"/>
          <w:szCs w:val="22"/>
        </w:rPr>
        <w:t>capacitación y difusión; y</w:t>
      </w:r>
      <w:r w:rsidR="001C3596" w:rsidRPr="00A156F4">
        <w:rPr>
          <w:sz w:val="22"/>
          <w:szCs w:val="22"/>
        </w:rPr>
        <w:t xml:space="preserve"> </w:t>
      </w:r>
      <w:r w:rsidR="009659ED" w:rsidRPr="00A156F4">
        <w:rPr>
          <w:sz w:val="22"/>
          <w:szCs w:val="22"/>
        </w:rPr>
        <w:t xml:space="preserve">acuerdos de cooperación para fomentar y desarrollar </w:t>
      </w:r>
      <w:r w:rsidR="00F14297" w:rsidRPr="00A156F4">
        <w:rPr>
          <w:sz w:val="22"/>
          <w:szCs w:val="22"/>
        </w:rPr>
        <w:t xml:space="preserve">sus relaciones con otras entidades. </w:t>
      </w:r>
    </w:p>
    <w:p w14:paraId="6DD24A4C" w14:textId="77777777" w:rsidR="006A4D29" w:rsidRPr="00A156F4" w:rsidRDefault="006A4D29" w:rsidP="004B2F8B">
      <w:pPr>
        <w:widowControl w:val="0"/>
        <w:ind w:firstLine="708"/>
        <w:jc w:val="both"/>
        <w:rPr>
          <w:sz w:val="22"/>
          <w:szCs w:val="22"/>
        </w:rPr>
      </w:pPr>
    </w:p>
    <w:p w14:paraId="66B8DCCF" w14:textId="5ED9B4BE" w:rsidR="001F61F2" w:rsidRPr="00A156F4" w:rsidRDefault="001F61F2" w:rsidP="001F61F2">
      <w:pPr>
        <w:jc w:val="both"/>
        <w:rPr>
          <w:sz w:val="22"/>
          <w:szCs w:val="22"/>
        </w:rPr>
      </w:pPr>
      <w:r w:rsidRPr="00A156F4">
        <w:rPr>
          <w:sz w:val="22"/>
          <w:szCs w:val="22"/>
        </w:rPr>
        <w:t>C</w:t>
      </w:r>
      <w:r w:rsidR="00BE179C" w:rsidRPr="00A156F4">
        <w:rPr>
          <w:sz w:val="22"/>
          <w:szCs w:val="22"/>
        </w:rPr>
        <w:t xml:space="preserve">ada autoridad de competencia </w:t>
      </w:r>
      <w:r w:rsidR="000D4748" w:rsidRPr="00A156F4">
        <w:rPr>
          <w:sz w:val="22"/>
          <w:szCs w:val="22"/>
        </w:rPr>
        <w:t xml:space="preserve">establecerá </w:t>
      </w:r>
      <w:r w:rsidR="00B3194C" w:rsidRPr="00A156F4">
        <w:rPr>
          <w:sz w:val="22"/>
          <w:szCs w:val="22"/>
        </w:rPr>
        <w:t xml:space="preserve">de forma anual sus </w:t>
      </w:r>
      <w:r w:rsidR="000D4748" w:rsidRPr="00A156F4">
        <w:rPr>
          <w:sz w:val="22"/>
          <w:szCs w:val="22"/>
        </w:rPr>
        <w:t>prioridades</w:t>
      </w:r>
      <w:r w:rsidR="00B3194C" w:rsidRPr="00A156F4">
        <w:rPr>
          <w:sz w:val="22"/>
          <w:szCs w:val="22"/>
        </w:rPr>
        <w:t>,</w:t>
      </w:r>
      <w:r w:rsidRPr="00A156F4">
        <w:rPr>
          <w:sz w:val="22"/>
          <w:szCs w:val="22"/>
        </w:rPr>
        <w:t xml:space="preserve"> </w:t>
      </w:r>
      <w:r w:rsidR="00B3194C" w:rsidRPr="00A156F4">
        <w:rPr>
          <w:sz w:val="22"/>
          <w:szCs w:val="22"/>
        </w:rPr>
        <w:t>para asegurar</w:t>
      </w:r>
      <w:r w:rsidRPr="00A156F4">
        <w:rPr>
          <w:sz w:val="22"/>
          <w:szCs w:val="22"/>
        </w:rPr>
        <w:t xml:space="preserve"> una adecuada </w:t>
      </w:r>
      <w:r w:rsidR="00BE179C" w:rsidRPr="00A156F4">
        <w:rPr>
          <w:sz w:val="22"/>
          <w:szCs w:val="22"/>
        </w:rPr>
        <w:t>promoción de la competencia</w:t>
      </w:r>
      <w:r w:rsidRPr="00A156F4">
        <w:rPr>
          <w:sz w:val="22"/>
          <w:szCs w:val="22"/>
        </w:rPr>
        <w:t xml:space="preserve"> y una efectiva</w:t>
      </w:r>
      <w:r w:rsidR="00BE179C" w:rsidRPr="00A156F4">
        <w:rPr>
          <w:sz w:val="22"/>
          <w:szCs w:val="22"/>
        </w:rPr>
        <w:t xml:space="preserve"> asigna</w:t>
      </w:r>
      <w:r w:rsidRPr="00A156F4">
        <w:rPr>
          <w:sz w:val="22"/>
          <w:szCs w:val="22"/>
        </w:rPr>
        <w:t>ción de</w:t>
      </w:r>
      <w:r w:rsidR="00BE179C" w:rsidRPr="00A156F4">
        <w:rPr>
          <w:sz w:val="22"/>
          <w:szCs w:val="22"/>
        </w:rPr>
        <w:t xml:space="preserve"> </w:t>
      </w:r>
      <w:r w:rsidRPr="00A156F4">
        <w:rPr>
          <w:sz w:val="22"/>
          <w:szCs w:val="22"/>
        </w:rPr>
        <w:t>los</w:t>
      </w:r>
      <w:r w:rsidR="00BE179C" w:rsidRPr="00A156F4">
        <w:rPr>
          <w:sz w:val="22"/>
          <w:szCs w:val="22"/>
        </w:rPr>
        <w:t xml:space="preserve"> recursos</w:t>
      </w:r>
      <w:r w:rsidR="00A43EC6" w:rsidRPr="00A156F4">
        <w:rPr>
          <w:sz w:val="22"/>
          <w:szCs w:val="22"/>
        </w:rPr>
        <w:t>. Asimismo,</w:t>
      </w:r>
      <w:r w:rsidR="00ED1CE2" w:rsidRPr="00A156F4">
        <w:rPr>
          <w:sz w:val="22"/>
          <w:szCs w:val="22"/>
        </w:rPr>
        <w:t xml:space="preserve"> </w:t>
      </w:r>
      <w:r w:rsidR="00BE179C" w:rsidRPr="00A156F4">
        <w:rPr>
          <w:sz w:val="22"/>
          <w:szCs w:val="22"/>
        </w:rPr>
        <w:t>podrán coordinar</w:t>
      </w:r>
      <w:r w:rsidR="00ED1CE2" w:rsidRPr="00A156F4">
        <w:rPr>
          <w:sz w:val="22"/>
          <w:szCs w:val="22"/>
        </w:rPr>
        <w:t xml:space="preserve"> entre </w:t>
      </w:r>
      <w:r w:rsidR="00B3194C" w:rsidRPr="00A156F4">
        <w:rPr>
          <w:sz w:val="22"/>
          <w:szCs w:val="22"/>
        </w:rPr>
        <w:t>sí y con otras instituciones del Estado</w:t>
      </w:r>
      <w:r w:rsidRPr="00A156F4">
        <w:rPr>
          <w:sz w:val="22"/>
          <w:szCs w:val="22"/>
        </w:rPr>
        <w:t xml:space="preserve"> aquellas </w:t>
      </w:r>
      <w:r w:rsidR="00B3194C" w:rsidRPr="00A156F4">
        <w:rPr>
          <w:sz w:val="22"/>
          <w:szCs w:val="22"/>
        </w:rPr>
        <w:t xml:space="preserve">actividades </w:t>
      </w:r>
      <w:r w:rsidRPr="00A156F4">
        <w:rPr>
          <w:sz w:val="22"/>
          <w:szCs w:val="22"/>
        </w:rPr>
        <w:t>que fomenten</w:t>
      </w:r>
      <w:r w:rsidR="00BE179C" w:rsidRPr="00A156F4">
        <w:rPr>
          <w:sz w:val="22"/>
          <w:szCs w:val="22"/>
        </w:rPr>
        <w:t xml:space="preserve"> la promoción de la competencia</w:t>
      </w:r>
      <w:r w:rsidR="006809BC" w:rsidRPr="00A156F4">
        <w:rPr>
          <w:sz w:val="22"/>
          <w:szCs w:val="22"/>
        </w:rPr>
        <w:t xml:space="preserve"> a nivel nacional</w:t>
      </w:r>
      <w:r w:rsidR="00665D3D" w:rsidRPr="00A156F4">
        <w:rPr>
          <w:sz w:val="22"/>
          <w:szCs w:val="22"/>
        </w:rPr>
        <w:t xml:space="preserve"> en sectores prioritarios</w:t>
      </w:r>
      <w:r w:rsidR="00BE179C" w:rsidRPr="00A156F4">
        <w:rPr>
          <w:sz w:val="22"/>
          <w:szCs w:val="22"/>
        </w:rPr>
        <w:t xml:space="preserve">. </w:t>
      </w:r>
    </w:p>
    <w:p w14:paraId="6F3B6B31" w14:textId="77777777" w:rsidR="001F61F2" w:rsidRPr="00A156F4" w:rsidRDefault="001F61F2" w:rsidP="004B2F8B">
      <w:pPr>
        <w:widowControl w:val="0"/>
        <w:jc w:val="both"/>
        <w:rPr>
          <w:sz w:val="22"/>
          <w:szCs w:val="22"/>
          <w:lang w:eastAsia="es-CR"/>
        </w:rPr>
      </w:pPr>
    </w:p>
    <w:p w14:paraId="77ACDFBB" w14:textId="13185E5C" w:rsidR="004640CF" w:rsidRPr="00A156F4" w:rsidRDefault="004640CF" w:rsidP="004B2F8B">
      <w:pPr>
        <w:jc w:val="both"/>
        <w:rPr>
          <w:b/>
          <w:bCs/>
          <w:sz w:val="22"/>
          <w:szCs w:val="22"/>
          <w:lang w:eastAsia="en-US"/>
        </w:rPr>
      </w:pPr>
      <w:r w:rsidRPr="00A156F4">
        <w:rPr>
          <w:b/>
          <w:bCs/>
          <w:sz w:val="22"/>
          <w:szCs w:val="22"/>
        </w:rPr>
        <w:t xml:space="preserve">Artículo </w:t>
      </w:r>
      <w:r w:rsidR="00A5301D" w:rsidRPr="00A156F4">
        <w:rPr>
          <w:b/>
          <w:bCs/>
          <w:sz w:val="22"/>
          <w:szCs w:val="22"/>
        </w:rPr>
        <w:t>2</w:t>
      </w:r>
      <w:r w:rsidR="00B82C4F" w:rsidRPr="00A156F4">
        <w:rPr>
          <w:b/>
          <w:bCs/>
          <w:sz w:val="22"/>
          <w:szCs w:val="22"/>
        </w:rPr>
        <w:t>1</w:t>
      </w:r>
      <w:r w:rsidRPr="00A156F4">
        <w:rPr>
          <w:b/>
          <w:bCs/>
          <w:sz w:val="22"/>
          <w:szCs w:val="22"/>
        </w:rPr>
        <w:t>.- Emisión de opiniones y recomendaciones</w:t>
      </w:r>
    </w:p>
    <w:p w14:paraId="3E101114" w14:textId="77777777" w:rsidR="004640CF" w:rsidRPr="00A156F4" w:rsidRDefault="004640CF" w:rsidP="004B2F8B">
      <w:pPr>
        <w:jc w:val="both"/>
        <w:rPr>
          <w:sz w:val="22"/>
          <w:szCs w:val="22"/>
        </w:rPr>
      </w:pPr>
    </w:p>
    <w:p w14:paraId="096C07C2" w14:textId="2AE7411D" w:rsidR="004640CF" w:rsidRPr="00A156F4" w:rsidRDefault="00CA2787" w:rsidP="004B2F8B">
      <w:pPr>
        <w:jc w:val="both"/>
        <w:rPr>
          <w:sz w:val="22"/>
          <w:szCs w:val="22"/>
        </w:rPr>
      </w:pPr>
      <w:r w:rsidRPr="00A156F4">
        <w:rPr>
          <w:sz w:val="22"/>
          <w:szCs w:val="22"/>
        </w:rPr>
        <w:t>Cada</w:t>
      </w:r>
      <w:r w:rsidR="004640CF" w:rsidRPr="00A156F4">
        <w:rPr>
          <w:sz w:val="22"/>
          <w:szCs w:val="22"/>
        </w:rPr>
        <w:t xml:space="preserve"> autoridad de competencia podrá emitir opiniones y recomendaciones en materia de competencia y libre concurrencia, de oficio o a solicitud del Poder Ejecutivo</w:t>
      </w:r>
      <w:r w:rsidR="009F625D" w:rsidRPr="00A156F4">
        <w:rPr>
          <w:sz w:val="22"/>
          <w:szCs w:val="22"/>
        </w:rPr>
        <w:t xml:space="preserve">, </w:t>
      </w:r>
      <w:r w:rsidR="004640CF" w:rsidRPr="00A156F4">
        <w:rPr>
          <w:sz w:val="22"/>
          <w:szCs w:val="22"/>
        </w:rPr>
        <w:t>de la Asamblea Legislativa</w:t>
      </w:r>
      <w:r w:rsidR="00F802E4" w:rsidRPr="00A156F4">
        <w:rPr>
          <w:sz w:val="22"/>
          <w:szCs w:val="22"/>
        </w:rPr>
        <w:t>,</w:t>
      </w:r>
      <w:r w:rsidR="009F625D" w:rsidRPr="00A156F4">
        <w:rPr>
          <w:sz w:val="22"/>
          <w:szCs w:val="22"/>
        </w:rPr>
        <w:t xml:space="preserve"> de </w:t>
      </w:r>
      <w:r w:rsidR="00641CF4" w:rsidRPr="00A156F4">
        <w:rPr>
          <w:sz w:val="22"/>
          <w:szCs w:val="22"/>
        </w:rPr>
        <w:t>entidades</w:t>
      </w:r>
      <w:r w:rsidR="009F625D" w:rsidRPr="00A156F4">
        <w:rPr>
          <w:sz w:val="22"/>
          <w:szCs w:val="22"/>
        </w:rPr>
        <w:t xml:space="preserve"> pública</w:t>
      </w:r>
      <w:r w:rsidR="006C6035" w:rsidRPr="00A156F4">
        <w:rPr>
          <w:sz w:val="22"/>
          <w:szCs w:val="22"/>
        </w:rPr>
        <w:t>s o cualquier administrado</w:t>
      </w:r>
      <w:r w:rsidR="004640CF" w:rsidRPr="00A156F4">
        <w:rPr>
          <w:sz w:val="22"/>
          <w:szCs w:val="22"/>
        </w:rPr>
        <w:t>, sobre la promulgación, modificación o derogación de leyes, reglamentos, acuerdos, circulares y demás actos y resoluciones administrativas, vigentes o en proceso de adopción. Asimismo, podrá emitir opiniones sobre pliegos de condiciones o carteles</w:t>
      </w:r>
      <w:r w:rsidR="00AD7971" w:rsidRPr="00A156F4">
        <w:rPr>
          <w:sz w:val="22"/>
          <w:szCs w:val="22"/>
        </w:rPr>
        <w:t xml:space="preserve"> de contratación administrativa</w:t>
      </w:r>
      <w:r w:rsidR="00F076D6" w:rsidRPr="00A156F4">
        <w:rPr>
          <w:sz w:val="22"/>
          <w:szCs w:val="22"/>
          <w:lang w:val="es-CR"/>
        </w:rPr>
        <w:t xml:space="preserve">, cuyos elementos </w:t>
      </w:r>
      <w:r w:rsidR="00F076D6" w:rsidRPr="00A156F4">
        <w:rPr>
          <w:sz w:val="22"/>
          <w:szCs w:val="22"/>
        </w:rPr>
        <w:t>puedan obstruir el principio de competencia y libre concurrencia</w:t>
      </w:r>
      <w:r w:rsidR="004640CF" w:rsidRPr="00A156F4">
        <w:rPr>
          <w:sz w:val="22"/>
          <w:szCs w:val="22"/>
        </w:rPr>
        <w:t xml:space="preserve">. </w:t>
      </w:r>
    </w:p>
    <w:p w14:paraId="107248A3" w14:textId="77777777" w:rsidR="004640CF" w:rsidRPr="00A156F4" w:rsidRDefault="004640CF" w:rsidP="004B2F8B">
      <w:pPr>
        <w:jc w:val="both"/>
        <w:rPr>
          <w:sz w:val="22"/>
          <w:szCs w:val="22"/>
        </w:rPr>
      </w:pPr>
    </w:p>
    <w:p w14:paraId="0B5960AC" w14:textId="724FDAA2" w:rsidR="0022268E" w:rsidRPr="00A156F4" w:rsidRDefault="004640CF" w:rsidP="004B2F8B">
      <w:pPr>
        <w:jc w:val="both"/>
        <w:rPr>
          <w:sz w:val="22"/>
          <w:szCs w:val="22"/>
        </w:rPr>
      </w:pPr>
      <w:r w:rsidRPr="00A156F4">
        <w:rPr>
          <w:sz w:val="22"/>
          <w:szCs w:val="22"/>
        </w:rPr>
        <w:t xml:space="preserve">Las opiniones que emita </w:t>
      </w:r>
      <w:r w:rsidR="00CA2787" w:rsidRPr="00A156F4">
        <w:rPr>
          <w:sz w:val="22"/>
          <w:szCs w:val="22"/>
        </w:rPr>
        <w:t>cada</w:t>
      </w:r>
      <w:r w:rsidRPr="00A156F4">
        <w:rPr>
          <w:sz w:val="22"/>
          <w:szCs w:val="22"/>
        </w:rPr>
        <w:t xml:space="preserve"> autoridad de competencia no tendrán efectos vinculantes, sin embargo, aquellas entidades públicas que se aparten de estas opiniones quedarán obligadas a informar a la autoridad de competencia </w:t>
      </w:r>
      <w:r w:rsidR="00CA2787" w:rsidRPr="00A156F4">
        <w:rPr>
          <w:sz w:val="22"/>
          <w:szCs w:val="22"/>
        </w:rPr>
        <w:t xml:space="preserve">correspondiente </w:t>
      </w:r>
      <w:r w:rsidRPr="00A156F4">
        <w:rPr>
          <w:sz w:val="22"/>
          <w:szCs w:val="22"/>
        </w:rPr>
        <w:t xml:space="preserve">sobre sus motivaciones, en un plazo no mayor a </w:t>
      </w:r>
      <w:r w:rsidR="00247C54" w:rsidRPr="00A156F4">
        <w:rPr>
          <w:sz w:val="22"/>
          <w:szCs w:val="22"/>
        </w:rPr>
        <w:t>30</w:t>
      </w:r>
      <w:r w:rsidRPr="00A156F4">
        <w:rPr>
          <w:sz w:val="22"/>
          <w:szCs w:val="22"/>
        </w:rPr>
        <w:t xml:space="preserve"> días naturales. Tal informe deberá ser suscrito por la máxima autoridad de la entidad pública que lo emita.</w:t>
      </w:r>
      <w:r w:rsidR="00BA0885" w:rsidRPr="00A156F4">
        <w:rPr>
          <w:sz w:val="22"/>
          <w:szCs w:val="22"/>
        </w:rPr>
        <w:t xml:space="preserve"> </w:t>
      </w:r>
    </w:p>
    <w:p w14:paraId="7C837B26" w14:textId="5B185C36" w:rsidR="006C6035" w:rsidRPr="00A156F4" w:rsidRDefault="006C6035" w:rsidP="004B2F8B">
      <w:pPr>
        <w:jc w:val="both"/>
        <w:rPr>
          <w:sz w:val="22"/>
          <w:szCs w:val="22"/>
        </w:rPr>
      </w:pPr>
    </w:p>
    <w:p w14:paraId="509663C0" w14:textId="4CB50706" w:rsidR="006C6035" w:rsidRPr="00A156F4" w:rsidRDefault="006C6035" w:rsidP="004B2F8B">
      <w:pPr>
        <w:jc w:val="both"/>
        <w:rPr>
          <w:sz w:val="22"/>
          <w:szCs w:val="22"/>
        </w:rPr>
      </w:pPr>
      <w:r w:rsidRPr="00A156F4">
        <w:rPr>
          <w:sz w:val="22"/>
          <w:szCs w:val="22"/>
        </w:rPr>
        <w:t xml:space="preserve">La </w:t>
      </w:r>
      <w:proofErr w:type="spellStart"/>
      <w:r w:rsidRPr="00A156F4">
        <w:rPr>
          <w:sz w:val="22"/>
          <w:szCs w:val="22"/>
        </w:rPr>
        <w:t>Coprocom</w:t>
      </w:r>
      <w:proofErr w:type="spellEnd"/>
      <w:r w:rsidRPr="00A156F4">
        <w:rPr>
          <w:sz w:val="22"/>
          <w:szCs w:val="22"/>
        </w:rPr>
        <w:t xml:space="preserve"> revisará</w:t>
      </w:r>
      <w:r w:rsidR="00ED1CE2" w:rsidRPr="00A156F4">
        <w:rPr>
          <w:sz w:val="22"/>
          <w:szCs w:val="22"/>
        </w:rPr>
        <w:t>, de oficio o</w:t>
      </w:r>
      <w:r w:rsidRPr="00A156F4">
        <w:rPr>
          <w:sz w:val="22"/>
          <w:szCs w:val="22"/>
        </w:rPr>
        <w:t xml:space="preserve"> a solicitud de parte</w:t>
      </w:r>
      <w:r w:rsidR="00A7312C" w:rsidRPr="00A156F4">
        <w:rPr>
          <w:sz w:val="22"/>
          <w:szCs w:val="22"/>
        </w:rPr>
        <w:t xml:space="preserve">, al menos una vez cada cinco años, </w:t>
      </w:r>
      <w:r w:rsidRPr="00A156F4">
        <w:rPr>
          <w:sz w:val="22"/>
          <w:szCs w:val="22"/>
        </w:rPr>
        <w:t xml:space="preserve">las excepciones y exenciones existentes a la aplicación de la </w:t>
      </w:r>
      <w:r w:rsidR="00A1104F" w:rsidRPr="00A156F4">
        <w:rPr>
          <w:sz w:val="22"/>
          <w:szCs w:val="22"/>
        </w:rPr>
        <w:t xml:space="preserve">Ley de Promoción de la Competencia y Defensa Efectiva del Consumidor, Ley </w:t>
      </w:r>
      <w:proofErr w:type="spellStart"/>
      <w:r w:rsidR="00A1104F" w:rsidRPr="00A156F4">
        <w:rPr>
          <w:sz w:val="22"/>
          <w:szCs w:val="22"/>
        </w:rPr>
        <w:t>N°</w:t>
      </w:r>
      <w:proofErr w:type="spellEnd"/>
      <w:r w:rsidR="00A1104F" w:rsidRPr="00A156F4">
        <w:rPr>
          <w:sz w:val="22"/>
          <w:szCs w:val="22"/>
        </w:rPr>
        <w:t>. 7472, del 20 de diciembre de 1994, sus reformas y sus reglamentos</w:t>
      </w:r>
      <w:r w:rsidRPr="00A156F4">
        <w:rPr>
          <w:sz w:val="22"/>
          <w:szCs w:val="22"/>
        </w:rPr>
        <w:t xml:space="preserve"> y emitirá</w:t>
      </w:r>
      <w:r w:rsidR="009D2FA4" w:rsidRPr="00A156F4">
        <w:rPr>
          <w:sz w:val="22"/>
          <w:szCs w:val="22"/>
        </w:rPr>
        <w:t xml:space="preserve"> opinión sobre la conveniencia o no de mantener dichas excepciones, y si sus fundamentos y razón de ser se mantienen. </w:t>
      </w:r>
      <w:r w:rsidR="003E6EA9" w:rsidRPr="00A156F4">
        <w:rPr>
          <w:sz w:val="22"/>
          <w:szCs w:val="22"/>
        </w:rPr>
        <w:t>Dicha opinión deberá acompañarse de</w:t>
      </w:r>
      <w:r w:rsidR="00A7312C" w:rsidRPr="00A156F4">
        <w:rPr>
          <w:sz w:val="22"/>
          <w:szCs w:val="22"/>
        </w:rPr>
        <w:t xml:space="preserve"> los informes técnicos</w:t>
      </w:r>
      <w:r w:rsidR="003E6EA9" w:rsidRPr="00A156F4">
        <w:rPr>
          <w:sz w:val="22"/>
          <w:szCs w:val="22"/>
        </w:rPr>
        <w:t xml:space="preserve"> que sirvan de fundamento</w:t>
      </w:r>
      <w:r w:rsidR="00A7312C" w:rsidRPr="00A156F4">
        <w:rPr>
          <w:sz w:val="22"/>
          <w:szCs w:val="22"/>
        </w:rPr>
        <w:t xml:space="preserve"> y</w:t>
      </w:r>
      <w:r w:rsidRPr="00A156F4">
        <w:rPr>
          <w:sz w:val="22"/>
          <w:szCs w:val="22"/>
        </w:rPr>
        <w:t xml:space="preserve"> las recomendaciones correspondientes</w:t>
      </w:r>
      <w:r w:rsidR="00A1104F" w:rsidRPr="00A156F4">
        <w:rPr>
          <w:sz w:val="22"/>
          <w:szCs w:val="22"/>
        </w:rPr>
        <w:t xml:space="preserve">, que </w:t>
      </w:r>
      <w:r w:rsidR="003E6EA9" w:rsidRPr="00A156F4">
        <w:rPr>
          <w:sz w:val="22"/>
          <w:szCs w:val="22"/>
        </w:rPr>
        <w:t xml:space="preserve">deberán ser </w:t>
      </w:r>
      <w:r w:rsidR="00A1104F" w:rsidRPr="00A156F4">
        <w:rPr>
          <w:sz w:val="22"/>
          <w:szCs w:val="22"/>
        </w:rPr>
        <w:t xml:space="preserve">remitidos al Poder Ejecutivo y a la Asamblea Legislativa. </w:t>
      </w:r>
      <w:r w:rsidRPr="00A156F4">
        <w:rPr>
          <w:sz w:val="22"/>
          <w:szCs w:val="22"/>
        </w:rPr>
        <w:t xml:space="preserve"> </w:t>
      </w:r>
    </w:p>
    <w:p w14:paraId="7EDE5696" w14:textId="77777777" w:rsidR="0022268E" w:rsidRPr="00A156F4" w:rsidRDefault="0022268E" w:rsidP="004B2F8B">
      <w:pPr>
        <w:widowControl w:val="0"/>
        <w:jc w:val="both"/>
        <w:rPr>
          <w:sz w:val="22"/>
          <w:szCs w:val="22"/>
        </w:rPr>
      </w:pPr>
    </w:p>
    <w:p w14:paraId="32ACA9DC" w14:textId="029CFD97" w:rsidR="0022268E" w:rsidRPr="00A156F4" w:rsidRDefault="0022268E" w:rsidP="004B2F8B">
      <w:pPr>
        <w:widowControl w:val="0"/>
        <w:tabs>
          <w:tab w:val="left" w:pos="426"/>
        </w:tabs>
        <w:jc w:val="both"/>
        <w:outlineLvl w:val="0"/>
        <w:rPr>
          <w:b/>
          <w:sz w:val="22"/>
          <w:szCs w:val="22"/>
        </w:rPr>
      </w:pPr>
      <w:r w:rsidRPr="00A156F4">
        <w:rPr>
          <w:b/>
          <w:sz w:val="22"/>
          <w:szCs w:val="22"/>
        </w:rPr>
        <w:t>Artículo</w:t>
      </w:r>
      <w:r w:rsidRPr="00A156F4">
        <w:rPr>
          <w:b/>
          <w:bCs/>
          <w:sz w:val="22"/>
          <w:szCs w:val="22"/>
        </w:rPr>
        <w:t xml:space="preserve"> </w:t>
      </w:r>
      <w:r w:rsidRPr="00A156F4">
        <w:rPr>
          <w:b/>
          <w:sz w:val="22"/>
          <w:szCs w:val="22"/>
        </w:rPr>
        <w:t>2</w:t>
      </w:r>
      <w:r w:rsidR="00B82C4F" w:rsidRPr="00A156F4">
        <w:rPr>
          <w:b/>
          <w:sz w:val="22"/>
          <w:szCs w:val="22"/>
        </w:rPr>
        <w:t>2</w:t>
      </w:r>
      <w:r w:rsidRPr="00A156F4">
        <w:rPr>
          <w:b/>
          <w:sz w:val="22"/>
          <w:szCs w:val="22"/>
        </w:rPr>
        <w:t>.-</w:t>
      </w:r>
      <w:r w:rsidR="00AE2DFA" w:rsidRPr="00A156F4">
        <w:rPr>
          <w:b/>
          <w:sz w:val="22"/>
          <w:szCs w:val="22"/>
        </w:rPr>
        <w:t xml:space="preserve"> </w:t>
      </w:r>
      <w:r w:rsidRPr="00A156F4">
        <w:rPr>
          <w:b/>
          <w:sz w:val="22"/>
          <w:szCs w:val="22"/>
        </w:rPr>
        <w:t xml:space="preserve">Emisión de </w:t>
      </w:r>
      <w:r w:rsidR="001C3596" w:rsidRPr="00A156F4">
        <w:rPr>
          <w:b/>
          <w:sz w:val="22"/>
          <w:szCs w:val="22"/>
        </w:rPr>
        <w:t>g</w:t>
      </w:r>
      <w:r w:rsidRPr="00A156F4">
        <w:rPr>
          <w:b/>
          <w:sz w:val="22"/>
          <w:szCs w:val="22"/>
        </w:rPr>
        <w:t>uías</w:t>
      </w:r>
    </w:p>
    <w:p w14:paraId="24FD3005" w14:textId="77777777" w:rsidR="0022268E" w:rsidRPr="00A156F4" w:rsidRDefault="0022268E" w:rsidP="004B2F8B">
      <w:pPr>
        <w:widowControl w:val="0"/>
        <w:tabs>
          <w:tab w:val="left" w:pos="426"/>
        </w:tabs>
        <w:jc w:val="both"/>
        <w:outlineLvl w:val="0"/>
        <w:rPr>
          <w:sz w:val="22"/>
          <w:szCs w:val="22"/>
        </w:rPr>
      </w:pPr>
    </w:p>
    <w:p w14:paraId="365F8E5B" w14:textId="13A06CAD" w:rsidR="009B75BB" w:rsidRPr="00A156F4" w:rsidRDefault="00CA2787" w:rsidP="004B2F8B">
      <w:pPr>
        <w:widowControl w:val="0"/>
        <w:tabs>
          <w:tab w:val="left" w:pos="426"/>
        </w:tabs>
        <w:jc w:val="both"/>
        <w:outlineLvl w:val="0"/>
        <w:rPr>
          <w:sz w:val="22"/>
          <w:szCs w:val="22"/>
        </w:rPr>
      </w:pPr>
      <w:r w:rsidRPr="00A156F4">
        <w:rPr>
          <w:sz w:val="22"/>
          <w:szCs w:val="22"/>
        </w:rPr>
        <w:t>Cada</w:t>
      </w:r>
      <w:r w:rsidR="005B1B12" w:rsidRPr="00A156F4">
        <w:rPr>
          <w:sz w:val="22"/>
          <w:szCs w:val="22"/>
        </w:rPr>
        <w:t xml:space="preserve"> autoridad de competencia</w:t>
      </w:r>
      <w:r w:rsidR="0022268E" w:rsidRPr="00A156F4">
        <w:rPr>
          <w:sz w:val="22"/>
          <w:szCs w:val="22"/>
        </w:rPr>
        <w:t xml:space="preserve"> emitirá guías para promover la transparencia, predictibilidad y seguridad jurídica en </w:t>
      </w:r>
      <w:r w:rsidR="005D1649" w:rsidRPr="00A156F4">
        <w:rPr>
          <w:sz w:val="22"/>
          <w:szCs w:val="22"/>
        </w:rPr>
        <w:t xml:space="preserve">relación con </w:t>
      </w:r>
      <w:r w:rsidR="0022268E" w:rsidRPr="00A156F4">
        <w:rPr>
          <w:sz w:val="22"/>
          <w:szCs w:val="22"/>
        </w:rPr>
        <w:t>la aplicación</w:t>
      </w:r>
      <w:r w:rsidR="00665D3D" w:rsidRPr="00A156F4">
        <w:rPr>
          <w:sz w:val="22"/>
          <w:szCs w:val="22"/>
        </w:rPr>
        <w:t>, trámites y procedimientos ante dichas autoridades, establecidos en</w:t>
      </w:r>
      <w:r w:rsidR="0022268E" w:rsidRPr="00A156F4">
        <w:rPr>
          <w:sz w:val="22"/>
          <w:szCs w:val="22"/>
        </w:rPr>
        <w:t xml:space="preserve"> la </w:t>
      </w:r>
      <w:r w:rsidR="007B4C93" w:rsidRPr="00A156F4">
        <w:rPr>
          <w:sz w:val="22"/>
          <w:szCs w:val="22"/>
        </w:rPr>
        <w:t>presente l</w:t>
      </w:r>
      <w:r w:rsidR="0022268E" w:rsidRPr="00A156F4">
        <w:rPr>
          <w:sz w:val="22"/>
          <w:szCs w:val="22"/>
        </w:rPr>
        <w:t>ey</w:t>
      </w:r>
      <w:r w:rsidR="00665D3D" w:rsidRPr="00A156F4">
        <w:rPr>
          <w:sz w:val="22"/>
          <w:szCs w:val="22"/>
        </w:rPr>
        <w:t xml:space="preserve">, la </w:t>
      </w:r>
      <w:r w:rsidR="00FE546D" w:rsidRPr="00A156F4">
        <w:rPr>
          <w:sz w:val="22"/>
          <w:szCs w:val="22"/>
        </w:rPr>
        <w:t xml:space="preserve">Ley de Promoción de la Competencia y Defensa Efectiva del Consumidor, Ley </w:t>
      </w:r>
      <w:proofErr w:type="spellStart"/>
      <w:r w:rsidR="00FE546D" w:rsidRPr="00A156F4">
        <w:rPr>
          <w:sz w:val="22"/>
          <w:szCs w:val="22"/>
        </w:rPr>
        <w:t>N°</w:t>
      </w:r>
      <w:proofErr w:type="spellEnd"/>
      <w:r w:rsidR="00FE546D" w:rsidRPr="00A156F4">
        <w:rPr>
          <w:sz w:val="22"/>
          <w:szCs w:val="22"/>
        </w:rPr>
        <w:t>. 7472, del 20 de diciembre de 1994, sus reformas y sus reglamentos</w:t>
      </w:r>
      <w:r w:rsidR="00665D3D" w:rsidRPr="00A156F4">
        <w:rPr>
          <w:sz w:val="22"/>
          <w:szCs w:val="22"/>
        </w:rPr>
        <w:t xml:space="preserve">; y la Ley General de Telecomunicaciones, Ley </w:t>
      </w:r>
      <w:proofErr w:type="spellStart"/>
      <w:r w:rsidR="00665D3D" w:rsidRPr="00A156F4">
        <w:rPr>
          <w:sz w:val="22"/>
          <w:szCs w:val="22"/>
        </w:rPr>
        <w:t>N°</w:t>
      </w:r>
      <w:proofErr w:type="spellEnd"/>
      <w:r w:rsidR="00665D3D" w:rsidRPr="00A156F4">
        <w:rPr>
          <w:sz w:val="22"/>
          <w:szCs w:val="22"/>
        </w:rPr>
        <w:t>. 8642, del 4 de junio de 2008,</w:t>
      </w:r>
      <w:r w:rsidR="00A614C5" w:rsidRPr="00A156F4">
        <w:rPr>
          <w:sz w:val="22"/>
          <w:szCs w:val="22"/>
        </w:rPr>
        <w:t xml:space="preserve"> sus reformas y sus reglamentos,</w:t>
      </w:r>
      <w:r w:rsidR="00665D3D" w:rsidRPr="00A156F4">
        <w:rPr>
          <w:sz w:val="22"/>
          <w:szCs w:val="22"/>
        </w:rPr>
        <w:t xml:space="preserve"> en lo relativo al régimen sectorial de competencia</w:t>
      </w:r>
      <w:r w:rsidR="005D1649" w:rsidRPr="00A156F4">
        <w:rPr>
          <w:sz w:val="22"/>
          <w:szCs w:val="22"/>
        </w:rPr>
        <w:t xml:space="preserve">. </w:t>
      </w:r>
    </w:p>
    <w:p w14:paraId="4218E8D7" w14:textId="77777777" w:rsidR="009B75BB" w:rsidRPr="00A156F4" w:rsidRDefault="009B75BB" w:rsidP="004B2F8B">
      <w:pPr>
        <w:widowControl w:val="0"/>
        <w:tabs>
          <w:tab w:val="left" w:pos="426"/>
        </w:tabs>
        <w:jc w:val="both"/>
        <w:outlineLvl w:val="0"/>
        <w:rPr>
          <w:sz w:val="22"/>
          <w:szCs w:val="22"/>
        </w:rPr>
      </w:pPr>
    </w:p>
    <w:p w14:paraId="2027F427" w14:textId="2284ECE3" w:rsidR="0022268E" w:rsidRPr="00A156F4" w:rsidRDefault="009B75BB" w:rsidP="004B2F8B">
      <w:pPr>
        <w:widowControl w:val="0"/>
        <w:tabs>
          <w:tab w:val="left" w:pos="426"/>
        </w:tabs>
        <w:jc w:val="both"/>
        <w:outlineLvl w:val="0"/>
        <w:rPr>
          <w:sz w:val="22"/>
          <w:szCs w:val="22"/>
        </w:rPr>
      </w:pPr>
      <w:r w:rsidRPr="00A156F4">
        <w:rPr>
          <w:sz w:val="22"/>
          <w:szCs w:val="22"/>
        </w:rPr>
        <w:t>E</w:t>
      </w:r>
      <w:r w:rsidR="005D1649" w:rsidRPr="00A156F4">
        <w:rPr>
          <w:sz w:val="22"/>
          <w:szCs w:val="22"/>
        </w:rPr>
        <w:t>stas guías</w:t>
      </w:r>
      <w:r w:rsidR="0022268E" w:rsidRPr="00A156F4">
        <w:rPr>
          <w:sz w:val="22"/>
          <w:szCs w:val="22"/>
        </w:rPr>
        <w:t xml:space="preserve"> orientar</w:t>
      </w:r>
      <w:r w:rsidR="005D1649" w:rsidRPr="00A156F4">
        <w:rPr>
          <w:sz w:val="22"/>
          <w:szCs w:val="22"/>
        </w:rPr>
        <w:t xml:space="preserve">án </w:t>
      </w:r>
      <w:r w:rsidR="0022268E" w:rsidRPr="00A156F4">
        <w:rPr>
          <w:sz w:val="22"/>
          <w:szCs w:val="22"/>
        </w:rPr>
        <w:t xml:space="preserve">a los agentes económicos </w:t>
      </w:r>
      <w:r w:rsidR="005D1649" w:rsidRPr="00A156F4">
        <w:rPr>
          <w:sz w:val="22"/>
          <w:szCs w:val="22"/>
        </w:rPr>
        <w:t>sobre el</w:t>
      </w:r>
      <w:r w:rsidR="0022268E" w:rsidRPr="00A156F4">
        <w:rPr>
          <w:sz w:val="22"/>
          <w:szCs w:val="22"/>
        </w:rPr>
        <w:t xml:space="preserve"> comportamiento </w:t>
      </w:r>
      <w:r w:rsidR="005D1649" w:rsidRPr="00A156F4">
        <w:rPr>
          <w:sz w:val="22"/>
          <w:szCs w:val="22"/>
        </w:rPr>
        <w:t xml:space="preserve">a seguir </w:t>
      </w:r>
      <w:r w:rsidR="00465BC1" w:rsidRPr="00A156F4">
        <w:rPr>
          <w:sz w:val="22"/>
          <w:szCs w:val="22"/>
        </w:rPr>
        <w:t>para el cumplimiento de los fines establecidos en dichas leyes</w:t>
      </w:r>
      <w:r w:rsidR="0022268E" w:rsidRPr="00A156F4">
        <w:rPr>
          <w:sz w:val="22"/>
          <w:szCs w:val="22"/>
        </w:rPr>
        <w:t xml:space="preserve">. Estas guías podrán ser elaboradas en forma conjunta </w:t>
      </w:r>
      <w:r w:rsidR="005B1B12" w:rsidRPr="00A156F4">
        <w:rPr>
          <w:sz w:val="22"/>
          <w:szCs w:val="22"/>
        </w:rPr>
        <w:t>entre</w:t>
      </w:r>
      <w:r w:rsidR="0022268E" w:rsidRPr="00A156F4">
        <w:rPr>
          <w:sz w:val="22"/>
          <w:szCs w:val="22"/>
        </w:rPr>
        <w:t xml:space="preserve"> las </w:t>
      </w:r>
      <w:r w:rsidR="005B1B12" w:rsidRPr="00A156F4">
        <w:rPr>
          <w:sz w:val="22"/>
          <w:szCs w:val="22"/>
        </w:rPr>
        <w:t>a</w:t>
      </w:r>
      <w:r w:rsidR="0022268E" w:rsidRPr="00A156F4">
        <w:rPr>
          <w:sz w:val="22"/>
          <w:szCs w:val="22"/>
        </w:rPr>
        <w:t>utoridades</w:t>
      </w:r>
      <w:r w:rsidR="005B1B12" w:rsidRPr="00A156F4">
        <w:rPr>
          <w:sz w:val="22"/>
          <w:szCs w:val="22"/>
        </w:rPr>
        <w:t xml:space="preserve"> de competencia</w:t>
      </w:r>
      <w:r w:rsidR="0022268E" w:rsidRPr="00A156F4">
        <w:rPr>
          <w:sz w:val="22"/>
          <w:szCs w:val="22"/>
        </w:rPr>
        <w:t xml:space="preserve">. </w:t>
      </w:r>
    </w:p>
    <w:p w14:paraId="616AC1B0" w14:textId="77777777" w:rsidR="00D902A8" w:rsidRPr="00A156F4" w:rsidRDefault="00D902A8" w:rsidP="004B2F8B">
      <w:pPr>
        <w:widowControl w:val="0"/>
        <w:jc w:val="both"/>
        <w:rPr>
          <w:sz w:val="22"/>
          <w:szCs w:val="22"/>
          <w:lang w:eastAsia="es-CR"/>
        </w:rPr>
      </w:pPr>
    </w:p>
    <w:p w14:paraId="57955607" w14:textId="5BB94798" w:rsidR="00F14297" w:rsidRPr="00A156F4" w:rsidRDefault="00D2752F" w:rsidP="004B2F8B">
      <w:pPr>
        <w:widowControl w:val="0"/>
        <w:tabs>
          <w:tab w:val="left" w:pos="426"/>
        </w:tabs>
        <w:jc w:val="both"/>
        <w:outlineLvl w:val="0"/>
        <w:rPr>
          <w:b/>
          <w:sz w:val="22"/>
          <w:szCs w:val="22"/>
        </w:rPr>
      </w:pPr>
      <w:r w:rsidRPr="00A156F4">
        <w:rPr>
          <w:b/>
          <w:sz w:val="22"/>
          <w:szCs w:val="22"/>
        </w:rPr>
        <w:t>Artículo</w:t>
      </w:r>
      <w:r w:rsidRPr="00A156F4">
        <w:rPr>
          <w:b/>
          <w:bCs/>
          <w:sz w:val="22"/>
          <w:szCs w:val="22"/>
        </w:rPr>
        <w:t xml:space="preserve"> </w:t>
      </w:r>
      <w:r w:rsidR="003D72B8" w:rsidRPr="00A156F4">
        <w:rPr>
          <w:b/>
          <w:bCs/>
          <w:sz w:val="22"/>
          <w:szCs w:val="22"/>
        </w:rPr>
        <w:t>2</w:t>
      </w:r>
      <w:r w:rsidR="00B82C4F" w:rsidRPr="00A156F4">
        <w:rPr>
          <w:b/>
          <w:bCs/>
          <w:sz w:val="22"/>
          <w:szCs w:val="22"/>
        </w:rPr>
        <w:t>3</w:t>
      </w:r>
      <w:r w:rsidR="00F14297" w:rsidRPr="00A156F4">
        <w:rPr>
          <w:b/>
          <w:iCs/>
          <w:sz w:val="22"/>
          <w:szCs w:val="22"/>
        </w:rPr>
        <w:t>.-</w:t>
      </w:r>
      <w:r w:rsidR="00AE2DFA" w:rsidRPr="00A156F4">
        <w:rPr>
          <w:b/>
          <w:iCs/>
          <w:sz w:val="22"/>
          <w:szCs w:val="22"/>
        </w:rPr>
        <w:t xml:space="preserve"> </w:t>
      </w:r>
      <w:r w:rsidR="00F14297" w:rsidRPr="00A156F4">
        <w:rPr>
          <w:b/>
          <w:sz w:val="22"/>
          <w:szCs w:val="22"/>
        </w:rPr>
        <w:t>Estudios de mercado</w:t>
      </w:r>
    </w:p>
    <w:p w14:paraId="17122343" w14:textId="77777777" w:rsidR="00901686" w:rsidRPr="00A156F4" w:rsidRDefault="00F14297" w:rsidP="004B2F8B">
      <w:pPr>
        <w:widowControl w:val="0"/>
        <w:jc w:val="both"/>
        <w:rPr>
          <w:sz w:val="22"/>
          <w:szCs w:val="22"/>
        </w:rPr>
      </w:pPr>
      <w:r w:rsidRPr="00A156F4">
        <w:rPr>
          <w:sz w:val="22"/>
          <w:szCs w:val="22"/>
        </w:rPr>
        <w:tab/>
      </w:r>
    </w:p>
    <w:p w14:paraId="2DDF7737" w14:textId="70F17EE2" w:rsidR="00F14297" w:rsidRPr="00A156F4" w:rsidRDefault="00CA2787" w:rsidP="004B2F8B">
      <w:pPr>
        <w:widowControl w:val="0"/>
        <w:jc w:val="both"/>
        <w:rPr>
          <w:sz w:val="22"/>
          <w:szCs w:val="22"/>
        </w:rPr>
      </w:pPr>
      <w:r w:rsidRPr="00A156F4">
        <w:rPr>
          <w:sz w:val="22"/>
          <w:szCs w:val="22"/>
        </w:rPr>
        <w:t>Cada</w:t>
      </w:r>
      <w:r w:rsidR="005D1649" w:rsidRPr="00A156F4">
        <w:rPr>
          <w:sz w:val="22"/>
          <w:szCs w:val="22"/>
        </w:rPr>
        <w:t xml:space="preserve"> autoridad de competencia podrá </w:t>
      </w:r>
      <w:r w:rsidR="00F14297" w:rsidRPr="00A156F4">
        <w:rPr>
          <w:sz w:val="22"/>
          <w:szCs w:val="22"/>
        </w:rPr>
        <w:t xml:space="preserve">realizar estudios con el fin de profundizar en </w:t>
      </w:r>
      <w:r w:rsidR="005D1649" w:rsidRPr="00A156F4">
        <w:rPr>
          <w:sz w:val="22"/>
          <w:szCs w:val="22"/>
        </w:rPr>
        <w:t xml:space="preserve">su </w:t>
      </w:r>
      <w:r w:rsidR="00F14297" w:rsidRPr="00A156F4">
        <w:rPr>
          <w:sz w:val="22"/>
          <w:szCs w:val="22"/>
        </w:rPr>
        <w:t xml:space="preserve">comprensión </w:t>
      </w:r>
      <w:r w:rsidR="005D1649" w:rsidRPr="00A156F4">
        <w:rPr>
          <w:sz w:val="22"/>
          <w:szCs w:val="22"/>
        </w:rPr>
        <w:t>sobre el</w:t>
      </w:r>
      <w:r w:rsidR="00F14297" w:rsidRPr="00A156F4">
        <w:rPr>
          <w:sz w:val="22"/>
          <w:szCs w:val="22"/>
        </w:rPr>
        <w:t xml:space="preserve"> funcionamiento</w:t>
      </w:r>
      <w:r w:rsidR="005D1649" w:rsidRPr="00A156F4">
        <w:rPr>
          <w:sz w:val="22"/>
          <w:szCs w:val="22"/>
        </w:rPr>
        <w:t xml:space="preserve"> de los mercados</w:t>
      </w:r>
      <w:r w:rsidR="005C2030" w:rsidRPr="00A156F4">
        <w:rPr>
          <w:sz w:val="22"/>
          <w:szCs w:val="22"/>
        </w:rPr>
        <w:t xml:space="preserve"> sobre los que </w:t>
      </w:r>
      <w:r w:rsidR="00FF067D" w:rsidRPr="00A156F4">
        <w:rPr>
          <w:sz w:val="22"/>
          <w:szCs w:val="22"/>
        </w:rPr>
        <w:t>ejercen su competencia</w:t>
      </w:r>
      <w:r w:rsidR="005D1649" w:rsidRPr="00A156F4">
        <w:rPr>
          <w:sz w:val="22"/>
          <w:szCs w:val="22"/>
        </w:rPr>
        <w:t>;</w:t>
      </w:r>
      <w:r w:rsidR="00F14297" w:rsidRPr="00A156F4">
        <w:rPr>
          <w:sz w:val="22"/>
          <w:szCs w:val="22"/>
        </w:rPr>
        <w:t xml:space="preserve"> detectar distorsiones</w:t>
      </w:r>
      <w:r w:rsidR="00465BC1" w:rsidRPr="00A156F4">
        <w:rPr>
          <w:sz w:val="22"/>
          <w:szCs w:val="22"/>
        </w:rPr>
        <w:t xml:space="preserve"> o barreras</w:t>
      </w:r>
      <w:r w:rsidR="00F14297" w:rsidRPr="00A156F4">
        <w:rPr>
          <w:sz w:val="22"/>
          <w:szCs w:val="22"/>
        </w:rPr>
        <w:t xml:space="preserve"> en materia de competencia y libre concurrencia</w:t>
      </w:r>
      <w:r w:rsidR="005D1649" w:rsidRPr="00A156F4">
        <w:rPr>
          <w:sz w:val="22"/>
          <w:szCs w:val="22"/>
        </w:rPr>
        <w:t>;</w:t>
      </w:r>
      <w:r w:rsidR="00F14297" w:rsidRPr="00A156F4">
        <w:rPr>
          <w:sz w:val="22"/>
          <w:szCs w:val="22"/>
        </w:rPr>
        <w:t xml:space="preserve"> y propiciar su eliminación. </w:t>
      </w:r>
    </w:p>
    <w:p w14:paraId="720A62B8" w14:textId="77777777" w:rsidR="005A4DDB" w:rsidRPr="00A156F4" w:rsidRDefault="005A4DDB" w:rsidP="004B2F8B">
      <w:pPr>
        <w:widowControl w:val="0"/>
        <w:jc w:val="both"/>
        <w:rPr>
          <w:sz w:val="22"/>
          <w:szCs w:val="22"/>
        </w:rPr>
      </w:pPr>
    </w:p>
    <w:p w14:paraId="5941CE79" w14:textId="7F106326" w:rsidR="00F14297" w:rsidRPr="00A156F4" w:rsidRDefault="00F14297" w:rsidP="004B2F8B">
      <w:pPr>
        <w:widowControl w:val="0"/>
        <w:jc w:val="both"/>
        <w:rPr>
          <w:sz w:val="22"/>
          <w:szCs w:val="22"/>
        </w:rPr>
      </w:pPr>
      <w:r w:rsidRPr="00A156F4">
        <w:rPr>
          <w:sz w:val="22"/>
          <w:szCs w:val="22"/>
        </w:rPr>
        <w:t xml:space="preserve">Previo a </w:t>
      </w:r>
      <w:r w:rsidR="004A61BA" w:rsidRPr="00A156F4">
        <w:rPr>
          <w:sz w:val="22"/>
          <w:szCs w:val="22"/>
        </w:rPr>
        <w:t>formular sus recomendaciones</w:t>
      </w:r>
      <w:r w:rsidRPr="00A156F4">
        <w:rPr>
          <w:sz w:val="22"/>
          <w:szCs w:val="22"/>
        </w:rPr>
        <w:t xml:space="preserve">, </w:t>
      </w:r>
      <w:r w:rsidR="00901686" w:rsidRPr="00A156F4">
        <w:rPr>
          <w:sz w:val="22"/>
          <w:szCs w:val="22"/>
        </w:rPr>
        <w:t>la</w:t>
      </w:r>
      <w:r w:rsidR="004A61BA" w:rsidRPr="00A156F4">
        <w:rPr>
          <w:sz w:val="22"/>
          <w:szCs w:val="22"/>
        </w:rPr>
        <w:t xml:space="preserve"> autoridad de competencia</w:t>
      </w:r>
      <w:r w:rsidR="00BA0885" w:rsidRPr="00A156F4">
        <w:rPr>
          <w:sz w:val="22"/>
          <w:szCs w:val="22"/>
        </w:rPr>
        <w:t xml:space="preserve"> </w:t>
      </w:r>
      <w:r w:rsidR="00866D84" w:rsidRPr="00A156F4">
        <w:rPr>
          <w:sz w:val="22"/>
          <w:szCs w:val="22"/>
        </w:rPr>
        <w:t xml:space="preserve">correspondiente </w:t>
      </w:r>
      <w:r w:rsidRPr="00A156F4">
        <w:rPr>
          <w:sz w:val="22"/>
          <w:szCs w:val="22"/>
        </w:rPr>
        <w:t xml:space="preserve">podrá convocar a los </w:t>
      </w:r>
      <w:r w:rsidR="004A61BA" w:rsidRPr="00A156F4">
        <w:rPr>
          <w:sz w:val="22"/>
          <w:szCs w:val="22"/>
        </w:rPr>
        <w:t xml:space="preserve">agentes económicos </w:t>
      </w:r>
      <w:r w:rsidRPr="00A156F4">
        <w:rPr>
          <w:sz w:val="22"/>
          <w:szCs w:val="22"/>
        </w:rPr>
        <w:t>interesados para</w:t>
      </w:r>
      <w:r w:rsidR="004A61BA" w:rsidRPr="00A156F4">
        <w:rPr>
          <w:sz w:val="22"/>
          <w:szCs w:val="22"/>
        </w:rPr>
        <w:t xml:space="preserve"> trabajar en </w:t>
      </w:r>
      <w:r w:rsidR="00DF7F82" w:rsidRPr="00A156F4">
        <w:rPr>
          <w:sz w:val="22"/>
          <w:szCs w:val="22"/>
        </w:rPr>
        <w:t>el</w:t>
      </w:r>
      <w:r w:rsidRPr="00A156F4">
        <w:rPr>
          <w:sz w:val="22"/>
          <w:szCs w:val="22"/>
        </w:rPr>
        <w:t xml:space="preserve"> </w:t>
      </w:r>
      <w:r w:rsidR="004A61BA" w:rsidRPr="00A156F4">
        <w:rPr>
          <w:sz w:val="22"/>
          <w:szCs w:val="22"/>
        </w:rPr>
        <w:t>diseño</w:t>
      </w:r>
      <w:r w:rsidR="00DF7F82" w:rsidRPr="00A156F4">
        <w:rPr>
          <w:sz w:val="22"/>
          <w:szCs w:val="22"/>
        </w:rPr>
        <w:t xml:space="preserve"> de estas</w:t>
      </w:r>
      <w:r w:rsidRPr="00A156F4">
        <w:rPr>
          <w:sz w:val="22"/>
          <w:szCs w:val="22"/>
        </w:rPr>
        <w:t xml:space="preserve"> y evaluar</w:t>
      </w:r>
      <w:r w:rsidR="004A61BA" w:rsidRPr="00A156F4">
        <w:rPr>
          <w:sz w:val="22"/>
          <w:szCs w:val="22"/>
        </w:rPr>
        <w:t xml:space="preserve"> los</w:t>
      </w:r>
      <w:r w:rsidRPr="00A156F4">
        <w:rPr>
          <w:sz w:val="22"/>
          <w:szCs w:val="22"/>
        </w:rPr>
        <w:t xml:space="preserve"> costos y beneficios esperados</w:t>
      </w:r>
      <w:r w:rsidR="004A61BA" w:rsidRPr="00A156F4">
        <w:rPr>
          <w:sz w:val="22"/>
          <w:szCs w:val="22"/>
        </w:rPr>
        <w:t xml:space="preserve"> de su implementación</w:t>
      </w:r>
      <w:r w:rsidRPr="00A156F4">
        <w:rPr>
          <w:sz w:val="22"/>
          <w:szCs w:val="22"/>
        </w:rPr>
        <w:t xml:space="preserve">. </w:t>
      </w:r>
    </w:p>
    <w:p w14:paraId="4C9AD23F" w14:textId="77777777" w:rsidR="00F14297" w:rsidRPr="00A156F4" w:rsidRDefault="00F14297" w:rsidP="004B2F8B">
      <w:pPr>
        <w:widowControl w:val="0"/>
        <w:jc w:val="both"/>
        <w:rPr>
          <w:sz w:val="22"/>
          <w:szCs w:val="22"/>
        </w:rPr>
      </w:pPr>
    </w:p>
    <w:p w14:paraId="6A809001" w14:textId="341E32E0" w:rsidR="00F14297" w:rsidRPr="00A156F4" w:rsidRDefault="00F14297" w:rsidP="004B2F8B">
      <w:pPr>
        <w:widowControl w:val="0"/>
        <w:jc w:val="both"/>
        <w:rPr>
          <w:sz w:val="22"/>
          <w:szCs w:val="22"/>
        </w:rPr>
      </w:pPr>
      <w:r w:rsidRPr="00A156F4">
        <w:rPr>
          <w:sz w:val="22"/>
          <w:szCs w:val="22"/>
        </w:rPr>
        <w:t>Las recomendaciones que emita</w:t>
      </w:r>
      <w:r w:rsidR="004A61BA" w:rsidRPr="00A156F4">
        <w:rPr>
          <w:sz w:val="22"/>
          <w:szCs w:val="22"/>
        </w:rPr>
        <w:t xml:space="preserve"> </w:t>
      </w:r>
      <w:r w:rsidR="00572834" w:rsidRPr="00A156F4">
        <w:rPr>
          <w:sz w:val="22"/>
          <w:szCs w:val="22"/>
        </w:rPr>
        <w:t xml:space="preserve">cada </w:t>
      </w:r>
      <w:r w:rsidR="004A61BA" w:rsidRPr="00A156F4">
        <w:rPr>
          <w:sz w:val="22"/>
          <w:szCs w:val="22"/>
        </w:rPr>
        <w:t>autoridad de competencia</w:t>
      </w:r>
      <w:r w:rsidR="004A61BA" w:rsidRPr="00A156F4" w:rsidDel="00901686">
        <w:rPr>
          <w:sz w:val="22"/>
          <w:szCs w:val="22"/>
        </w:rPr>
        <w:t xml:space="preserve"> </w:t>
      </w:r>
      <w:r w:rsidRPr="00A156F4">
        <w:rPr>
          <w:sz w:val="22"/>
          <w:szCs w:val="22"/>
        </w:rPr>
        <w:t>en virtud de los estudios de mercado no tendrán efectos vinculantes</w:t>
      </w:r>
      <w:r w:rsidR="004A61BA" w:rsidRPr="00A156F4">
        <w:rPr>
          <w:sz w:val="22"/>
          <w:szCs w:val="22"/>
        </w:rPr>
        <w:t>. S</w:t>
      </w:r>
      <w:r w:rsidRPr="00A156F4">
        <w:rPr>
          <w:sz w:val="22"/>
          <w:szCs w:val="22"/>
        </w:rPr>
        <w:t>in embargo, aquellas entidades públicas que se aparten de estas recomendaciones deberán informar</w:t>
      </w:r>
      <w:r w:rsidR="00F27908" w:rsidRPr="00A156F4">
        <w:rPr>
          <w:sz w:val="22"/>
          <w:szCs w:val="22"/>
        </w:rPr>
        <w:t xml:space="preserve"> a</w:t>
      </w:r>
      <w:r w:rsidRPr="00A156F4">
        <w:rPr>
          <w:sz w:val="22"/>
          <w:szCs w:val="22"/>
        </w:rPr>
        <w:t xml:space="preserve"> </w:t>
      </w:r>
      <w:r w:rsidR="00901686" w:rsidRPr="00A156F4">
        <w:rPr>
          <w:sz w:val="22"/>
          <w:szCs w:val="22"/>
        </w:rPr>
        <w:t xml:space="preserve">la </w:t>
      </w:r>
      <w:r w:rsidR="004A61BA" w:rsidRPr="00A156F4">
        <w:rPr>
          <w:sz w:val="22"/>
          <w:szCs w:val="22"/>
        </w:rPr>
        <w:t xml:space="preserve">autoridad de competencia </w:t>
      </w:r>
      <w:r w:rsidR="00572834" w:rsidRPr="00A156F4">
        <w:rPr>
          <w:sz w:val="22"/>
          <w:szCs w:val="22"/>
        </w:rPr>
        <w:t>correspondiente</w:t>
      </w:r>
      <w:r w:rsidR="004A61BA" w:rsidRPr="00A156F4" w:rsidDel="00901686">
        <w:rPr>
          <w:sz w:val="22"/>
          <w:szCs w:val="22"/>
        </w:rPr>
        <w:t xml:space="preserve"> </w:t>
      </w:r>
      <w:r w:rsidRPr="00A156F4">
        <w:rPr>
          <w:sz w:val="22"/>
          <w:szCs w:val="22"/>
        </w:rPr>
        <w:t xml:space="preserve">sobre </w:t>
      </w:r>
      <w:r w:rsidR="004A61BA" w:rsidRPr="00A156F4">
        <w:rPr>
          <w:sz w:val="22"/>
          <w:szCs w:val="22"/>
        </w:rPr>
        <w:t xml:space="preserve">las </w:t>
      </w:r>
      <w:r w:rsidRPr="00A156F4">
        <w:rPr>
          <w:sz w:val="22"/>
          <w:szCs w:val="22"/>
        </w:rPr>
        <w:t xml:space="preserve">razones </w:t>
      </w:r>
      <w:r w:rsidR="004A61BA" w:rsidRPr="00A156F4">
        <w:rPr>
          <w:sz w:val="22"/>
          <w:szCs w:val="22"/>
        </w:rPr>
        <w:t>para</w:t>
      </w:r>
      <w:r w:rsidR="00BA0885" w:rsidRPr="00A156F4">
        <w:rPr>
          <w:sz w:val="22"/>
          <w:szCs w:val="22"/>
        </w:rPr>
        <w:t xml:space="preserve"> </w:t>
      </w:r>
      <w:r w:rsidR="004A61BA" w:rsidRPr="00A156F4">
        <w:rPr>
          <w:sz w:val="22"/>
          <w:szCs w:val="22"/>
        </w:rPr>
        <w:t xml:space="preserve">no implementarlas, </w:t>
      </w:r>
      <w:r w:rsidRPr="00A156F4">
        <w:rPr>
          <w:sz w:val="22"/>
          <w:szCs w:val="22"/>
        </w:rPr>
        <w:t xml:space="preserve">en un plazo no mayor de </w:t>
      </w:r>
      <w:r w:rsidR="00247C54" w:rsidRPr="00A156F4">
        <w:rPr>
          <w:sz w:val="22"/>
          <w:szCs w:val="22"/>
        </w:rPr>
        <w:t>30</w:t>
      </w:r>
      <w:r w:rsidRPr="00A156F4">
        <w:rPr>
          <w:sz w:val="22"/>
          <w:szCs w:val="22"/>
        </w:rPr>
        <w:t xml:space="preserve"> días naturales. Tal informe deberá </w:t>
      </w:r>
      <w:r w:rsidR="004A61BA" w:rsidRPr="00A156F4">
        <w:rPr>
          <w:sz w:val="22"/>
          <w:szCs w:val="22"/>
        </w:rPr>
        <w:t xml:space="preserve">ser </w:t>
      </w:r>
      <w:r w:rsidRPr="00A156F4">
        <w:rPr>
          <w:sz w:val="22"/>
          <w:szCs w:val="22"/>
        </w:rPr>
        <w:t>suscrito por la máxima autoridad de la entidad pública</w:t>
      </w:r>
      <w:r w:rsidR="004A61BA" w:rsidRPr="00A156F4">
        <w:rPr>
          <w:sz w:val="22"/>
          <w:szCs w:val="22"/>
        </w:rPr>
        <w:t xml:space="preserve"> que lo emita</w:t>
      </w:r>
      <w:r w:rsidRPr="00A156F4">
        <w:rPr>
          <w:sz w:val="22"/>
          <w:szCs w:val="22"/>
        </w:rPr>
        <w:t xml:space="preserve">. </w:t>
      </w:r>
    </w:p>
    <w:p w14:paraId="0592960B" w14:textId="6392CF3A" w:rsidR="005A4DDB" w:rsidRPr="00A156F4" w:rsidRDefault="005A4DDB" w:rsidP="004B2F8B">
      <w:pPr>
        <w:widowControl w:val="0"/>
        <w:jc w:val="both"/>
        <w:rPr>
          <w:sz w:val="22"/>
          <w:szCs w:val="22"/>
        </w:rPr>
      </w:pPr>
    </w:p>
    <w:p w14:paraId="1224DCDC" w14:textId="4411B70D" w:rsidR="005A4DDB" w:rsidRPr="00A156F4" w:rsidRDefault="005A4DDB" w:rsidP="004B2F8B">
      <w:pPr>
        <w:widowControl w:val="0"/>
        <w:jc w:val="both"/>
        <w:rPr>
          <w:sz w:val="22"/>
          <w:szCs w:val="22"/>
        </w:rPr>
      </w:pPr>
      <w:r w:rsidRPr="00A156F4">
        <w:rPr>
          <w:sz w:val="22"/>
          <w:szCs w:val="22"/>
        </w:rPr>
        <w:t>Cada autoridad de competencia presentará versiones públicas de sus estudios, en resguardo de la información confidencial a la que se tuvo acceso.</w:t>
      </w:r>
    </w:p>
    <w:p w14:paraId="61215D63" w14:textId="77777777" w:rsidR="0022268E" w:rsidRPr="00A156F4" w:rsidRDefault="0022268E" w:rsidP="004B2F8B">
      <w:pPr>
        <w:widowControl w:val="0"/>
        <w:jc w:val="both"/>
        <w:rPr>
          <w:sz w:val="22"/>
          <w:szCs w:val="22"/>
        </w:rPr>
      </w:pPr>
    </w:p>
    <w:p w14:paraId="580895CD" w14:textId="3FDFB0B2" w:rsidR="0022268E" w:rsidRPr="00A156F4" w:rsidRDefault="0022268E" w:rsidP="004B2F8B">
      <w:pPr>
        <w:widowControl w:val="0"/>
        <w:tabs>
          <w:tab w:val="left" w:pos="426"/>
        </w:tabs>
        <w:jc w:val="both"/>
        <w:outlineLvl w:val="0"/>
        <w:rPr>
          <w:b/>
          <w:sz w:val="22"/>
          <w:szCs w:val="22"/>
        </w:rPr>
      </w:pPr>
      <w:r w:rsidRPr="00A156F4">
        <w:rPr>
          <w:b/>
          <w:sz w:val="22"/>
          <w:szCs w:val="22"/>
        </w:rPr>
        <w:t>Artículo</w:t>
      </w:r>
      <w:r w:rsidRPr="00A156F4">
        <w:rPr>
          <w:b/>
          <w:bCs/>
          <w:sz w:val="22"/>
          <w:szCs w:val="22"/>
        </w:rPr>
        <w:t xml:space="preserve"> </w:t>
      </w:r>
      <w:r w:rsidRPr="00A156F4">
        <w:rPr>
          <w:b/>
          <w:sz w:val="22"/>
          <w:szCs w:val="22"/>
        </w:rPr>
        <w:t>2</w:t>
      </w:r>
      <w:r w:rsidR="00B82C4F" w:rsidRPr="00A156F4">
        <w:rPr>
          <w:b/>
          <w:sz w:val="22"/>
          <w:szCs w:val="22"/>
        </w:rPr>
        <w:t>4</w:t>
      </w:r>
      <w:r w:rsidRPr="00A156F4">
        <w:rPr>
          <w:b/>
          <w:sz w:val="22"/>
          <w:szCs w:val="22"/>
        </w:rPr>
        <w:t>.-</w:t>
      </w:r>
      <w:r w:rsidR="00F153AC" w:rsidRPr="00A156F4">
        <w:rPr>
          <w:b/>
          <w:sz w:val="22"/>
          <w:szCs w:val="22"/>
        </w:rPr>
        <w:t xml:space="preserve"> </w:t>
      </w:r>
      <w:r w:rsidRPr="00A156F4">
        <w:rPr>
          <w:b/>
          <w:sz w:val="22"/>
          <w:szCs w:val="22"/>
        </w:rPr>
        <w:t xml:space="preserve">Actividades de </w:t>
      </w:r>
      <w:r w:rsidR="00497A18" w:rsidRPr="00A156F4">
        <w:rPr>
          <w:b/>
          <w:sz w:val="22"/>
          <w:szCs w:val="22"/>
        </w:rPr>
        <w:t xml:space="preserve">asesoramiento, </w:t>
      </w:r>
      <w:r w:rsidRPr="00A156F4">
        <w:rPr>
          <w:b/>
          <w:sz w:val="22"/>
          <w:szCs w:val="22"/>
        </w:rPr>
        <w:t>capacitación y difusión</w:t>
      </w:r>
    </w:p>
    <w:p w14:paraId="5C67B675" w14:textId="77777777" w:rsidR="0022268E" w:rsidRPr="00A156F4" w:rsidRDefault="0022268E" w:rsidP="004B2F8B">
      <w:pPr>
        <w:widowControl w:val="0"/>
        <w:tabs>
          <w:tab w:val="left" w:pos="426"/>
        </w:tabs>
        <w:jc w:val="both"/>
        <w:outlineLvl w:val="0"/>
        <w:rPr>
          <w:b/>
          <w:sz w:val="22"/>
          <w:szCs w:val="22"/>
        </w:rPr>
      </w:pPr>
    </w:p>
    <w:p w14:paraId="11CF904E" w14:textId="264D87A9" w:rsidR="00422C49" w:rsidRPr="00A156F4" w:rsidRDefault="00572834" w:rsidP="00422C49">
      <w:pPr>
        <w:widowControl w:val="0"/>
        <w:tabs>
          <w:tab w:val="left" w:pos="426"/>
        </w:tabs>
        <w:jc w:val="both"/>
        <w:outlineLvl w:val="0"/>
        <w:rPr>
          <w:sz w:val="22"/>
          <w:szCs w:val="22"/>
        </w:rPr>
      </w:pPr>
      <w:r w:rsidRPr="00A156F4">
        <w:rPr>
          <w:sz w:val="22"/>
          <w:szCs w:val="22"/>
        </w:rPr>
        <w:t>Cada</w:t>
      </w:r>
      <w:r w:rsidR="0022268E" w:rsidRPr="00A156F4">
        <w:rPr>
          <w:sz w:val="22"/>
          <w:szCs w:val="22"/>
        </w:rPr>
        <w:t xml:space="preserve"> </w:t>
      </w:r>
      <w:r w:rsidR="00497A18" w:rsidRPr="00A156F4">
        <w:rPr>
          <w:sz w:val="22"/>
          <w:szCs w:val="22"/>
        </w:rPr>
        <w:t xml:space="preserve">autoridad de competencia </w:t>
      </w:r>
      <w:r w:rsidR="0022268E" w:rsidRPr="00A156F4">
        <w:rPr>
          <w:sz w:val="22"/>
          <w:szCs w:val="22"/>
        </w:rPr>
        <w:t>realizará actividades de promoción de la competencia</w:t>
      </w:r>
      <w:r w:rsidR="00497A18" w:rsidRPr="00A156F4">
        <w:rPr>
          <w:sz w:val="22"/>
          <w:szCs w:val="22"/>
        </w:rPr>
        <w:t xml:space="preserve"> para</w:t>
      </w:r>
      <w:r w:rsidR="0022268E" w:rsidRPr="00A156F4">
        <w:rPr>
          <w:sz w:val="22"/>
          <w:szCs w:val="22"/>
        </w:rPr>
        <w:t xml:space="preserve"> asesora</w:t>
      </w:r>
      <w:r w:rsidR="00497A18" w:rsidRPr="00A156F4">
        <w:rPr>
          <w:sz w:val="22"/>
          <w:szCs w:val="22"/>
        </w:rPr>
        <w:t xml:space="preserve">r, capacitar o difundir sus actividades y criterios; así como los principios de competencia y libre concurrencia. Estas </w:t>
      </w:r>
      <w:r w:rsidR="00465BC1" w:rsidRPr="00A156F4">
        <w:rPr>
          <w:sz w:val="22"/>
          <w:szCs w:val="22"/>
        </w:rPr>
        <w:t xml:space="preserve">estarán </w:t>
      </w:r>
      <w:r w:rsidR="00497A18" w:rsidRPr="00A156F4">
        <w:rPr>
          <w:sz w:val="22"/>
          <w:szCs w:val="22"/>
        </w:rPr>
        <w:t xml:space="preserve">destinadas </w:t>
      </w:r>
      <w:r w:rsidR="0022268E" w:rsidRPr="00A156F4">
        <w:rPr>
          <w:sz w:val="22"/>
          <w:szCs w:val="22"/>
        </w:rPr>
        <w:t>a órganos y entidades del Estado, agentes económicos, organizaciones académicas, colegios de profesionales</w:t>
      </w:r>
      <w:r w:rsidR="004A61BA" w:rsidRPr="00A156F4">
        <w:rPr>
          <w:sz w:val="22"/>
          <w:szCs w:val="22"/>
        </w:rPr>
        <w:t xml:space="preserve"> u</w:t>
      </w:r>
      <w:r w:rsidR="0022268E" w:rsidRPr="00A156F4">
        <w:rPr>
          <w:sz w:val="22"/>
          <w:szCs w:val="22"/>
        </w:rPr>
        <w:t xml:space="preserve"> otr</w:t>
      </w:r>
      <w:r w:rsidR="00497A18" w:rsidRPr="00A156F4">
        <w:rPr>
          <w:sz w:val="22"/>
          <w:szCs w:val="22"/>
        </w:rPr>
        <w:t>a</w:t>
      </w:r>
      <w:r w:rsidR="0022268E" w:rsidRPr="00A156F4">
        <w:rPr>
          <w:sz w:val="22"/>
          <w:szCs w:val="22"/>
        </w:rPr>
        <w:t xml:space="preserve">s </w:t>
      </w:r>
      <w:r w:rsidR="00497A18" w:rsidRPr="00A156F4">
        <w:rPr>
          <w:sz w:val="22"/>
          <w:szCs w:val="22"/>
        </w:rPr>
        <w:t>que consideren relevantes</w:t>
      </w:r>
      <w:r w:rsidR="0022268E" w:rsidRPr="00A156F4">
        <w:rPr>
          <w:sz w:val="22"/>
          <w:szCs w:val="22"/>
        </w:rPr>
        <w:t>.</w:t>
      </w:r>
      <w:r w:rsidR="00BA0885" w:rsidRPr="00A156F4">
        <w:rPr>
          <w:sz w:val="22"/>
          <w:szCs w:val="22"/>
        </w:rPr>
        <w:t xml:space="preserve"> </w:t>
      </w:r>
      <w:r w:rsidR="00117EE5" w:rsidRPr="00A156F4">
        <w:rPr>
          <w:sz w:val="22"/>
          <w:szCs w:val="22"/>
        </w:rPr>
        <w:t>Asimismo</w:t>
      </w:r>
      <w:r w:rsidR="0022268E" w:rsidRPr="00A156F4">
        <w:rPr>
          <w:sz w:val="22"/>
          <w:szCs w:val="22"/>
        </w:rPr>
        <w:t xml:space="preserve">, </w:t>
      </w:r>
      <w:r w:rsidR="00497A18" w:rsidRPr="00A156F4">
        <w:rPr>
          <w:sz w:val="22"/>
          <w:szCs w:val="22"/>
        </w:rPr>
        <w:t xml:space="preserve">podrán </w:t>
      </w:r>
      <w:r w:rsidR="0022268E" w:rsidRPr="00A156F4">
        <w:rPr>
          <w:sz w:val="22"/>
          <w:szCs w:val="22"/>
        </w:rPr>
        <w:t>participar en actividades de est</w:t>
      </w:r>
      <w:r w:rsidR="00422C49" w:rsidRPr="00A156F4">
        <w:rPr>
          <w:sz w:val="22"/>
          <w:szCs w:val="22"/>
        </w:rPr>
        <w:t xml:space="preserve">e tipo organizadas por terceros. Estas actividades podrán realizarse en forma conjunta </w:t>
      </w:r>
      <w:r w:rsidR="00465BC1" w:rsidRPr="00A156F4">
        <w:rPr>
          <w:sz w:val="22"/>
          <w:szCs w:val="22"/>
        </w:rPr>
        <w:t xml:space="preserve">por </w:t>
      </w:r>
      <w:r w:rsidR="00422C49" w:rsidRPr="00A156F4">
        <w:rPr>
          <w:sz w:val="22"/>
          <w:szCs w:val="22"/>
        </w:rPr>
        <w:t xml:space="preserve">las autoridades de competencia. </w:t>
      </w:r>
    </w:p>
    <w:p w14:paraId="62DFC618" w14:textId="77777777" w:rsidR="0022268E" w:rsidRPr="00A156F4" w:rsidRDefault="0022268E" w:rsidP="004B2F8B">
      <w:pPr>
        <w:widowControl w:val="0"/>
        <w:tabs>
          <w:tab w:val="left" w:pos="426"/>
        </w:tabs>
        <w:jc w:val="both"/>
        <w:outlineLvl w:val="0"/>
        <w:rPr>
          <w:sz w:val="22"/>
          <w:szCs w:val="22"/>
        </w:rPr>
      </w:pPr>
    </w:p>
    <w:p w14:paraId="3DBF64AE" w14:textId="075A31A5" w:rsidR="00A837C2" w:rsidRPr="00A156F4" w:rsidRDefault="00D2752F" w:rsidP="004B2F8B">
      <w:pPr>
        <w:widowControl w:val="0"/>
        <w:tabs>
          <w:tab w:val="left" w:pos="426"/>
        </w:tabs>
        <w:jc w:val="both"/>
        <w:outlineLvl w:val="0"/>
        <w:rPr>
          <w:b/>
          <w:sz w:val="22"/>
          <w:szCs w:val="22"/>
        </w:rPr>
      </w:pPr>
      <w:r w:rsidRPr="00A156F4">
        <w:rPr>
          <w:b/>
          <w:sz w:val="22"/>
          <w:szCs w:val="22"/>
        </w:rPr>
        <w:t>Artículo</w:t>
      </w:r>
      <w:r w:rsidRPr="00A156F4">
        <w:rPr>
          <w:b/>
          <w:bCs/>
          <w:sz w:val="22"/>
          <w:szCs w:val="22"/>
        </w:rPr>
        <w:t xml:space="preserve"> </w:t>
      </w:r>
      <w:r w:rsidR="00A837C2" w:rsidRPr="00A156F4">
        <w:rPr>
          <w:b/>
          <w:sz w:val="22"/>
          <w:szCs w:val="22"/>
        </w:rPr>
        <w:t>2</w:t>
      </w:r>
      <w:r w:rsidR="00B82C4F" w:rsidRPr="00A156F4">
        <w:rPr>
          <w:b/>
          <w:sz w:val="22"/>
          <w:szCs w:val="22"/>
        </w:rPr>
        <w:t>5</w:t>
      </w:r>
      <w:r w:rsidR="00A837C2" w:rsidRPr="00A156F4">
        <w:rPr>
          <w:b/>
          <w:sz w:val="22"/>
          <w:szCs w:val="22"/>
        </w:rPr>
        <w:t>.- Acuerdos de cooperación</w:t>
      </w:r>
    </w:p>
    <w:p w14:paraId="72863881" w14:textId="77777777" w:rsidR="0025138E" w:rsidRPr="00A156F4" w:rsidRDefault="0025138E" w:rsidP="004B2F8B">
      <w:pPr>
        <w:widowControl w:val="0"/>
        <w:tabs>
          <w:tab w:val="left" w:pos="426"/>
        </w:tabs>
        <w:jc w:val="both"/>
        <w:outlineLvl w:val="0"/>
        <w:rPr>
          <w:sz w:val="22"/>
          <w:szCs w:val="22"/>
        </w:rPr>
      </w:pPr>
    </w:p>
    <w:p w14:paraId="2232B024" w14:textId="039D42D0" w:rsidR="005E34C8" w:rsidRPr="00A156F4" w:rsidRDefault="00572834" w:rsidP="004B2F8B">
      <w:pPr>
        <w:pStyle w:val="Default"/>
        <w:tabs>
          <w:tab w:val="left" w:pos="426"/>
        </w:tabs>
        <w:ind w:right="57"/>
        <w:jc w:val="both"/>
        <w:textAlignment w:val="center"/>
        <w:rPr>
          <w:rFonts w:ascii="Times New Roman" w:eastAsiaTheme="minorHAnsi" w:hAnsi="Times New Roman" w:cs="Times New Roman"/>
          <w:color w:val="auto"/>
          <w:sz w:val="22"/>
          <w:szCs w:val="22"/>
          <w:lang w:val="es-ES_tradnl" w:eastAsia="es-ES_tradnl"/>
        </w:rPr>
      </w:pPr>
      <w:r w:rsidRPr="00A156F4">
        <w:rPr>
          <w:rFonts w:ascii="Times New Roman" w:eastAsiaTheme="minorHAnsi" w:hAnsi="Times New Roman" w:cs="Times New Roman"/>
          <w:color w:val="auto"/>
          <w:sz w:val="22"/>
          <w:szCs w:val="22"/>
          <w:lang w:val="es-ES_tradnl" w:eastAsia="es-ES_tradnl"/>
        </w:rPr>
        <w:t>Cada</w:t>
      </w:r>
      <w:r w:rsidR="00666ED4" w:rsidRPr="00A156F4">
        <w:rPr>
          <w:rFonts w:ascii="Times New Roman" w:eastAsiaTheme="minorHAnsi" w:hAnsi="Times New Roman" w:cs="Times New Roman"/>
          <w:color w:val="auto"/>
          <w:sz w:val="22"/>
          <w:szCs w:val="22"/>
          <w:lang w:val="es-ES_tradnl" w:eastAsia="es-ES_tradnl"/>
        </w:rPr>
        <w:t xml:space="preserve"> autoridad de competencia</w:t>
      </w:r>
      <w:r w:rsidR="00A837C2" w:rsidRPr="00A156F4">
        <w:rPr>
          <w:rFonts w:ascii="Times New Roman" w:eastAsiaTheme="minorHAnsi" w:hAnsi="Times New Roman" w:cs="Times New Roman"/>
          <w:color w:val="auto"/>
          <w:sz w:val="22"/>
          <w:szCs w:val="22"/>
          <w:lang w:val="es-ES_tradnl" w:eastAsia="es-ES_tradnl"/>
        </w:rPr>
        <w:t xml:space="preserve"> podrá establecer </w:t>
      </w:r>
      <w:r w:rsidR="00666ED4" w:rsidRPr="00A156F4">
        <w:rPr>
          <w:rFonts w:ascii="Times New Roman" w:eastAsiaTheme="minorHAnsi" w:hAnsi="Times New Roman" w:cs="Times New Roman"/>
          <w:color w:val="auto"/>
          <w:sz w:val="22"/>
          <w:szCs w:val="22"/>
          <w:lang w:val="es-ES_tradnl" w:eastAsia="es-ES_tradnl"/>
        </w:rPr>
        <w:t xml:space="preserve">acuerdos o convenios de cooperación </w:t>
      </w:r>
      <w:r w:rsidR="00A837C2" w:rsidRPr="00A156F4">
        <w:rPr>
          <w:rFonts w:ascii="Times New Roman" w:eastAsiaTheme="minorHAnsi" w:hAnsi="Times New Roman" w:cs="Times New Roman"/>
          <w:color w:val="auto"/>
          <w:sz w:val="22"/>
          <w:szCs w:val="22"/>
          <w:lang w:val="es-ES_tradnl" w:eastAsia="es-ES_tradnl"/>
        </w:rPr>
        <w:t>con entidades públicas y privadas</w:t>
      </w:r>
      <w:r w:rsidR="00666ED4" w:rsidRPr="00A156F4">
        <w:rPr>
          <w:rFonts w:ascii="Times New Roman" w:eastAsiaTheme="minorHAnsi" w:hAnsi="Times New Roman" w:cs="Times New Roman"/>
          <w:color w:val="auto"/>
          <w:sz w:val="22"/>
          <w:szCs w:val="22"/>
          <w:lang w:val="es-ES_tradnl" w:eastAsia="es-ES_tradnl"/>
        </w:rPr>
        <w:t>, nacionales o internacionales,</w:t>
      </w:r>
      <w:r w:rsidR="00A837C2" w:rsidRPr="00A156F4">
        <w:rPr>
          <w:rFonts w:ascii="Times New Roman" w:eastAsiaTheme="minorHAnsi" w:hAnsi="Times New Roman" w:cs="Times New Roman"/>
          <w:color w:val="auto"/>
          <w:sz w:val="22"/>
          <w:szCs w:val="22"/>
          <w:lang w:val="es-ES_tradnl" w:eastAsia="es-ES_tradnl"/>
        </w:rPr>
        <w:t xml:space="preserve"> para el cumplimiento de </w:t>
      </w:r>
      <w:r w:rsidR="005E34C8" w:rsidRPr="00A156F4">
        <w:rPr>
          <w:rFonts w:ascii="Times New Roman" w:eastAsiaTheme="minorHAnsi" w:hAnsi="Times New Roman" w:cs="Times New Roman"/>
          <w:color w:val="auto"/>
          <w:sz w:val="22"/>
          <w:szCs w:val="22"/>
          <w:lang w:val="es-ES_tradnl" w:eastAsia="es-ES_tradnl"/>
        </w:rPr>
        <w:t xml:space="preserve">sus </w:t>
      </w:r>
      <w:r w:rsidR="00A837C2" w:rsidRPr="00A156F4">
        <w:rPr>
          <w:rFonts w:ascii="Times New Roman" w:eastAsiaTheme="minorHAnsi" w:hAnsi="Times New Roman" w:cs="Times New Roman"/>
          <w:color w:val="auto"/>
          <w:sz w:val="22"/>
          <w:szCs w:val="22"/>
          <w:lang w:val="es-ES_tradnl" w:eastAsia="es-ES_tradnl"/>
        </w:rPr>
        <w:t xml:space="preserve">funciones. </w:t>
      </w:r>
      <w:r w:rsidR="005E34C8" w:rsidRPr="00A156F4">
        <w:rPr>
          <w:rFonts w:ascii="Times New Roman" w:eastAsiaTheme="minorHAnsi" w:hAnsi="Times New Roman" w:cs="Times New Roman"/>
          <w:color w:val="auto"/>
          <w:sz w:val="22"/>
          <w:szCs w:val="22"/>
          <w:lang w:val="es-ES_tradnl" w:eastAsia="es-ES_tradnl"/>
        </w:rPr>
        <w:t>Estos acuerdos o convenios</w:t>
      </w:r>
      <w:r w:rsidR="00A837C2" w:rsidRPr="00A156F4">
        <w:rPr>
          <w:rFonts w:ascii="Times New Roman" w:eastAsiaTheme="minorHAnsi" w:hAnsi="Times New Roman" w:cs="Times New Roman"/>
          <w:color w:val="auto"/>
          <w:sz w:val="22"/>
          <w:szCs w:val="22"/>
          <w:lang w:val="es-ES_tradnl" w:eastAsia="es-ES_tradnl"/>
        </w:rPr>
        <w:t xml:space="preserve"> podrán establecer mecanismos para recabar prueba y efectuar investigaciones dentro y fuera del territorio nacional</w:t>
      </w:r>
      <w:r w:rsidR="009659ED" w:rsidRPr="00A156F4">
        <w:rPr>
          <w:rFonts w:ascii="Times New Roman" w:eastAsiaTheme="minorHAnsi" w:hAnsi="Times New Roman" w:cs="Times New Roman"/>
          <w:color w:val="auto"/>
          <w:sz w:val="22"/>
          <w:szCs w:val="22"/>
          <w:lang w:val="es-ES_tradnl" w:eastAsia="es-ES_tradnl"/>
        </w:rPr>
        <w:t>;</w:t>
      </w:r>
      <w:r w:rsidR="00A837C2" w:rsidRPr="00A156F4">
        <w:rPr>
          <w:rFonts w:ascii="Times New Roman" w:eastAsiaTheme="minorHAnsi" w:hAnsi="Times New Roman" w:cs="Times New Roman"/>
          <w:color w:val="auto"/>
          <w:sz w:val="22"/>
          <w:szCs w:val="22"/>
          <w:lang w:val="es-ES_tradnl" w:eastAsia="es-ES_tradnl"/>
        </w:rPr>
        <w:t xml:space="preserve"> realizar estudios en conjunto con otras autoridades de competencia</w:t>
      </w:r>
      <w:r w:rsidR="00663225" w:rsidRPr="00A156F4">
        <w:rPr>
          <w:rFonts w:ascii="Times New Roman" w:eastAsiaTheme="minorHAnsi" w:hAnsi="Times New Roman" w:cs="Times New Roman"/>
          <w:color w:val="auto"/>
          <w:sz w:val="22"/>
          <w:szCs w:val="22"/>
          <w:lang w:val="es-ES_tradnl" w:eastAsia="es-ES_tradnl"/>
        </w:rPr>
        <w:t>;</w:t>
      </w:r>
      <w:r w:rsidR="00A837C2" w:rsidRPr="00A156F4">
        <w:rPr>
          <w:rFonts w:ascii="Times New Roman" w:eastAsiaTheme="minorHAnsi" w:hAnsi="Times New Roman" w:cs="Times New Roman"/>
          <w:color w:val="auto"/>
          <w:sz w:val="22"/>
          <w:szCs w:val="22"/>
          <w:lang w:val="es-ES_tradnl" w:eastAsia="es-ES_tradnl"/>
        </w:rPr>
        <w:t xml:space="preserve"> facilitar </w:t>
      </w:r>
      <w:r w:rsidR="009659ED" w:rsidRPr="00A156F4">
        <w:rPr>
          <w:rFonts w:ascii="Times New Roman" w:eastAsiaTheme="minorHAnsi" w:hAnsi="Times New Roman" w:cs="Times New Roman"/>
          <w:color w:val="auto"/>
          <w:sz w:val="22"/>
          <w:szCs w:val="22"/>
          <w:lang w:val="es-ES_tradnl" w:eastAsia="es-ES_tradnl"/>
        </w:rPr>
        <w:t xml:space="preserve">la </w:t>
      </w:r>
      <w:r w:rsidR="00A837C2" w:rsidRPr="00A156F4">
        <w:rPr>
          <w:rFonts w:ascii="Times New Roman" w:eastAsiaTheme="minorHAnsi" w:hAnsi="Times New Roman" w:cs="Times New Roman"/>
          <w:color w:val="auto"/>
          <w:sz w:val="22"/>
          <w:szCs w:val="22"/>
          <w:lang w:val="es-ES_tradnl" w:eastAsia="es-ES_tradnl"/>
        </w:rPr>
        <w:t>cooperación técnica y el intercambio de experiencias</w:t>
      </w:r>
      <w:r w:rsidR="00663225" w:rsidRPr="00A156F4">
        <w:rPr>
          <w:rFonts w:ascii="Times New Roman" w:eastAsiaTheme="minorHAnsi" w:hAnsi="Times New Roman" w:cs="Times New Roman"/>
          <w:color w:val="auto"/>
          <w:sz w:val="22"/>
          <w:szCs w:val="22"/>
          <w:lang w:val="es-ES_tradnl" w:eastAsia="es-ES_tradnl"/>
        </w:rPr>
        <w:t>;</w:t>
      </w:r>
      <w:r w:rsidR="00A837C2" w:rsidRPr="00A156F4">
        <w:rPr>
          <w:rFonts w:ascii="Times New Roman" w:eastAsiaTheme="minorHAnsi" w:hAnsi="Times New Roman" w:cs="Times New Roman"/>
          <w:color w:val="auto"/>
          <w:sz w:val="22"/>
          <w:szCs w:val="22"/>
          <w:lang w:val="es-ES_tradnl" w:eastAsia="es-ES_tradnl"/>
        </w:rPr>
        <w:t xml:space="preserve"> </w:t>
      </w:r>
      <w:r w:rsidR="009659ED" w:rsidRPr="00A156F4">
        <w:rPr>
          <w:rFonts w:ascii="Times New Roman" w:eastAsiaTheme="minorHAnsi" w:hAnsi="Times New Roman" w:cs="Times New Roman"/>
          <w:color w:val="auto"/>
          <w:sz w:val="22"/>
          <w:szCs w:val="22"/>
          <w:lang w:val="es-ES_tradnl" w:eastAsia="es-ES_tradnl"/>
        </w:rPr>
        <w:t>intercambi</w:t>
      </w:r>
      <w:r w:rsidR="005E34C8" w:rsidRPr="00A156F4">
        <w:rPr>
          <w:rFonts w:ascii="Times New Roman" w:eastAsiaTheme="minorHAnsi" w:hAnsi="Times New Roman" w:cs="Times New Roman"/>
          <w:color w:val="auto"/>
          <w:sz w:val="22"/>
          <w:szCs w:val="22"/>
          <w:lang w:val="es-ES_tradnl" w:eastAsia="es-ES_tradnl"/>
        </w:rPr>
        <w:t>ar</w:t>
      </w:r>
      <w:r w:rsidR="009659ED" w:rsidRPr="00A156F4">
        <w:rPr>
          <w:rFonts w:ascii="Times New Roman" w:eastAsiaTheme="minorHAnsi" w:hAnsi="Times New Roman" w:cs="Times New Roman"/>
          <w:color w:val="auto"/>
          <w:sz w:val="22"/>
          <w:szCs w:val="22"/>
          <w:lang w:val="es-ES_tradnl" w:eastAsia="es-ES_tradnl"/>
        </w:rPr>
        <w:t xml:space="preserve"> información que facilite la investigación de conductas anticompetitivas</w:t>
      </w:r>
      <w:r w:rsidR="007220D9" w:rsidRPr="00A156F4">
        <w:rPr>
          <w:rFonts w:ascii="Times New Roman" w:eastAsiaTheme="minorHAnsi" w:hAnsi="Times New Roman" w:cs="Times New Roman"/>
          <w:color w:val="auto"/>
          <w:sz w:val="22"/>
          <w:szCs w:val="22"/>
          <w:lang w:val="es-ES_tradnl" w:eastAsia="es-ES_tradnl"/>
        </w:rPr>
        <w:t xml:space="preserve"> y concentraciones</w:t>
      </w:r>
      <w:r w:rsidR="009659ED" w:rsidRPr="00A156F4">
        <w:rPr>
          <w:rFonts w:ascii="Times New Roman" w:eastAsiaTheme="minorHAnsi" w:hAnsi="Times New Roman" w:cs="Times New Roman"/>
          <w:color w:val="auto"/>
          <w:sz w:val="22"/>
          <w:szCs w:val="22"/>
          <w:lang w:val="es-ES_tradnl" w:eastAsia="es-ES_tradnl"/>
        </w:rPr>
        <w:t xml:space="preserve">; </w:t>
      </w:r>
      <w:r w:rsidR="00A837C2" w:rsidRPr="00A156F4">
        <w:rPr>
          <w:rFonts w:ascii="Times New Roman" w:eastAsiaTheme="minorHAnsi" w:hAnsi="Times New Roman" w:cs="Times New Roman"/>
          <w:color w:val="auto"/>
          <w:sz w:val="22"/>
          <w:szCs w:val="22"/>
          <w:lang w:val="es-ES_tradnl" w:eastAsia="es-ES_tradnl"/>
        </w:rPr>
        <w:t xml:space="preserve">y otros que sean afines a las competencias de </w:t>
      </w:r>
      <w:r w:rsidR="008377C2" w:rsidRPr="00A156F4">
        <w:rPr>
          <w:rFonts w:ascii="Times New Roman" w:eastAsiaTheme="minorHAnsi" w:hAnsi="Times New Roman" w:cs="Times New Roman"/>
          <w:color w:val="auto"/>
          <w:sz w:val="22"/>
          <w:szCs w:val="22"/>
          <w:lang w:val="es-ES_tradnl" w:eastAsia="es-ES_tradnl"/>
        </w:rPr>
        <w:t>cada</w:t>
      </w:r>
      <w:r w:rsidR="009659ED" w:rsidRPr="00A156F4">
        <w:rPr>
          <w:rFonts w:ascii="Times New Roman" w:eastAsiaTheme="minorHAnsi" w:hAnsi="Times New Roman" w:cs="Times New Roman"/>
          <w:color w:val="auto"/>
          <w:sz w:val="22"/>
          <w:szCs w:val="22"/>
          <w:lang w:val="es-ES_tradnl" w:eastAsia="es-ES_tradnl"/>
        </w:rPr>
        <w:t xml:space="preserve"> autoridad de competencia</w:t>
      </w:r>
      <w:r w:rsidR="00A837C2" w:rsidRPr="00A156F4">
        <w:rPr>
          <w:rFonts w:ascii="Times New Roman" w:eastAsiaTheme="minorHAnsi" w:hAnsi="Times New Roman" w:cs="Times New Roman"/>
          <w:color w:val="auto"/>
          <w:sz w:val="22"/>
          <w:szCs w:val="22"/>
          <w:lang w:val="es-ES_tradnl" w:eastAsia="es-ES_tradnl"/>
        </w:rPr>
        <w:t>.</w:t>
      </w:r>
      <w:r w:rsidR="00F65CB3" w:rsidRPr="00A156F4">
        <w:rPr>
          <w:rFonts w:ascii="Times New Roman" w:eastAsiaTheme="minorHAnsi" w:hAnsi="Times New Roman" w:cs="Times New Roman"/>
          <w:color w:val="auto"/>
          <w:sz w:val="22"/>
          <w:szCs w:val="22"/>
          <w:lang w:val="es-ES_tradnl" w:eastAsia="es-ES_tradnl"/>
        </w:rPr>
        <w:t xml:space="preserve"> </w:t>
      </w:r>
      <w:r w:rsidR="009659ED" w:rsidRPr="00A156F4">
        <w:rPr>
          <w:rFonts w:ascii="Times New Roman" w:eastAsiaTheme="minorHAnsi" w:hAnsi="Times New Roman" w:cs="Times New Roman"/>
          <w:color w:val="auto"/>
          <w:sz w:val="22"/>
          <w:szCs w:val="22"/>
          <w:lang w:val="es-ES_tradnl" w:eastAsia="es-ES_tradnl"/>
        </w:rPr>
        <w:t>Cuando sea el caso, e</w:t>
      </w:r>
      <w:r w:rsidR="00A837C2" w:rsidRPr="00A156F4">
        <w:rPr>
          <w:rFonts w:ascii="Times New Roman" w:eastAsiaTheme="minorHAnsi" w:hAnsi="Times New Roman" w:cs="Times New Roman"/>
          <w:color w:val="auto"/>
          <w:sz w:val="22"/>
          <w:szCs w:val="22"/>
          <w:lang w:val="es-ES_tradnl" w:eastAsia="es-ES_tradnl"/>
        </w:rPr>
        <w:t xml:space="preserve">stos </w:t>
      </w:r>
      <w:r w:rsidR="005E34C8" w:rsidRPr="00A156F4">
        <w:rPr>
          <w:rFonts w:ascii="Times New Roman" w:eastAsiaTheme="minorHAnsi" w:hAnsi="Times New Roman" w:cs="Times New Roman"/>
          <w:color w:val="auto"/>
          <w:sz w:val="22"/>
          <w:szCs w:val="22"/>
          <w:lang w:val="es-ES_tradnl" w:eastAsia="es-ES_tradnl"/>
        </w:rPr>
        <w:t xml:space="preserve">acuerdos o </w:t>
      </w:r>
      <w:r w:rsidR="00A837C2" w:rsidRPr="00A156F4">
        <w:rPr>
          <w:rFonts w:ascii="Times New Roman" w:eastAsiaTheme="minorHAnsi" w:hAnsi="Times New Roman" w:cs="Times New Roman"/>
          <w:color w:val="auto"/>
          <w:sz w:val="22"/>
          <w:szCs w:val="22"/>
          <w:lang w:val="es-ES_tradnl" w:eastAsia="es-ES_tradnl"/>
        </w:rPr>
        <w:t xml:space="preserve">convenios deberán prever los mecanismos </w:t>
      </w:r>
      <w:r w:rsidR="002E040A" w:rsidRPr="00A156F4">
        <w:rPr>
          <w:rFonts w:ascii="Times New Roman" w:eastAsiaTheme="minorHAnsi" w:hAnsi="Times New Roman" w:cs="Times New Roman"/>
          <w:color w:val="auto"/>
          <w:sz w:val="22"/>
          <w:szCs w:val="22"/>
          <w:lang w:val="es-ES_tradnl" w:eastAsia="es-ES_tradnl"/>
        </w:rPr>
        <w:t xml:space="preserve">adecuados </w:t>
      </w:r>
      <w:r w:rsidR="00A837C2" w:rsidRPr="00A156F4">
        <w:rPr>
          <w:rFonts w:ascii="Times New Roman" w:eastAsiaTheme="minorHAnsi" w:hAnsi="Times New Roman" w:cs="Times New Roman"/>
          <w:color w:val="auto"/>
          <w:sz w:val="22"/>
          <w:szCs w:val="22"/>
          <w:lang w:val="es-ES_tradnl" w:eastAsia="es-ES_tradnl"/>
        </w:rPr>
        <w:t>para resguardar la información confidencial</w:t>
      </w:r>
      <w:r w:rsidR="009659ED" w:rsidRPr="00A156F4">
        <w:rPr>
          <w:rFonts w:ascii="Times New Roman" w:eastAsiaTheme="minorHAnsi" w:hAnsi="Times New Roman" w:cs="Times New Roman"/>
          <w:color w:val="auto"/>
          <w:sz w:val="22"/>
          <w:szCs w:val="22"/>
          <w:lang w:val="es-ES_tradnl" w:eastAsia="es-ES_tradnl"/>
        </w:rPr>
        <w:t xml:space="preserve"> que sea intercambiada</w:t>
      </w:r>
      <w:r w:rsidR="005E34C8" w:rsidRPr="00A156F4">
        <w:rPr>
          <w:rFonts w:ascii="Times New Roman" w:eastAsiaTheme="minorHAnsi" w:hAnsi="Times New Roman" w:cs="Times New Roman"/>
          <w:color w:val="auto"/>
          <w:sz w:val="22"/>
          <w:szCs w:val="22"/>
          <w:lang w:val="es-ES_tradnl" w:eastAsia="es-ES_tradnl"/>
        </w:rPr>
        <w:t xml:space="preserve"> y, en caso de que comprometan el uso o destino de fondos públicos, deberán ser suscritos por el órgano o entidad competente.</w:t>
      </w:r>
    </w:p>
    <w:p w14:paraId="0D9C118C" w14:textId="77777777" w:rsidR="005E34C8" w:rsidRPr="00A156F4" w:rsidRDefault="005E34C8" w:rsidP="004B2F8B">
      <w:pPr>
        <w:pStyle w:val="Default"/>
        <w:tabs>
          <w:tab w:val="left" w:pos="426"/>
        </w:tabs>
        <w:ind w:right="57"/>
        <w:jc w:val="both"/>
        <w:textAlignment w:val="center"/>
        <w:rPr>
          <w:rFonts w:ascii="Times New Roman" w:eastAsiaTheme="minorHAnsi" w:hAnsi="Times New Roman" w:cs="Times New Roman"/>
          <w:color w:val="auto"/>
          <w:sz w:val="22"/>
          <w:szCs w:val="22"/>
          <w:lang w:val="es-ES_tradnl" w:eastAsia="es-ES_tradnl"/>
        </w:rPr>
      </w:pPr>
    </w:p>
    <w:p w14:paraId="3759F1BD" w14:textId="07CB3499" w:rsidR="00A662AD" w:rsidRPr="00A156F4" w:rsidRDefault="00A837C2" w:rsidP="004B2F8B">
      <w:pPr>
        <w:pStyle w:val="Default"/>
        <w:tabs>
          <w:tab w:val="left" w:pos="426"/>
        </w:tabs>
        <w:ind w:right="57"/>
        <w:jc w:val="both"/>
        <w:textAlignment w:val="center"/>
        <w:rPr>
          <w:rFonts w:ascii="Times New Roman" w:eastAsiaTheme="minorHAnsi" w:hAnsi="Times New Roman" w:cs="Times New Roman"/>
          <w:color w:val="auto"/>
          <w:sz w:val="22"/>
          <w:szCs w:val="22"/>
          <w:lang w:val="es-ES_tradnl" w:eastAsia="es-ES_tradnl"/>
        </w:rPr>
      </w:pPr>
      <w:r w:rsidRPr="00A156F4">
        <w:rPr>
          <w:rFonts w:ascii="Times New Roman" w:eastAsiaTheme="minorHAnsi" w:hAnsi="Times New Roman" w:cs="Times New Roman"/>
          <w:color w:val="auto"/>
          <w:sz w:val="22"/>
          <w:szCs w:val="22"/>
          <w:lang w:val="es-ES_tradnl" w:eastAsia="es-ES_tradnl"/>
        </w:rPr>
        <w:t xml:space="preserve">Se autoriza a la </w:t>
      </w:r>
      <w:proofErr w:type="spellStart"/>
      <w:r w:rsidRPr="00A156F4">
        <w:rPr>
          <w:rFonts w:ascii="Times New Roman" w:eastAsiaTheme="minorHAnsi" w:hAnsi="Times New Roman" w:cs="Times New Roman"/>
          <w:color w:val="auto"/>
          <w:sz w:val="22"/>
          <w:szCs w:val="22"/>
          <w:lang w:val="es-ES_tradnl" w:eastAsia="es-ES_tradnl"/>
        </w:rPr>
        <w:t>Sutel</w:t>
      </w:r>
      <w:proofErr w:type="spellEnd"/>
      <w:r w:rsidRPr="00A156F4">
        <w:rPr>
          <w:rFonts w:ascii="Times New Roman" w:eastAsiaTheme="minorHAnsi" w:hAnsi="Times New Roman" w:cs="Times New Roman"/>
          <w:color w:val="auto"/>
          <w:sz w:val="22"/>
          <w:szCs w:val="22"/>
          <w:lang w:val="es-ES_tradnl" w:eastAsia="es-ES_tradnl"/>
        </w:rPr>
        <w:t xml:space="preserve"> y a los órganos de regulación y supervisión del sistema financiero, a </w:t>
      </w:r>
      <w:r w:rsidR="002E040A" w:rsidRPr="00A156F4">
        <w:rPr>
          <w:rFonts w:ascii="Times New Roman" w:eastAsiaTheme="minorHAnsi" w:hAnsi="Times New Roman" w:cs="Times New Roman"/>
          <w:color w:val="auto"/>
          <w:sz w:val="22"/>
          <w:szCs w:val="22"/>
          <w:lang w:val="es-ES_tradnl" w:eastAsia="es-ES_tradnl"/>
        </w:rPr>
        <w:t xml:space="preserve">suscribir </w:t>
      </w:r>
      <w:r w:rsidRPr="00A156F4">
        <w:rPr>
          <w:rFonts w:ascii="Times New Roman" w:eastAsiaTheme="minorHAnsi" w:hAnsi="Times New Roman" w:cs="Times New Roman"/>
          <w:color w:val="auto"/>
          <w:sz w:val="22"/>
          <w:szCs w:val="22"/>
          <w:lang w:val="es-ES_tradnl" w:eastAsia="es-ES_tradnl"/>
        </w:rPr>
        <w:t xml:space="preserve">con </w:t>
      </w:r>
      <w:r w:rsidR="00A662AD" w:rsidRPr="00A156F4">
        <w:rPr>
          <w:rFonts w:ascii="Times New Roman" w:eastAsiaTheme="minorHAnsi" w:hAnsi="Times New Roman" w:cs="Times New Roman"/>
          <w:color w:val="auto"/>
          <w:sz w:val="22"/>
          <w:szCs w:val="22"/>
          <w:lang w:val="es-ES_tradnl" w:eastAsia="es-ES_tradnl"/>
        </w:rPr>
        <w:t xml:space="preserve">la </w:t>
      </w:r>
      <w:proofErr w:type="spellStart"/>
      <w:r w:rsidRPr="00A156F4">
        <w:rPr>
          <w:rFonts w:ascii="Times New Roman" w:eastAsiaTheme="minorHAnsi" w:hAnsi="Times New Roman" w:cs="Times New Roman"/>
          <w:color w:val="auto"/>
          <w:sz w:val="22"/>
          <w:szCs w:val="22"/>
          <w:lang w:val="es-ES_tradnl" w:eastAsia="es-ES_tradnl"/>
        </w:rPr>
        <w:t>Co</w:t>
      </w:r>
      <w:r w:rsidR="00A662AD" w:rsidRPr="00A156F4">
        <w:rPr>
          <w:rFonts w:ascii="Times New Roman" w:eastAsiaTheme="minorHAnsi" w:hAnsi="Times New Roman" w:cs="Times New Roman"/>
          <w:color w:val="auto"/>
          <w:sz w:val="22"/>
          <w:szCs w:val="22"/>
          <w:lang w:val="es-ES_tradnl" w:eastAsia="es-ES_tradnl"/>
        </w:rPr>
        <w:t>pro</w:t>
      </w:r>
      <w:r w:rsidRPr="00A156F4">
        <w:rPr>
          <w:rFonts w:ascii="Times New Roman" w:eastAsiaTheme="minorHAnsi" w:hAnsi="Times New Roman" w:cs="Times New Roman"/>
          <w:color w:val="auto"/>
          <w:sz w:val="22"/>
          <w:szCs w:val="22"/>
          <w:lang w:val="es-ES_tradnl" w:eastAsia="es-ES_tradnl"/>
        </w:rPr>
        <w:t>com</w:t>
      </w:r>
      <w:proofErr w:type="spellEnd"/>
      <w:r w:rsidRPr="00A156F4">
        <w:rPr>
          <w:rFonts w:ascii="Times New Roman" w:eastAsiaTheme="minorHAnsi" w:hAnsi="Times New Roman" w:cs="Times New Roman"/>
          <w:color w:val="auto"/>
          <w:sz w:val="22"/>
          <w:szCs w:val="22"/>
          <w:lang w:val="es-ES_tradnl" w:eastAsia="es-ES_tradnl"/>
        </w:rPr>
        <w:t xml:space="preserve"> los</w:t>
      </w:r>
      <w:r w:rsidR="005E34C8" w:rsidRPr="00A156F4">
        <w:rPr>
          <w:rFonts w:ascii="Times New Roman" w:eastAsiaTheme="minorHAnsi" w:hAnsi="Times New Roman" w:cs="Times New Roman"/>
          <w:color w:val="auto"/>
          <w:sz w:val="22"/>
          <w:szCs w:val="22"/>
          <w:lang w:val="es-ES_tradnl" w:eastAsia="es-ES_tradnl"/>
        </w:rPr>
        <w:t xml:space="preserve"> acuerdos o</w:t>
      </w:r>
      <w:r w:rsidRPr="00A156F4">
        <w:rPr>
          <w:rFonts w:ascii="Times New Roman" w:eastAsiaTheme="minorHAnsi" w:hAnsi="Times New Roman" w:cs="Times New Roman"/>
          <w:color w:val="auto"/>
          <w:sz w:val="22"/>
          <w:szCs w:val="22"/>
          <w:lang w:val="es-ES_tradnl" w:eastAsia="es-ES_tradnl"/>
        </w:rPr>
        <w:t xml:space="preserve"> convenios de cooperación</w:t>
      </w:r>
      <w:r w:rsidR="005E34C8" w:rsidRPr="00A156F4">
        <w:rPr>
          <w:rFonts w:ascii="Times New Roman" w:eastAsiaTheme="minorHAnsi" w:hAnsi="Times New Roman" w:cs="Times New Roman"/>
          <w:color w:val="auto"/>
          <w:sz w:val="22"/>
          <w:szCs w:val="22"/>
          <w:lang w:val="es-ES_tradnl" w:eastAsia="es-ES_tradnl"/>
        </w:rPr>
        <w:t xml:space="preserve">, incluyendo </w:t>
      </w:r>
      <w:r w:rsidR="008C75F4" w:rsidRPr="00A156F4">
        <w:rPr>
          <w:rFonts w:ascii="Times New Roman" w:eastAsiaTheme="minorHAnsi" w:hAnsi="Times New Roman" w:cs="Times New Roman"/>
          <w:color w:val="auto"/>
          <w:sz w:val="22"/>
          <w:szCs w:val="22"/>
          <w:lang w:val="es-ES_tradnl" w:eastAsia="es-ES_tradnl"/>
        </w:rPr>
        <w:t xml:space="preserve">los </w:t>
      </w:r>
      <w:r w:rsidR="007745C5" w:rsidRPr="00A156F4">
        <w:rPr>
          <w:rFonts w:ascii="Times New Roman" w:eastAsiaTheme="minorHAnsi" w:hAnsi="Times New Roman" w:cs="Times New Roman"/>
          <w:color w:val="auto"/>
          <w:sz w:val="22"/>
          <w:szCs w:val="22"/>
          <w:lang w:val="es-ES_tradnl" w:eastAsia="es-ES_tradnl"/>
        </w:rPr>
        <w:t>relativos a</w:t>
      </w:r>
      <w:r w:rsidR="005E34C8" w:rsidRPr="00A156F4">
        <w:rPr>
          <w:rFonts w:ascii="Times New Roman" w:eastAsiaTheme="minorHAnsi" w:hAnsi="Times New Roman" w:cs="Times New Roman"/>
          <w:color w:val="auto"/>
          <w:sz w:val="22"/>
          <w:szCs w:val="22"/>
          <w:lang w:val="es-ES_tradnl" w:eastAsia="es-ES_tradnl"/>
        </w:rPr>
        <w:t>l intercambio de información</w:t>
      </w:r>
      <w:r w:rsidR="008C75F4" w:rsidRPr="00A156F4">
        <w:rPr>
          <w:rFonts w:ascii="Times New Roman" w:eastAsiaTheme="minorHAnsi" w:hAnsi="Times New Roman" w:cs="Times New Roman"/>
          <w:color w:val="auto"/>
          <w:sz w:val="22"/>
          <w:szCs w:val="22"/>
          <w:lang w:val="es-ES_tradnl" w:eastAsia="es-ES_tradnl"/>
        </w:rPr>
        <w:t>;</w:t>
      </w:r>
      <w:r w:rsidR="005E34C8" w:rsidRPr="00A156F4">
        <w:rPr>
          <w:rFonts w:ascii="Times New Roman" w:eastAsiaTheme="minorHAnsi" w:hAnsi="Times New Roman" w:cs="Times New Roman"/>
          <w:color w:val="auto"/>
          <w:sz w:val="22"/>
          <w:szCs w:val="22"/>
          <w:lang w:val="es-ES_tradnl" w:eastAsia="es-ES_tradnl"/>
        </w:rPr>
        <w:t xml:space="preserve"> </w:t>
      </w:r>
      <w:r w:rsidRPr="00A156F4">
        <w:rPr>
          <w:rFonts w:ascii="Times New Roman" w:eastAsiaTheme="minorHAnsi" w:hAnsi="Times New Roman" w:cs="Times New Roman"/>
          <w:color w:val="auto"/>
          <w:sz w:val="22"/>
          <w:szCs w:val="22"/>
          <w:lang w:val="es-ES_tradnl" w:eastAsia="es-ES_tradnl"/>
        </w:rPr>
        <w:t xml:space="preserve">con el fin de apoyar </w:t>
      </w:r>
      <w:r w:rsidR="002E040A" w:rsidRPr="00A156F4">
        <w:rPr>
          <w:rFonts w:ascii="Times New Roman" w:eastAsiaTheme="minorHAnsi" w:hAnsi="Times New Roman" w:cs="Times New Roman"/>
          <w:color w:val="auto"/>
          <w:sz w:val="22"/>
          <w:szCs w:val="22"/>
          <w:lang w:val="es-ES_tradnl" w:eastAsia="es-ES_tradnl"/>
        </w:rPr>
        <w:t xml:space="preserve">el cumplimiento de las funciones que establece la presente </w:t>
      </w:r>
      <w:r w:rsidR="007B4C93" w:rsidRPr="00A156F4">
        <w:rPr>
          <w:rFonts w:ascii="Times New Roman" w:eastAsiaTheme="minorHAnsi" w:hAnsi="Times New Roman" w:cs="Times New Roman"/>
          <w:color w:val="auto"/>
          <w:sz w:val="22"/>
          <w:szCs w:val="22"/>
          <w:lang w:val="es-ES_tradnl" w:eastAsia="es-ES_tradnl"/>
        </w:rPr>
        <w:t>l</w:t>
      </w:r>
      <w:r w:rsidR="002E040A" w:rsidRPr="00A156F4">
        <w:rPr>
          <w:rFonts w:ascii="Times New Roman" w:eastAsiaTheme="minorHAnsi" w:hAnsi="Times New Roman" w:cs="Times New Roman"/>
          <w:color w:val="auto"/>
          <w:sz w:val="22"/>
          <w:szCs w:val="22"/>
          <w:lang w:val="es-ES_tradnl" w:eastAsia="es-ES_tradnl"/>
        </w:rPr>
        <w:t>ey</w:t>
      </w:r>
      <w:r w:rsidR="009500E7" w:rsidRPr="00A156F4">
        <w:rPr>
          <w:rFonts w:ascii="Times New Roman" w:eastAsiaTheme="minorHAnsi" w:hAnsi="Times New Roman" w:cs="Times New Roman"/>
          <w:color w:val="auto"/>
          <w:sz w:val="22"/>
          <w:szCs w:val="22"/>
          <w:lang w:val="es-ES_tradnl" w:eastAsia="es-ES_tradnl"/>
        </w:rPr>
        <w:t>.</w:t>
      </w:r>
      <w:r w:rsidRPr="00A156F4">
        <w:rPr>
          <w:rFonts w:ascii="Times New Roman" w:eastAsiaTheme="minorHAnsi" w:hAnsi="Times New Roman" w:cs="Times New Roman"/>
          <w:color w:val="auto"/>
          <w:sz w:val="22"/>
          <w:szCs w:val="22"/>
          <w:lang w:val="es-ES_tradnl" w:eastAsia="es-ES_tradnl"/>
        </w:rPr>
        <w:t xml:space="preserve"> </w:t>
      </w:r>
    </w:p>
    <w:p w14:paraId="109BBD40" w14:textId="77777777" w:rsidR="00CE0D9A" w:rsidRPr="00A156F4" w:rsidRDefault="00CE0D9A" w:rsidP="004B2F8B">
      <w:pPr>
        <w:jc w:val="both"/>
        <w:rPr>
          <w:sz w:val="22"/>
          <w:szCs w:val="22"/>
        </w:rPr>
      </w:pPr>
    </w:p>
    <w:p w14:paraId="41B7EEB5" w14:textId="724A2086" w:rsidR="00CE0D9A" w:rsidRPr="00A156F4" w:rsidRDefault="00CE0D9A" w:rsidP="004B2F8B">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2</w:t>
      </w:r>
      <w:r w:rsidR="00B82C4F" w:rsidRPr="00A156F4">
        <w:rPr>
          <w:rFonts w:ascii="Times New Roman" w:eastAsia="Times New Roman" w:hAnsi="Times New Roman" w:cs="Times New Roman"/>
          <w:b/>
          <w:i w:val="0"/>
          <w:iCs w:val="0"/>
          <w:color w:val="auto"/>
          <w:sz w:val="22"/>
          <w:szCs w:val="22"/>
          <w:lang w:val="es-CR" w:eastAsia="en-US"/>
        </w:rPr>
        <w:t>6</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Programas de cumplimiento voluntario</w:t>
      </w:r>
    </w:p>
    <w:p w14:paraId="484D60E8" w14:textId="77777777" w:rsidR="00CE0D9A" w:rsidRPr="00A156F4" w:rsidRDefault="00CE0D9A" w:rsidP="004B2F8B">
      <w:pPr>
        <w:widowControl w:val="0"/>
        <w:jc w:val="both"/>
        <w:rPr>
          <w:sz w:val="22"/>
          <w:szCs w:val="22"/>
        </w:rPr>
      </w:pPr>
    </w:p>
    <w:p w14:paraId="5B8B853D" w14:textId="6BD25335" w:rsidR="00CE0D9A" w:rsidRPr="00A156F4" w:rsidRDefault="008377C2" w:rsidP="004B2F8B">
      <w:pPr>
        <w:widowControl w:val="0"/>
        <w:jc w:val="both"/>
        <w:rPr>
          <w:sz w:val="22"/>
          <w:szCs w:val="22"/>
        </w:rPr>
      </w:pPr>
      <w:r w:rsidRPr="00A156F4">
        <w:rPr>
          <w:sz w:val="22"/>
          <w:szCs w:val="22"/>
        </w:rPr>
        <w:t>Cada</w:t>
      </w:r>
      <w:r w:rsidR="00CE0D9A" w:rsidRPr="00A156F4">
        <w:rPr>
          <w:sz w:val="22"/>
          <w:szCs w:val="22"/>
        </w:rPr>
        <w:t xml:space="preserve"> autoridad de competencia promoverá </w:t>
      </w:r>
      <w:r w:rsidR="008C75F4" w:rsidRPr="00A156F4">
        <w:rPr>
          <w:sz w:val="22"/>
          <w:szCs w:val="22"/>
        </w:rPr>
        <w:t xml:space="preserve">que </w:t>
      </w:r>
      <w:r w:rsidR="00CE0D9A" w:rsidRPr="00A156F4">
        <w:rPr>
          <w:sz w:val="22"/>
          <w:szCs w:val="22"/>
        </w:rPr>
        <w:t xml:space="preserve">los agentes económicos </w:t>
      </w:r>
      <w:r w:rsidR="008C75F4" w:rsidRPr="00A156F4">
        <w:rPr>
          <w:sz w:val="22"/>
          <w:szCs w:val="22"/>
        </w:rPr>
        <w:t xml:space="preserve">suscriban </w:t>
      </w:r>
      <w:r w:rsidR="00CE0D9A" w:rsidRPr="00A156F4">
        <w:rPr>
          <w:sz w:val="22"/>
          <w:szCs w:val="22"/>
        </w:rPr>
        <w:t>programas de cumplimiento voluntario</w:t>
      </w:r>
      <w:r w:rsidR="006F2470" w:rsidRPr="00A156F4">
        <w:rPr>
          <w:sz w:val="22"/>
          <w:szCs w:val="22"/>
        </w:rPr>
        <w:t xml:space="preserve"> en materia de competencia</w:t>
      </w:r>
      <w:r w:rsidR="008C75F4" w:rsidRPr="00A156F4">
        <w:rPr>
          <w:sz w:val="22"/>
          <w:szCs w:val="22"/>
        </w:rPr>
        <w:t>.</w:t>
      </w:r>
      <w:r w:rsidR="00CE0D9A" w:rsidRPr="00A156F4">
        <w:rPr>
          <w:sz w:val="22"/>
          <w:szCs w:val="22"/>
        </w:rPr>
        <w:t xml:space="preserve"> </w:t>
      </w:r>
      <w:r w:rsidR="008C75F4" w:rsidRPr="00A156F4">
        <w:rPr>
          <w:sz w:val="22"/>
          <w:szCs w:val="22"/>
        </w:rPr>
        <w:t>P</w:t>
      </w:r>
      <w:r w:rsidR="00CE0D9A" w:rsidRPr="00A156F4">
        <w:rPr>
          <w:sz w:val="22"/>
          <w:szCs w:val="22"/>
        </w:rPr>
        <w:t>ara</w:t>
      </w:r>
      <w:r w:rsidR="008C75F4" w:rsidRPr="00A156F4">
        <w:rPr>
          <w:sz w:val="22"/>
          <w:szCs w:val="22"/>
        </w:rPr>
        <w:t xml:space="preserve"> ello,</w:t>
      </w:r>
      <w:r w:rsidR="00CE0D9A" w:rsidRPr="00A156F4">
        <w:rPr>
          <w:sz w:val="22"/>
          <w:szCs w:val="22"/>
        </w:rPr>
        <w:t xml:space="preserve"> podrán emitir guías </w:t>
      </w:r>
      <w:r w:rsidR="008C75F4" w:rsidRPr="00A156F4">
        <w:rPr>
          <w:sz w:val="22"/>
          <w:szCs w:val="22"/>
        </w:rPr>
        <w:t xml:space="preserve">en las </w:t>
      </w:r>
      <w:r w:rsidR="00117EE5" w:rsidRPr="00A156F4">
        <w:rPr>
          <w:sz w:val="22"/>
          <w:szCs w:val="22"/>
        </w:rPr>
        <w:t>que especifiquen</w:t>
      </w:r>
      <w:r w:rsidR="00CE0D9A" w:rsidRPr="00A156F4">
        <w:rPr>
          <w:sz w:val="22"/>
          <w:szCs w:val="22"/>
        </w:rPr>
        <w:t xml:space="preserve"> los elementos que deberían contener estos programas.</w:t>
      </w:r>
    </w:p>
    <w:p w14:paraId="128350A7" w14:textId="77777777" w:rsidR="00015C1B" w:rsidRPr="00A156F4" w:rsidRDefault="00015C1B" w:rsidP="004B2F8B">
      <w:pPr>
        <w:widowControl w:val="0"/>
        <w:jc w:val="both"/>
        <w:rPr>
          <w:sz w:val="22"/>
          <w:szCs w:val="22"/>
        </w:rPr>
      </w:pPr>
    </w:p>
    <w:p w14:paraId="52B9C1D3" w14:textId="510FFAC7" w:rsidR="00015C1B" w:rsidRPr="00A156F4" w:rsidRDefault="00015C1B" w:rsidP="004B2F8B">
      <w:pPr>
        <w:widowControl w:val="0"/>
        <w:jc w:val="both"/>
        <w:rPr>
          <w:b/>
          <w:sz w:val="22"/>
          <w:szCs w:val="22"/>
        </w:rPr>
      </w:pPr>
      <w:r w:rsidRPr="00A156F4">
        <w:rPr>
          <w:b/>
          <w:sz w:val="22"/>
          <w:szCs w:val="22"/>
        </w:rPr>
        <w:t xml:space="preserve">Artículo </w:t>
      </w:r>
      <w:r w:rsidR="003D72B8" w:rsidRPr="00A156F4">
        <w:rPr>
          <w:b/>
          <w:sz w:val="22"/>
          <w:szCs w:val="22"/>
        </w:rPr>
        <w:t>2</w:t>
      </w:r>
      <w:r w:rsidR="00B82C4F" w:rsidRPr="00A156F4">
        <w:rPr>
          <w:b/>
          <w:sz w:val="22"/>
          <w:szCs w:val="22"/>
        </w:rPr>
        <w:t>7</w:t>
      </w:r>
      <w:r w:rsidRPr="00A156F4">
        <w:rPr>
          <w:b/>
          <w:sz w:val="22"/>
          <w:szCs w:val="22"/>
        </w:rPr>
        <w:t>.- Difusión y publicación</w:t>
      </w:r>
    </w:p>
    <w:p w14:paraId="3B4DAD78" w14:textId="77777777" w:rsidR="00015C1B" w:rsidRPr="00A156F4" w:rsidRDefault="00015C1B" w:rsidP="004B2F8B">
      <w:pPr>
        <w:widowControl w:val="0"/>
        <w:jc w:val="both"/>
        <w:rPr>
          <w:sz w:val="22"/>
          <w:szCs w:val="22"/>
        </w:rPr>
      </w:pPr>
    </w:p>
    <w:p w14:paraId="2E04AB10" w14:textId="77BFEF77" w:rsidR="00015C1B" w:rsidRPr="00A156F4" w:rsidRDefault="008377C2" w:rsidP="004B2F8B">
      <w:pPr>
        <w:widowControl w:val="0"/>
        <w:jc w:val="both"/>
        <w:rPr>
          <w:sz w:val="22"/>
          <w:szCs w:val="22"/>
        </w:rPr>
      </w:pPr>
      <w:r w:rsidRPr="00A156F4">
        <w:rPr>
          <w:sz w:val="22"/>
          <w:szCs w:val="22"/>
        </w:rPr>
        <w:t>Cada</w:t>
      </w:r>
      <w:r w:rsidR="00960BF1" w:rsidRPr="00A156F4">
        <w:rPr>
          <w:sz w:val="22"/>
          <w:szCs w:val="22"/>
        </w:rPr>
        <w:t xml:space="preserve"> autoridad de competencia</w:t>
      </w:r>
      <w:r w:rsidR="001D3991" w:rsidRPr="00A156F4">
        <w:rPr>
          <w:sz w:val="22"/>
          <w:szCs w:val="22"/>
        </w:rPr>
        <w:t xml:space="preserve"> </w:t>
      </w:r>
      <w:r w:rsidR="00960BF1" w:rsidRPr="00A156F4">
        <w:rPr>
          <w:sz w:val="22"/>
          <w:szCs w:val="22"/>
        </w:rPr>
        <w:t>pondrá</w:t>
      </w:r>
      <w:r w:rsidR="00015C1B" w:rsidRPr="00A156F4">
        <w:rPr>
          <w:sz w:val="22"/>
          <w:szCs w:val="22"/>
        </w:rPr>
        <w:t xml:space="preserve"> a disposición del público,</w:t>
      </w:r>
      <w:r w:rsidR="001D3991" w:rsidRPr="00A156F4">
        <w:rPr>
          <w:sz w:val="22"/>
          <w:szCs w:val="22"/>
        </w:rPr>
        <w:t xml:space="preserve"> de manera pronta y oportuna y</w:t>
      </w:r>
      <w:r w:rsidR="00015C1B" w:rsidRPr="00A156F4">
        <w:rPr>
          <w:sz w:val="22"/>
          <w:szCs w:val="22"/>
        </w:rPr>
        <w:t xml:space="preserve"> en el medio que determine pertinente</w:t>
      </w:r>
      <w:r w:rsidR="001D3991" w:rsidRPr="00A156F4">
        <w:rPr>
          <w:sz w:val="22"/>
          <w:szCs w:val="22"/>
        </w:rPr>
        <w:t>,</w:t>
      </w:r>
      <w:r w:rsidR="00117EE5" w:rsidRPr="00A156F4">
        <w:rPr>
          <w:sz w:val="22"/>
          <w:szCs w:val="22"/>
        </w:rPr>
        <w:t xml:space="preserve"> </w:t>
      </w:r>
      <w:r w:rsidR="00015C1B" w:rsidRPr="00A156F4">
        <w:rPr>
          <w:sz w:val="22"/>
          <w:szCs w:val="22"/>
        </w:rPr>
        <w:t>sus resoluciones firmes</w:t>
      </w:r>
      <w:r w:rsidR="001D3991" w:rsidRPr="00A156F4">
        <w:rPr>
          <w:sz w:val="22"/>
          <w:szCs w:val="22"/>
        </w:rPr>
        <w:t>;</w:t>
      </w:r>
      <w:r w:rsidR="00015C1B" w:rsidRPr="00A156F4">
        <w:rPr>
          <w:sz w:val="22"/>
          <w:szCs w:val="22"/>
        </w:rPr>
        <w:t xml:space="preserve"> acuerdos</w:t>
      </w:r>
      <w:r w:rsidR="001D3991" w:rsidRPr="00A156F4">
        <w:rPr>
          <w:sz w:val="22"/>
          <w:szCs w:val="22"/>
        </w:rPr>
        <w:t>;</w:t>
      </w:r>
      <w:r w:rsidR="00015C1B" w:rsidRPr="00A156F4">
        <w:rPr>
          <w:sz w:val="22"/>
          <w:szCs w:val="22"/>
        </w:rPr>
        <w:t xml:space="preserve"> estudios de mercado y sus recomendaciones</w:t>
      </w:r>
      <w:r w:rsidR="001D3991" w:rsidRPr="00A156F4">
        <w:rPr>
          <w:sz w:val="22"/>
          <w:szCs w:val="22"/>
        </w:rPr>
        <w:t>;</w:t>
      </w:r>
      <w:r w:rsidR="00015C1B" w:rsidRPr="00A156F4">
        <w:rPr>
          <w:sz w:val="22"/>
          <w:szCs w:val="22"/>
        </w:rPr>
        <w:t xml:space="preserve"> criterios opiniones</w:t>
      </w:r>
      <w:r w:rsidR="001D3991" w:rsidRPr="00A156F4">
        <w:rPr>
          <w:sz w:val="22"/>
          <w:szCs w:val="22"/>
        </w:rPr>
        <w:t>;</w:t>
      </w:r>
      <w:r w:rsidR="00F91D55" w:rsidRPr="00A156F4">
        <w:rPr>
          <w:sz w:val="22"/>
          <w:szCs w:val="22"/>
        </w:rPr>
        <w:t xml:space="preserve"> </w:t>
      </w:r>
      <w:r w:rsidR="001D3991" w:rsidRPr="00A156F4">
        <w:rPr>
          <w:sz w:val="22"/>
          <w:szCs w:val="22"/>
        </w:rPr>
        <w:t xml:space="preserve">y </w:t>
      </w:r>
      <w:r w:rsidR="00F91D55" w:rsidRPr="00A156F4">
        <w:rPr>
          <w:sz w:val="22"/>
          <w:szCs w:val="22"/>
        </w:rPr>
        <w:t>guías</w:t>
      </w:r>
      <w:r w:rsidR="00015C1B" w:rsidRPr="00A156F4">
        <w:rPr>
          <w:sz w:val="22"/>
          <w:szCs w:val="22"/>
        </w:rPr>
        <w:t xml:space="preserve">, así como las decisiones y motivaciones brindadas por la </w:t>
      </w:r>
      <w:r w:rsidR="000A1470" w:rsidRPr="00A156F4">
        <w:rPr>
          <w:sz w:val="22"/>
          <w:szCs w:val="22"/>
        </w:rPr>
        <w:t>A</w:t>
      </w:r>
      <w:r w:rsidR="00015C1B" w:rsidRPr="00A156F4">
        <w:rPr>
          <w:sz w:val="22"/>
          <w:szCs w:val="22"/>
        </w:rPr>
        <w:t xml:space="preserve">dministración </w:t>
      </w:r>
      <w:r w:rsidR="000A1470" w:rsidRPr="00A156F4">
        <w:rPr>
          <w:sz w:val="22"/>
          <w:szCs w:val="22"/>
        </w:rPr>
        <w:t>P</w:t>
      </w:r>
      <w:r w:rsidR="00015C1B" w:rsidRPr="00A156F4">
        <w:rPr>
          <w:sz w:val="22"/>
          <w:szCs w:val="22"/>
        </w:rPr>
        <w:t>ública o los agentes económicos</w:t>
      </w:r>
      <w:r w:rsidR="001D3991" w:rsidRPr="00A156F4">
        <w:rPr>
          <w:sz w:val="22"/>
          <w:szCs w:val="22"/>
        </w:rPr>
        <w:t>,</w:t>
      </w:r>
      <w:r w:rsidR="00015C1B" w:rsidRPr="00A156F4">
        <w:rPr>
          <w:sz w:val="22"/>
          <w:szCs w:val="22"/>
        </w:rPr>
        <w:t xml:space="preserve"> que se aparten de sus opiniones y recomendaciones</w:t>
      </w:r>
      <w:r w:rsidR="00960BF1" w:rsidRPr="00A156F4">
        <w:rPr>
          <w:sz w:val="22"/>
          <w:szCs w:val="22"/>
        </w:rPr>
        <w:t>.</w:t>
      </w:r>
      <w:r w:rsidR="001D3991" w:rsidRPr="00A156F4">
        <w:rPr>
          <w:sz w:val="22"/>
          <w:szCs w:val="22"/>
        </w:rPr>
        <w:t xml:space="preserve"> Dichas publicaciones se realizarán en resguardo de la información confidencial a la que se tuvo acceso.</w:t>
      </w:r>
    </w:p>
    <w:p w14:paraId="557E9A7C" w14:textId="10CA1675" w:rsidR="005F7DB9" w:rsidRPr="00A156F4" w:rsidRDefault="005F7DB9" w:rsidP="004B2F8B">
      <w:pPr>
        <w:widowControl w:val="0"/>
        <w:jc w:val="both"/>
        <w:rPr>
          <w:sz w:val="22"/>
          <w:szCs w:val="22"/>
          <w:lang w:eastAsia="es-CR"/>
        </w:rPr>
      </w:pPr>
    </w:p>
    <w:p w14:paraId="3D54BE4B" w14:textId="77777777" w:rsidR="002537F9" w:rsidRPr="00A156F4" w:rsidRDefault="002537F9" w:rsidP="00B666CC">
      <w:pPr>
        <w:widowControl w:val="0"/>
        <w:ind w:firstLine="708"/>
        <w:jc w:val="center"/>
        <w:rPr>
          <w:b/>
          <w:sz w:val="22"/>
          <w:szCs w:val="22"/>
          <w:lang w:eastAsia="es-CR"/>
        </w:rPr>
      </w:pPr>
      <w:bookmarkStart w:id="14" w:name="_Hlk523045445"/>
      <w:bookmarkStart w:id="15" w:name="_Hlk536449076"/>
    </w:p>
    <w:p w14:paraId="61245FE1" w14:textId="33CC3D34" w:rsidR="00B666CC" w:rsidRPr="00A156F4" w:rsidRDefault="00B666CC" w:rsidP="00B666CC">
      <w:pPr>
        <w:widowControl w:val="0"/>
        <w:ind w:firstLine="708"/>
        <w:jc w:val="center"/>
        <w:rPr>
          <w:b/>
          <w:sz w:val="22"/>
          <w:szCs w:val="22"/>
          <w:lang w:eastAsia="es-CR"/>
        </w:rPr>
      </w:pPr>
      <w:r w:rsidRPr="00A156F4">
        <w:rPr>
          <w:b/>
          <w:sz w:val="22"/>
          <w:szCs w:val="22"/>
          <w:lang w:eastAsia="es-CR"/>
        </w:rPr>
        <w:t>TÍTULO III</w:t>
      </w:r>
    </w:p>
    <w:p w14:paraId="4B7F1C5F" w14:textId="77777777" w:rsidR="00B666CC" w:rsidRPr="00A156F4" w:rsidRDefault="00B666CC" w:rsidP="00B666CC">
      <w:pPr>
        <w:widowControl w:val="0"/>
        <w:ind w:firstLine="708"/>
        <w:jc w:val="center"/>
        <w:rPr>
          <w:b/>
          <w:sz w:val="22"/>
          <w:szCs w:val="22"/>
          <w:lang w:eastAsia="es-CR"/>
        </w:rPr>
      </w:pPr>
      <w:r w:rsidRPr="00A156F4">
        <w:rPr>
          <w:b/>
          <w:sz w:val="22"/>
          <w:szCs w:val="22"/>
          <w:lang w:eastAsia="es-CR"/>
        </w:rPr>
        <w:t>Defensa de la Competencia</w:t>
      </w:r>
    </w:p>
    <w:p w14:paraId="667035FC" w14:textId="77777777" w:rsidR="00B666CC" w:rsidRPr="00A156F4" w:rsidRDefault="00B666CC" w:rsidP="00B666CC">
      <w:pPr>
        <w:widowControl w:val="0"/>
        <w:rPr>
          <w:b/>
          <w:sz w:val="22"/>
          <w:szCs w:val="22"/>
          <w:lang w:eastAsia="es-CR"/>
        </w:rPr>
      </w:pPr>
    </w:p>
    <w:p w14:paraId="79D3FDB4" w14:textId="77A238AA" w:rsidR="00B666CC" w:rsidRPr="00A156F4" w:rsidRDefault="00B666CC" w:rsidP="00B666CC">
      <w:pPr>
        <w:widowControl w:val="0"/>
        <w:ind w:firstLine="708"/>
        <w:jc w:val="center"/>
        <w:rPr>
          <w:b/>
          <w:sz w:val="22"/>
          <w:szCs w:val="22"/>
          <w:lang w:eastAsia="es-CR"/>
        </w:rPr>
      </w:pPr>
      <w:r w:rsidRPr="00A156F4">
        <w:rPr>
          <w:b/>
          <w:sz w:val="22"/>
          <w:szCs w:val="22"/>
          <w:lang w:eastAsia="es-CR"/>
        </w:rPr>
        <w:t>CAPÍTULO I</w:t>
      </w:r>
    </w:p>
    <w:p w14:paraId="54B8D794" w14:textId="77777777" w:rsidR="00B666CC" w:rsidRPr="00A156F4" w:rsidRDefault="00B666CC" w:rsidP="00B666CC">
      <w:pPr>
        <w:widowControl w:val="0"/>
        <w:ind w:firstLine="708"/>
        <w:jc w:val="center"/>
        <w:rPr>
          <w:b/>
          <w:sz w:val="22"/>
          <w:szCs w:val="22"/>
          <w:lang w:eastAsia="es-CR"/>
        </w:rPr>
      </w:pPr>
      <w:r w:rsidRPr="00A156F4">
        <w:rPr>
          <w:b/>
          <w:sz w:val="22"/>
          <w:szCs w:val="22"/>
          <w:lang w:eastAsia="es-CR"/>
        </w:rPr>
        <w:t>Del Procedimiento Especial</w:t>
      </w:r>
    </w:p>
    <w:p w14:paraId="523325E7" w14:textId="77777777" w:rsidR="00B666CC" w:rsidRPr="00A156F4" w:rsidRDefault="00B666CC" w:rsidP="00B666CC">
      <w:pPr>
        <w:widowControl w:val="0"/>
        <w:ind w:firstLine="708"/>
        <w:jc w:val="center"/>
        <w:rPr>
          <w:b/>
          <w:sz w:val="22"/>
          <w:szCs w:val="22"/>
          <w:lang w:eastAsia="es-CR"/>
        </w:rPr>
      </w:pPr>
    </w:p>
    <w:p w14:paraId="0F41E04B" w14:textId="77777777" w:rsidR="00B666CC" w:rsidRPr="00A156F4" w:rsidRDefault="00B666CC" w:rsidP="00B666CC">
      <w:pPr>
        <w:widowControl w:val="0"/>
        <w:ind w:firstLine="708"/>
        <w:jc w:val="center"/>
        <w:rPr>
          <w:b/>
          <w:sz w:val="22"/>
          <w:szCs w:val="22"/>
          <w:lang w:eastAsia="es-CR"/>
        </w:rPr>
      </w:pPr>
      <w:r w:rsidRPr="00A156F4">
        <w:rPr>
          <w:b/>
          <w:sz w:val="22"/>
          <w:szCs w:val="22"/>
          <w:lang w:eastAsia="es-CR"/>
        </w:rPr>
        <w:t>SECCIÓN I</w:t>
      </w:r>
    </w:p>
    <w:p w14:paraId="6D465AC3" w14:textId="77777777" w:rsidR="00B666CC" w:rsidRPr="00A156F4" w:rsidRDefault="00B666CC" w:rsidP="00B666CC">
      <w:pPr>
        <w:widowControl w:val="0"/>
        <w:ind w:firstLine="708"/>
        <w:jc w:val="center"/>
        <w:rPr>
          <w:b/>
          <w:sz w:val="22"/>
          <w:szCs w:val="22"/>
          <w:lang w:eastAsia="es-CR"/>
        </w:rPr>
      </w:pPr>
      <w:r w:rsidRPr="00A156F4">
        <w:rPr>
          <w:b/>
          <w:sz w:val="22"/>
          <w:szCs w:val="22"/>
          <w:lang w:eastAsia="es-CR"/>
        </w:rPr>
        <w:t>Generalidades del procedimiento</w:t>
      </w:r>
    </w:p>
    <w:bookmarkEnd w:id="14"/>
    <w:p w14:paraId="3F14C98D" w14:textId="74F96C92" w:rsidR="00B666CC" w:rsidRPr="00A156F4" w:rsidRDefault="00B666CC" w:rsidP="00B666CC">
      <w:pPr>
        <w:widowControl w:val="0"/>
        <w:jc w:val="center"/>
        <w:rPr>
          <w:sz w:val="22"/>
          <w:szCs w:val="22"/>
          <w:lang w:eastAsia="es-CR"/>
        </w:rPr>
      </w:pPr>
    </w:p>
    <w:p w14:paraId="4A422F54" w14:textId="77777777" w:rsidR="00A156F4" w:rsidRDefault="00A156F4" w:rsidP="00B666CC">
      <w:pPr>
        <w:pStyle w:val="Prrafodelista"/>
        <w:spacing w:after="0" w:line="240" w:lineRule="auto"/>
        <w:ind w:left="0"/>
        <w:contextualSpacing/>
        <w:jc w:val="both"/>
        <w:rPr>
          <w:rFonts w:ascii="Times New Roman" w:eastAsiaTheme="minorHAnsi" w:hAnsi="Times New Roman"/>
          <w:b/>
        </w:rPr>
      </w:pPr>
    </w:p>
    <w:p w14:paraId="1B84F07B" w14:textId="0CEBB9C3"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2</w:t>
      </w:r>
      <w:r w:rsidR="00B82C4F" w:rsidRPr="00A156F4">
        <w:rPr>
          <w:rFonts w:ascii="Times New Roman" w:hAnsi="Times New Roman"/>
          <w:b/>
        </w:rPr>
        <w:t>8</w:t>
      </w:r>
      <w:r w:rsidRPr="00A156F4">
        <w:rPr>
          <w:rFonts w:ascii="Times New Roman" w:hAnsi="Times New Roman"/>
          <w:b/>
        </w:rPr>
        <w:t>.- Objeto del procedimiento especial</w:t>
      </w:r>
    </w:p>
    <w:p w14:paraId="560A5262" w14:textId="77777777" w:rsidR="00B666CC" w:rsidRPr="00A156F4" w:rsidRDefault="00B666CC" w:rsidP="00B666CC">
      <w:pPr>
        <w:pStyle w:val="Prrafodelista"/>
        <w:spacing w:after="0" w:line="240" w:lineRule="auto"/>
        <w:ind w:left="0"/>
        <w:contextualSpacing/>
        <w:jc w:val="both"/>
        <w:rPr>
          <w:rFonts w:ascii="Times New Roman" w:hAnsi="Times New Roman"/>
          <w:b/>
        </w:rPr>
      </w:pPr>
    </w:p>
    <w:p w14:paraId="6507602D" w14:textId="4E22A520" w:rsidR="00B666CC" w:rsidRPr="00A156F4" w:rsidRDefault="00B666CC" w:rsidP="00B666CC">
      <w:pPr>
        <w:jc w:val="both"/>
        <w:rPr>
          <w:sz w:val="22"/>
          <w:szCs w:val="22"/>
        </w:rPr>
      </w:pPr>
      <w:r w:rsidRPr="00A156F4">
        <w:rPr>
          <w:sz w:val="22"/>
          <w:szCs w:val="22"/>
        </w:rPr>
        <w:t xml:space="preserve">Cada autoridad de competencia investigará, instruirá y sancionará, conforme al procedimiento especial establecido en el presente capítulo, las posibles prácticas monopolísticas, concentraciones ilícitas y demás infracciones establecidas en la Ley de Promoción de la Competencia y Defensa Efectiva del Consumidor, Ley </w:t>
      </w:r>
      <w:proofErr w:type="spellStart"/>
      <w:r w:rsidRPr="00A156F4">
        <w:rPr>
          <w:sz w:val="22"/>
          <w:szCs w:val="22"/>
        </w:rPr>
        <w:t>N°</w:t>
      </w:r>
      <w:proofErr w:type="spellEnd"/>
      <w:r w:rsidRPr="00A156F4">
        <w:rPr>
          <w:sz w:val="22"/>
          <w:szCs w:val="22"/>
        </w:rPr>
        <w:t xml:space="preserve"> 7472, del 20 de diciembre de 1994</w:t>
      </w:r>
      <w:r w:rsidR="00FE546D" w:rsidRPr="00A156F4">
        <w:rPr>
          <w:sz w:val="22"/>
          <w:szCs w:val="22"/>
        </w:rPr>
        <w:t>,</w:t>
      </w:r>
      <w:r w:rsidRPr="00A156F4">
        <w:rPr>
          <w:sz w:val="22"/>
          <w:szCs w:val="22"/>
        </w:rPr>
        <w:t xml:space="preserve"> sus reformas y sus reglamentos; en la Ley General de Telecomunicaciones, Ley </w:t>
      </w:r>
      <w:proofErr w:type="spellStart"/>
      <w:r w:rsidRPr="00A156F4">
        <w:rPr>
          <w:sz w:val="22"/>
          <w:szCs w:val="22"/>
        </w:rPr>
        <w:t>N°</w:t>
      </w:r>
      <w:proofErr w:type="spellEnd"/>
      <w:r w:rsidRPr="00A156F4">
        <w:rPr>
          <w:sz w:val="22"/>
          <w:szCs w:val="22"/>
        </w:rPr>
        <w:t xml:space="preserve"> 8642, del 4 de junio de 2008, sus reformas y sus reglamentos</w:t>
      </w:r>
      <w:r w:rsidR="00A946AB" w:rsidRPr="00A156F4">
        <w:rPr>
          <w:sz w:val="22"/>
          <w:szCs w:val="22"/>
        </w:rPr>
        <w:t>, en lo referente al régimen sectorial de competencia</w:t>
      </w:r>
      <w:r w:rsidR="00B37115" w:rsidRPr="00A156F4">
        <w:rPr>
          <w:sz w:val="22"/>
          <w:szCs w:val="22"/>
        </w:rPr>
        <w:t>; y en la presente ley, sus reformas y sus reglamentos.</w:t>
      </w:r>
    </w:p>
    <w:p w14:paraId="670191BC" w14:textId="77777777" w:rsidR="00B666CC" w:rsidRPr="00A156F4" w:rsidRDefault="00B666CC" w:rsidP="00B666CC">
      <w:pPr>
        <w:pStyle w:val="Prrafodelista"/>
        <w:spacing w:after="0" w:line="240" w:lineRule="auto"/>
        <w:ind w:left="0"/>
        <w:contextualSpacing/>
        <w:jc w:val="both"/>
        <w:rPr>
          <w:rFonts w:ascii="Times New Roman" w:eastAsiaTheme="minorHAnsi" w:hAnsi="Times New Roman"/>
          <w:b/>
        </w:rPr>
      </w:pPr>
    </w:p>
    <w:p w14:paraId="4240CF02" w14:textId="20CEA7C6"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2</w:t>
      </w:r>
      <w:r w:rsidR="00B82C4F" w:rsidRPr="00A156F4">
        <w:rPr>
          <w:rFonts w:ascii="Times New Roman" w:hAnsi="Times New Roman"/>
          <w:b/>
        </w:rPr>
        <w:t>9</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Principios generales</w:t>
      </w:r>
    </w:p>
    <w:p w14:paraId="4B526747" w14:textId="77777777" w:rsidR="00B666CC" w:rsidRPr="00A156F4" w:rsidRDefault="00B666CC" w:rsidP="00B666CC">
      <w:pPr>
        <w:pStyle w:val="Prrafodelista"/>
        <w:spacing w:after="0" w:line="240" w:lineRule="auto"/>
        <w:ind w:left="0"/>
        <w:contextualSpacing/>
        <w:jc w:val="both"/>
        <w:rPr>
          <w:rFonts w:ascii="Times New Roman" w:hAnsi="Times New Roman"/>
          <w:b/>
        </w:rPr>
      </w:pPr>
    </w:p>
    <w:p w14:paraId="1ED2988A" w14:textId="3257CE5E" w:rsidR="00B666CC" w:rsidRPr="00A156F4" w:rsidRDefault="00B666CC" w:rsidP="00B666CC">
      <w:pPr>
        <w:jc w:val="both"/>
        <w:rPr>
          <w:sz w:val="22"/>
          <w:szCs w:val="22"/>
        </w:rPr>
      </w:pPr>
      <w:r w:rsidRPr="00A156F4">
        <w:rPr>
          <w:sz w:val="22"/>
          <w:szCs w:val="22"/>
        </w:rPr>
        <w:t xml:space="preserve">El procedimiento especial se regirá por el respeto a los principios que informan el debido proceso, así como a los principios de celeridad, oralidad, simplicidad, informalismo, verdad real, impulso de oficio, imparcialidad, publicidad, transparencia, no discriminación y buena fe. </w:t>
      </w:r>
    </w:p>
    <w:p w14:paraId="7FCDF3AB" w14:textId="77777777" w:rsidR="00B666CC" w:rsidRPr="00A156F4" w:rsidRDefault="00B666CC" w:rsidP="00B666CC">
      <w:pPr>
        <w:jc w:val="both"/>
        <w:rPr>
          <w:sz w:val="22"/>
          <w:szCs w:val="22"/>
        </w:rPr>
      </w:pPr>
    </w:p>
    <w:p w14:paraId="1B09E23B" w14:textId="6DCA8EEE"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00B82C4F" w:rsidRPr="00A156F4">
        <w:rPr>
          <w:rFonts w:ascii="Times New Roman" w:hAnsi="Times New Roman"/>
          <w:b/>
        </w:rPr>
        <w:t>30</w:t>
      </w:r>
      <w:r w:rsidRPr="00A156F4">
        <w:rPr>
          <w:rFonts w:ascii="Times New Roman" w:hAnsi="Times New Roman"/>
          <w:b/>
        </w:rPr>
        <w:t xml:space="preserve">.- Etapas </w:t>
      </w:r>
      <w:r w:rsidR="00990549" w:rsidRPr="00A156F4">
        <w:rPr>
          <w:rFonts w:ascii="Times New Roman" w:hAnsi="Times New Roman"/>
          <w:b/>
        </w:rPr>
        <w:t xml:space="preserve">e inicio </w:t>
      </w:r>
      <w:r w:rsidRPr="00A156F4">
        <w:rPr>
          <w:rFonts w:ascii="Times New Roman" w:hAnsi="Times New Roman"/>
          <w:b/>
        </w:rPr>
        <w:t>del procedimiento especial</w:t>
      </w:r>
    </w:p>
    <w:p w14:paraId="6538B5B1" w14:textId="77777777" w:rsidR="00B666CC" w:rsidRPr="00A156F4" w:rsidRDefault="00B666CC" w:rsidP="00B666CC">
      <w:pPr>
        <w:pStyle w:val="Prrafodelista"/>
        <w:spacing w:after="0" w:line="240" w:lineRule="auto"/>
        <w:ind w:left="0"/>
        <w:contextualSpacing/>
        <w:jc w:val="both"/>
        <w:rPr>
          <w:rFonts w:ascii="Times New Roman" w:hAnsi="Times New Roman"/>
          <w:b/>
        </w:rPr>
      </w:pPr>
    </w:p>
    <w:p w14:paraId="44C047C1" w14:textId="67EA23E0" w:rsidR="00B666CC" w:rsidRPr="00A156F4" w:rsidRDefault="00B666CC" w:rsidP="00B666CC">
      <w:pPr>
        <w:jc w:val="both"/>
        <w:rPr>
          <w:sz w:val="22"/>
          <w:szCs w:val="22"/>
        </w:rPr>
      </w:pPr>
      <w:bookmarkStart w:id="16" w:name="_Hlk536087960"/>
      <w:r w:rsidRPr="00A156F4">
        <w:rPr>
          <w:sz w:val="22"/>
          <w:szCs w:val="22"/>
        </w:rPr>
        <w:t xml:space="preserve">El procedimiento especial comprenderá tres etapas: investigación preliminar, instrucción y </w:t>
      </w:r>
      <w:r w:rsidR="00254FF3" w:rsidRPr="00A156F4">
        <w:rPr>
          <w:sz w:val="22"/>
          <w:szCs w:val="22"/>
        </w:rPr>
        <w:t xml:space="preserve">decisión. </w:t>
      </w:r>
      <w:bookmarkEnd w:id="16"/>
      <w:r w:rsidR="00254FF3" w:rsidRPr="00A156F4">
        <w:rPr>
          <w:sz w:val="22"/>
          <w:szCs w:val="22"/>
        </w:rPr>
        <w:t>Este podrá</w:t>
      </w:r>
      <w:r w:rsidRPr="00A156F4">
        <w:rPr>
          <w:sz w:val="22"/>
          <w:szCs w:val="22"/>
        </w:rPr>
        <w:t xml:space="preserve"> iniciar de oficio o por denuncia. La denuncia podrá ser interpuesta por cualquier persona física o jurídica, sea o no agraviada por el hecho denunciado. </w:t>
      </w:r>
    </w:p>
    <w:p w14:paraId="1F8D959A" w14:textId="77777777" w:rsidR="00B666CC" w:rsidRPr="00A156F4" w:rsidRDefault="00B666CC" w:rsidP="00B666CC">
      <w:pPr>
        <w:jc w:val="both"/>
        <w:rPr>
          <w:sz w:val="22"/>
          <w:szCs w:val="22"/>
        </w:rPr>
      </w:pPr>
    </w:p>
    <w:p w14:paraId="15B0EA4C" w14:textId="2225ABBF" w:rsidR="00B666CC" w:rsidRPr="00A156F4" w:rsidRDefault="00B666CC" w:rsidP="00B666CC">
      <w:pPr>
        <w:jc w:val="both"/>
        <w:rPr>
          <w:sz w:val="22"/>
          <w:szCs w:val="22"/>
        </w:rPr>
      </w:pPr>
      <w:r w:rsidRPr="00A156F4">
        <w:rPr>
          <w:sz w:val="22"/>
          <w:szCs w:val="22"/>
        </w:rPr>
        <w:t xml:space="preserve">Toda entidad pública, estatal o no estatal, deberá denunciar ante la autoridad de competencia correspondiente las prácticas contrarias a la competencia que lleguen a conocer con motivo del ejercicio de sus funciones, tipificadas en la Ley de Promoción de la Competencia y Defensa Efectiva del Consumidor, Ley </w:t>
      </w:r>
      <w:proofErr w:type="spellStart"/>
      <w:r w:rsidRPr="00A156F4">
        <w:rPr>
          <w:sz w:val="22"/>
          <w:szCs w:val="22"/>
        </w:rPr>
        <w:t>N°</w:t>
      </w:r>
      <w:proofErr w:type="spellEnd"/>
      <w:r w:rsidRPr="00A156F4">
        <w:rPr>
          <w:sz w:val="22"/>
          <w:szCs w:val="22"/>
        </w:rPr>
        <w:t>. 7472, del 20 de diciembre de 1994</w:t>
      </w:r>
      <w:r w:rsidR="00FE546D" w:rsidRPr="00A156F4">
        <w:rPr>
          <w:sz w:val="22"/>
          <w:szCs w:val="22"/>
        </w:rPr>
        <w:t>,</w:t>
      </w:r>
      <w:r w:rsidRPr="00A156F4">
        <w:rPr>
          <w:sz w:val="22"/>
          <w:szCs w:val="22"/>
        </w:rPr>
        <w:t xml:space="preserve"> sus reformas y sus reglamentos, y en la Ley General de Telecomunicaciones, Ley </w:t>
      </w:r>
      <w:proofErr w:type="spellStart"/>
      <w:r w:rsidRPr="00A156F4">
        <w:rPr>
          <w:sz w:val="22"/>
          <w:szCs w:val="22"/>
        </w:rPr>
        <w:t>N°</w:t>
      </w:r>
      <w:proofErr w:type="spellEnd"/>
      <w:r w:rsidRPr="00A156F4">
        <w:rPr>
          <w:sz w:val="22"/>
          <w:szCs w:val="22"/>
        </w:rPr>
        <w:t>. 8642, del 4 de junio de 2008, sus reformas y sus reglamentos.</w:t>
      </w:r>
    </w:p>
    <w:p w14:paraId="3F1925AC" w14:textId="77777777" w:rsidR="00B666CC" w:rsidRPr="00A156F4" w:rsidRDefault="00B666CC" w:rsidP="00B666CC">
      <w:pPr>
        <w:jc w:val="both"/>
        <w:rPr>
          <w:sz w:val="22"/>
          <w:szCs w:val="22"/>
        </w:rPr>
      </w:pPr>
    </w:p>
    <w:p w14:paraId="42C71CF0" w14:textId="33070A68"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3</w:t>
      </w:r>
      <w:r w:rsidR="00B82C4F" w:rsidRPr="00A156F4">
        <w:rPr>
          <w:rFonts w:ascii="Times New Roman" w:hAnsi="Times New Roman"/>
          <w:b/>
        </w:rPr>
        <w:t>1</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Denuncia</w:t>
      </w:r>
    </w:p>
    <w:p w14:paraId="6BADFAC7" w14:textId="77777777" w:rsidR="00B666CC" w:rsidRPr="00A156F4" w:rsidRDefault="00B666CC" w:rsidP="00B666CC">
      <w:pPr>
        <w:jc w:val="both"/>
        <w:rPr>
          <w:sz w:val="22"/>
          <w:szCs w:val="22"/>
        </w:rPr>
      </w:pPr>
    </w:p>
    <w:p w14:paraId="5BBACA9B" w14:textId="3FF14324" w:rsidR="002608F2" w:rsidRPr="00A156F4" w:rsidRDefault="00252D5F" w:rsidP="002608F2">
      <w:pPr>
        <w:jc w:val="both"/>
        <w:rPr>
          <w:sz w:val="22"/>
          <w:szCs w:val="22"/>
        </w:rPr>
      </w:pPr>
      <w:r w:rsidRPr="00A156F4">
        <w:rPr>
          <w:sz w:val="22"/>
          <w:szCs w:val="22"/>
        </w:rPr>
        <w:t>La denuncia deberá dirigirse al Órgano Técnico de la autoridad de competencia correspondiente. Esta</w:t>
      </w:r>
      <w:r w:rsidR="00972D23" w:rsidRPr="00A156F4">
        <w:rPr>
          <w:sz w:val="22"/>
          <w:szCs w:val="22"/>
        </w:rPr>
        <w:t xml:space="preserve"> </w:t>
      </w:r>
      <w:r w:rsidR="002608F2" w:rsidRPr="00A156F4">
        <w:rPr>
          <w:sz w:val="22"/>
          <w:szCs w:val="22"/>
        </w:rPr>
        <w:t>podrá formularse por escrito y deberá estar firmada</w:t>
      </w:r>
      <w:r w:rsidR="00972D23" w:rsidRPr="00A156F4">
        <w:rPr>
          <w:sz w:val="22"/>
          <w:szCs w:val="22"/>
        </w:rPr>
        <w:t xml:space="preserve"> y</w:t>
      </w:r>
      <w:r w:rsidR="007220D9" w:rsidRPr="00A156F4">
        <w:rPr>
          <w:sz w:val="22"/>
          <w:szCs w:val="22"/>
        </w:rPr>
        <w:t xml:space="preserve"> </w:t>
      </w:r>
      <w:r w:rsidR="00A931F0" w:rsidRPr="00A156F4">
        <w:rPr>
          <w:sz w:val="22"/>
          <w:szCs w:val="22"/>
        </w:rPr>
        <w:t xml:space="preserve">autenticada </w:t>
      </w:r>
      <w:r w:rsidR="007220D9" w:rsidRPr="00A156F4">
        <w:rPr>
          <w:sz w:val="22"/>
          <w:szCs w:val="22"/>
        </w:rPr>
        <w:t>por un abogado.</w:t>
      </w:r>
      <w:r w:rsidR="00972D23" w:rsidRPr="00A156F4">
        <w:rPr>
          <w:sz w:val="22"/>
          <w:szCs w:val="22"/>
        </w:rPr>
        <w:t xml:space="preserve"> </w:t>
      </w:r>
      <w:r w:rsidR="007220D9" w:rsidRPr="00A156F4">
        <w:rPr>
          <w:sz w:val="22"/>
          <w:szCs w:val="22"/>
        </w:rPr>
        <w:t>D</w:t>
      </w:r>
      <w:r w:rsidR="002608F2" w:rsidRPr="00A156F4">
        <w:rPr>
          <w:sz w:val="22"/>
          <w:szCs w:val="22"/>
        </w:rPr>
        <w:t>e ser necesario</w:t>
      </w:r>
      <w:r w:rsidRPr="00A156F4">
        <w:rPr>
          <w:sz w:val="22"/>
          <w:szCs w:val="22"/>
        </w:rPr>
        <w:t>, deberá</w:t>
      </w:r>
      <w:r w:rsidR="002608F2" w:rsidRPr="00A156F4">
        <w:rPr>
          <w:sz w:val="22"/>
          <w:szCs w:val="22"/>
        </w:rPr>
        <w:t xml:space="preserve"> acompañarse de la personería jurídica correspondiente en la que consten las facultes de representación del firmante. Asimismo, el denunciante podrá apersonarse ante el Órgano Técnico correspondiente o ante cualquier otra oficina habilitada al efecto y realizar la denuncia de manera verbal, de la que se levantará un acta que contenga los requisitos indicados en el párrafo anterior. Esta acta deberá ser firmada por el denunciante y por el funcionario que reciba la denuncia. </w:t>
      </w:r>
    </w:p>
    <w:p w14:paraId="27FB7E8B" w14:textId="77777777" w:rsidR="002608F2" w:rsidRPr="00A156F4" w:rsidRDefault="002608F2" w:rsidP="002608F2">
      <w:pPr>
        <w:jc w:val="both"/>
        <w:rPr>
          <w:sz w:val="22"/>
          <w:szCs w:val="22"/>
        </w:rPr>
      </w:pPr>
    </w:p>
    <w:p w14:paraId="763252FD" w14:textId="77777777" w:rsidR="002608F2" w:rsidRPr="00A156F4" w:rsidRDefault="002608F2" w:rsidP="002608F2">
      <w:pPr>
        <w:jc w:val="both"/>
        <w:rPr>
          <w:sz w:val="22"/>
          <w:szCs w:val="22"/>
        </w:rPr>
      </w:pPr>
      <w:r w:rsidRPr="00A156F4">
        <w:rPr>
          <w:sz w:val="22"/>
          <w:szCs w:val="22"/>
        </w:rPr>
        <w:t>Cuando la denuncia sea interpuesta ante cualquier otro ente u órgano de la Administración Pública, este deberá remitirla en un plazo no mayor de cinco días hábiles al Órgano Técnico de la autoridad de competencia correspondiente, en cuyo caso la denuncia se tendrá por interpuesta el día que sea recibida por el Órgano Técnico respectivo.</w:t>
      </w:r>
    </w:p>
    <w:p w14:paraId="5410D671" w14:textId="03A6B278" w:rsidR="002608F2" w:rsidRPr="00A156F4" w:rsidRDefault="002608F2" w:rsidP="00B666CC">
      <w:pPr>
        <w:jc w:val="both"/>
        <w:rPr>
          <w:sz w:val="22"/>
          <w:szCs w:val="22"/>
        </w:rPr>
      </w:pPr>
    </w:p>
    <w:p w14:paraId="1AC3ED99" w14:textId="30270974" w:rsidR="002608F2" w:rsidRPr="00A156F4" w:rsidRDefault="002608F2" w:rsidP="002608F2">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3</w:t>
      </w:r>
      <w:r w:rsidR="00B82C4F" w:rsidRPr="00A156F4">
        <w:rPr>
          <w:rFonts w:ascii="Times New Roman" w:hAnsi="Times New Roman"/>
          <w:b/>
        </w:rPr>
        <w:t>2</w:t>
      </w:r>
      <w:r w:rsidRPr="00A156F4">
        <w:rPr>
          <w:rFonts w:ascii="Times New Roman" w:hAnsi="Times New Roman"/>
          <w:b/>
        </w:rPr>
        <w:t>.</w:t>
      </w:r>
      <w:r w:rsidR="00F153AC" w:rsidRPr="00A156F4">
        <w:rPr>
          <w:rFonts w:ascii="Times New Roman" w:hAnsi="Times New Roman"/>
          <w:b/>
        </w:rPr>
        <w:t>-</w:t>
      </w:r>
      <w:r w:rsidR="00B82C4F" w:rsidRPr="00A156F4">
        <w:rPr>
          <w:rFonts w:ascii="Times New Roman" w:hAnsi="Times New Roman"/>
          <w:b/>
        </w:rPr>
        <w:t xml:space="preserve"> </w:t>
      </w:r>
      <w:r w:rsidRPr="00A156F4">
        <w:rPr>
          <w:rFonts w:ascii="Times New Roman" w:hAnsi="Times New Roman"/>
          <w:b/>
        </w:rPr>
        <w:t>Requisitos de la denuncia</w:t>
      </w:r>
    </w:p>
    <w:p w14:paraId="7BB575AD" w14:textId="77777777" w:rsidR="002608F2" w:rsidRPr="00A156F4" w:rsidRDefault="002608F2" w:rsidP="00B666CC">
      <w:pPr>
        <w:jc w:val="both"/>
        <w:rPr>
          <w:sz w:val="22"/>
          <w:szCs w:val="22"/>
        </w:rPr>
      </w:pPr>
    </w:p>
    <w:p w14:paraId="1042C173" w14:textId="5A0ED1FC" w:rsidR="0089779F" w:rsidRPr="00A156F4" w:rsidRDefault="00B666CC" w:rsidP="00B666CC">
      <w:pPr>
        <w:jc w:val="both"/>
        <w:rPr>
          <w:sz w:val="22"/>
          <w:szCs w:val="22"/>
        </w:rPr>
      </w:pPr>
      <w:r w:rsidRPr="00A156F4">
        <w:rPr>
          <w:sz w:val="22"/>
          <w:szCs w:val="22"/>
        </w:rPr>
        <w:t xml:space="preserve">La denuncia deberá contener </w:t>
      </w:r>
      <w:r w:rsidR="0089779F" w:rsidRPr="00A156F4">
        <w:rPr>
          <w:sz w:val="22"/>
          <w:szCs w:val="22"/>
        </w:rPr>
        <w:t>los siguientes elementos:</w:t>
      </w:r>
    </w:p>
    <w:p w14:paraId="416D00B0" w14:textId="77777777" w:rsidR="0089779F" w:rsidRPr="00A156F4" w:rsidRDefault="0089779F" w:rsidP="00B666CC">
      <w:pPr>
        <w:jc w:val="both"/>
        <w:rPr>
          <w:sz w:val="22"/>
          <w:szCs w:val="22"/>
        </w:rPr>
      </w:pPr>
    </w:p>
    <w:p w14:paraId="6FE45018" w14:textId="24E18BDA" w:rsidR="004F3197" w:rsidRPr="00A156F4" w:rsidRDefault="0089779F" w:rsidP="00117EE5">
      <w:pPr>
        <w:pStyle w:val="Prrafodelista"/>
        <w:numPr>
          <w:ilvl w:val="0"/>
          <w:numId w:val="34"/>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E</w:t>
      </w:r>
      <w:r w:rsidR="00B666CC" w:rsidRPr="00A156F4">
        <w:rPr>
          <w:rFonts w:ascii="Times New Roman" w:eastAsiaTheme="minorHAnsi" w:hAnsi="Times New Roman"/>
          <w:lang w:val="es-ES_tradnl" w:eastAsia="es-ES_tradnl"/>
        </w:rPr>
        <w:t>l nombre del denunciante</w:t>
      </w:r>
      <w:r w:rsidRPr="00A156F4">
        <w:rPr>
          <w:rFonts w:ascii="Times New Roman" w:eastAsiaTheme="minorHAnsi" w:hAnsi="Times New Roman"/>
          <w:lang w:val="es-ES_tradnl" w:eastAsia="es-ES_tradnl"/>
        </w:rPr>
        <w:t xml:space="preserve"> y su</w:t>
      </w:r>
      <w:r w:rsidR="00B666CC" w:rsidRPr="00A156F4">
        <w:rPr>
          <w:rFonts w:ascii="Times New Roman" w:eastAsiaTheme="minorHAnsi" w:hAnsi="Times New Roman"/>
          <w:lang w:val="es-ES_tradnl" w:eastAsia="es-ES_tradnl"/>
        </w:rPr>
        <w:t xml:space="preserve"> domicilio</w:t>
      </w:r>
      <w:r w:rsidRPr="00A156F4">
        <w:rPr>
          <w:rFonts w:ascii="Times New Roman" w:eastAsiaTheme="minorHAnsi" w:hAnsi="Times New Roman"/>
          <w:lang w:val="es-ES_tradnl" w:eastAsia="es-ES_tradnl"/>
        </w:rPr>
        <w:t>.</w:t>
      </w:r>
    </w:p>
    <w:p w14:paraId="15E21316" w14:textId="77777777" w:rsidR="00C90724" w:rsidRPr="00A156F4" w:rsidRDefault="00773A70" w:rsidP="00117EE5">
      <w:pPr>
        <w:pStyle w:val="Prrafodelista"/>
        <w:numPr>
          <w:ilvl w:val="0"/>
          <w:numId w:val="34"/>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 xml:space="preserve"> El </w:t>
      </w:r>
      <w:r w:rsidR="00B666CC" w:rsidRPr="00A156F4">
        <w:rPr>
          <w:rFonts w:ascii="Times New Roman" w:eastAsiaTheme="minorHAnsi" w:hAnsi="Times New Roman"/>
          <w:lang w:val="es-ES_tradnl" w:eastAsia="es-ES_tradnl"/>
        </w:rPr>
        <w:t>agente económico denunciado y los datos para ubicarlo</w:t>
      </w:r>
      <w:r w:rsidR="00C90724" w:rsidRPr="00A156F4">
        <w:rPr>
          <w:rFonts w:ascii="Times New Roman" w:eastAsiaTheme="minorHAnsi" w:hAnsi="Times New Roman"/>
          <w:lang w:val="es-ES_tradnl" w:eastAsia="es-ES_tradnl"/>
        </w:rPr>
        <w:t>.</w:t>
      </w:r>
    </w:p>
    <w:p w14:paraId="1854089C" w14:textId="77777777" w:rsidR="00C90724" w:rsidRPr="00A156F4" w:rsidRDefault="00B666CC" w:rsidP="00117EE5">
      <w:pPr>
        <w:pStyle w:val="Prrafodelista"/>
        <w:numPr>
          <w:ilvl w:val="0"/>
          <w:numId w:val="34"/>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 xml:space="preserve"> </w:t>
      </w:r>
      <w:r w:rsidR="00C90724" w:rsidRPr="00A156F4">
        <w:rPr>
          <w:rFonts w:ascii="Times New Roman" w:eastAsiaTheme="minorHAnsi" w:hAnsi="Times New Roman"/>
          <w:lang w:val="es-ES_tradnl" w:eastAsia="es-ES_tradnl"/>
        </w:rPr>
        <w:t>U</w:t>
      </w:r>
      <w:r w:rsidRPr="00A156F4">
        <w:rPr>
          <w:rFonts w:ascii="Times New Roman" w:eastAsiaTheme="minorHAnsi" w:hAnsi="Times New Roman"/>
          <w:lang w:val="es-ES_tradnl" w:eastAsia="es-ES_tradnl"/>
        </w:rPr>
        <w:t>na relación sucinta de los hechos o los actos denunciados</w:t>
      </w:r>
      <w:r w:rsidR="00C90724" w:rsidRPr="00A156F4">
        <w:rPr>
          <w:rFonts w:ascii="Times New Roman" w:eastAsiaTheme="minorHAnsi" w:hAnsi="Times New Roman"/>
          <w:lang w:val="es-ES_tradnl" w:eastAsia="es-ES_tradnl"/>
        </w:rPr>
        <w:t>.</w:t>
      </w:r>
    </w:p>
    <w:p w14:paraId="5F500778" w14:textId="0DB08E42" w:rsidR="00C90724" w:rsidRPr="00A156F4" w:rsidRDefault="00C90724" w:rsidP="00117EE5">
      <w:pPr>
        <w:pStyle w:val="Prrafodelista"/>
        <w:numPr>
          <w:ilvl w:val="0"/>
          <w:numId w:val="34"/>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L</w:t>
      </w:r>
      <w:r w:rsidR="00B666CC" w:rsidRPr="00A156F4">
        <w:rPr>
          <w:rFonts w:ascii="Times New Roman" w:eastAsiaTheme="minorHAnsi" w:hAnsi="Times New Roman"/>
          <w:lang w:val="es-ES_tradnl" w:eastAsia="es-ES_tradnl"/>
        </w:rPr>
        <w:t>as pruebas que obren en</w:t>
      </w:r>
      <w:r w:rsidRPr="00A156F4">
        <w:rPr>
          <w:rFonts w:ascii="Times New Roman" w:eastAsiaTheme="minorHAnsi" w:hAnsi="Times New Roman"/>
          <w:lang w:val="es-ES_tradnl" w:eastAsia="es-ES_tradnl"/>
        </w:rPr>
        <w:t xml:space="preserve"> su poder.</w:t>
      </w:r>
    </w:p>
    <w:p w14:paraId="78E269F9" w14:textId="77777777" w:rsidR="00C90724" w:rsidRPr="00A156F4" w:rsidRDefault="00C90724" w:rsidP="00117EE5">
      <w:pPr>
        <w:pStyle w:val="Prrafodelista"/>
        <w:numPr>
          <w:ilvl w:val="0"/>
          <w:numId w:val="34"/>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La</w:t>
      </w:r>
      <w:r w:rsidR="00B666CC" w:rsidRPr="00A156F4">
        <w:rPr>
          <w:rFonts w:ascii="Times New Roman" w:eastAsiaTheme="minorHAnsi" w:hAnsi="Times New Roman"/>
          <w:lang w:val="es-ES_tradnl" w:eastAsia="es-ES_tradnl"/>
        </w:rPr>
        <w:t>s manifestaciones adicionales de hecho o de derecho que desee formular</w:t>
      </w:r>
      <w:r w:rsidRPr="00A156F4">
        <w:rPr>
          <w:rFonts w:ascii="Times New Roman" w:eastAsiaTheme="minorHAnsi" w:hAnsi="Times New Roman"/>
          <w:lang w:val="es-ES_tradnl" w:eastAsia="es-ES_tradnl"/>
        </w:rPr>
        <w:t>.</w:t>
      </w:r>
    </w:p>
    <w:p w14:paraId="02722E07" w14:textId="77777777" w:rsidR="004D20E9" w:rsidRPr="00A156F4" w:rsidRDefault="004D20E9" w:rsidP="00117EE5">
      <w:pPr>
        <w:pStyle w:val="Prrafodelista"/>
        <w:numPr>
          <w:ilvl w:val="0"/>
          <w:numId w:val="34"/>
        </w:numPr>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Indicación sobre el lugar o medio para recibir notificaciones.</w:t>
      </w:r>
    </w:p>
    <w:p w14:paraId="5436F9A6" w14:textId="76BD63D7" w:rsidR="00B666CC" w:rsidRPr="00A156F4" w:rsidRDefault="004D20E9" w:rsidP="00117EE5">
      <w:pPr>
        <w:pStyle w:val="Prrafodelista"/>
        <w:numPr>
          <w:ilvl w:val="0"/>
          <w:numId w:val="34"/>
        </w:numPr>
        <w:spacing w:after="0"/>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Señalamiento</w:t>
      </w:r>
      <w:r w:rsidR="00972D23" w:rsidRPr="00A156F4">
        <w:rPr>
          <w:rFonts w:ascii="Times New Roman" w:eastAsiaTheme="minorHAnsi" w:hAnsi="Times New Roman"/>
          <w:lang w:val="es-ES_tradnl" w:eastAsia="es-ES_tradnl"/>
        </w:rPr>
        <w:t xml:space="preserve"> </w:t>
      </w:r>
      <w:r w:rsidR="00B666CC" w:rsidRPr="00A156F4">
        <w:rPr>
          <w:rFonts w:ascii="Times New Roman" w:eastAsiaTheme="minorHAnsi" w:hAnsi="Times New Roman"/>
          <w:lang w:val="es-ES_tradnl" w:eastAsia="es-ES_tradnl"/>
        </w:rPr>
        <w:t>de si desea o no</w:t>
      </w:r>
      <w:r w:rsidR="00972D23" w:rsidRPr="00A156F4">
        <w:rPr>
          <w:rFonts w:ascii="Times New Roman" w:eastAsiaTheme="minorHAnsi" w:hAnsi="Times New Roman"/>
          <w:lang w:val="es-ES_tradnl" w:eastAsia="es-ES_tradnl"/>
        </w:rPr>
        <w:t>,</w:t>
      </w:r>
      <w:r w:rsidR="00B666CC" w:rsidRPr="00A156F4">
        <w:rPr>
          <w:rFonts w:ascii="Times New Roman" w:eastAsiaTheme="minorHAnsi" w:hAnsi="Times New Roman"/>
          <w:lang w:val="es-ES_tradnl" w:eastAsia="es-ES_tradnl"/>
        </w:rPr>
        <w:t xml:space="preserve"> ser notificado de las restantes actuaciones dentro del procedimiento</w:t>
      </w:r>
      <w:r w:rsidRPr="00A156F4">
        <w:rPr>
          <w:rFonts w:ascii="Times New Roman" w:eastAsiaTheme="minorHAnsi" w:hAnsi="Times New Roman"/>
          <w:lang w:val="es-ES_tradnl" w:eastAsia="es-ES_tradnl"/>
        </w:rPr>
        <w:t>.</w:t>
      </w:r>
    </w:p>
    <w:p w14:paraId="299AE94C" w14:textId="77777777" w:rsidR="00B666CC" w:rsidRPr="00A156F4" w:rsidRDefault="00B666CC" w:rsidP="00B666CC">
      <w:pPr>
        <w:jc w:val="both"/>
        <w:rPr>
          <w:sz w:val="22"/>
          <w:szCs w:val="22"/>
        </w:rPr>
      </w:pPr>
    </w:p>
    <w:p w14:paraId="36F4D44A" w14:textId="64A28087"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3</w:t>
      </w:r>
      <w:r w:rsidR="00B82C4F" w:rsidRPr="00A156F4">
        <w:rPr>
          <w:rFonts w:ascii="Times New Roman" w:hAnsi="Times New Roman"/>
          <w:b/>
        </w:rPr>
        <w:t>3</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Denuncia defectuosa</w:t>
      </w:r>
    </w:p>
    <w:p w14:paraId="6980DFE4" w14:textId="77777777" w:rsidR="00B666CC" w:rsidRPr="00A156F4" w:rsidRDefault="00B666CC" w:rsidP="00B666CC">
      <w:pPr>
        <w:jc w:val="both"/>
        <w:textAlignment w:val="center"/>
        <w:rPr>
          <w:sz w:val="22"/>
          <w:szCs w:val="22"/>
        </w:rPr>
      </w:pPr>
    </w:p>
    <w:p w14:paraId="101A12D6" w14:textId="3F11B959" w:rsidR="00B666CC" w:rsidRPr="00A156F4" w:rsidRDefault="00B666CC" w:rsidP="00B666CC">
      <w:pPr>
        <w:jc w:val="both"/>
        <w:textAlignment w:val="center"/>
        <w:rPr>
          <w:sz w:val="22"/>
          <w:szCs w:val="22"/>
        </w:rPr>
      </w:pPr>
      <w:r w:rsidRPr="00A156F4">
        <w:rPr>
          <w:sz w:val="22"/>
          <w:szCs w:val="22"/>
        </w:rPr>
        <w:t>En caso de que la denuncia omita alguno de los requisitos establecidos</w:t>
      </w:r>
      <w:r w:rsidR="007C5B66" w:rsidRPr="00A156F4">
        <w:rPr>
          <w:sz w:val="22"/>
          <w:szCs w:val="22"/>
        </w:rPr>
        <w:t>,</w:t>
      </w:r>
      <w:r w:rsidRPr="00A156F4">
        <w:rPr>
          <w:sz w:val="22"/>
          <w:szCs w:val="22"/>
        </w:rPr>
        <w:t xml:space="preserve"> o cuando sea imprecisa, de manera que se haga imposible establecer el hecho que la motiva</w:t>
      </w:r>
      <w:r w:rsidR="007220D9" w:rsidRPr="00A156F4">
        <w:rPr>
          <w:sz w:val="22"/>
          <w:szCs w:val="22"/>
        </w:rPr>
        <w:t xml:space="preserve"> o identificar al agente económico contra quien se dirige</w:t>
      </w:r>
      <w:r w:rsidRPr="00A156F4">
        <w:rPr>
          <w:sz w:val="22"/>
          <w:szCs w:val="22"/>
        </w:rPr>
        <w:t>; el encargado de investigaciones del Órgano Técnico correspondiente prevendrá</w:t>
      </w:r>
      <w:r w:rsidR="00972D23" w:rsidRPr="00A156F4">
        <w:rPr>
          <w:sz w:val="22"/>
          <w:szCs w:val="22"/>
        </w:rPr>
        <w:t xml:space="preserve"> al denunciante</w:t>
      </w:r>
      <w:r w:rsidRPr="00A156F4">
        <w:rPr>
          <w:sz w:val="22"/>
          <w:szCs w:val="22"/>
        </w:rPr>
        <w:t xml:space="preserve"> dentro de un plazo de cinco días hábiles a partir de su recepción</w:t>
      </w:r>
      <w:r w:rsidR="007C5B66" w:rsidRPr="00A156F4">
        <w:rPr>
          <w:sz w:val="22"/>
          <w:szCs w:val="22"/>
        </w:rPr>
        <w:t>. Para ello,</w:t>
      </w:r>
      <w:r w:rsidRPr="00A156F4">
        <w:rPr>
          <w:sz w:val="22"/>
          <w:szCs w:val="22"/>
        </w:rPr>
        <w:t xml:space="preserve"> </w:t>
      </w:r>
      <w:r w:rsidR="00972D23" w:rsidRPr="00A156F4">
        <w:rPr>
          <w:sz w:val="22"/>
          <w:szCs w:val="22"/>
        </w:rPr>
        <w:t xml:space="preserve">le </w:t>
      </w:r>
      <w:r w:rsidRPr="00A156F4">
        <w:rPr>
          <w:sz w:val="22"/>
          <w:szCs w:val="22"/>
        </w:rPr>
        <w:t xml:space="preserve">otorgará un plazo de cinco días hábiles para que corrija o subsane los defectos. </w:t>
      </w:r>
    </w:p>
    <w:p w14:paraId="53514986" w14:textId="77777777" w:rsidR="00B666CC" w:rsidRPr="00A156F4" w:rsidRDefault="00B666CC" w:rsidP="00B666CC">
      <w:pPr>
        <w:jc w:val="both"/>
        <w:textAlignment w:val="center"/>
        <w:rPr>
          <w:sz w:val="22"/>
          <w:szCs w:val="22"/>
        </w:rPr>
      </w:pPr>
    </w:p>
    <w:p w14:paraId="707E72D7" w14:textId="6FF027A2" w:rsidR="00B666CC" w:rsidRPr="00A156F4" w:rsidRDefault="00B666CC" w:rsidP="00B666CC">
      <w:pPr>
        <w:jc w:val="both"/>
        <w:textAlignment w:val="center"/>
        <w:rPr>
          <w:sz w:val="22"/>
          <w:szCs w:val="22"/>
        </w:rPr>
      </w:pPr>
      <w:r w:rsidRPr="00A156F4">
        <w:rPr>
          <w:sz w:val="22"/>
          <w:szCs w:val="22"/>
        </w:rPr>
        <w:t>La omisión del denunciante de cumplir con lo prevenido dará lugar al rechazo de plano de la denuncia presentada, sin perjuicio de la posibilidad de proceder de oficio en caso de que el encargado de investigaciones del Órgano Técnico correspondiente</w:t>
      </w:r>
      <w:r w:rsidR="00972D23" w:rsidRPr="00A156F4">
        <w:rPr>
          <w:sz w:val="22"/>
          <w:szCs w:val="22"/>
        </w:rPr>
        <w:t xml:space="preserve"> así lo estime oportuno</w:t>
      </w:r>
      <w:r w:rsidRPr="00A156F4">
        <w:rPr>
          <w:sz w:val="22"/>
          <w:szCs w:val="22"/>
        </w:rPr>
        <w:t xml:space="preserve">, </w:t>
      </w:r>
      <w:r w:rsidR="009232D4" w:rsidRPr="00A156F4">
        <w:rPr>
          <w:sz w:val="22"/>
          <w:szCs w:val="22"/>
        </w:rPr>
        <w:t xml:space="preserve">una vez </w:t>
      </w:r>
      <w:r w:rsidRPr="00A156F4">
        <w:rPr>
          <w:sz w:val="22"/>
          <w:szCs w:val="22"/>
        </w:rPr>
        <w:t>valorados los restantes elementos de la denuncia.</w:t>
      </w:r>
    </w:p>
    <w:p w14:paraId="3E08A827" w14:textId="77777777" w:rsidR="00B666CC" w:rsidRPr="00A156F4" w:rsidRDefault="00B666CC" w:rsidP="00B666CC">
      <w:pPr>
        <w:jc w:val="both"/>
        <w:textAlignment w:val="center"/>
        <w:rPr>
          <w:sz w:val="22"/>
          <w:szCs w:val="22"/>
        </w:rPr>
      </w:pPr>
    </w:p>
    <w:p w14:paraId="6D27B85B" w14:textId="4929AFA2"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3</w:t>
      </w:r>
      <w:r w:rsidR="00B82C4F" w:rsidRPr="00A156F4">
        <w:rPr>
          <w:rFonts w:ascii="Times New Roman" w:hAnsi="Times New Roman"/>
          <w:b/>
        </w:rPr>
        <w:t>4</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bCs/>
          <w:lang w:eastAsia="es-CR"/>
        </w:rPr>
        <w:t>Conocimiento de la denuncia</w:t>
      </w:r>
    </w:p>
    <w:p w14:paraId="27D8733F" w14:textId="77777777" w:rsidR="00B666CC" w:rsidRPr="00A156F4" w:rsidRDefault="00B666CC" w:rsidP="00B666CC">
      <w:pPr>
        <w:jc w:val="both"/>
        <w:textAlignment w:val="center"/>
        <w:rPr>
          <w:sz w:val="22"/>
          <w:szCs w:val="22"/>
        </w:rPr>
      </w:pPr>
    </w:p>
    <w:p w14:paraId="35C9F8DA" w14:textId="1E156C3C" w:rsidR="00B666CC" w:rsidRPr="00A156F4" w:rsidRDefault="00972D23" w:rsidP="00B666CC">
      <w:pPr>
        <w:jc w:val="both"/>
        <w:textAlignment w:val="center"/>
        <w:rPr>
          <w:sz w:val="22"/>
          <w:szCs w:val="22"/>
        </w:rPr>
      </w:pPr>
      <w:r w:rsidRPr="00A156F4">
        <w:rPr>
          <w:sz w:val="22"/>
          <w:szCs w:val="22"/>
        </w:rPr>
        <w:t>Una vez p</w:t>
      </w:r>
      <w:r w:rsidR="00B666CC" w:rsidRPr="00A156F4">
        <w:rPr>
          <w:sz w:val="22"/>
          <w:szCs w:val="22"/>
        </w:rPr>
        <w:t>resentada la denuncia en forma, el encargado de investigaciones del Órgano Técnico correspondiente</w:t>
      </w:r>
      <w:r w:rsidRPr="00A156F4">
        <w:rPr>
          <w:sz w:val="22"/>
          <w:szCs w:val="22"/>
        </w:rPr>
        <w:t>, dentro de un plazo de 10 días hábiles y mediante resolución motivada,</w:t>
      </w:r>
      <w:r w:rsidR="00B666CC" w:rsidRPr="00A156F4">
        <w:rPr>
          <w:sz w:val="22"/>
          <w:szCs w:val="22"/>
        </w:rPr>
        <w:t xml:space="preserve"> deberá adoptar alguna de las siguientes decisiones: </w:t>
      </w:r>
    </w:p>
    <w:p w14:paraId="205C892E" w14:textId="77777777" w:rsidR="00B666CC" w:rsidRPr="00A156F4" w:rsidRDefault="00B666CC" w:rsidP="00B666CC">
      <w:pPr>
        <w:jc w:val="both"/>
        <w:textAlignment w:val="center"/>
        <w:rPr>
          <w:sz w:val="22"/>
          <w:szCs w:val="22"/>
        </w:rPr>
      </w:pPr>
    </w:p>
    <w:p w14:paraId="19077637" w14:textId="2D620CE3" w:rsidR="00B666CC" w:rsidRPr="00A156F4" w:rsidRDefault="00B666CC" w:rsidP="00B666CC">
      <w:pPr>
        <w:pStyle w:val="Prrafodelista1"/>
        <w:numPr>
          <w:ilvl w:val="0"/>
          <w:numId w:val="5"/>
        </w:numPr>
        <w:spacing w:after="0" w:line="240" w:lineRule="auto"/>
        <w:jc w:val="both"/>
        <w:textAlignment w:val="center"/>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Rechazar de plano la denuncia</w:t>
      </w:r>
      <w:r w:rsidR="00972D23" w:rsidRPr="00A156F4">
        <w:rPr>
          <w:rFonts w:ascii="Times New Roman" w:eastAsiaTheme="minorHAnsi" w:hAnsi="Times New Roman"/>
          <w:lang w:val="es-ES_tradnl" w:eastAsia="es-ES_tradnl"/>
        </w:rPr>
        <w:t>,</w:t>
      </w:r>
      <w:r w:rsidRPr="00A156F4">
        <w:rPr>
          <w:rFonts w:ascii="Times New Roman" w:eastAsiaTheme="minorHAnsi" w:hAnsi="Times New Roman"/>
          <w:lang w:val="es-ES_tradnl" w:eastAsia="es-ES_tradnl"/>
        </w:rPr>
        <w:t xml:space="preserve"> </w:t>
      </w:r>
      <w:r w:rsidR="00972D23" w:rsidRPr="00A156F4">
        <w:rPr>
          <w:rFonts w:ascii="Times New Roman" w:eastAsiaTheme="minorHAnsi" w:hAnsi="Times New Roman"/>
          <w:lang w:val="es-ES_tradnl" w:eastAsia="es-ES_tradnl"/>
        </w:rPr>
        <w:t>en caso</w:t>
      </w:r>
      <w:r w:rsidRPr="00A156F4">
        <w:rPr>
          <w:rFonts w:ascii="Times New Roman" w:eastAsiaTheme="minorHAnsi" w:hAnsi="Times New Roman"/>
          <w:lang w:val="es-ES_tradnl" w:eastAsia="es-ES_tradnl"/>
        </w:rPr>
        <w:t xml:space="preserve"> </w:t>
      </w:r>
      <w:r w:rsidR="00972D23" w:rsidRPr="00A156F4">
        <w:rPr>
          <w:rFonts w:ascii="Times New Roman" w:eastAsiaTheme="minorHAnsi" w:hAnsi="Times New Roman"/>
          <w:lang w:val="es-ES_tradnl" w:eastAsia="es-ES_tradnl"/>
        </w:rPr>
        <w:t>de que sea</w:t>
      </w:r>
      <w:r w:rsidRPr="00A156F4">
        <w:rPr>
          <w:rFonts w:ascii="Times New Roman" w:eastAsiaTheme="minorHAnsi" w:hAnsi="Times New Roman"/>
          <w:lang w:val="es-ES_tradnl" w:eastAsia="es-ES_tradnl"/>
        </w:rPr>
        <w:t xml:space="preserve"> abiertamente improcedente.</w:t>
      </w:r>
    </w:p>
    <w:p w14:paraId="4E4EE0EA" w14:textId="77777777" w:rsidR="00B666CC" w:rsidRPr="00A156F4" w:rsidRDefault="00B666CC" w:rsidP="00B666CC">
      <w:pPr>
        <w:pStyle w:val="Prrafodelista1"/>
        <w:spacing w:after="0" w:line="240" w:lineRule="auto"/>
        <w:jc w:val="both"/>
        <w:textAlignment w:val="center"/>
        <w:rPr>
          <w:rFonts w:ascii="Times New Roman" w:eastAsiaTheme="minorHAnsi" w:hAnsi="Times New Roman"/>
          <w:lang w:val="es-ES_tradnl" w:eastAsia="es-ES_tradnl"/>
        </w:rPr>
      </w:pPr>
    </w:p>
    <w:p w14:paraId="43174F0B" w14:textId="77777777" w:rsidR="00B666CC" w:rsidRPr="00A156F4" w:rsidRDefault="00B666CC" w:rsidP="00B666CC">
      <w:pPr>
        <w:pStyle w:val="Prrafodelista1"/>
        <w:numPr>
          <w:ilvl w:val="0"/>
          <w:numId w:val="5"/>
        </w:numPr>
        <w:spacing w:after="0" w:line="240" w:lineRule="auto"/>
        <w:jc w:val="both"/>
        <w:textAlignment w:val="center"/>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Dar inicio a la etapa de investigación preliminar sobre los hechos denunciados.</w:t>
      </w:r>
    </w:p>
    <w:p w14:paraId="1BD6388F" w14:textId="3A3586A7" w:rsidR="00A1553E" w:rsidRPr="00A156F4" w:rsidRDefault="00A1553E" w:rsidP="00B666CC">
      <w:pPr>
        <w:jc w:val="both"/>
        <w:textAlignment w:val="center"/>
        <w:rPr>
          <w:sz w:val="22"/>
          <w:szCs w:val="22"/>
        </w:rPr>
      </w:pPr>
    </w:p>
    <w:p w14:paraId="357DCD51" w14:textId="3B1FE8DF" w:rsidR="00A1553E" w:rsidRPr="00A156F4" w:rsidRDefault="00A1553E" w:rsidP="00A1553E">
      <w:pPr>
        <w:pStyle w:val="Prrafodelista"/>
        <w:spacing w:after="0" w:line="240" w:lineRule="auto"/>
        <w:ind w:left="0"/>
        <w:contextualSpacing/>
        <w:jc w:val="both"/>
        <w:rPr>
          <w:rFonts w:ascii="Times New Roman" w:eastAsiaTheme="minorHAnsi" w:hAnsi="Times New Roman"/>
          <w:b/>
        </w:rPr>
      </w:pPr>
      <w:r w:rsidRPr="00A156F4">
        <w:rPr>
          <w:rFonts w:ascii="Times New Roman" w:eastAsiaTheme="minorHAnsi" w:hAnsi="Times New Roman"/>
          <w:b/>
        </w:rPr>
        <w:t xml:space="preserve">Artículo </w:t>
      </w:r>
      <w:r w:rsidR="00B82C4F" w:rsidRPr="00A156F4">
        <w:rPr>
          <w:rFonts w:ascii="Times New Roman" w:eastAsiaTheme="minorHAnsi" w:hAnsi="Times New Roman"/>
          <w:b/>
        </w:rPr>
        <w:t>35</w:t>
      </w:r>
      <w:r w:rsidRPr="00A156F4">
        <w:rPr>
          <w:rFonts w:ascii="Times New Roman" w:eastAsiaTheme="minorHAnsi" w:hAnsi="Times New Roman"/>
          <w:b/>
        </w:rPr>
        <w:t>.- De las notificaciones</w:t>
      </w:r>
    </w:p>
    <w:p w14:paraId="363A7C43" w14:textId="77777777" w:rsidR="00A1553E" w:rsidRPr="00A156F4" w:rsidRDefault="00A1553E" w:rsidP="00A1553E">
      <w:pPr>
        <w:pStyle w:val="Prrafodelista"/>
        <w:spacing w:after="0" w:line="240" w:lineRule="auto"/>
        <w:ind w:left="0"/>
        <w:contextualSpacing/>
        <w:jc w:val="both"/>
        <w:rPr>
          <w:rFonts w:ascii="Times New Roman" w:eastAsiaTheme="minorHAnsi" w:hAnsi="Times New Roman"/>
          <w:b/>
        </w:rPr>
      </w:pPr>
    </w:p>
    <w:p w14:paraId="7CBDD607" w14:textId="507035D7" w:rsidR="00A1553E" w:rsidRPr="00A156F4" w:rsidRDefault="00A1553E" w:rsidP="00A1553E">
      <w:pPr>
        <w:jc w:val="both"/>
        <w:rPr>
          <w:rFonts w:eastAsia="Times New Roman"/>
          <w:sz w:val="22"/>
          <w:szCs w:val="22"/>
          <w:lang w:val="es-CR" w:eastAsia="es-CR"/>
        </w:rPr>
      </w:pPr>
      <w:r w:rsidRPr="00A156F4">
        <w:rPr>
          <w:rFonts w:eastAsia="Times New Roman"/>
          <w:sz w:val="22"/>
          <w:szCs w:val="22"/>
          <w:lang w:val="es-CR" w:eastAsia="es-CR"/>
        </w:rPr>
        <w:t xml:space="preserve">Para los efectos de las notificaciones dentro del procedimiento especial, se aplicará lo previsto en la </w:t>
      </w:r>
      <w:r w:rsidR="000005DA" w:rsidRPr="00A156F4">
        <w:rPr>
          <w:sz w:val="22"/>
          <w:szCs w:val="22"/>
        </w:rPr>
        <w:t xml:space="preserve">Ley General de la Administración Pública, Ley </w:t>
      </w:r>
      <w:proofErr w:type="spellStart"/>
      <w:r w:rsidR="000005DA" w:rsidRPr="00A156F4">
        <w:rPr>
          <w:sz w:val="22"/>
          <w:szCs w:val="22"/>
        </w:rPr>
        <w:t>N°</w:t>
      </w:r>
      <w:proofErr w:type="spellEnd"/>
      <w:r w:rsidR="000005DA" w:rsidRPr="00A156F4">
        <w:rPr>
          <w:sz w:val="22"/>
          <w:szCs w:val="22"/>
        </w:rPr>
        <w:t>. 6227, del 2 de mayo de 1978, sus reformas y sus reglamentos</w:t>
      </w:r>
      <w:r w:rsidRPr="00A156F4">
        <w:rPr>
          <w:sz w:val="22"/>
          <w:szCs w:val="22"/>
        </w:rPr>
        <w:t>, sus reformas y sus reglamentos</w:t>
      </w:r>
      <w:r w:rsidRPr="00A156F4">
        <w:rPr>
          <w:rFonts w:eastAsia="Times New Roman"/>
          <w:sz w:val="22"/>
          <w:szCs w:val="22"/>
          <w:lang w:val="es-CR" w:eastAsia="es-CR"/>
        </w:rPr>
        <w:t xml:space="preserve"> y </w:t>
      </w:r>
      <w:r w:rsidR="005530CE" w:rsidRPr="00A156F4">
        <w:rPr>
          <w:rFonts w:eastAsia="Times New Roman"/>
          <w:sz w:val="22"/>
          <w:szCs w:val="22"/>
          <w:lang w:val="es-CR" w:eastAsia="es-CR"/>
        </w:rPr>
        <w:t>en lo no previsto por ella, se aplicará</w:t>
      </w:r>
      <w:r w:rsidRPr="00A156F4">
        <w:rPr>
          <w:rFonts w:eastAsia="Times New Roman"/>
          <w:sz w:val="22"/>
          <w:szCs w:val="22"/>
          <w:lang w:val="es-CR" w:eastAsia="es-CR"/>
        </w:rPr>
        <w:t xml:space="preserve"> la Ley de Notificaciones Judiciales, </w:t>
      </w:r>
      <w:proofErr w:type="spellStart"/>
      <w:r w:rsidRPr="00A156F4">
        <w:rPr>
          <w:rFonts w:eastAsia="Times New Roman"/>
          <w:sz w:val="22"/>
          <w:szCs w:val="22"/>
          <w:lang w:val="es-CR" w:eastAsia="es-CR"/>
        </w:rPr>
        <w:t>N°</w:t>
      </w:r>
      <w:proofErr w:type="spellEnd"/>
      <w:r w:rsidRPr="00A156F4">
        <w:rPr>
          <w:rFonts w:eastAsia="Times New Roman"/>
          <w:sz w:val="22"/>
          <w:szCs w:val="22"/>
          <w:lang w:val="es-CR" w:eastAsia="es-CR"/>
        </w:rPr>
        <w:t xml:space="preserve"> 8687, del 4 de </w:t>
      </w:r>
      <w:proofErr w:type="spellStart"/>
      <w:r w:rsidRPr="00A156F4">
        <w:rPr>
          <w:rFonts w:eastAsia="Times New Roman"/>
          <w:sz w:val="22"/>
          <w:szCs w:val="22"/>
          <w:lang w:val="es-CR" w:eastAsia="es-CR"/>
        </w:rPr>
        <w:t>de</w:t>
      </w:r>
      <w:proofErr w:type="spellEnd"/>
      <w:r w:rsidRPr="00A156F4">
        <w:rPr>
          <w:rFonts w:eastAsia="Times New Roman"/>
          <w:sz w:val="22"/>
          <w:szCs w:val="22"/>
          <w:lang w:val="es-CR" w:eastAsia="es-CR"/>
        </w:rPr>
        <w:t xml:space="preserve"> diciembre de 2018, sus reformas y sus reglamentos.</w:t>
      </w:r>
    </w:p>
    <w:p w14:paraId="527A3631" w14:textId="77777777" w:rsidR="00A1553E" w:rsidRPr="00A156F4" w:rsidRDefault="00A1553E" w:rsidP="00B666CC">
      <w:pPr>
        <w:jc w:val="both"/>
        <w:textAlignment w:val="center"/>
        <w:rPr>
          <w:sz w:val="22"/>
          <w:szCs w:val="22"/>
          <w:lang w:val="es-CR"/>
        </w:rPr>
      </w:pPr>
    </w:p>
    <w:p w14:paraId="492BD409" w14:textId="27FF8C67" w:rsidR="00A1553E" w:rsidRPr="00A156F4" w:rsidRDefault="00A1553E" w:rsidP="00A1553E">
      <w:pPr>
        <w:jc w:val="both"/>
        <w:textAlignment w:val="center"/>
        <w:rPr>
          <w:b/>
          <w:sz w:val="22"/>
          <w:szCs w:val="22"/>
        </w:rPr>
      </w:pPr>
      <w:r w:rsidRPr="00A156F4">
        <w:rPr>
          <w:b/>
          <w:sz w:val="22"/>
          <w:szCs w:val="22"/>
        </w:rPr>
        <w:t>Artículo 3</w:t>
      </w:r>
      <w:r w:rsidR="00B82C4F" w:rsidRPr="00A156F4">
        <w:rPr>
          <w:b/>
          <w:sz w:val="22"/>
          <w:szCs w:val="22"/>
        </w:rPr>
        <w:t>6</w:t>
      </w:r>
      <w:r w:rsidRPr="00A156F4">
        <w:rPr>
          <w:b/>
          <w:sz w:val="22"/>
          <w:szCs w:val="22"/>
        </w:rPr>
        <w:t>.</w:t>
      </w:r>
      <w:r w:rsidR="00F153AC" w:rsidRPr="00A156F4">
        <w:rPr>
          <w:b/>
          <w:sz w:val="22"/>
          <w:szCs w:val="22"/>
        </w:rPr>
        <w:t>-</w:t>
      </w:r>
      <w:r w:rsidRPr="00A156F4">
        <w:rPr>
          <w:b/>
          <w:sz w:val="22"/>
          <w:szCs w:val="22"/>
        </w:rPr>
        <w:t xml:space="preserve"> Suspensión de plazos</w:t>
      </w:r>
    </w:p>
    <w:p w14:paraId="317242B9" w14:textId="77777777" w:rsidR="00A1553E" w:rsidRPr="00A156F4" w:rsidRDefault="00A1553E" w:rsidP="00A1553E">
      <w:pPr>
        <w:jc w:val="both"/>
        <w:textAlignment w:val="center"/>
        <w:rPr>
          <w:b/>
          <w:sz w:val="22"/>
          <w:szCs w:val="22"/>
        </w:rPr>
      </w:pPr>
    </w:p>
    <w:p w14:paraId="07768ACD" w14:textId="64B0A3B6" w:rsidR="00A1553E" w:rsidRPr="00A156F4" w:rsidRDefault="00A1553E" w:rsidP="00A1553E">
      <w:pPr>
        <w:jc w:val="both"/>
        <w:textAlignment w:val="center"/>
        <w:rPr>
          <w:sz w:val="22"/>
          <w:szCs w:val="22"/>
        </w:rPr>
      </w:pPr>
      <w:r w:rsidRPr="00A156F4">
        <w:rPr>
          <w:sz w:val="22"/>
          <w:szCs w:val="22"/>
        </w:rPr>
        <w:t>Los plazos máximos para resolver un procedimiento</w:t>
      </w:r>
      <w:r w:rsidR="0033501F" w:rsidRPr="00A156F4">
        <w:rPr>
          <w:sz w:val="22"/>
          <w:szCs w:val="22"/>
        </w:rPr>
        <w:t>, previstos en la presente ley,</w:t>
      </w:r>
      <w:r w:rsidRPr="00A156F4">
        <w:rPr>
          <w:sz w:val="22"/>
          <w:szCs w:val="22"/>
        </w:rPr>
        <w:t xml:space="preserve"> se podrán suspender hasta por un máximo de tres meses mediante resolución motivada, cuando se requiera documentación u otros elementos de juicio necesarios a cualquier interesado, terceros, u otros entes u órganos de la Administración Pública o autoridades de competencia de otros países, si al momento de la terminación del plazo</w:t>
      </w:r>
      <w:r w:rsidR="0033501F" w:rsidRPr="00A156F4">
        <w:rPr>
          <w:sz w:val="22"/>
          <w:szCs w:val="22"/>
        </w:rPr>
        <w:t xml:space="preserve"> otorgado al efecto,</w:t>
      </w:r>
      <w:r w:rsidRPr="00A156F4">
        <w:rPr>
          <w:sz w:val="22"/>
          <w:szCs w:val="22"/>
        </w:rPr>
        <w:t xml:space="preserve"> dicha información no hubiese sido recibida.</w:t>
      </w:r>
    </w:p>
    <w:p w14:paraId="69B79AE9" w14:textId="77777777" w:rsidR="00A1553E" w:rsidRPr="00A156F4" w:rsidRDefault="00A1553E" w:rsidP="00A1553E">
      <w:pPr>
        <w:jc w:val="both"/>
        <w:textAlignment w:val="center"/>
        <w:rPr>
          <w:sz w:val="22"/>
          <w:szCs w:val="22"/>
        </w:rPr>
      </w:pPr>
    </w:p>
    <w:p w14:paraId="43BEBE93" w14:textId="66F8C8CF" w:rsidR="00A1553E" w:rsidRPr="00A156F4" w:rsidRDefault="00A1553E" w:rsidP="00A1553E">
      <w:pPr>
        <w:jc w:val="both"/>
        <w:textAlignment w:val="center"/>
        <w:rPr>
          <w:sz w:val="22"/>
          <w:szCs w:val="22"/>
        </w:rPr>
      </w:pPr>
      <w:r w:rsidRPr="00A156F4">
        <w:rPr>
          <w:sz w:val="22"/>
          <w:szCs w:val="22"/>
        </w:rPr>
        <w:t>En el caso de que se dicte una resolución por parte de una autoridad judicial competente que ordene la suspensión del procedimiento, será por el plazo que esta defina. La existencia de un proceso judicial en sede penal en curso,</w:t>
      </w:r>
      <w:r w:rsidR="0033501F" w:rsidRPr="00A156F4">
        <w:rPr>
          <w:sz w:val="22"/>
          <w:szCs w:val="22"/>
        </w:rPr>
        <w:t xml:space="preserve"> </w:t>
      </w:r>
      <w:r w:rsidRPr="00A156F4">
        <w:rPr>
          <w:sz w:val="22"/>
          <w:szCs w:val="22"/>
        </w:rPr>
        <w:t>del que no pueda prescindirse para dictar la resolución</w:t>
      </w:r>
      <w:r w:rsidR="0033501F" w:rsidRPr="00A156F4">
        <w:rPr>
          <w:sz w:val="22"/>
          <w:szCs w:val="22"/>
        </w:rPr>
        <w:t>,</w:t>
      </w:r>
      <w:r w:rsidRPr="00A156F4">
        <w:rPr>
          <w:sz w:val="22"/>
          <w:szCs w:val="22"/>
        </w:rPr>
        <w:t xml:space="preserve"> o que condicione directamente el contenido de esta, determinará la suspensión del curso de las actuaciones mientras aquel no sea resuelto.</w:t>
      </w:r>
    </w:p>
    <w:p w14:paraId="07A1F6C1" w14:textId="77777777" w:rsidR="00A1553E" w:rsidRPr="00A156F4" w:rsidRDefault="00A1553E" w:rsidP="00A1553E">
      <w:pPr>
        <w:jc w:val="both"/>
        <w:textAlignment w:val="center"/>
        <w:rPr>
          <w:sz w:val="22"/>
          <w:szCs w:val="22"/>
        </w:rPr>
      </w:pPr>
    </w:p>
    <w:p w14:paraId="432B3369" w14:textId="43DD81EC" w:rsidR="00B666CC" w:rsidRPr="00A156F4" w:rsidRDefault="00A1553E" w:rsidP="00B666CC">
      <w:pPr>
        <w:jc w:val="both"/>
        <w:textAlignment w:val="center"/>
        <w:rPr>
          <w:sz w:val="22"/>
          <w:szCs w:val="22"/>
        </w:rPr>
      </w:pPr>
      <w:r w:rsidRPr="00A156F4">
        <w:rPr>
          <w:sz w:val="22"/>
          <w:szCs w:val="22"/>
        </w:rPr>
        <w:t>La resolución sobre la suspensión será adoptada por el encargado de la etapa correspondiente y deberá ser notificada a los interesados, y contra ella no cabrá recurso alguno en vía administrativa.</w:t>
      </w:r>
    </w:p>
    <w:p w14:paraId="40D5124C" w14:textId="77777777" w:rsidR="00A1553E" w:rsidRPr="00A156F4" w:rsidRDefault="00A1553E" w:rsidP="00B666CC">
      <w:pPr>
        <w:jc w:val="both"/>
        <w:textAlignment w:val="center"/>
        <w:rPr>
          <w:sz w:val="22"/>
          <w:szCs w:val="22"/>
        </w:rPr>
      </w:pPr>
    </w:p>
    <w:p w14:paraId="6B601E1B" w14:textId="11BA1FF1" w:rsidR="00B666CC" w:rsidRPr="00A156F4" w:rsidRDefault="00B666CC" w:rsidP="00B666CC">
      <w:pPr>
        <w:pStyle w:val="Prrafodelista"/>
        <w:spacing w:after="0" w:line="240" w:lineRule="auto"/>
        <w:ind w:left="0"/>
        <w:contextualSpacing/>
        <w:jc w:val="both"/>
        <w:rPr>
          <w:rFonts w:ascii="Times New Roman" w:eastAsiaTheme="minorHAnsi" w:hAnsi="Times New Roman"/>
          <w:b/>
          <w:lang w:val="es-ES_tradnl" w:eastAsia="es-ES_tradnl"/>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3</w:t>
      </w:r>
      <w:r w:rsidR="00B82C4F" w:rsidRPr="00A156F4">
        <w:rPr>
          <w:rFonts w:ascii="Times New Roman" w:hAnsi="Times New Roman"/>
          <w:b/>
        </w:rPr>
        <w:t>7</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eastAsiaTheme="minorHAnsi" w:hAnsi="Times New Roman"/>
          <w:b/>
          <w:lang w:val="es-ES_tradnl" w:eastAsia="es-ES_tradnl"/>
        </w:rPr>
        <w:t xml:space="preserve">Medidas cautelares </w:t>
      </w:r>
    </w:p>
    <w:p w14:paraId="616FDF47" w14:textId="77777777" w:rsidR="00B666CC" w:rsidRPr="00A156F4" w:rsidRDefault="00B666CC" w:rsidP="00B666CC">
      <w:pPr>
        <w:pStyle w:val="Prrafodelista"/>
        <w:spacing w:after="0" w:line="240" w:lineRule="auto"/>
        <w:ind w:left="0"/>
        <w:contextualSpacing/>
        <w:jc w:val="both"/>
        <w:rPr>
          <w:rFonts w:ascii="Times New Roman" w:eastAsiaTheme="minorHAnsi" w:hAnsi="Times New Roman"/>
          <w:lang w:val="es-ES_tradnl" w:eastAsia="es-ES_tradnl"/>
        </w:rPr>
      </w:pPr>
    </w:p>
    <w:p w14:paraId="1BD58F2C" w14:textId="69601875" w:rsidR="00B666CC" w:rsidRPr="00A156F4" w:rsidRDefault="00B666CC" w:rsidP="00B666CC">
      <w:pPr>
        <w:widowControl w:val="0"/>
        <w:jc w:val="both"/>
        <w:textAlignment w:val="center"/>
        <w:rPr>
          <w:sz w:val="22"/>
          <w:szCs w:val="22"/>
        </w:rPr>
      </w:pPr>
      <w:r w:rsidRPr="00A156F4">
        <w:rPr>
          <w:sz w:val="22"/>
          <w:szCs w:val="22"/>
        </w:rPr>
        <w:t xml:space="preserve">En cualquier </w:t>
      </w:r>
      <w:r w:rsidR="0033501F" w:rsidRPr="00A156F4">
        <w:rPr>
          <w:sz w:val="22"/>
          <w:szCs w:val="22"/>
        </w:rPr>
        <w:t xml:space="preserve">momento de cada </w:t>
      </w:r>
      <w:r w:rsidRPr="00A156F4">
        <w:rPr>
          <w:sz w:val="22"/>
          <w:szCs w:val="22"/>
        </w:rPr>
        <w:t>etapa del procedimiento, el órgano respectiv</w:t>
      </w:r>
      <w:r w:rsidR="0002624E" w:rsidRPr="00A156F4">
        <w:rPr>
          <w:sz w:val="22"/>
          <w:szCs w:val="22"/>
        </w:rPr>
        <w:t>o</w:t>
      </w:r>
      <w:r w:rsidRPr="00A156F4">
        <w:rPr>
          <w:sz w:val="22"/>
          <w:szCs w:val="22"/>
        </w:rPr>
        <w:t xml:space="preserve"> podrá dictar</w:t>
      </w:r>
      <w:r w:rsidR="0033501F" w:rsidRPr="00A156F4">
        <w:rPr>
          <w:sz w:val="22"/>
          <w:szCs w:val="22"/>
        </w:rPr>
        <w:t>, de oficio o por solicitud del denunciante o de terceros interesados,</w:t>
      </w:r>
      <w:r w:rsidRPr="00A156F4">
        <w:rPr>
          <w:sz w:val="22"/>
          <w:szCs w:val="22"/>
        </w:rPr>
        <w:t xml:space="preserve"> las medidas cautelares adecuadas y necesarias para proteger y garantizar, provisionalmente, el objeto del procedimiento y la efectividad de la posible resolución. Contra lo que se resuelva cabrán los recursos que se establecen en l</w:t>
      </w:r>
      <w:r w:rsidR="007220D9" w:rsidRPr="00A156F4">
        <w:rPr>
          <w:sz w:val="22"/>
          <w:szCs w:val="22"/>
        </w:rPr>
        <w:t>os</w:t>
      </w:r>
      <w:r w:rsidRPr="00A156F4">
        <w:rPr>
          <w:sz w:val="22"/>
          <w:szCs w:val="22"/>
        </w:rPr>
        <w:t xml:space="preserve"> artículo</w:t>
      </w:r>
      <w:r w:rsidR="007220D9" w:rsidRPr="00A156F4">
        <w:rPr>
          <w:sz w:val="22"/>
          <w:szCs w:val="22"/>
        </w:rPr>
        <w:t>s 59 y</w:t>
      </w:r>
      <w:r w:rsidRPr="00A156F4">
        <w:rPr>
          <w:sz w:val="22"/>
          <w:szCs w:val="22"/>
        </w:rPr>
        <w:t xml:space="preserve"> </w:t>
      </w:r>
      <w:r w:rsidR="002A5A95" w:rsidRPr="00A156F4">
        <w:rPr>
          <w:sz w:val="22"/>
          <w:szCs w:val="22"/>
        </w:rPr>
        <w:t>60</w:t>
      </w:r>
      <w:r w:rsidRPr="00A156F4">
        <w:rPr>
          <w:sz w:val="22"/>
          <w:szCs w:val="22"/>
        </w:rPr>
        <w:t xml:space="preserve"> de este cuerpo legal.</w:t>
      </w:r>
    </w:p>
    <w:p w14:paraId="05180EF7" w14:textId="0702D201" w:rsidR="008543CD" w:rsidRPr="00A156F4" w:rsidRDefault="008543CD" w:rsidP="00B666CC">
      <w:pPr>
        <w:widowControl w:val="0"/>
        <w:jc w:val="both"/>
        <w:textAlignment w:val="center"/>
        <w:rPr>
          <w:sz w:val="22"/>
          <w:szCs w:val="22"/>
        </w:rPr>
      </w:pPr>
    </w:p>
    <w:p w14:paraId="73EB031F" w14:textId="03E7D141" w:rsidR="00C74D2D" w:rsidRPr="00A156F4" w:rsidRDefault="00C74EC4" w:rsidP="00B666CC">
      <w:pPr>
        <w:widowControl w:val="0"/>
        <w:jc w:val="both"/>
        <w:textAlignment w:val="center"/>
        <w:rPr>
          <w:sz w:val="22"/>
          <w:szCs w:val="22"/>
        </w:rPr>
      </w:pPr>
      <w:r w:rsidRPr="00A156F4">
        <w:rPr>
          <w:sz w:val="22"/>
          <w:szCs w:val="22"/>
        </w:rPr>
        <w:t>Para la imposición de medidas cautelares se deberá seguir el procedimiento que al efecto establece el Código Procesal Contencioso-Administrativo</w:t>
      </w:r>
      <w:r w:rsidR="001A1BCA" w:rsidRPr="00A156F4">
        <w:rPr>
          <w:sz w:val="22"/>
          <w:szCs w:val="22"/>
        </w:rPr>
        <w:t xml:space="preserve">, Ley </w:t>
      </w:r>
      <w:proofErr w:type="spellStart"/>
      <w:r w:rsidR="001A1BCA" w:rsidRPr="00A156F4">
        <w:rPr>
          <w:sz w:val="22"/>
          <w:szCs w:val="22"/>
        </w:rPr>
        <w:t>N°</w:t>
      </w:r>
      <w:proofErr w:type="spellEnd"/>
      <w:r w:rsidR="00F45C26" w:rsidRPr="00A156F4">
        <w:rPr>
          <w:sz w:val="22"/>
          <w:szCs w:val="22"/>
        </w:rPr>
        <w:t>.</w:t>
      </w:r>
      <w:r w:rsidR="001A1BCA" w:rsidRPr="00A156F4">
        <w:rPr>
          <w:sz w:val="22"/>
          <w:szCs w:val="22"/>
        </w:rPr>
        <w:t xml:space="preserve"> 8508, del 28 de abril de 2006, sus reformas y sus reglamentos.</w:t>
      </w:r>
    </w:p>
    <w:p w14:paraId="6AE23F6F" w14:textId="77152B3E" w:rsidR="00B666CC" w:rsidRPr="00A156F4" w:rsidRDefault="00B666CC" w:rsidP="00B666CC">
      <w:pPr>
        <w:jc w:val="both"/>
        <w:textAlignment w:val="center"/>
        <w:rPr>
          <w:sz w:val="22"/>
          <w:szCs w:val="22"/>
        </w:rPr>
      </w:pPr>
    </w:p>
    <w:p w14:paraId="0228EE3A" w14:textId="77777777" w:rsidR="002537F9" w:rsidRPr="00A156F4" w:rsidRDefault="002537F9" w:rsidP="00B666CC">
      <w:pPr>
        <w:jc w:val="both"/>
        <w:textAlignment w:val="center"/>
        <w:rPr>
          <w:sz w:val="22"/>
          <w:szCs w:val="22"/>
        </w:rPr>
      </w:pPr>
    </w:p>
    <w:p w14:paraId="04A864DD" w14:textId="77777777" w:rsidR="00B666CC" w:rsidRPr="00A156F4" w:rsidRDefault="00B666CC" w:rsidP="00B666CC">
      <w:pPr>
        <w:pStyle w:val="Ttulo3"/>
        <w:keepNext w:val="0"/>
        <w:keepLines w:val="0"/>
        <w:spacing w:before="0"/>
        <w:contextualSpacing/>
        <w:jc w:val="center"/>
        <w:rPr>
          <w:rFonts w:ascii="Times New Roman" w:hAnsi="Times New Roman" w:cs="Times New Roman"/>
          <w:b/>
          <w:color w:val="auto"/>
          <w:sz w:val="22"/>
          <w:szCs w:val="22"/>
        </w:rPr>
      </w:pPr>
      <w:bookmarkStart w:id="17" w:name="_Hlk536805209"/>
      <w:bookmarkStart w:id="18" w:name="_Hlk523045458"/>
      <w:r w:rsidRPr="00A156F4">
        <w:rPr>
          <w:rFonts w:ascii="Times New Roman" w:hAnsi="Times New Roman" w:cs="Times New Roman"/>
          <w:b/>
          <w:color w:val="auto"/>
          <w:sz w:val="22"/>
          <w:szCs w:val="22"/>
        </w:rPr>
        <w:t>SECCIÓN II</w:t>
      </w:r>
    </w:p>
    <w:p w14:paraId="4B32162D" w14:textId="77777777" w:rsidR="00B666CC" w:rsidRPr="00A156F4" w:rsidRDefault="00B666CC" w:rsidP="00B666CC">
      <w:pPr>
        <w:jc w:val="center"/>
        <w:rPr>
          <w:b/>
          <w:sz w:val="22"/>
          <w:szCs w:val="22"/>
        </w:rPr>
      </w:pPr>
      <w:r w:rsidRPr="00A156F4">
        <w:rPr>
          <w:b/>
          <w:sz w:val="22"/>
          <w:szCs w:val="22"/>
        </w:rPr>
        <w:t>Investigación Preliminar</w:t>
      </w:r>
    </w:p>
    <w:bookmarkEnd w:id="17"/>
    <w:p w14:paraId="5B899669" w14:textId="331E16D7" w:rsidR="00B666CC" w:rsidRPr="00A156F4" w:rsidRDefault="00B666CC" w:rsidP="00B666CC">
      <w:pPr>
        <w:jc w:val="center"/>
        <w:rPr>
          <w:b/>
          <w:sz w:val="22"/>
          <w:szCs w:val="22"/>
        </w:rPr>
      </w:pPr>
    </w:p>
    <w:p w14:paraId="245F162A" w14:textId="77777777" w:rsidR="005F7DB9" w:rsidRPr="00A156F4" w:rsidRDefault="005F7DB9" w:rsidP="00B666CC">
      <w:pPr>
        <w:jc w:val="center"/>
        <w:rPr>
          <w:b/>
          <w:sz w:val="22"/>
          <w:szCs w:val="22"/>
        </w:rPr>
      </w:pPr>
    </w:p>
    <w:bookmarkEnd w:id="18"/>
    <w:p w14:paraId="485C20B9" w14:textId="2C680FD5"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3</w:t>
      </w:r>
      <w:r w:rsidR="00B82C4F" w:rsidRPr="00A156F4">
        <w:rPr>
          <w:rFonts w:ascii="Times New Roman" w:hAnsi="Times New Roman"/>
          <w:b/>
        </w:rPr>
        <w:t>8</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Propósito</w:t>
      </w:r>
    </w:p>
    <w:p w14:paraId="1160263D" w14:textId="77777777" w:rsidR="00B666CC" w:rsidRPr="00A156F4" w:rsidRDefault="00B666CC" w:rsidP="00B666CC">
      <w:pPr>
        <w:jc w:val="both"/>
        <w:rPr>
          <w:sz w:val="22"/>
          <w:szCs w:val="22"/>
        </w:rPr>
      </w:pPr>
    </w:p>
    <w:p w14:paraId="30A79B26" w14:textId="2A9CDA48" w:rsidR="00B666CC" w:rsidRPr="00A156F4" w:rsidRDefault="00B666CC" w:rsidP="00B666CC">
      <w:pPr>
        <w:jc w:val="both"/>
        <w:rPr>
          <w:sz w:val="22"/>
          <w:szCs w:val="22"/>
        </w:rPr>
      </w:pPr>
      <w:r w:rsidRPr="00A156F4">
        <w:rPr>
          <w:sz w:val="22"/>
          <w:szCs w:val="22"/>
        </w:rPr>
        <w:t xml:space="preserve">La etapa de investigación preliminar tiene como finalidad determinar si concurren o no los elementos y condiciones que ameriten que se inicie la etapa </w:t>
      </w:r>
      <w:r w:rsidR="002537F9" w:rsidRPr="00A156F4">
        <w:rPr>
          <w:sz w:val="22"/>
          <w:szCs w:val="22"/>
        </w:rPr>
        <w:t>de instrucción</w:t>
      </w:r>
      <w:r w:rsidR="00BA6ECB" w:rsidRPr="00A156F4">
        <w:rPr>
          <w:sz w:val="22"/>
          <w:szCs w:val="22"/>
        </w:rPr>
        <w:t xml:space="preserve"> del procedimiento</w:t>
      </w:r>
      <w:r w:rsidRPr="00A156F4">
        <w:rPr>
          <w:sz w:val="22"/>
          <w:szCs w:val="22"/>
        </w:rPr>
        <w:t>. Esta etapa tendrá una duración máxima de 12 meses</w:t>
      </w:r>
      <w:r w:rsidR="0002624E" w:rsidRPr="00A156F4">
        <w:rPr>
          <w:sz w:val="22"/>
          <w:szCs w:val="22"/>
        </w:rPr>
        <w:t xml:space="preserve"> y</w:t>
      </w:r>
      <w:r w:rsidR="00495B03" w:rsidRPr="00A156F4">
        <w:rPr>
          <w:sz w:val="22"/>
          <w:szCs w:val="22"/>
        </w:rPr>
        <w:t xml:space="preserve"> podrá ser ampliado</w:t>
      </w:r>
      <w:r w:rsidR="00DD68A4" w:rsidRPr="00A156F4">
        <w:rPr>
          <w:sz w:val="22"/>
          <w:szCs w:val="22"/>
        </w:rPr>
        <w:t xml:space="preserve"> hasta por seis meses adicionales,</w:t>
      </w:r>
      <w:r w:rsidR="00495B03" w:rsidRPr="00A156F4">
        <w:rPr>
          <w:sz w:val="22"/>
          <w:szCs w:val="22"/>
        </w:rPr>
        <w:t xml:space="preserve"> por una única vez</w:t>
      </w:r>
      <w:r w:rsidR="00DD68A4" w:rsidRPr="00A156F4">
        <w:rPr>
          <w:sz w:val="22"/>
          <w:szCs w:val="22"/>
        </w:rPr>
        <w:t xml:space="preserve"> y</w:t>
      </w:r>
      <w:r w:rsidR="00495B03" w:rsidRPr="00A156F4">
        <w:rPr>
          <w:sz w:val="22"/>
          <w:szCs w:val="22"/>
        </w:rPr>
        <w:t xml:space="preserve"> de manera motivada</w:t>
      </w:r>
      <w:r w:rsidR="00D54C9A" w:rsidRPr="00A156F4">
        <w:rPr>
          <w:sz w:val="22"/>
          <w:szCs w:val="22"/>
        </w:rPr>
        <w:t>. Lo anterior</w:t>
      </w:r>
      <w:r w:rsidR="00495B03" w:rsidRPr="00A156F4">
        <w:rPr>
          <w:sz w:val="22"/>
          <w:szCs w:val="22"/>
        </w:rPr>
        <w:t xml:space="preserve"> </w:t>
      </w:r>
      <w:r w:rsidR="00046204" w:rsidRPr="00A156F4">
        <w:rPr>
          <w:sz w:val="22"/>
          <w:szCs w:val="22"/>
        </w:rPr>
        <w:t>c</w:t>
      </w:r>
      <w:r w:rsidRPr="00A156F4">
        <w:rPr>
          <w:sz w:val="22"/>
          <w:szCs w:val="22"/>
        </w:rPr>
        <w:t>uando en un expediente se investiguen varias conductas anticompetitivas; cuando se requiera el análisis de varios mercados relevantes</w:t>
      </w:r>
      <w:r w:rsidR="00495B03" w:rsidRPr="00A156F4">
        <w:rPr>
          <w:sz w:val="22"/>
          <w:szCs w:val="22"/>
        </w:rPr>
        <w:t>.</w:t>
      </w:r>
    </w:p>
    <w:p w14:paraId="28F7C1FE" w14:textId="77777777" w:rsidR="00B666CC" w:rsidRPr="00A156F4" w:rsidRDefault="00B666CC" w:rsidP="00B666CC">
      <w:pPr>
        <w:jc w:val="both"/>
        <w:rPr>
          <w:sz w:val="22"/>
          <w:szCs w:val="22"/>
        </w:rPr>
      </w:pPr>
    </w:p>
    <w:p w14:paraId="43DA0829" w14:textId="2F342975" w:rsidR="00B666CC" w:rsidRPr="00A156F4" w:rsidRDefault="00B666CC" w:rsidP="00B666CC">
      <w:pPr>
        <w:pStyle w:val="Prrafodelista"/>
        <w:spacing w:after="0" w:line="240" w:lineRule="auto"/>
        <w:ind w:left="0"/>
        <w:contextualSpacing/>
        <w:jc w:val="both"/>
        <w:rPr>
          <w:rFonts w:ascii="Times New Roman" w:hAnsi="Times New Roman"/>
          <w:b/>
          <w:bCs/>
          <w:lang w:eastAsia="es-CR"/>
        </w:rPr>
      </w:pPr>
      <w:r w:rsidRPr="00A156F4">
        <w:rPr>
          <w:rFonts w:ascii="Times New Roman" w:eastAsiaTheme="minorHAnsi" w:hAnsi="Times New Roman"/>
          <w:b/>
        </w:rPr>
        <w:t>Artículo</w:t>
      </w:r>
      <w:r w:rsidRPr="00A156F4">
        <w:rPr>
          <w:rFonts w:ascii="Times New Roman" w:hAnsi="Times New Roman"/>
          <w:b/>
        </w:rPr>
        <w:t xml:space="preserve"> 3</w:t>
      </w:r>
      <w:r w:rsidR="00B82C4F" w:rsidRPr="00A156F4">
        <w:rPr>
          <w:rFonts w:ascii="Times New Roman" w:hAnsi="Times New Roman"/>
          <w:b/>
        </w:rPr>
        <w:t>9</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Inicio de la etapa de investigación preliminar</w:t>
      </w:r>
    </w:p>
    <w:p w14:paraId="1E77F366" w14:textId="77777777" w:rsidR="00B666CC" w:rsidRPr="00A156F4" w:rsidRDefault="00B666CC" w:rsidP="00B666CC">
      <w:pPr>
        <w:pStyle w:val="Prrafodelista"/>
        <w:spacing w:after="0" w:line="240" w:lineRule="auto"/>
        <w:ind w:left="0"/>
        <w:contextualSpacing/>
        <w:jc w:val="both"/>
        <w:rPr>
          <w:rFonts w:ascii="Times New Roman" w:hAnsi="Times New Roman"/>
          <w:b/>
          <w:bCs/>
          <w:lang w:eastAsia="es-CR"/>
        </w:rPr>
      </w:pPr>
    </w:p>
    <w:p w14:paraId="7AC1561C" w14:textId="06997ACC" w:rsidR="00B666CC" w:rsidRPr="00A156F4" w:rsidRDefault="00B666CC" w:rsidP="00B666CC">
      <w:pPr>
        <w:jc w:val="both"/>
        <w:textAlignment w:val="center"/>
        <w:rPr>
          <w:sz w:val="22"/>
          <w:szCs w:val="22"/>
          <w:lang w:eastAsia="es-CR"/>
        </w:rPr>
      </w:pPr>
      <w:r w:rsidRPr="00A156F4">
        <w:rPr>
          <w:sz w:val="22"/>
          <w:szCs w:val="22"/>
        </w:rPr>
        <w:t>El encargado de investigaciones del Órgano Técnico</w:t>
      </w:r>
      <w:r w:rsidR="004F3E6C" w:rsidRPr="00A156F4">
        <w:rPr>
          <w:sz w:val="22"/>
          <w:szCs w:val="22"/>
        </w:rPr>
        <w:t xml:space="preserve"> correspondiente</w:t>
      </w:r>
      <w:r w:rsidRPr="00A156F4">
        <w:rPr>
          <w:sz w:val="22"/>
          <w:szCs w:val="22"/>
        </w:rPr>
        <w:t xml:space="preserve"> dará inicio a la etapa de investigación preliminar</w:t>
      </w:r>
      <w:r w:rsidR="00DD68A4" w:rsidRPr="00A156F4">
        <w:rPr>
          <w:sz w:val="22"/>
          <w:szCs w:val="22"/>
        </w:rPr>
        <w:t>,</w:t>
      </w:r>
      <w:r w:rsidRPr="00A156F4">
        <w:rPr>
          <w:sz w:val="22"/>
          <w:szCs w:val="22"/>
        </w:rPr>
        <w:t xml:space="preserve"> </w:t>
      </w:r>
      <w:r w:rsidR="004543A1" w:rsidRPr="00A156F4">
        <w:rPr>
          <w:sz w:val="22"/>
          <w:szCs w:val="22"/>
        </w:rPr>
        <w:t>y</w:t>
      </w:r>
      <w:r w:rsidR="00DD68A4" w:rsidRPr="00A156F4">
        <w:rPr>
          <w:sz w:val="22"/>
          <w:szCs w:val="22"/>
        </w:rPr>
        <w:t xml:space="preserve"> </w:t>
      </w:r>
      <w:r w:rsidRPr="00A156F4">
        <w:rPr>
          <w:sz w:val="22"/>
          <w:szCs w:val="22"/>
        </w:rPr>
        <w:t>se encargará de reunir, asegurar y ordenar las pruebas y demás antecedentes</w:t>
      </w:r>
      <w:r w:rsidR="00DD68A4" w:rsidRPr="00A156F4">
        <w:rPr>
          <w:sz w:val="22"/>
          <w:szCs w:val="22"/>
        </w:rPr>
        <w:t>,</w:t>
      </w:r>
      <w:r w:rsidRPr="00A156F4">
        <w:rPr>
          <w:sz w:val="22"/>
          <w:szCs w:val="22"/>
        </w:rPr>
        <w:t xml:space="preserve"> necesarios para determinar la procedencia o no del inicio de la etapa de instrucción</w:t>
      </w:r>
      <w:r w:rsidR="00DD68A4" w:rsidRPr="00A156F4">
        <w:rPr>
          <w:sz w:val="22"/>
          <w:szCs w:val="22"/>
        </w:rPr>
        <w:t>;</w:t>
      </w:r>
      <w:r w:rsidRPr="00A156F4">
        <w:rPr>
          <w:sz w:val="22"/>
          <w:szCs w:val="22"/>
        </w:rPr>
        <w:t xml:space="preserve"> </w:t>
      </w:r>
      <w:r w:rsidR="00DD68A4" w:rsidRPr="00A156F4">
        <w:rPr>
          <w:sz w:val="22"/>
          <w:szCs w:val="22"/>
        </w:rPr>
        <w:t xml:space="preserve">para lo que podrá </w:t>
      </w:r>
      <w:r w:rsidRPr="00A156F4">
        <w:rPr>
          <w:sz w:val="22"/>
          <w:szCs w:val="22"/>
        </w:rPr>
        <w:t>utilizar todos los mecanismos de recolección de información y pruebas autorizados por ley. Dicha investigación tendrá carácter confidencial.</w:t>
      </w:r>
      <w:r w:rsidRPr="00A156F4">
        <w:rPr>
          <w:sz w:val="22"/>
          <w:szCs w:val="22"/>
          <w:lang w:eastAsia="es-CR"/>
        </w:rPr>
        <w:t xml:space="preserve"> </w:t>
      </w:r>
    </w:p>
    <w:p w14:paraId="66116A01" w14:textId="77777777" w:rsidR="00B666CC" w:rsidRPr="00A156F4" w:rsidRDefault="00B666CC" w:rsidP="00B666CC">
      <w:pPr>
        <w:jc w:val="both"/>
        <w:textAlignment w:val="center"/>
        <w:rPr>
          <w:sz w:val="22"/>
          <w:szCs w:val="22"/>
          <w:lang w:eastAsia="es-CR"/>
        </w:rPr>
      </w:pPr>
    </w:p>
    <w:p w14:paraId="451C8FB0" w14:textId="01376A48" w:rsidR="00B666CC" w:rsidRPr="00A156F4" w:rsidRDefault="00B666CC" w:rsidP="00B666CC">
      <w:pPr>
        <w:jc w:val="both"/>
        <w:textAlignment w:val="center"/>
        <w:rPr>
          <w:sz w:val="22"/>
          <w:szCs w:val="22"/>
        </w:rPr>
      </w:pPr>
      <w:r w:rsidRPr="00A156F4">
        <w:rPr>
          <w:sz w:val="22"/>
          <w:szCs w:val="22"/>
        </w:rPr>
        <w:t>En esta etapa de investigación preliminar, el Órgano Superior</w:t>
      </w:r>
      <w:r w:rsidR="004F3E6C" w:rsidRPr="00A156F4">
        <w:rPr>
          <w:sz w:val="22"/>
          <w:szCs w:val="22"/>
        </w:rPr>
        <w:t xml:space="preserve"> respectivo</w:t>
      </w:r>
      <w:r w:rsidRPr="00A156F4">
        <w:rPr>
          <w:sz w:val="22"/>
          <w:szCs w:val="22"/>
        </w:rPr>
        <w:t xml:space="preserve"> no tendrá ninguna participación ni injerencia en la tramitación realizada por el </w:t>
      </w:r>
      <w:r w:rsidR="00046204" w:rsidRPr="00A156F4">
        <w:rPr>
          <w:sz w:val="22"/>
          <w:szCs w:val="22"/>
        </w:rPr>
        <w:t xml:space="preserve">encargado de investigaciones del </w:t>
      </w:r>
      <w:r w:rsidRPr="00A156F4">
        <w:rPr>
          <w:sz w:val="22"/>
          <w:szCs w:val="22"/>
        </w:rPr>
        <w:t xml:space="preserve">Órgano </w:t>
      </w:r>
      <w:r w:rsidR="00046204" w:rsidRPr="00A156F4">
        <w:rPr>
          <w:sz w:val="22"/>
          <w:szCs w:val="22"/>
        </w:rPr>
        <w:t>Técnico</w:t>
      </w:r>
      <w:r w:rsidR="004F3E6C" w:rsidRPr="00A156F4">
        <w:rPr>
          <w:sz w:val="22"/>
          <w:szCs w:val="22"/>
        </w:rPr>
        <w:t xml:space="preserve"> correspondiente</w:t>
      </w:r>
      <w:r w:rsidRPr="00A156F4">
        <w:rPr>
          <w:sz w:val="22"/>
          <w:szCs w:val="22"/>
        </w:rPr>
        <w:t xml:space="preserve">, en aras de garantizar la independencia y transparencia </w:t>
      </w:r>
      <w:r w:rsidR="00DD68A4" w:rsidRPr="00A156F4">
        <w:rPr>
          <w:sz w:val="22"/>
          <w:szCs w:val="22"/>
        </w:rPr>
        <w:t>d</w:t>
      </w:r>
      <w:r w:rsidRPr="00A156F4">
        <w:rPr>
          <w:sz w:val="22"/>
          <w:szCs w:val="22"/>
        </w:rPr>
        <w:t xml:space="preserve">e lo actuado en cada etapa.  </w:t>
      </w:r>
    </w:p>
    <w:p w14:paraId="73C13F48" w14:textId="77777777" w:rsidR="00B666CC" w:rsidRPr="00A156F4" w:rsidRDefault="00B666CC" w:rsidP="00B666CC">
      <w:pPr>
        <w:jc w:val="both"/>
        <w:textAlignment w:val="center"/>
        <w:rPr>
          <w:sz w:val="22"/>
          <w:szCs w:val="22"/>
        </w:rPr>
      </w:pPr>
    </w:p>
    <w:p w14:paraId="57A5A005" w14:textId="7F27477D" w:rsidR="00B666CC" w:rsidRPr="00A156F4" w:rsidRDefault="00B666CC" w:rsidP="00B666CC">
      <w:pPr>
        <w:pStyle w:val="Prrafodelista"/>
        <w:spacing w:after="0" w:line="240" w:lineRule="auto"/>
        <w:ind w:left="0"/>
        <w:contextualSpacing/>
        <w:jc w:val="both"/>
        <w:outlineLvl w:val="0"/>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00B82C4F" w:rsidRPr="00A156F4">
        <w:rPr>
          <w:rFonts w:ascii="Times New Roman" w:hAnsi="Times New Roman"/>
          <w:b/>
        </w:rPr>
        <w:t>40</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Recomendación de inicio de la etapa de instrucción</w:t>
      </w:r>
    </w:p>
    <w:p w14:paraId="07F8CB31" w14:textId="77777777" w:rsidR="00B666CC" w:rsidRPr="00A156F4" w:rsidRDefault="00B666CC" w:rsidP="00B666CC">
      <w:pPr>
        <w:tabs>
          <w:tab w:val="left" w:pos="709"/>
        </w:tabs>
        <w:jc w:val="both"/>
        <w:textAlignment w:val="center"/>
        <w:rPr>
          <w:sz w:val="22"/>
          <w:szCs w:val="22"/>
        </w:rPr>
      </w:pPr>
    </w:p>
    <w:p w14:paraId="3AA37F8E" w14:textId="0D1E2DFD" w:rsidR="00046204" w:rsidRPr="00A156F4" w:rsidRDefault="00B666CC" w:rsidP="00B666CC">
      <w:pPr>
        <w:tabs>
          <w:tab w:val="left" w:pos="709"/>
        </w:tabs>
        <w:jc w:val="both"/>
        <w:textAlignment w:val="center"/>
        <w:rPr>
          <w:sz w:val="22"/>
          <w:szCs w:val="22"/>
        </w:rPr>
      </w:pPr>
      <w:r w:rsidRPr="00A156F4">
        <w:rPr>
          <w:sz w:val="22"/>
          <w:szCs w:val="22"/>
        </w:rPr>
        <w:t>Cuando el encargado de investigaciones del Órgano Técnico</w:t>
      </w:r>
      <w:r w:rsidR="004F3E6C" w:rsidRPr="00A156F4">
        <w:rPr>
          <w:sz w:val="22"/>
          <w:szCs w:val="22"/>
        </w:rPr>
        <w:t xml:space="preserve"> correspondiente</w:t>
      </w:r>
      <w:r w:rsidRPr="00A156F4">
        <w:rPr>
          <w:sz w:val="22"/>
          <w:szCs w:val="22"/>
        </w:rPr>
        <w:t xml:space="preserve"> estime que los elementos de prueba recabados durante la investigación preliminar son suficientes para el inicio de la etapa de instrucción, </w:t>
      </w:r>
      <w:r w:rsidR="00BA6ECB" w:rsidRPr="00A156F4">
        <w:rPr>
          <w:sz w:val="22"/>
          <w:szCs w:val="22"/>
        </w:rPr>
        <w:t xml:space="preserve">así lo recomendará </w:t>
      </w:r>
      <w:r w:rsidRPr="00A156F4">
        <w:rPr>
          <w:sz w:val="22"/>
          <w:szCs w:val="22"/>
        </w:rPr>
        <w:t>al encargado de instrucción</w:t>
      </w:r>
      <w:r w:rsidR="00BA6ECB" w:rsidRPr="00A156F4">
        <w:rPr>
          <w:sz w:val="22"/>
          <w:szCs w:val="22"/>
        </w:rPr>
        <w:t>, remitiéndole</w:t>
      </w:r>
      <w:r w:rsidRPr="00A156F4">
        <w:rPr>
          <w:sz w:val="22"/>
          <w:szCs w:val="22"/>
        </w:rPr>
        <w:t xml:space="preserve"> el informe respectivo con los resultados de la investigación preliminar, junto con el expediente completo de esta investigación. </w:t>
      </w:r>
    </w:p>
    <w:p w14:paraId="03E7852D" w14:textId="77777777" w:rsidR="00046204" w:rsidRPr="00A156F4" w:rsidRDefault="00046204" w:rsidP="00B666CC">
      <w:pPr>
        <w:tabs>
          <w:tab w:val="left" w:pos="709"/>
        </w:tabs>
        <w:jc w:val="both"/>
        <w:textAlignment w:val="center"/>
        <w:rPr>
          <w:sz w:val="22"/>
          <w:szCs w:val="22"/>
        </w:rPr>
      </w:pPr>
    </w:p>
    <w:p w14:paraId="6E97D570" w14:textId="09FB41C1" w:rsidR="00B666CC" w:rsidRPr="00A156F4" w:rsidRDefault="00046204" w:rsidP="00B666CC">
      <w:pPr>
        <w:tabs>
          <w:tab w:val="left" w:pos="709"/>
        </w:tabs>
        <w:jc w:val="both"/>
        <w:textAlignment w:val="center"/>
        <w:rPr>
          <w:sz w:val="22"/>
          <w:szCs w:val="22"/>
        </w:rPr>
      </w:pPr>
      <w:r w:rsidRPr="00A156F4">
        <w:rPr>
          <w:sz w:val="22"/>
          <w:szCs w:val="22"/>
        </w:rPr>
        <w:t xml:space="preserve">El </w:t>
      </w:r>
      <w:r w:rsidR="00B666CC" w:rsidRPr="00A156F4">
        <w:rPr>
          <w:sz w:val="22"/>
          <w:szCs w:val="22"/>
        </w:rPr>
        <w:t>expediente deberá contener la totalidad de la prueba ofrecida por el denunciante, si l</w:t>
      </w:r>
      <w:r w:rsidR="007E4F9B" w:rsidRPr="00A156F4">
        <w:rPr>
          <w:sz w:val="22"/>
          <w:szCs w:val="22"/>
        </w:rPr>
        <w:t>a</w:t>
      </w:r>
      <w:r w:rsidR="00B666CC" w:rsidRPr="00A156F4">
        <w:rPr>
          <w:sz w:val="22"/>
          <w:szCs w:val="22"/>
        </w:rPr>
        <w:t xml:space="preserve"> hay, y la </w:t>
      </w:r>
      <w:r w:rsidR="00BA6ECB" w:rsidRPr="00A156F4">
        <w:rPr>
          <w:sz w:val="22"/>
          <w:szCs w:val="22"/>
        </w:rPr>
        <w:t>recabada</w:t>
      </w:r>
      <w:r w:rsidR="00B666CC" w:rsidRPr="00A156F4">
        <w:rPr>
          <w:sz w:val="22"/>
          <w:szCs w:val="22"/>
        </w:rPr>
        <w:t xml:space="preserve"> en la investigación</w:t>
      </w:r>
      <w:r w:rsidR="00DD68A4" w:rsidRPr="00A156F4">
        <w:rPr>
          <w:sz w:val="22"/>
          <w:szCs w:val="22"/>
        </w:rPr>
        <w:t>;</w:t>
      </w:r>
      <w:r w:rsidR="00B666CC" w:rsidRPr="00A156F4">
        <w:rPr>
          <w:sz w:val="22"/>
          <w:szCs w:val="22"/>
        </w:rPr>
        <w:t xml:space="preserve"> así como la indicación completa y detallada de aquella prueba ofrecida que deba ser evacuada posteriormente, y la especificación de las conductas presuntamente cometidas por el agente económico</w:t>
      </w:r>
      <w:r w:rsidR="007E4F9B" w:rsidRPr="00A156F4">
        <w:rPr>
          <w:sz w:val="22"/>
          <w:szCs w:val="22"/>
        </w:rPr>
        <w:t xml:space="preserve"> investigado</w:t>
      </w:r>
      <w:r w:rsidR="00B666CC" w:rsidRPr="00A156F4">
        <w:rPr>
          <w:sz w:val="22"/>
          <w:szCs w:val="22"/>
        </w:rPr>
        <w:t xml:space="preserve">. </w:t>
      </w:r>
    </w:p>
    <w:p w14:paraId="51E42432" w14:textId="77777777" w:rsidR="00B666CC" w:rsidRPr="00A156F4" w:rsidRDefault="00B666CC" w:rsidP="00B666CC">
      <w:pPr>
        <w:jc w:val="both"/>
        <w:textAlignment w:val="center"/>
        <w:rPr>
          <w:sz w:val="22"/>
          <w:szCs w:val="22"/>
        </w:rPr>
      </w:pPr>
    </w:p>
    <w:p w14:paraId="384D6B68" w14:textId="20EE8C62" w:rsidR="00B666CC" w:rsidRPr="00A156F4" w:rsidRDefault="00B666CC" w:rsidP="00B666CC">
      <w:pPr>
        <w:jc w:val="both"/>
        <w:rPr>
          <w:rFonts w:eastAsia="Times New Roman"/>
          <w:b/>
          <w:iCs/>
          <w:sz w:val="22"/>
          <w:szCs w:val="22"/>
          <w:lang w:val="es-CR" w:eastAsia="en-US"/>
        </w:rPr>
      </w:pPr>
      <w:r w:rsidRPr="00A156F4">
        <w:rPr>
          <w:b/>
          <w:sz w:val="22"/>
          <w:szCs w:val="22"/>
        </w:rPr>
        <w:t>Artículo</w:t>
      </w:r>
      <w:r w:rsidRPr="00A156F4">
        <w:rPr>
          <w:b/>
          <w:bCs/>
          <w:sz w:val="22"/>
          <w:szCs w:val="22"/>
        </w:rPr>
        <w:t xml:space="preserve"> </w:t>
      </w:r>
      <w:r w:rsidR="00B82C4F" w:rsidRPr="00A156F4">
        <w:rPr>
          <w:rFonts w:eastAsia="Times New Roman"/>
          <w:b/>
          <w:iCs/>
          <w:sz w:val="22"/>
          <w:szCs w:val="22"/>
          <w:lang w:val="es-CR" w:eastAsia="en-US"/>
        </w:rPr>
        <w:t>41</w:t>
      </w:r>
      <w:r w:rsidRPr="00A156F4">
        <w:rPr>
          <w:rFonts w:eastAsia="Times New Roman"/>
          <w:b/>
          <w:iCs/>
          <w:sz w:val="22"/>
          <w:szCs w:val="22"/>
          <w:lang w:val="es-CR" w:eastAsia="en-US"/>
        </w:rPr>
        <w:t>.-</w:t>
      </w:r>
      <w:r w:rsidR="00F153AC" w:rsidRPr="00A156F4">
        <w:rPr>
          <w:rFonts w:eastAsia="Times New Roman"/>
          <w:b/>
          <w:iCs/>
          <w:sz w:val="22"/>
          <w:szCs w:val="22"/>
          <w:lang w:val="es-CR" w:eastAsia="en-US"/>
        </w:rPr>
        <w:t xml:space="preserve"> </w:t>
      </w:r>
      <w:r w:rsidRPr="00A156F4">
        <w:rPr>
          <w:rFonts w:eastAsia="Times New Roman"/>
          <w:b/>
          <w:iCs/>
          <w:sz w:val="22"/>
          <w:szCs w:val="22"/>
          <w:lang w:val="es-CR" w:eastAsia="en-US"/>
        </w:rPr>
        <w:t xml:space="preserve">Desestimación </w:t>
      </w:r>
    </w:p>
    <w:p w14:paraId="0D1E3513" w14:textId="77777777" w:rsidR="00B666CC" w:rsidRPr="00A156F4" w:rsidRDefault="00B666CC" w:rsidP="00B666CC">
      <w:pPr>
        <w:jc w:val="both"/>
        <w:textAlignment w:val="center"/>
        <w:rPr>
          <w:sz w:val="22"/>
          <w:szCs w:val="22"/>
        </w:rPr>
      </w:pPr>
    </w:p>
    <w:p w14:paraId="5AE6C788" w14:textId="07164CDA" w:rsidR="00B666CC" w:rsidRPr="00A156F4" w:rsidRDefault="00B666CC" w:rsidP="00B666CC">
      <w:pPr>
        <w:jc w:val="both"/>
        <w:textAlignment w:val="center"/>
        <w:rPr>
          <w:sz w:val="22"/>
          <w:szCs w:val="22"/>
        </w:rPr>
      </w:pPr>
      <w:r w:rsidRPr="00A156F4">
        <w:rPr>
          <w:sz w:val="22"/>
          <w:szCs w:val="22"/>
        </w:rPr>
        <w:t xml:space="preserve">Cuando el encargado de investigaciones estime que los elementos de prueba recabados durante la investigación preliminar son insuficientes para el inicio de la etapa de instrucción, desestimará el caso mediante resolución motivada. </w:t>
      </w:r>
      <w:r w:rsidR="00046204" w:rsidRPr="00A156F4">
        <w:rPr>
          <w:sz w:val="22"/>
          <w:szCs w:val="22"/>
        </w:rPr>
        <w:t xml:space="preserve">Contra esta resolución cabrá el recurso al que se refiere el artículo </w:t>
      </w:r>
      <w:r w:rsidR="004A13FB" w:rsidRPr="00A156F4">
        <w:rPr>
          <w:sz w:val="22"/>
          <w:szCs w:val="22"/>
        </w:rPr>
        <w:t xml:space="preserve">60 </w:t>
      </w:r>
      <w:r w:rsidR="00046204" w:rsidRPr="00A156F4">
        <w:rPr>
          <w:sz w:val="22"/>
          <w:szCs w:val="22"/>
        </w:rPr>
        <w:t xml:space="preserve">de </w:t>
      </w:r>
      <w:r w:rsidR="00DD68A4" w:rsidRPr="00A156F4">
        <w:rPr>
          <w:sz w:val="22"/>
          <w:szCs w:val="22"/>
        </w:rPr>
        <w:t>la presente</w:t>
      </w:r>
      <w:r w:rsidR="00046204" w:rsidRPr="00A156F4">
        <w:rPr>
          <w:sz w:val="22"/>
          <w:szCs w:val="22"/>
        </w:rPr>
        <w:t xml:space="preserve"> ley.</w:t>
      </w:r>
    </w:p>
    <w:p w14:paraId="62819DFF" w14:textId="5EB19C28" w:rsidR="00B666CC" w:rsidRPr="00A156F4" w:rsidRDefault="00B666CC" w:rsidP="00B666CC">
      <w:pPr>
        <w:jc w:val="both"/>
        <w:textAlignment w:val="center"/>
        <w:rPr>
          <w:sz w:val="22"/>
          <w:szCs w:val="22"/>
        </w:rPr>
      </w:pPr>
    </w:p>
    <w:p w14:paraId="5EC084F8" w14:textId="77777777" w:rsidR="005F7DB9" w:rsidRPr="00A156F4" w:rsidRDefault="005F7DB9" w:rsidP="00B666CC">
      <w:pPr>
        <w:jc w:val="both"/>
        <w:textAlignment w:val="center"/>
        <w:rPr>
          <w:sz w:val="22"/>
          <w:szCs w:val="22"/>
        </w:rPr>
      </w:pPr>
    </w:p>
    <w:p w14:paraId="21972790" w14:textId="77777777" w:rsidR="00B666CC" w:rsidRPr="00A156F4" w:rsidRDefault="00B666CC" w:rsidP="00B666CC">
      <w:pPr>
        <w:pStyle w:val="Ttulo3"/>
        <w:keepNext w:val="0"/>
        <w:keepLines w:val="0"/>
        <w:spacing w:before="0"/>
        <w:contextualSpacing/>
        <w:jc w:val="center"/>
        <w:rPr>
          <w:rFonts w:ascii="Times New Roman" w:eastAsia="Times New Roman" w:hAnsi="Times New Roman" w:cs="Times New Roman"/>
          <w:b/>
          <w:color w:val="auto"/>
          <w:sz w:val="22"/>
          <w:szCs w:val="22"/>
          <w:lang w:val="es-CR" w:eastAsia="en-US"/>
        </w:rPr>
      </w:pPr>
      <w:bookmarkStart w:id="19" w:name="_Hlk523045488"/>
      <w:r w:rsidRPr="00A156F4">
        <w:rPr>
          <w:rFonts w:ascii="Times New Roman" w:eastAsia="Times New Roman" w:hAnsi="Times New Roman" w:cs="Times New Roman"/>
          <w:b/>
          <w:color w:val="auto"/>
          <w:sz w:val="22"/>
          <w:szCs w:val="22"/>
          <w:lang w:val="es-CR" w:eastAsia="en-US"/>
        </w:rPr>
        <w:t>SECCIÓN III</w:t>
      </w:r>
    </w:p>
    <w:p w14:paraId="3ED596AE" w14:textId="77777777" w:rsidR="00B666CC" w:rsidRPr="00A156F4" w:rsidRDefault="00B666CC" w:rsidP="00B666CC">
      <w:pPr>
        <w:jc w:val="center"/>
        <w:rPr>
          <w:b/>
          <w:sz w:val="22"/>
          <w:szCs w:val="22"/>
        </w:rPr>
      </w:pPr>
      <w:r w:rsidRPr="00A156F4">
        <w:rPr>
          <w:b/>
          <w:sz w:val="22"/>
          <w:szCs w:val="22"/>
        </w:rPr>
        <w:t>Etapa de Instrucción</w:t>
      </w:r>
    </w:p>
    <w:bookmarkEnd w:id="19"/>
    <w:p w14:paraId="2302631C" w14:textId="40098B14" w:rsidR="00B666CC" w:rsidRPr="00A156F4" w:rsidRDefault="00B666CC" w:rsidP="00B666CC">
      <w:pPr>
        <w:pStyle w:val="Prrafodelista"/>
        <w:spacing w:after="0" w:line="240" w:lineRule="auto"/>
        <w:ind w:left="0"/>
        <w:contextualSpacing/>
        <w:jc w:val="both"/>
        <w:rPr>
          <w:rFonts w:ascii="Times New Roman" w:eastAsiaTheme="minorHAnsi" w:hAnsi="Times New Roman"/>
          <w:b/>
        </w:rPr>
      </w:pPr>
    </w:p>
    <w:p w14:paraId="49295435" w14:textId="77777777" w:rsidR="005F7DB9" w:rsidRPr="00A156F4" w:rsidRDefault="005F7DB9" w:rsidP="00B666CC">
      <w:pPr>
        <w:pStyle w:val="Prrafodelista"/>
        <w:spacing w:after="0" w:line="240" w:lineRule="auto"/>
        <w:ind w:left="0"/>
        <w:contextualSpacing/>
        <w:jc w:val="both"/>
        <w:rPr>
          <w:rFonts w:ascii="Times New Roman" w:eastAsiaTheme="minorHAnsi" w:hAnsi="Times New Roman"/>
          <w:b/>
        </w:rPr>
      </w:pPr>
    </w:p>
    <w:p w14:paraId="2DA0F11B" w14:textId="7A8C5CBF"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00B82C4F" w:rsidRPr="00A156F4">
        <w:rPr>
          <w:rFonts w:ascii="Times New Roman" w:hAnsi="Times New Roman"/>
          <w:b/>
        </w:rPr>
        <w:t>42</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Propósito</w:t>
      </w:r>
    </w:p>
    <w:p w14:paraId="124E5AAC" w14:textId="77777777" w:rsidR="00B666CC" w:rsidRPr="00A156F4" w:rsidRDefault="00B666CC" w:rsidP="00B666CC">
      <w:pPr>
        <w:jc w:val="both"/>
        <w:textAlignment w:val="center"/>
        <w:rPr>
          <w:sz w:val="22"/>
          <w:szCs w:val="22"/>
        </w:rPr>
      </w:pPr>
    </w:p>
    <w:p w14:paraId="62F9455C" w14:textId="33145401" w:rsidR="00B666CC" w:rsidRPr="00A156F4" w:rsidRDefault="00046204" w:rsidP="00046204">
      <w:pPr>
        <w:jc w:val="both"/>
        <w:textAlignment w:val="center"/>
        <w:rPr>
          <w:sz w:val="22"/>
          <w:szCs w:val="22"/>
        </w:rPr>
      </w:pPr>
      <w:r w:rsidRPr="00A156F4">
        <w:rPr>
          <w:sz w:val="22"/>
          <w:szCs w:val="22"/>
        </w:rPr>
        <w:t xml:space="preserve">La etapa de instrucción tiene como finalidad </w:t>
      </w:r>
      <w:r w:rsidR="00B666CC" w:rsidRPr="00A156F4">
        <w:rPr>
          <w:sz w:val="22"/>
          <w:szCs w:val="22"/>
        </w:rPr>
        <w:t>realizar el traslado de cargos; recibir</w:t>
      </w:r>
      <w:r w:rsidR="00F96A95" w:rsidRPr="00A156F4">
        <w:rPr>
          <w:sz w:val="22"/>
          <w:szCs w:val="22"/>
        </w:rPr>
        <w:t>,</w:t>
      </w:r>
      <w:r w:rsidR="00B666CC" w:rsidRPr="00A156F4">
        <w:rPr>
          <w:sz w:val="22"/>
          <w:szCs w:val="22"/>
        </w:rPr>
        <w:t xml:space="preserve"> admitir</w:t>
      </w:r>
      <w:r w:rsidR="00742629" w:rsidRPr="00A156F4">
        <w:rPr>
          <w:sz w:val="22"/>
          <w:szCs w:val="22"/>
        </w:rPr>
        <w:t xml:space="preserve"> o rechazar</w:t>
      </w:r>
      <w:r w:rsidR="00B666CC" w:rsidRPr="00A156F4">
        <w:rPr>
          <w:sz w:val="22"/>
          <w:szCs w:val="22"/>
        </w:rPr>
        <w:t xml:space="preserve"> la prueba que ofrezcan las partes, así como </w:t>
      </w:r>
      <w:r w:rsidR="00742629" w:rsidRPr="00A156F4">
        <w:rPr>
          <w:sz w:val="22"/>
          <w:szCs w:val="22"/>
        </w:rPr>
        <w:t xml:space="preserve">gestionar </w:t>
      </w:r>
      <w:r w:rsidR="00B666CC" w:rsidRPr="00A156F4">
        <w:rPr>
          <w:sz w:val="22"/>
          <w:szCs w:val="22"/>
        </w:rPr>
        <w:t xml:space="preserve">la prueba que se estime necesaria, cuando de los argumentos de las partes en su escrito de defensa así se requiera para el mejor análisis de fondo por parte del Órgano Superior; y en general, ordenar todas las actuaciones </w:t>
      </w:r>
      <w:r w:rsidR="007E4F9B" w:rsidRPr="00A156F4">
        <w:rPr>
          <w:sz w:val="22"/>
          <w:szCs w:val="22"/>
        </w:rPr>
        <w:t>necesarias</w:t>
      </w:r>
      <w:r w:rsidR="00742629" w:rsidRPr="00A156F4">
        <w:rPr>
          <w:sz w:val="22"/>
          <w:szCs w:val="22"/>
        </w:rPr>
        <w:t xml:space="preserve"> para preparar el procedimiento para la etapa decisoria</w:t>
      </w:r>
      <w:r w:rsidR="00B666CC" w:rsidRPr="00A156F4">
        <w:rPr>
          <w:sz w:val="22"/>
          <w:szCs w:val="22"/>
        </w:rPr>
        <w:t>, de manera que el expediente esté listo y saneado para la comparecencia oral y privada ante el Órgano Superior.</w:t>
      </w:r>
    </w:p>
    <w:p w14:paraId="49C5D0F5" w14:textId="44EE16F4" w:rsidR="00046204" w:rsidRPr="00A156F4" w:rsidRDefault="00046204" w:rsidP="00046204">
      <w:pPr>
        <w:jc w:val="both"/>
        <w:textAlignment w:val="center"/>
        <w:rPr>
          <w:sz w:val="22"/>
          <w:szCs w:val="22"/>
        </w:rPr>
      </w:pPr>
    </w:p>
    <w:p w14:paraId="7CF36135" w14:textId="28608739" w:rsidR="00046204" w:rsidRPr="00A156F4" w:rsidRDefault="00046204" w:rsidP="00046204">
      <w:pPr>
        <w:jc w:val="both"/>
        <w:textAlignment w:val="center"/>
        <w:rPr>
          <w:sz w:val="22"/>
          <w:szCs w:val="22"/>
        </w:rPr>
      </w:pPr>
      <w:r w:rsidRPr="00A156F4">
        <w:rPr>
          <w:sz w:val="22"/>
          <w:szCs w:val="22"/>
        </w:rPr>
        <w:t xml:space="preserve">Esta etapa tendrá una duración máxima de </w:t>
      </w:r>
      <w:r w:rsidR="00E409FB" w:rsidRPr="00A156F4">
        <w:rPr>
          <w:sz w:val="22"/>
          <w:szCs w:val="22"/>
        </w:rPr>
        <w:t>10</w:t>
      </w:r>
      <w:r w:rsidRPr="00A156F4">
        <w:rPr>
          <w:sz w:val="22"/>
          <w:szCs w:val="22"/>
        </w:rPr>
        <w:t xml:space="preserve"> meses. Cuando </w:t>
      </w:r>
      <w:r w:rsidRPr="00A156F4">
        <w:rPr>
          <w:rFonts w:eastAsia="Times New Roman"/>
          <w:sz w:val="22"/>
          <w:szCs w:val="22"/>
          <w:lang w:val="es-CR" w:eastAsia="es-CR"/>
        </w:rPr>
        <w:t>proceda la modificación o ampliación de los hechos y cargos trasladados</w:t>
      </w:r>
      <w:r w:rsidRPr="00A156F4">
        <w:rPr>
          <w:sz w:val="22"/>
          <w:szCs w:val="22"/>
        </w:rPr>
        <w:t>, el plazo de esta etapa podrá ser ampliado</w:t>
      </w:r>
      <w:r w:rsidR="007E533F" w:rsidRPr="00A156F4">
        <w:rPr>
          <w:sz w:val="22"/>
          <w:szCs w:val="22"/>
        </w:rPr>
        <w:t xml:space="preserve"> </w:t>
      </w:r>
      <w:r w:rsidR="00F96A95" w:rsidRPr="00A156F4">
        <w:rPr>
          <w:sz w:val="22"/>
          <w:szCs w:val="22"/>
        </w:rPr>
        <w:t xml:space="preserve">hasta </w:t>
      </w:r>
      <w:r w:rsidR="007E533F" w:rsidRPr="00A156F4">
        <w:rPr>
          <w:sz w:val="22"/>
          <w:szCs w:val="22"/>
        </w:rPr>
        <w:t>por seis meses adicionales,</w:t>
      </w:r>
      <w:r w:rsidRPr="00A156F4">
        <w:rPr>
          <w:sz w:val="22"/>
          <w:szCs w:val="22"/>
        </w:rPr>
        <w:t xml:space="preserve"> por una única vez</w:t>
      </w:r>
      <w:r w:rsidR="007E533F" w:rsidRPr="00A156F4">
        <w:rPr>
          <w:sz w:val="22"/>
          <w:szCs w:val="22"/>
        </w:rPr>
        <w:t xml:space="preserve"> y</w:t>
      </w:r>
      <w:r w:rsidRPr="00A156F4">
        <w:rPr>
          <w:sz w:val="22"/>
          <w:szCs w:val="22"/>
        </w:rPr>
        <w:t xml:space="preserve"> de manera motivada</w:t>
      </w:r>
      <w:r w:rsidR="007E533F" w:rsidRPr="00A156F4">
        <w:rPr>
          <w:sz w:val="22"/>
          <w:szCs w:val="22"/>
        </w:rPr>
        <w:t>.</w:t>
      </w:r>
    </w:p>
    <w:p w14:paraId="0FE6C233" w14:textId="77777777" w:rsidR="00B666CC" w:rsidRPr="00A156F4" w:rsidRDefault="00B666CC" w:rsidP="00B666CC">
      <w:pPr>
        <w:jc w:val="both"/>
        <w:textAlignment w:val="center"/>
        <w:rPr>
          <w:sz w:val="22"/>
          <w:szCs w:val="22"/>
        </w:rPr>
      </w:pPr>
    </w:p>
    <w:p w14:paraId="22B4E7F6" w14:textId="1A58B2AE" w:rsidR="00B666CC" w:rsidRPr="00A156F4" w:rsidRDefault="00524B79" w:rsidP="00B666CC">
      <w:pPr>
        <w:jc w:val="both"/>
        <w:textAlignment w:val="center"/>
        <w:rPr>
          <w:sz w:val="22"/>
          <w:szCs w:val="22"/>
        </w:rPr>
      </w:pPr>
      <w:r w:rsidRPr="00A156F4">
        <w:rPr>
          <w:sz w:val="22"/>
          <w:szCs w:val="22"/>
        </w:rPr>
        <w:t xml:space="preserve">Durante esta etapa, </w:t>
      </w:r>
      <w:r w:rsidR="00B666CC" w:rsidRPr="00A156F4">
        <w:rPr>
          <w:sz w:val="22"/>
          <w:szCs w:val="22"/>
        </w:rPr>
        <w:t>el Órgano Superior no tendrá ninguna participación ni injerencia en la tramitación realizada por el Órgano Instructor, en aras de garantizar la independencia y transparencia en lo actuado en cada etapa</w:t>
      </w:r>
      <w:r w:rsidR="003B2BFF" w:rsidRPr="00A156F4">
        <w:rPr>
          <w:sz w:val="22"/>
          <w:szCs w:val="22"/>
        </w:rPr>
        <w:t>.</w:t>
      </w:r>
      <w:r w:rsidR="00B666CC" w:rsidRPr="00A156F4">
        <w:rPr>
          <w:sz w:val="22"/>
          <w:szCs w:val="22"/>
        </w:rPr>
        <w:t xml:space="preserve">  </w:t>
      </w:r>
    </w:p>
    <w:p w14:paraId="11337C25" w14:textId="77777777" w:rsidR="00B666CC" w:rsidRPr="00A156F4" w:rsidRDefault="00B666CC" w:rsidP="00B666CC">
      <w:pPr>
        <w:jc w:val="both"/>
        <w:textAlignment w:val="center"/>
        <w:rPr>
          <w:sz w:val="22"/>
          <w:szCs w:val="22"/>
        </w:rPr>
      </w:pPr>
    </w:p>
    <w:p w14:paraId="7F2E5E9F" w14:textId="00FC1312"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hAnsi="Times New Roman"/>
          <w:color w:val="000000"/>
          <w:lang w:eastAsia="es-ES"/>
        </w:rPr>
        <w:t>Lo actuado por el Órgano Instructor durante la etapa de instrucción no prejuzgará el fondo del asunto</w:t>
      </w:r>
      <w:r w:rsidR="007E533F" w:rsidRPr="00A156F4">
        <w:rPr>
          <w:rFonts w:ascii="Times New Roman" w:hAnsi="Times New Roman"/>
          <w:color w:val="000000"/>
          <w:lang w:eastAsia="es-ES"/>
        </w:rPr>
        <w:t>, ya que no</w:t>
      </w:r>
      <w:r w:rsidRPr="00A156F4">
        <w:rPr>
          <w:rFonts w:ascii="Times New Roman" w:hAnsi="Times New Roman"/>
          <w:color w:val="000000"/>
          <w:lang w:eastAsia="es-ES"/>
        </w:rPr>
        <w:t xml:space="preserve"> le compete pronunciarse, ni emitir ninguna conclusión sobre el fondo del procedimiento. </w:t>
      </w:r>
    </w:p>
    <w:p w14:paraId="23B68F64" w14:textId="4791C195" w:rsidR="00B666CC" w:rsidRPr="00A156F4" w:rsidRDefault="00B666CC" w:rsidP="00B666CC">
      <w:pPr>
        <w:jc w:val="both"/>
        <w:textAlignment w:val="center"/>
        <w:rPr>
          <w:sz w:val="22"/>
          <w:szCs w:val="22"/>
        </w:rPr>
      </w:pPr>
    </w:p>
    <w:p w14:paraId="2DA7B17E" w14:textId="75CF00B9"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4</w:t>
      </w:r>
      <w:r w:rsidR="00B82C4F" w:rsidRPr="00A156F4">
        <w:rPr>
          <w:rFonts w:ascii="Times New Roman" w:hAnsi="Times New Roman"/>
          <w:b/>
        </w:rPr>
        <w:t>3</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Valoración del inicio de la etapa de instrucción</w:t>
      </w:r>
    </w:p>
    <w:p w14:paraId="1550F12A" w14:textId="77777777" w:rsidR="00B666CC" w:rsidRPr="00A156F4" w:rsidRDefault="00B666CC" w:rsidP="00B666CC">
      <w:pPr>
        <w:jc w:val="both"/>
        <w:textAlignment w:val="center"/>
        <w:rPr>
          <w:sz w:val="22"/>
          <w:szCs w:val="22"/>
        </w:rPr>
      </w:pPr>
    </w:p>
    <w:p w14:paraId="1C063743" w14:textId="6AC4CB8D" w:rsidR="00742629" w:rsidRPr="00A156F4" w:rsidRDefault="00742629" w:rsidP="00B666CC">
      <w:pPr>
        <w:jc w:val="both"/>
        <w:textAlignment w:val="center"/>
        <w:rPr>
          <w:sz w:val="22"/>
          <w:szCs w:val="22"/>
        </w:rPr>
      </w:pPr>
      <w:r w:rsidRPr="00A156F4">
        <w:rPr>
          <w:sz w:val="22"/>
          <w:szCs w:val="22"/>
        </w:rPr>
        <w:t>Dentro de los 15 días hábiles siguientes al recibo del informe del encargado de investigaciones del Órgano Técnico correspondiente, el encargado de instrucción determinará mediante resolución motivada, si acuerda el inicio de la etapa de instrucción del procedimiento o si rechaza su inicio y ordena el archivo del expediente.</w:t>
      </w:r>
    </w:p>
    <w:p w14:paraId="1AC1DFE7" w14:textId="77777777" w:rsidR="00742629" w:rsidRPr="00A156F4" w:rsidRDefault="00742629" w:rsidP="00B666CC">
      <w:pPr>
        <w:jc w:val="both"/>
        <w:textAlignment w:val="center"/>
        <w:rPr>
          <w:sz w:val="22"/>
          <w:szCs w:val="22"/>
        </w:rPr>
      </w:pPr>
    </w:p>
    <w:p w14:paraId="5D40892F" w14:textId="222C1E2D" w:rsidR="00B666CC" w:rsidRPr="00A156F4" w:rsidRDefault="00742629" w:rsidP="00742629">
      <w:pPr>
        <w:jc w:val="both"/>
        <w:textAlignment w:val="center"/>
        <w:rPr>
          <w:sz w:val="22"/>
          <w:szCs w:val="22"/>
        </w:rPr>
      </w:pPr>
      <w:r w:rsidRPr="00A156F4">
        <w:rPr>
          <w:sz w:val="22"/>
          <w:szCs w:val="22"/>
        </w:rPr>
        <w:t>Procederá el inicio de la etapa de instrucción c</w:t>
      </w:r>
      <w:r w:rsidR="00B666CC" w:rsidRPr="00A156F4">
        <w:rPr>
          <w:sz w:val="22"/>
          <w:szCs w:val="22"/>
        </w:rPr>
        <w:t xml:space="preserve">uando el encargado de instrucción </w:t>
      </w:r>
      <w:r w:rsidR="00B666CC" w:rsidRPr="00A156F4">
        <w:rPr>
          <w:sz w:val="22"/>
          <w:szCs w:val="22"/>
          <w:lang w:val="es-ES"/>
        </w:rPr>
        <w:t>de la autoridad de competencia correspondiente</w:t>
      </w:r>
      <w:r w:rsidR="00B666CC" w:rsidRPr="00A156F4">
        <w:rPr>
          <w:sz w:val="22"/>
          <w:szCs w:val="22"/>
        </w:rPr>
        <w:t xml:space="preserve"> estime que la investigación preliminar proporciona fundamento suficiente, debido a la existencia de elementos que hagan probable la responsabilidad del o de los agentes económicos investigados. </w:t>
      </w:r>
    </w:p>
    <w:p w14:paraId="118E7B7E" w14:textId="77777777" w:rsidR="000D3E46" w:rsidRPr="00A156F4" w:rsidRDefault="000D3E46" w:rsidP="00742629">
      <w:pPr>
        <w:jc w:val="both"/>
        <w:textAlignment w:val="center"/>
        <w:rPr>
          <w:sz w:val="22"/>
          <w:szCs w:val="22"/>
        </w:rPr>
      </w:pPr>
    </w:p>
    <w:p w14:paraId="7C95FF33" w14:textId="47765873" w:rsidR="00B666CC" w:rsidRPr="00A156F4" w:rsidRDefault="00B666CC" w:rsidP="00B666CC">
      <w:pPr>
        <w:jc w:val="both"/>
        <w:textAlignment w:val="center"/>
        <w:rPr>
          <w:sz w:val="22"/>
          <w:szCs w:val="22"/>
        </w:rPr>
      </w:pPr>
      <w:r w:rsidRPr="00A156F4">
        <w:rPr>
          <w:sz w:val="22"/>
          <w:szCs w:val="22"/>
        </w:rPr>
        <w:t>La admisión y el rechazo podrá ser total o parcial.</w:t>
      </w:r>
    </w:p>
    <w:p w14:paraId="216C2F61" w14:textId="77777777" w:rsidR="00B666CC" w:rsidRPr="00A156F4" w:rsidRDefault="00B666CC" w:rsidP="00B666CC">
      <w:pPr>
        <w:jc w:val="both"/>
        <w:textAlignment w:val="center"/>
        <w:rPr>
          <w:sz w:val="22"/>
          <w:szCs w:val="22"/>
        </w:rPr>
      </w:pPr>
    </w:p>
    <w:p w14:paraId="4E626CC9" w14:textId="215BA46E"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4</w:t>
      </w:r>
      <w:r w:rsidR="00B82C4F" w:rsidRPr="00A156F4">
        <w:rPr>
          <w:rFonts w:ascii="Times New Roman" w:hAnsi="Times New Roman"/>
          <w:b/>
        </w:rPr>
        <w:t>4</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Auto de inicio de la etapa de instrucción y traslado de cargos</w:t>
      </w:r>
    </w:p>
    <w:p w14:paraId="30F43EFA" w14:textId="77777777" w:rsidR="00B666CC" w:rsidRPr="00A156F4" w:rsidRDefault="00B666CC" w:rsidP="00B666CC">
      <w:pPr>
        <w:jc w:val="both"/>
        <w:rPr>
          <w:sz w:val="22"/>
          <w:szCs w:val="22"/>
          <w:lang w:eastAsia="es-CR"/>
        </w:rPr>
      </w:pPr>
      <w:r w:rsidRPr="00A156F4">
        <w:rPr>
          <w:sz w:val="22"/>
          <w:szCs w:val="22"/>
          <w:lang w:eastAsia="es-CR"/>
        </w:rPr>
        <w:t xml:space="preserve"> </w:t>
      </w:r>
    </w:p>
    <w:p w14:paraId="2520BC23" w14:textId="1B266696" w:rsidR="00B666CC" w:rsidRPr="00A156F4" w:rsidRDefault="00B666CC" w:rsidP="00B666CC">
      <w:pPr>
        <w:jc w:val="both"/>
        <w:rPr>
          <w:sz w:val="22"/>
          <w:szCs w:val="22"/>
        </w:rPr>
      </w:pPr>
      <w:r w:rsidRPr="00A156F4">
        <w:rPr>
          <w:sz w:val="22"/>
          <w:szCs w:val="22"/>
          <w:lang w:eastAsia="es-CR"/>
        </w:rPr>
        <w:t>El auto de inicio de la etapa de instrucción del procedimiento será emitido por el encargado de instrucción y deberá contener el traslado de cargos, que incluirá</w:t>
      </w:r>
      <w:r w:rsidRPr="00A156F4">
        <w:rPr>
          <w:sz w:val="22"/>
          <w:szCs w:val="22"/>
        </w:rPr>
        <w:t>:</w:t>
      </w:r>
    </w:p>
    <w:p w14:paraId="2B3A537F" w14:textId="77777777" w:rsidR="005E5F3A" w:rsidRPr="00A156F4" w:rsidRDefault="005E5F3A" w:rsidP="00B666CC">
      <w:pPr>
        <w:jc w:val="both"/>
        <w:rPr>
          <w:sz w:val="22"/>
          <w:szCs w:val="22"/>
          <w:lang w:eastAsia="es-CR"/>
        </w:rPr>
      </w:pPr>
    </w:p>
    <w:p w14:paraId="73DE50D8" w14:textId="77777777" w:rsidR="00B666CC" w:rsidRPr="00A156F4" w:rsidRDefault="00B666CC" w:rsidP="00117EE5">
      <w:pPr>
        <w:pStyle w:val="Prrafodelista"/>
        <w:numPr>
          <w:ilvl w:val="0"/>
          <w:numId w:val="19"/>
        </w:numPr>
        <w:spacing w:after="0" w:line="240" w:lineRule="auto"/>
        <w:jc w:val="both"/>
        <w:textAlignment w:val="center"/>
        <w:rPr>
          <w:rFonts w:ascii="Times New Roman" w:hAnsi="Times New Roman"/>
        </w:rPr>
      </w:pPr>
      <w:r w:rsidRPr="00A156F4">
        <w:rPr>
          <w:rFonts w:ascii="Times New Roman" w:hAnsi="Times New Roman"/>
        </w:rPr>
        <w:t>Identificación de los agentes económicos presuntamente responsables y, en caso de que proceda, de las personas físicas contra quienes se formula el traslado de cargos.</w:t>
      </w:r>
    </w:p>
    <w:p w14:paraId="32D06F46" w14:textId="77777777" w:rsidR="00B666CC" w:rsidRPr="00A156F4" w:rsidRDefault="00B666CC" w:rsidP="00B666CC">
      <w:pPr>
        <w:jc w:val="both"/>
        <w:textAlignment w:val="center"/>
        <w:rPr>
          <w:sz w:val="22"/>
          <w:szCs w:val="22"/>
        </w:rPr>
      </w:pPr>
    </w:p>
    <w:p w14:paraId="01498D33" w14:textId="6BF66566" w:rsidR="00B666CC" w:rsidRPr="00A156F4" w:rsidRDefault="00B666CC" w:rsidP="00117EE5">
      <w:pPr>
        <w:pStyle w:val="Prrafodelista"/>
        <w:numPr>
          <w:ilvl w:val="0"/>
          <w:numId w:val="19"/>
        </w:numPr>
        <w:spacing w:after="0" w:line="240" w:lineRule="auto"/>
        <w:jc w:val="both"/>
        <w:textAlignment w:val="center"/>
        <w:rPr>
          <w:rFonts w:ascii="Times New Roman" w:hAnsi="Times New Roman"/>
        </w:rPr>
      </w:pPr>
      <w:r w:rsidRPr="00A156F4">
        <w:rPr>
          <w:rFonts w:ascii="Times New Roman" w:hAnsi="Times New Roman"/>
        </w:rPr>
        <w:t>Relación precisa y circunstanciada de los hechos que se les atribuye</w:t>
      </w:r>
      <w:r w:rsidR="007E533F" w:rsidRPr="00A156F4">
        <w:rPr>
          <w:rFonts w:ascii="Times New Roman" w:hAnsi="Times New Roman"/>
        </w:rPr>
        <w:t>n</w:t>
      </w:r>
      <w:r w:rsidRPr="00A156F4">
        <w:rPr>
          <w:rFonts w:ascii="Times New Roman" w:hAnsi="Times New Roman"/>
        </w:rPr>
        <w:t xml:space="preserve"> y su calificación legal específica.</w:t>
      </w:r>
    </w:p>
    <w:p w14:paraId="7DBA9CEA" w14:textId="77777777" w:rsidR="00B666CC" w:rsidRPr="00A156F4" w:rsidRDefault="00B666CC" w:rsidP="00B666CC">
      <w:pPr>
        <w:pStyle w:val="Prrafodelista"/>
        <w:spacing w:after="0" w:line="240" w:lineRule="auto"/>
        <w:ind w:left="720"/>
        <w:contextualSpacing/>
        <w:jc w:val="both"/>
        <w:rPr>
          <w:rFonts w:ascii="Times New Roman" w:hAnsi="Times New Roman"/>
          <w:lang w:eastAsia="es-CR"/>
        </w:rPr>
      </w:pPr>
    </w:p>
    <w:p w14:paraId="7B22B078" w14:textId="77777777" w:rsidR="00B666CC" w:rsidRPr="00A156F4" w:rsidRDefault="00B666CC" w:rsidP="00117EE5">
      <w:pPr>
        <w:pStyle w:val="Prrafodelista"/>
        <w:numPr>
          <w:ilvl w:val="0"/>
          <w:numId w:val="19"/>
        </w:numPr>
        <w:spacing w:after="0" w:line="240" w:lineRule="auto"/>
        <w:contextualSpacing/>
        <w:jc w:val="both"/>
        <w:rPr>
          <w:rFonts w:ascii="Times New Roman" w:hAnsi="Times New Roman"/>
          <w:lang w:eastAsia="es-CR"/>
        </w:rPr>
      </w:pPr>
      <w:r w:rsidRPr="00A156F4">
        <w:rPr>
          <w:rFonts w:ascii="Times New Roman" w:hAnsi="Times New Roman"/>
          <w:lang w:eastAsia="es-CR"/>
        </w:rPr>
        <w:t>Indicación expresa de las sanciones que podrían corresponder en caso de demostrarse la procedencia de los cargos.</w:t>
      </w:r>
    </w:p>
    <w:p w14:paraId="7CD8F3E3" w14:textId="77777777" w:rsidR="00B666CC" w:rsidRPr="00A156F4" w:rsidRDefault="00B666CC" w:rsidP="00B666CC">
      <w:pPr>
        <w:jc w:val="both"/>
        <w:textAlignment w:val="center"/>
        <w:rPr>
          <w:sz w:val="22"/>
          <w:szCs w:val="22"/>
        </w:rPr>
      </w:pPr>
    </w:p>
    <w:p w14:paraId="2A1134E4" w14:textId="5E313544" w:rsidR="00B666CC" w:rsidRPr="00A156F4" w:rsidRDefault="00B666CC" w:rsidP="00117EE5">
      <w:pPr>
        <w:pStyle w:val="Prrafodelista"/>
        <w:numPr>
          <w:ilvl w:val="0"/>
          <w:numId w:val="19"/>
        </w:numPr>
        <w:spacing w:after="0" w:line="240" w:lineRule="auto"/>
        <w:jc w:val="both"/>
        <w:textAlignment w:val="center"/>
        <w:rPr>
          <w:rFonts w:ascii="Times New Roman" w:hAnsi="Times New Roman"/>
        </w:rPr>
      </w:pPr>
      <w:r w:rsidRPr="00A156F4">
        <w:rPr>
          <w:rFonts w:ascii="Times New Roman" w:hAnsi="Times New Roman"/>
        </w:rPr>
        <w:t>Fundamentación del traslado de cargos, con</w:t>
      </w:r>
      <w:r w:rsidR="001632D9" w:rsidRPr="00A156F4">
        <w:rPr>
          <w:rFonts w:ascii="Times New Roman" w:hAnsi="Times New Roman"/>
        </w:rPr>
        <w:t xml:space="preserve"> referencia expresa a</w:t>
      </w:r>
      <w:r w:rsidRPr="00A156F4">
        <w:rPr>
          <w:rFonts w:ascii="Times New Roman" w:hAnsi="Times New Roman"/>
        </w:rPr>
        <w:t xml:space="preserve"> la</w:t>
      </w:r>
      <w:r w:rsidR="007E533F" w:rsidRPr="00A156F4">
        <w:rPr>
          <w:rFonts w:ascii="Times New Roman" w:hAnsi="Times New Roman"/>
        </w:rPr>
        <w:t>s</w:t>
      </w:r>
      <w:r w:rsidRPr="00A156F4">
        <w:rPr>
          <w:rFonts w:ascii="Times New Roman" w:hAnsi="Times New Roman"/>
        </w:rPr>
        <w:t xml:space="preserve"> prueba</w:t>
      </w:r>
      <w:r w:rsidR="007E533F" w:rsidRPr="00A156F4">
        <w:rPr>
          <w:rFonts w:ascii="Times New Roman" w:hAnsi="Times New Roman"/>
        </w:rPr>
        <w:t>s</w:t>
      </w:r>
      <w:r w:rsidRPr="00A156F4">
        <w:rPr>
          <w:rFonts w:ascii="Times New Roman" w:hAnsi="Times New Roman"/>
        </w:rPr>
        <w:t xml:space="preserve"> existente</w:t>
      </w:r>
      <w:r w:rsidR="007E533F" w:rsidRPr="00A156F4">
        <w:rPr>
          <w:rFonts w:ascii="Times New Roman" w:hAnsi="Times New Roman"/>
        </w:rPr>
        <w:t>s</w:t>
      </w:r>
      <w:r w:rsidRPr="00A156F4">
        <w:rPr>
          <w:rFonts w:ascii="Times New Roman" w:hAnsi="Times New Roman"/>
        </w:rPr>
        <w:t xml:space="preserve"> que lo motivan. En caso de que se refiera a una práctica monopolística relativa o a una concentración ilícita, la fundamentación deberá necesariamente incluir una identificación del o de los mercados relevantes presuntamente afectados, así como los posibles efectos anticompetitivos específicos que se le atribuyen a la conducta investigada.</w:t>
      </w:r>
    </w:p>
    <w:p w14:paraId="7126D82E" w14:textId="77777777" w:rsidR="00B666CC" w:rsidRPr="00A156F4" w:rsidRDefault="00B666CC" w:rsidP="00B666CC">
      <w:pPr>
        <w:pStyle w:val="Prrafodelista"/>
        <w:spacing w:after="0" w:line="240" w:lineRule="auto"/>
        <w:ind w:left="720"/>
        <w:contextualSpacing/>
        <w:jc w:val="both"/>
        <w:rPr>
          <w:rFonts w:ascii="Times New Roman" w:hAnsi="Times New Roman"/>
          <w:lang w:eastAsia="es-CR"/>
        </w:rPr>
      </w:pPr>
    </w:p>
    <w:p w14:paraId="7A40563E" w14:textId="77777777" w:rsidR="00B666CC" w:rsidRPr="00A156F4" w:rsidRDefault="00B666CC" w:rsidP="00117EE5">
      <w:pPr>
        <w:pStyle w:val="Prrafodelista"/>
        <w:numPr>
          <w:ilvl w:val="0"/>
          <w:numId w:val="19"/>
        </w:numPr>
        <w:spacing w:after="0" w:line="240" w:lineRule="auto"/>
        <w:contextualSpacing/>
        <w:jc w:val="both"/>
        <w:rPr>
          <w:rFonts w:ascii="Times New Roman" w:hAnsi="Times New Roman"/>
          <w:lang w:eastAsia="es-CR"/>
        </w:rPr>
      </w:pPr>
      <w:r w:rsidRPr="00A156F4">
        <w:rPr>
          <w:rFonts w:ascii="Times New Roman" w:hAnsi="Times New Roman"/>
          <w:lang w:eastAsia="es-CR"/>
        </w:rPr>
        <w:t>Las medidas cautelares, si las hubiere.</w:t>
      </w:r>
    </w:p>
    <w:p w14:paraId="11397A58" w14:textId="77777777" w:rsidR="00B666CC" w:rsidRPr="00A156F4" w:rsidRDefault="00B666CC" w:rsidP="00B666CC">
      <w:pPr>
        <w:jc w:val="both"/>
        <w:rPr>
          <w:sz w:val="22"/>
          <w:szCs w:val="22"/>
          <w:lang w:eastAsia="es-CR"/>
        </w:rPr>
      </w:pPr>
    </w:p>
    <w:p w14:paraId="65173225" w14:textId="77777777" w:rsidR="00B666CC" w:rsidRPr="00A156F4" w:rsidRDefault="00B666CC" w:rsidP="00B666CC">
      <w:pPr>
        <w:jc w:val="both"/>
        <w:rPr>
          <w:sz w:val="22"/>
          <w:szCs w:val="22"/>
          <w:lang w:eastAsia="es-CR"/>
        </w:rPr>
      </w:pPr>
      <w:r w:rsidRPr="00A156F4">
        <w:rPr>
          <w:sz w:val="22"/>
          <w:szCs w:val="22"/>
          <w:lang w:eastAsia="es-CR"/>
        </w:rPr>
        <w:t>Adicionalmente, el auto de inicio deberá contener indicación expresa de:</w:t>
      </w:r>
    </w:p>
    <w:p w14:paraId="45EBADC7" w14:textId="77777777" w:rsidR="00B666CC" w:rsidRPr="00A156F4" w:rsidRDefault="00B666CC" w:rsidP="00B666CC">
      <w:pPr>
        <w:jc w:val="both"/>
        <w:rPr>
          <w:sz w:val="22"/>
          <w:szCs w:val="22"/>
          <w:lang w:eastAsia="es-CR"/>
        </w:rPr>
      </w:pPr>
    </w:p>
    <w:p w14:paraId="7D767A30" w14:textId="77777777" w:rsidR="00B666CC" w:rsidRPr="00A156F4" w:rsidRDefault="00B666CC" w:rsidP="00117EE5">
      <w:pPr>
        <w:pStyle w:val="Prrafodelista"/>
        <w:numPr>
          <w:ilvl w:val="0"/>
          <w:numId w:val="19"/>
        </w:numPr>
        <w:spacing w:after="0" w:line="240" w:lineRule="auto"/>
        <w:contextualSpacing/>
        <w:jc w:val="both"/>
        <w:rPr>
          <w:rFonts w:ascii="Times New Roman" w:hAnsi="Times New Roman"/>
          <w:lang w:eastAsia="es-CR"/>
        </w:rPr>
      </w:pPr>
      <w:r w:rsidRPr="00A156F4">
        <w:rPr>
          <w:rFonts w:ascii="Times New Roman" w:hAnsi="Times New Roman"/>
          <w:lang w:eastAsia="es-CR"/>
        </w:rPr>
        <w:t>El derecho que les asiste a las partes de acceder al expediente administrativo, con indicación de las piezas que contiene.</w:t>
      </w:r>
    </w:p>
    <w:p w14:paraId="453A8DE8" w14:textId="77777777" w:rsidR="00B666CC" w:rsidRPr="00A156F4" w:rsidRDefault="00B666CC" w:rsidP="00B666CC">
      <w:pPr>
        <w:pStyle w:val="Prrafodelista"/>
        <w:spacing w:after="0" w:line="240" w:lineRule="auto"/>
        <w:jc w:val="both"/>
        <w:rPr>
          <w:rFonts w:ascii="Times New Roman" w:hAnsi="Times New Roman"/>
          <w:lang w:eastAsia="es-CR"/>
        </w:rPr>
      </w:pPr>
      <w:r w:rsidRPr="00A156F4">
        <w:rPr>
          <w:rFonts w:ascii="Times New Roman" w:hAnsi="Times New Roman"/>
          <w:lang w:eastAsia="es-CR"/>
        </w:rPr>
        <w:t xml:space="preserve"> </w:t>
      </w:r>
    </w:p>
    <w:p w14:paraId="7262CA88" w14:textId="77777777" w:rsidR="00B666CC" w:rsidRPr="00A156F4" w:rsidRDefault="00B666CC" w:rsidP="00117EE5">
      <w:pPr>
        <w:pStyle w:val="Prrafodelista"/>
        <w:numPr>
          <w:ilvl w:val="0"/>
          <w:numId w:val="19"/>
        </w:numPr>
        <w:spacing w:after="0" w:line="240" w:lineRule="auto"/>
        <w:contextualSpacing/>
        <w:jc w:val="both"/>
        <w:rPr>
          <w:rFonts w:ascii="Times New Roman" w:hAnsi="Times New Roman"/>
          <w:lang w:eastAsia="es-CR"/>
        </w:rPr>
      </w:pPr>
      <w:r w:rsidRPr="00A156F4">
        <w:rPr>
          <w:rFonts w:ascii="Times New Roman" w:hAnsi="Times New Roman"/>
          <w:lang w:eastAsia="es-CR"/>
        </w:rPr>
        <w:t>El derecho a hacerse representar y asesorar por abogados, técnicos y otras personas calificadas, bajo su propio costo.</w:t>
      </w:r>
    </w:p>
    <w:p w14:paraId="5300A7A9" w14:textId="77777777" w:rsidR="00B666CC" w:rsidRPr="00A156F4" w:rsidRDefault="00B666CC" w:rsidP="00B666CC">
      <w:pPr>
        <w:pStyle w:val="Prrafodelista"/>
        <w:spacing w:after="0" w:line="240" w:lineRule="auto"/>
        <w:ind w:left="720"/>
        <w:contextualSpacing/>
        <w:jc w:val="both"/>
        <w:rPr>
          <w:rFonts w:ascii="Times New Roman" w:hAnsi="Times New Roman"/>
          <w:lang w:eastAsia="es-CR"/>
        </w:rPr>
      </w:pPr>
    </w:p>
    <w:p w14:paraId="5B2CD9BB" w14:textId="20A435C9" w:rsidR="00B666CC" w:rsidRPr="00A156F4" w:rsidRDefault="00B666CC" w:rsidP="00117EE5">
      <w:pPr>
        <w:pStyle w:val="Prrafodelista"/>
        <w:numPr>
          <w:ilvl w:val="0"/>
          <w:numId w:val="19"/>
        </w:numPr>
        <w:spacing w:after="0" w:line="240" w:lineRule="auto"/>
        <w:contextualSpacing/>
        <w:jc w:val="both"/>
        <w:rPr>
          <w:rFonts w:ascii="Times New Roman" w:hAnsi="Times New Roman"/>
          <w:color w:val="000000"/>
          <w:lang w:eastAsia="es-ES"/>
        </w:rPr>
      </w:pPr>
      <w:r w:rsidRPr="00A156F4">
        <w:rPr>
          <w:rFonts w:ascii="Times New Roman" w:hAnsi="Times New Roman"/>
          <w:lang w:eastAsia="es-CR"/>
        </w:rPr>
        <w:t xml:space="preserve">El derecho a formular alegaciones de defensa y ofrecer prueba de </w:t>
      </w:r>
      <w:r w:rsidRPr="00A156F4">
        <w:rPr>
          <w:rFonts w:ascii="Times New Roman" w:hAnsi="Times New Roman"/>
        </w:rPr>
        <w:t>descargo</w:t>
      </w:r>
      <w:r w:rsidRPr="00A156F4">
        <w:rPr>
          <w:rFonts w:ascii="Times New Roman" w:hAnsi="Times New Roman"/>
          <w:lang w:eastAsia="es-CR"/>
        </w:rPr>
        <w:t>, debiendo hacerlo por escrito dentro de un plazo de 60</w:t>
      </w:r>
      <w:r w:rsidRPr="00A156F4">
        <w:rPr>
          <w:rFonts w:ascii="Times New Roman" w:hAnsi="Times New Roman"/>
        </w:rPr>
        <w:t xml:space="preserve"> días hábiles</w:t>
      </w:r>
      <w:r w:rsidRPr="00A156F4">
        <w:rPr>
          <w:rFonts w:ascii="Times New Roman" w:hAnsi="Times New Roman"/>
          <w:lang w:eastAsia="es-CR"/>
        </w:rPr>
        <w:t>, sin que su silencio se interprete como una admisión de los cargos. En su escrito de defensa</w:t>
      </w:r>
      <w:r w:rsidR="007E533F" w:rsidRPr="00A156F4">
        <w:rPr>
          <w:rFonts w:ascii="Times New Roman" w:hAnsi="Times New Roman"/>
          <w:lang w:eastAsia="es-CR"/>
        </w:rPr>
        <w:t>,</w:t>
      </w:r>
      <w:r w:rsidRPr="00A156F4">
        <w:rPr>
          <w:rFonts w:ascii="Times New Roman" w:hAnsi="Times New Roman"/>
          <w:lang w:eastAsia="es-CR"/>
        </w:rPr>
        <w:t xml:space="preserve"> </w:t>
      </w:r>
      <w:r w:rsidRPr="00A156F4">
        <w:rPr>
          <w:rFonts w:ascii="Times New Roman" w:hAnsi="Times New Roman"/>
        </w:rPr>
        <w:t xml:space="preserve">las partes deberán oponer las excepciones previas y de fondo o los incidentes que correspondan. Las excepciones previas que podrán alegar las partes son: </w:t>
      </w:r>
      <w:r w:rsidRPr="00A156F4">
        <w:rPr>
          <w:rFonts w:ascii="Times New Roman" w:hAnsi="Times New Roman"/>
          <w:lang w:val="es-ES"/>
        </w:rPr>
        <w:t>incompetencia, falta de integración de la litis consorcio necesaria,</w:t>
      </w:r>
      <w:r w:rsidR="001632D9" w:rsidRPr="00A156F4">
        <w:rPr>
          <w:rFonts w:ascii="Times New Roman" w:hAnsi="Times New Roman"/>
          <w:lang w:val="es-ES"/>
        </w:rPr>
        <w:t xml:space="preserve"> prejudicialidad,</w:t>
      </w:r>
      <w:r w:rsidRPr="00A156F4">
        <w:rPr>
          <w:rFonts w:ascii="Times New Roman" w:hAnsi="Times New Roman"/>
          <w:lang w:val="es-ES"/>
        </w:rPr>
        <w:t xml:space="preserve"> litis pendencia, caducidad, prescripción y cosa juzgada.</w:t>
      </w:r>
    </w:p>
    <w:p w14:paraId="62A9C4E1" w14:textId="77777777" w:rsidR="00B666CC" w:rsidRPr="00A156F4" w:rsidRDefault="00B666CC" w:rsidP="00B666CC">
      <w:pPr>
        <w:pStyle w:val="Prrafodelista"/>
        <w:spacing w:after="0" w:line="240" w:lineRule="auto"/>
        <w:rPr>
          <w:rFonts w:ascii="Times New Roman" w:hAnsi="Times New Roman"/>
          <w:lang w:eastAsia="es-CR"/>
        </w:rPr>
      </w:pPr>
    </w:p>
    <w:p w14:paraId="25F2E5CC" w14:textId="77777777" w:rsidR="00B666CC" w:rsidRPr="00A156F4" w:rsidRDefault="00B666CC" w:rsidP="00117EE5">
      <w:pPr>
        <w:pStyle w:val="Prrafodelista"/>
        <w:numPr>
          <w:ilvl w:val="0"/>
          <w:numId w:val="19"/>
        </w:numPr>
        <w:spacing w:after="0" w:line="240" w:lineRule="auto"/>
        <w:contextualSpacing/>
        <w:jc w:val="both"/>
        <w:rPr>
          <w:rFonts w:ascii="Times New Roman" w:hAnsi="Times New Roman"/>
          <w:lang w:eastAsia="es-CR"/>
        </w:rPr>
      </w:pPr>
      <w:r w:rsidRPr="00A156F4">
        <w:rPr>
          <w:rFonts w:ascii="Times New Roman" w:hAnsi="Times New Roman"/>
          <w:lang w:eastAsia="es-CR"/>
        </w:rPr>
        <w:t>El derecho a recurrir el auto que ordena el inicio de la etapa de instrucción, con indicación expresa del plazo para ello.</w:t>
      </w:r>
    </w:p>
    <w:p w14:paraId="726698D3" w14:textId="77777777" w:rsidR="00B666CC" w:rsidRPr="00A156F4" w:rsidRDefault="00B666CC" w:rsidP="00B666CC">
      <w:pPr>
        <w:pStyle w:val="Prrafodelista"/>
        <w:spacing w:after="0" w:line="240" w:lineRule="auto"/>
        <w:rPr>
          <w:rFonts w:ascii="Times New Roman" w:hAnsi="Times New Roman"/>
          <w:lang w:eastAsia="es-CR"/>
        </w:rPr>
      </w:pPr>
    </w:p>
    <w:p w14:paraId="6501CF0F" w14:textId="77777777" w:rsidR="00B666CC" w:rsidRPr="00A156F4" w:rsidRDefault="00B666CC" w:rsidP="00117EE5">
      <w:pPr>
        <w:pStyle w:val="Prrafodelista"/>
        <w:numPr>
          <w:ilvl w:val="0"/>
          <w:numId w:val="19"/>
        </w:numPr>
        <w:spacing w:after="0" w:line="240" w:lineRule="auto"/>
        <w:contextualSpacing/>
        <w:jc w:val="both"/>
        <w:rPr>
          <w:rFonts w:ascii="Times New Roman" w:hAnsi="Times New Roman"/>
          <w:lang w:eastAsia="es-CR"/>
        </w:rPr>
      </w:pPr>
      <w:r w:rsidRPr="00A156F4">
        <w:rPr>
          <w:rFonts w:ascii="Times New Roman" w:hAnsi="Times New Roman"/>
          <w:lang w:eastAsia="es-CR"/>
        </w:rPr>
        <w:t>Prevención del deber del interesado de señalar lugar para recibir notificaciones dentro de los cinco días hábiles siguientes a la notificación del auto de inicio.</w:t>
      </w:r>
    </w:p>
    <w:p w14:paraId="11716EC2" w14:textId="77777777" w:rsidR="00B666CC" w:rsidRPr="00A156F4" w:rsidRDefault="00B666CC" w:rsidP="00B666CC">
      <w:pPr>
        <w:pStyle w:val="Prrafodelista"/>
        <w:spacing w:after="0" w:line="240" w:lineRule="auto"/>
        <w:ind w:left="720"/>
        <w:contextualSpacing/>
        <w:jc w:val="both"/>
        <w:rPr>
          <w:rFonts w:ascii="Times New Roman" w:hAnsi="Times New Roman"/>
          <w:lang w:eastAsia="es-CR"/>
        </w:rPr>
      </w:pPr>
    </w:p>
    <w:p w14:paraId="47B2C911" w14:textId="63CD97E8" w:rsidR="00B666CC" w:rsidRPr="00A156F4" w:rsidRDefault="00B666CC" w:rsidP="00117EE5">
      <w:pPr>
        <w:pStyle w:val="Prrafodelista"/>
        <w:numPr>
          <w:ilvl w:val="0"/>
          <w:numId w:val="19"/>
        </w:numPr>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Nombramiento </w:t>
      </w:r>
      <w:r w:rsidR="001632D9" w:rsidRPr="00A156F4">
        <w:rPr>
          <w:rFonts w:ascii="Times New Roman" w:hAnsi="Times New Roman"/>
          <w:lang w:eastAsia="es-CR"/>
        </w:rPr>
        <w:t>por parte del Órgano Técnico</w:t>
      </w:r>
      <w:r w:rsidR="004F3E6C" w:rsidRPr="00A156F4">
        <w:rPr>
          <w:rFonts w:ascii="Times New Roman" w:hAnsi="Times New Roman"/>
          <w:lang w:eastAsia="es-CR"/>
        </w:rPr>
        <w:t xml:space="preserve"> correspondiente</w:t>
      </w:r>
      <w:r w:rsidR="001632D9" w:rsidRPr="00A156F4">
        <w:rPr>
          <w:rFonts w:ascii="Times New Roman" w:hAnsi="Times New Roman"/>
          <w:lang w:eastAsia="es-CR"/>
        </w:rPr>
        <w:t xml:space="preserve"> </w:t>
      </w:r>
      <w:r w:rsidRPr="00A156F4">
        <w:rPr>
          <w:rFonts w:ascii="Times New Roman" w:hAnsi="Times New Roman"/>
          <w:lang w:eastAsia="es-CR"/>
        </w:rPr>
        <w:t xml:space="preserve">del o los funcionarios que conformarán el Órgano </w:t>
      </w:r>
      <w:r w:rsidR="009B4C96" w:rsidRPr="00A156F4">
        <w:rPr>
          <w:rFonts w:ascii="Times New Roman" w:hAnsi="Times New Roman"/>
          <w:lang w:eastAsia="es-CR"/>
        </w:rPr>
        <w:t>Instructor</w:t>
      </w:r>
      <w:r w:rsidR="004F3E6C" w:rsidRPr="00A156F4">
        <w:rPr>
          <w:rFonts w:ascii="Times New Roman" w:hAnsi="Times New Roman"/>
          <w:lang w:eastAsia="es-CR"/>
        </w:rPr>
        <w:t xml:space="preserve"> respectivo</w:t>
      </w:r>
      <w:r w:rsidRPr="00A156F4">
        <w:rPr>
          <w:rFonts w:ascii="Times New Roman" w:hAnsi="Times New Roman"/>
          <w:lang w:eastAsia="es-CR"/>
        </w:rPr>
        <w:t>; así como, en caso de requerirse, de aquel personal técnico que lo asesorará durante la etapa de instrucción</w:t>
      </w:r>
      <w:r w:rsidR="00BE2753" w:rsidRPr="00A156F4">
        <w:rPr>
          <w:rFonts w:ascii="Times New Roman" w:hAnsi="Times New Roman"/>
          <w:lang w:eastAsia="es-CR"/>
        </w:rPr>
        <w:t>. L</w:t>
      </w:r>
      <w:r w:rsidRPr="00A156F4">
        <w:rPr>
          <w:rFonts w:ascii="Times New Roman" w:hAnsi="Times New Roman"/>
          <w:lang w:eastAsia="es-CR"/>
        </w:rPr>
        <w:t>o anterior para efectos de eventuales recusaciones.</w:t>
      </w:r>
    </w:p>
    <w:p w14:paraId="7352268C" w14:textId="77777777" w:rsidR="00B666CC" w:rsidRPr="00A156F4" w:rsidRDefault="00B666CC" w:rsidP="00B666CC">
      <w:pPr>
        <w:jc w:val="both"/>
        <w:textAlignment w:val="center"/>
        <w:rPr>
          <w:sz w:val="22"/>
          <w:szCs w:val="22"/>
        </w:rPr>
      </w:pPr>
    </w:p>
    <w:p w14:paraId="319DC278" w14:textId="57265007" w:rsidR="00B666CC" w:rsidRPr="00A156F4" w:rsidRDefault="00B666CC" w:rsidP="00B666CC">
      <w:pPr>
        <w:jc w:val="both"/>
        <w:textAlignment w:val="center"/>
        <w:rPr>
          <w:sz w:val="22"/>
          <w:szCs w:val="22"/>
        </w:rPr>
      </w:pPr>
      <w:r w:rsidRPr="00A156F4">
        <w:rPr>
          <w:b/>
          <w:sz w:val="22"/>
          <w:szCs w:val="22"/>
        </w:rPr>
        <w:t>Artículo 4</w:t>
      </w:r>
      <w:r w:rsidR="00B82C4F" w:rsidRPr="00A156F4">
        <w:rPr>
          <w:b/>
          <w:sz w:val="22"/>
          <w:szCs w:val="22"/>
        </w:rPr>
        <w:t>5</w:t>
      </w:r>
      <w:r w:rsidRPr="00A156F4">
        <w:rPr>
          <w:b/>
          <w:sz w:val="22"/>
          <w:szCs w:val="22"/>
        </w:rPr>
        <w:t>.- Comunicación a las partes del Auto de inicio de la etapa de instrucción y traslado de cargos</w:t>
      </w:r>
    </w:p>
    <w:p w14:paraId="0C3A47F2" w14:textId="77777777" w:rsidR="00B666CC" w:rsidRPr="00A156F4" w:rsidRDefault="00B666CC" w:rsidP="00B666CC">
      <w:pPr>
        <w:jc w:val="both"/>
        <w:textAlignment w:val="center"/>
        <w:rPr>
          <w:sz w:val="22"/>
          <w:szCs w:val="22"/>
        </w:rPr>
      </w:pPr>
    </w:p>
    <w:p w14:paraId="32E6B3EE" w14:textId="7FCF9C84" w:rsidR="00B666CC" w:rsidRPr="00A156F4" w:rsidRDefault="00B666CC" w:rsidP="00B666CC">
      <w:pPr>
        <w:jc w:val="both"/>
        <w:textAlignment w:val="center"/>
        <w:rPr>
          <w:sz w:val="22"/>
          <w:szCs w:val="22"/>
          <w:lang w:val="es-CR"/>
        </w:rPr>
      </w:pPr>
      <w:r w:rsidRPr="00A156F4">
        <w:rPr>
          <w:sz w:val="22"/>
          <w:szCs w:val="22"/>
        </w:rPr>
        <w:t>El encargado de instrucción del Órgano Técnico</w:t>
      </w:r>
      <w:r w:rsidR="004F3E6C" w:rsidRPr="00A156F4">
        <w:rPr>
          <w:sz w:val="22"/>
          <w:szCs w:val="22"/>
        </w:rPr>
        <w:t xml:space="preserve"> respectivo</w:t>
      </w:r>
      <w:r w:rsidR="001632D9" w:rsidRPr="00A156F4">
        <w:rPr>
          <w:sz w:val="22"/>
          <w:szCs w:val="22"/>
        </w:rPr>
        <w:t xml:space="preserve"> deberá comunicar a las partes el auto de inicio de la etapa de instrucción</w:t>
      </w:r>
      <w:r w:rsidR="0065624A" w:rsidRPr="00A156F4">
        <w:rPr>
          <w:sz w:val="22"/>
          <w:szCs w:val="22"/>
        </w:rPr>
        <w:t xml:space="preserve"> y el traslado de cargos,</w:t>
      </w:r>
      <w:r w:rsidR="001632D9" w:rsidRPr="00A156F4">
        <w:rPr>
          <w:sz w:val="22"/>
          <w:szCs w:val="22"/>
        </w:rPr>
        <w:t xml:space="preserve"> dentro de los 10 días hábiles siguientes a su dictado.</w:t>
      </w:r>
      <w:r w:rsidRPr="00A156F4">
        <w:rPr>
          <w:sz w:val="22"/>
          <w:szCs w:val="22"/>
        </w:rPr>
        <w:t xml:space="preserve"> </w:t>
      </w:r>
    </w:p>
    <w:p w14:paraId="4FB1FABC" w14:textId="43E49BA5" w:rsidR="00B666CC" w:rsidRPr="00A156F4" w:rsidRDefault="00B666CC" w:rsidP="00B666CC">
      <w:pPr>
        <w:jc w:val="both"/>
        <w:rPr>
          <w:sz w:val="22"/>
          <w:szCs w:val="22"/>
        </w:rPr>
      </w:pPr>
    </w:p>
    <w:p w14:paraId="79ECDD27" w14:textId="53BFE71A"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w:t>
      </w:r>
      <w:r w:rsidRPr="00A156F4">
        <w:rPr>
          <w:rFonts w:ascii="Times New Roman" w:hAnsi="Times New Roman"/>
          <w:b/>
        </w:rPr>
        <w:t>4</w:t>
      </w:r>
      <w:r w:rsidR="00B82C4F" w:rsidRPr="00A156F4">
        <w:rPr>
          <w:rFonts w:ascii="Times New Roman" w:hAnsi="Times New Roman"/>
          <w:b/>
        </w:rPr>
        <w:t>6</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Ampliación y modificación del auto de inicio de la etapa de instrucción y traslado de cargos</w:t>
      </w:r>
    </w:p>
    <w:p w14:paraId="0EED1FBA" w14:textId="77777777" w:rsidR="00B666CC" w:rsidRPr="00A156F4" w:rsidRDefault="00B666CC" w:rsidP="00B666CC">
      <w:pPr>
        <w:jc w:val="both"/>
        <w:rPr>
          <w:rFonts w:eastAsia="Times New Roman"/>
          <w:sz w:val="22"/>
          <w:szCs w:val="22"/>
          <w:lang w:val="es-CR" w:eastAsia="es-CR"/>
        </w:rPr>
      </w:pPr>
    </w:p>
    <w:p w14:paraId="1304F631" w14:textId="2BC5B973" w:rsidR="001B5A0A" w:rsidRPr="00A156F4" w:rsidRDefault="001632D9" w:rsidP="00B666CC">
      <w:pPr>
        <w:contextualSpacing/>
        <w:jc w:val="both"/>
        <w:rPr>
          <w:rFonts w:eastAsia="Times New Roman"/>
          <w:sz w:val="22"/>
          <w:szCs w:val="22"/>
          <w:lang w:val="es-CR" w:eastAsia="es-CR"/>
        </w:rPr>
      </w:pPr>
      <w:r w:rsidRPr="00A156F4">
        <w:rPr>
          <w:rFonts w:eastAsia="Times New Roman"/>
          <w:sz w:val="22"/>
          <w:szCs w:val="22"/>
          <w:lang w:val="es-CR" w:eastAsia="es-CR"/>
        </w:rPr>
        <w:t>Una vez notificad</w:t>
      </w:r>
      <w:r w:rsidR="00EB4A13" w:rsidRPr="00A156F4">
        <w:rPr>
          <w:rFonts w:eastAsia="Times New Roman"/>
          <w:sz w:val="22"/>
          <w:szCs w:val="22"/>
          <w:lang w:val="es-CR" w:eastAsia="es-CR"/>
        </w:rPr>
        <w:t>a</w:t>
      </w:r>
      <w:r w:rsidR="003E607C" w:rsidRPr="00A156F4">
        <w:rPr>
          <w:rFonts w:eastAsia="Times New Roman"/>
          <w:sz w:val="22"/>
          <w:szCs w:val="22"/>
          <w:lang w:val="es-CR" w:eastAsia="es-CR"/>
        </w:rPr>
        <w:t xml:space="preserve"> a las partes </w:t>
      </w:r>
      <w:r w:rsidRPr="00A156F4">
        <w:rPr>
          <w:rFonts w:eastAsia="Times New Roman"/>
          <w:sz w:val="22"/>
          <w:szCs w:val="22"/>
          <w:lang w:val="es-CR" w:eastAsia="es-CR"/>
        </w:rPr>
        <w:t>la</w:t>
      </w:r>
      <w:r w:rsidR="00EB4A13" w:rsidRPr="00A156F4">
        <w:rPr>
          <w:rFonts w:eastAsia="Times New Roman"/>
          <w:sz w:val="22"/>
          <w:szCs w:val="22"/>
          <w:lang w:val="es-CR" w:eastAsia="es-CR"/>
        </w:rPr>
        <w:t xml:space="preserve"> comunicación referida en el artículo anterior</w:t>
      </w:r>
      <w:r w:rsidRPr="00A156F4">
        <w:rPr>
          <w:rFonts w:eastAsia="Times New Roman"/>
          <w:sz w:val="22"/>
          <w:szCs w:val="22"/>
          <w:lang w:val="es-CR" w:eastAsia="es-CR"/>
        </w:rPr>
        <w:t>, el auto de inicio de la etapa de instrucción podrá ser modificado</w:t>
      </w:r>
      <w:r w:rsidR="001B5A0A" w:rsidRPr="00A156F4">
        <w:rPr>
          <w:rFonts w:eastAsia="Times New Roman"/>
          <w:sz w:val="22"/>
          <w:szCs w:val="22"/>
          <w:lang w:val="es-CR" w:eastAsia="es-CR"/>
        </w:rPr>
        <w:t xml:space="preserve"> en cualquier momento</w:t>
      </w:r>
      <w:r w:rsidR="00D340C5" w:rsidRPr="00A156F4">
        <w:rPr>
          <w:rFonts w:eastAsia="Times New Roman"/>
          <w:sz w:val="22"/>
          <w:szCs w:val="22"/>
          <w:lang w:val="es-CR" w:eastAsia="es-CR"/>
        </w:rPr>
        <w:t>,</w:t>
      </w:r>
      <w:r w:rsidR="00FA3AB2" w:rsidRPr="00A156F4">
        <w:rPr>
          <w:rFonts w:eastAsia="Times New Roman"/>
          <w:sz w:val="22"/>
          <w:szCs w:val="22"/>
          <w:lang w:val="es-CR" w:eastAsia="es-CR"/>
        </w:rPr>
        <w:t xml:space="preserve"> </w:t>
      </w:r>
      <w:r w:rsidR="00B666CC" w:rsidRPr="00A156F4">
        <w:rPr>
          <w:rFonts w:eastAsia="Times New Roman"/>
          <w:sz w:val="22"/>
          <w:szCs w:val="22"/>
          <w:lang w:val="es-CR" w:eastAsia="es-CR"/>
        </w:rPr>
        <w:t>por una única vez</w:t>
      </w:r>
      <w:r w:rsidRPr="00A156F4">
        <w:rPr>
          <w:rFonts w:eastAsia="Times New Roman"/>
          <w:sz w:val="22"/>
          <w:szCs w:val="22"/>
          <w:lang w:val="es-CR" w:eastAsia="es-CR"/>
        </w:rPr>
        <w:t xml:space="preserve"> y hasta antes de celebrarse la compare</w:t>
      </w:r>
      <w:r w:rsidR="00117EE5" w:rsidRPr="00A156F4">
        <w:rPr>
          <w:rFonts w:eastAsia="Times New Roman"/>
          <w:sz w:val="22"/>
          <w:szCs w:val="22"/>
          <w:lang w:val="es-CR" w:eastAsia="es-CR"/>
        </w:rPr>
        <w:t>cen</w:t>
      </w:r>
      <w:r w:rsidRPr="00A156F4">
        <w:rPr>
          <w:rFonts w:eastAsia="Times New Roman"/>
          <w:sz w:val="22"/>
          <w:szCs w:val="22"/>
          <w:lang w:val="es-CR" w:eastAsia="es-CR"/>
        </w:rPr>
        <w:t>cia oral y pr</w:t>
      </w:r>
      <w:r w:rsidR="00EB4A13" w:rsidRPr="00A156F4">
        <w:rPr>
          <w:rFonts w:eastAsia="Times New Roman"/>
          <w:sz w:val="22"/>
          <w:szCs w:val="22"/>
          <w:lang w:val="es-CR" w:eastAsia="es-CR"/>
        </w:rPr>
        <w:t>i</w:t>
      </w:r>
      <w:r w:rsidRPr="00A156F4">
        <w:rPr>
          <w:rFonts w:eastAsia="Times New Roman"/>
          <w:sz w:val="22"/>
          <w:szCs w:val="22"/>
          <w:lang w:val="es-CR" w:eastAsia="es-CR"/>
        </w:rPr>
        <w:t>vada ante el Órgano Superior</w:t>
      </w:r>
      <w:r w:rsidR="005E0B50" w:rsidRPr="00A156F4">
        <w:rPr>
          <w:rFonts w:eastAsia="Times New Roman"/>
          <w:sz w:val="22"/>
          <w:szCs w:val="22"/>
          <w:lang w:val="es-CR" w:eastAsia="es-CR"/>
        </w:rPr>
        <w:t>.</w:t>
      </w:r>
      <w:r w:rsidR="00B666CC" w:rsidRPr="00A156F4">
        <w:rPr>
          <w:rFonts w:eastAsia="Times New Roman"/>
          <w:sz w:val="22"/>
          <w:szCs w:val="22"/>
          <w:lang w:val="es-CR" w:eastAsia="es-CR"/>
        </w:rPr>
        <w:t xml:space="preserve"> </w:t>
      </w:r>
      <w:r w:rsidR="001B5A0A" w:rsidRPr="00A156F4">
        <w:rPr>
          <w:rFonts w:eastAsia="Times New Roman"/>
          <w:sz w:val="22"/>
          <w:szCs w:val="22"/>
          <w:lang w:val="es-CR" w:eastAsia="es-CR"/>
        </w:rPr>
        <w:t xml:space="preserve">En la modificación podrán agregarse nuevos hechos, ampliarse los cargos, variarse la calificación legal atribuida a </w:t>
      </w:r>
      <w:r w:rsidR="00B93B89" w:rsidRPr="00A156F4">
        <w:rPr>
          <w:rFonts w:eastAsia="Times New Roman"/>
          <w:sz w:val="22"/>
          <w:szCs w:val="22"/>
          <w:lang w:val="es-CR" w:eastAsia="es-CR"/>
        </w:rPr>
        <w:t>e</w:t>
      </w:r>
      <w:r w:rsidR="001B5A0A" w:rsidRPr="00A156F4">
        <w:rPr>
          <w:rFonts w:eastAsia="Times New Roman"/>
          <w:sz w:val="22"/>
          <w:szCs w:val="22"/>
          <w:lang w:val="es-CR" w:eastAsia="es-CR"/>
        </w:rPr>
        <w:t>stos y, en general, modificarse cualquier elemento de dicho auto.</w:t>
      </w:r>
    </w:p>
    <w:p w14:paraId="4E63E2EE" w14:textId="77777777" w:rsidR="001B5A0A" w:rsidRPr="00A156F4" w:rsidRDefault="001B5A0A" w:rsidP="00B666CC">
      <w:pPr>
        <w:contextualSpacing/>
        <w:jc w:val="both"/>
        <w:rPr>
          <w:rFonts w:eastAsia="Times New Roman"/>
          <w:sz w:val="22"/>
          <w:szCs w:val="22"/>
          <w:lang w:val="es-CR" w:eastAsia="es-CR"/>
        </w:rPr>
      </w:pPr>
    </w:p>
    <w:p w14:paraId="24A09B50" w14:textId="24522163" w:rsidR="001B5A0A" w:rsidRPr="00A156F4" w:rsidRDefault="00D340C5" w:rsidP="00B666CC">
      <w:pPr>
        <w:contextualSpacing/>
        <w:jc w:val="both"/>
        <w:rPr>
          <w:rFonts w:eastAsia="Times New Roman"/>
          <w:sz w:val="22"/>
          <w:szCs w:val="22"/>
          <w:lang w:val="es-CR" w:eastAsia="es-CR"/>
        </w:rPr>
      </w:pPr>
      <w:r w:rsidRPr="00A156F4">
        <w:rPr>
          <w:rFonts w:eastAsia="Times New Roman"/>
          <w:sz w:val="22"/>
          <w:szCs w:val="22"/>
          <w:lang w:val="es-CR" w:eastAsia="es-CR"/>
        </w:rPr>
        <w:t>El</w:t>
      </w:r>
      <w:r w:rsidR="00B666CC" w:rsidRPr="00A156F4">
        <w:rPr>
          <w:rFonts w:eastAsia="Times New Roman"/>
          <w:sz w:val="22"/>
          <w:szCs w:val="22"/>
          <w:lang w:val="es-CR" w:eastAsia="es-CR"/>
        </w:rPr>
        <w:t xml:space="preserve"> encargado de instrucción dispondrá que se realice el traslado adicional a los agentes económicos investigados, para </w:t>
      </w:r>
      <w:r w:rsidR="00117EE5" w:rsidRPr="00A156F4">
        <w:rPr>
          <w:rFonts w:eastAsia="Times New Roman"/>
          <w:sz w:val="22"/>
          <w:szCs w:val="22"/>
          <w:lang w:val="es-CR" w:eastAsia="es-CR"/>
        </w:rPr>
        <w:t>que,</w:t>
      </w:r>
      <w:r w:rsidR="00B666CC" w:rsidRPr="00A156F4">
        <w:rPr>
          <w:rFonts w:eastAsia="Times New Roman"/>
          <w:sz w:val="22"/>
          <w:szCs w:val="22"/>
          <w:lang w:val="es-CR" w:eastAsia="es-CR"/>
        </w:rPr>
        <w:t xml:space="preserve"> en un plazo idéntico al otorgado inicialmente, presenten el escrito de defensa y aporten sus pruebas de descargo. </w:t>
      </w:r>
    </w:p>
    <w:p w14:paraId="1A799800" w14:textId="77777777" w:rsidR="001B5A0A" w:rsidRPr="00A156F4" w:rsidRDefault="001B5A0A" w:rsidP="00B666CC">
      <w:pPr>
        <w:contextualSpacing/>
        <w:jc w:val="both"/>
        <w:rPr>
          <w:rFonts w:eastAsia="Times New Roman"/>
          <w:sz w:val="22"/>
          <w:szCs w:val="22"/>
          <w:lang w:val="es-CR" w:eastAsia="es-CR"/>
        </w:rPr>
      </w:pPr>
    </w:p>
    <w:p w14:paraId="6ECEB587" w14:textId="5B683795" w:rsidR="00B666CC" w:rsidRPr="00A156F4" w:rsidRDefault="001B5A0A" w:rsidP="00B666CC">
      <w:pPr>
        <w:contextualSpacing/>
        <w:jc w:val="both"/>
        <w:rPr>
          <w:sz w:val="22"/>
          <w:szCs w:val="22"/>
          <w:lang w:eastAsia="es-CR"/>
        </w:rPr>
      </w:pPr>
      <w:r w:rsidRPr="00A156F4">
        <w:rPr>
          <w:rFonts w:eastAsia="Times New Roman"/>
          <w:sz w:val="22"/>
          <w:szCs w:val="22"/>
          <w:lang w:val="es-CR" w:eastAsia="es-CR"/>
        </w:rPr>
        <w:t>La resolución</w:t>
      </w:r>
      <w:r w:rsidR="00B666CC" w:rsidRPr="00A156F4">
        <w:rPr>
          <w:rFonts w:eastAsia="Times New Roman"/>
          <w:sz w:val="22"/>
          <w:szCs w:val="22"/>
          <w:lang w:val="es-CR" w:eastAsia="es-CR"/>
        </w:rPr>
        <w:t xml:space="preserve"> que ordena la ampliación o modificación del auto de inicio de la etapa de instrucción y traslado de cargos</w:t>
      </w:r>
      <w:r w:rsidRPr="00A156F4">
        <w:rPr>
          <w:rFonts w:eastAsia="Times New Roman"/>
          <w:sz w:val="22"/>
          <w:szCs w:val="22"/>
          <w:lang w:val="es-CR" w:eastAsia="es-CR"/>
        </w:rPr>
        <w:t xml:space="preserve"> podrá ser recurrida</w:t>
      </w:r>
      <w:r w:rsidR="00B666CC" w:rsidRPr="00A156F4">
        <w:rPr>
          <w:rFonts w:eastAsia="Times New Roman"/>
          <w:sz w:val="22"/>
          <w:szCs w:val="22"/>
          <w:lang w:val="es-CR" w:eastAsia="es-CR"/>
        </w:rPr>
        <w:t xml:space="preserve">, de conformidad con el artículo </w:t>
      </w:r>
      <w:r w:rsidR="004A13FB" w:rsidRPr="00A156F4">
        <w:rPr>
          <w:rFonts w:eastAsia="Times New Roman"/>
          <w:sz w:val="22"/>
          <w:szCs w:val="22"/>
          <w:lang w:val="es-CR" w:eastAsia="es-CR"/>
        </w:rPr>
        <w:t>60</w:t>
      </w:r>
      <w:r w:rsidR="00B666CC" w:rsidRPr="00A156F4">
        <w:rPr>
          <w:rFonts w:eastAsia="Times New Roman"/>
          <w:sz w:val="22"/>
          <w:szCs w:val="22"/>
          <w:lang w:val="es-CR" w:eastAsia="es-CR"/>
        </w:rPr>
        <w:t xml:space="preserve"> de </w:t>
      </w:r>
      <w:r w:rsidR="00FA3AB2" w:rsidRPr="00A156F4">
        <w:rPr>
          <w:rFonts w:eastAsia="Times New Roman"/>
          <w:sz w:val="22"/>
          <w:szCs w:val="22"/>
          <w:lang w:val="es-CR" w:eastAsia="es-CR"/>
        </w:rPr>
        <w:t xml:space="preserve">la presente </w:t>
      </w:r>
      <w:r w:rsidR="00B666CC" w:rsidRPr="00A156F4">
        <w:rPr>
          <w:rFonts w:eastAsia="Times New Roman"/>
          <w:sz w:val="22"/>
          <w:szCs w:val="22"/>
          <w:lang w:val="es-CR" w:eastAsia="es-CR"/>
        </w:rPr>
        <w:t>ley</w:t>
      </w:r>
      <w:r w:rsidR="00FA3AB2" w:rsidRPr="00A156F4">
        <w:rPr>
          <w:rFonts w:eastAsia="Times New Roman"/>
          <w:sz w:val="22"/>
          <w:szCs w:val="22"/>
          <w:lang w:val="es-CR" w:eastAsia="es-CR"/>
        </w:rPr>
        <w:t>.</w:t>
      </w:r>
    </w:p>
    <w:p w14:paraId="0B16F9DA" w14:textId="77777777" w:rsidR="00B666CC" w:rsidRPr="00A156F4" w:rsidRDefault="00B666CC" w:rsidP="00B666CC">
      <w:pPr>
        <w:contextualSpacing/>
        <w:jc w:val="both"/>
        <w:rPr>
          <w:sz w:val="22"/>
          <w:szCs w:val="22"/>
        </w:rPr>
      </w:pPr>
    </w:p>
    <w:p w14:paraId="0B7BD2C7" w14:textId="30BD4160"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rPr>
        <w:t xml:space="preserve"> 4</w:t>
      </w:r>
      <w:r w:rsidR="00B82C4F" w:rsidRPr="00A156F4">
        <w:rPr>
          <w:rFonts w:ascii="Times New Roman" w:hAnsi="Times New Roman"/>
          <w:b/>
        </w:rPr>
        <w:t>7</w:t>
      </w:r>
      <w:r w:rsidRPr="00A156F4">
        <w:rPr>
          <w:rFonts w:ascii="Times New Roman" w:hAnsi="Times New Roman"/>
          <w:b/>
        </w:rPr>
        <w:t xml:space="preserve">.- </w:t>
      </w:r>
      <w:r w:rsidR="00391318" w:rsidRPr="00A156F4">
        <w:rPr>
          <w:rFonts w:ascii="Times New Roman" w:hAnsi="Times New Roman"/>
          <w:b/>
        </w:rPr>
        <w:t>Prueba admisible</w:t>
      </w:r>
      <w:r w:rsidRPr="00A156F4">
        <w:rPr>
          <w:rFonts w:ascii="Times New Roman" w:hAnsi="Times New Roman"/>
          <w:b/>
        </w:rPr>
        <w:t xml:space="preserve"> </w:t>
      </w:r>
      <w:r w:rsidR="00391318" w:rsidRPr="00A156F4">
        <w:rPr>
          <w:rFonts w:ascii="Times New Roman" w:hAnsi="Times New Roman"/>
          <w:b/>
        </w:rPr>
        <w:t>en</w:t>
      </w:r>
      <w:r w:rsidRPr="00A156F4">
        <w:rPr>
          <w:rFonts w:ascii="Times New Roman" w:hAnsi="Times New Roman"/>
          <w:b/>
        </w:rPr>
        <w:t xml:space="preserve"> la etapa de instrucción </w:t>
      </w:r>
    </w:p>
    <w:p w14:paraId="2851C0B6" w14:textId="77777777" w:rsidR="00B666CC" w:rsidRPr="00A156F4" w:rsidRDefault="00B666CC" w:rsidP="00B666CC">
      <w:pPr>
        <w:jc w:val="both"/>
        <w:rPr>
          <w:rFonts w:eastAsia="Times New Roman"/>
          <w:sz w:val="22"/>
          <w:szCs w:val="22"/>
          <w:lang w:val="es-CR" w:eastAsia="es-CR"/>
        </w:rPr>
      </w:pPr>
    </w:p>
    <w:p w14:paraId="0CE54501" w14:textId="3C048D2F" w:rsidR="001B5A0A" w:rsidRPr="00A156F4" w:rsidRDefault="001B5A0A" w:rsidP="00B666CC">
      <w:pPr>
        <w:jc w:val="both"/>
        <w:rPr>
          <w:rFonts w:eastAsia="Times New Roman"/>
          <w:sz w:val="22"/>
          <w:szCs w:val="22"/>
          <w:lang w:val="es-CR" w:eastAsia="es-CR"/>
        </w:rPr>
      </w:pPr>
      <w:r w:rsidRPr="00A156F4">
        <w:rPr>
          <w:rFonts w:eastAsia="Times New Roman"/>
          <w:sz w:val="22"/>
          <w:szCs w:val="22"/>
          <w:lang w:val="es-CR" w:eastAsia="es-CR"/>
        </w:rPr>
        <w:t xml:space="preserve">Serán admisibles todos los medios de prueba permitidos por el </w:t>
      </w:r>
      <w:r w:rsidR="00BA67E6" w:rsidRPr="00A156F4">
        <w:rPr>
          <w:rFonts w:eastAsia="Times New Roman"/>
          <w:sz w:val="22"/>
          <w:szCs w:val="22"/>
          <w:lang w:val="es-CR" w:eastAsia="es-CR"/>
        </w:rPr>
        <w:t>d</w:t>
      </w:r>
      <w:r w:rsidRPr="00A156F4">
        <w:rPr>
          <w:rFonts w:eastAsia="Times New Roman"/>
          <w:sz w:val="22"/>
          <w:szCs w:val="22"/>
          <w:lang w:val="es-CR" w:eastAsia="es-CR"/>
        </w:rPr>
        <w:t xml:space="preserve">erecho </w:t>
      </w:r>
      <w:r w:rsidR="00BA67E6" w:rsidRPr="00A156F4">
        <w:rPr>
          <w:rFonts w:eastAsia="Times New Roman"/>
          <w:sz w:val="22"/>
          <w:szCs w:val="22"/>
          <w:lang w:val="es-CR" w:eastAsia="es-CR"/>
        </w:rPr>
        <w:t>público, aunque no sean admisibles por el derecho común</w:t>
      </w:r>
      <w:r w:rsidRPr="00A156F4">
        <w:rPr>
          <w:rFonts w:eastAsia="Times New Roman"/>
          <w:sz w:val="22"/>
          <w:szCs w:val="22"/>
          <w:lang w:val="es-CR" w:eastAsia="es-CR"/>
        </w:rPr>
        <w:t xml:space="preserve">. </w:t>
      </w:r>
      <w:r w:rsidR="00E81A36" w:rsidRPr="00A156F4">
        <w:rPr>
          <w:rFonts w:eastAsia="Times New Roman"/>
          <w:sz w:val="22"/>
          <w:szCs w:val="22"/>
          <w:lang w:val="es-CR" w:eastAsia="es-CR"/>
        </w:rPr>
        <w:t>E</w:t>
      </w:r>
      <w:r w:rsidR="00B666CC" w:rsidRPr="00A156F4">
        <w:rPr>
          <w:rFonts w:eastAsia="Times New Roman"/>
          <w:sz w:val="22"/>
          <w:szCs w:val="22"/>
          <w:lang w:val="es-CR" w:eastAsia="es-CR"/>
        </w:rPr>
        <w:t xml:space="preserve">l Órgano Instructor </w:t>
      </w:r>
      <w:r w:rsidR="00117EE5" w:rsidRPr="00A156F4">
        <w:rPr>
          <w:rFonts w:eastAsia="Times New Roman"/>
          <w:sz w:val="22"/>
          <w:szCs w:val="22"/>
          <w:lang w:val="es-CR" w:eastAsia="es-CR"/>
        </w:rPr>
        <w:t>gestionará</w:t>
      </w:r>
      <w:r w:rsidRPr="00A156F4">
        <w:rPr>
          <w:rFonts w:eastAsia="Times New Roman"/>
          <w:sz w:val="22"/>
          <w:szCs w:val="22"/>
          <w:lang w:val="es-CR" w:eastAsia="es-CR"/>
        </w:rPr>
        <w:t xml:space="preserve"> la</w:t>
      </w:r>
      <w:r w:rsidR="00B666CC" w:rsidRPr="00A156F4">
        <w:rPr>
          <w:sz w:val="22"/>
          <w:szCs w:val="22"/>
          <w:lang w:val="es-CR"/>
        </w:rPr>
        <w:t xml:space="preserve"> prueba que considere pertinente</w:t>
      </w:r>
      <w:r w:rsidR="00B412A4" w:rsidRPr="00A156F4">
        <w:rPr>
          <w:sz w:val="22"/>
          <w:szCs w:val="22"/>
          <w:lang w:val="es-CR"/>
        </w:rPr>
        <w:t>, o que</w:t>
      </w:r>
      <w:r w:rsidR="00B666CC" w:rsidRPr="00A156F4">
        <w:rPr>
          <w:sz w:val="22"/>
          <w:szCs w:val="22"/>
          <w:lang w:val="es-CR"/>
        </w:rPr>
        <w:t xml:space="preserve"> le haya sido solicitad</w:t>
      </w:r>
      <w:r w:rsidRPr="00A156F4">
        <w:rPr>
          <w:sz w:val="22"/>
          <w:szCs w:val="22"/>
          <w:lang w:val="es-CR"/>
        </w:rPr>
        <w:t>a</w:t>
      </w:r>
      <w:r w:rsidR="00B666CC" w:rsidRPr="00A156F4">
        <w:rPr>
          <w:sz w:val="22"/>
          <w:szCs w:val="22"/>
          <w:lang w:val="es-CR"/>
        </w:rPr>
        <w:t xml:space="preserve"> por las partes en su escrito de defensa </w:t>
      </w:r>
      <w:r w:rsidR="00B666CC" w:rsidRPr="00A156F4">
        <w:rPr>
          <w:rFonts w:eastAsia="Times New Roman"/>
          <w:sz w:val="22"/>
          <w:szCs w:val="22"/>
          <w:lang w:val="es-CR" w:eastAsia="es-CR"/>
        </w:rPr>
        <w:t>y que no hayan sido aportados con anterioridad.</w:t>
      </w:r>
    </w:p>
    <w:p w14:paraId="357DD1BA" w14:textId="77777777" w:rsidR="001B5A0A" w:rsidRPr="00A156F4" w:rsidRDefault="001B5A0A" w:rsidP="00B666CC">
      <w:pPr>
        <w:jc w:val="both"/>
        <w:rPr>
          <w:rFonts w:eastAsia="Times New Roman"/>
          <w:sz w:val="22"/>
          <w:szCs w:val="22"/>
          <w:lang w:val="es-CR" w:eastAsia="es-CR"/>
        </w:rPr>
      </w:pPr>
    </w:p>
    <w:p w14:paraId="594C1ED4" w14:textId="5B0077A5" w:rsidR="005D0ED3" w:rsidRPr="00A156F4" w:rsidRDefault="005D0ED3" w:rsidP="00B666CC">
      <w:pPr>
        <w:jc w:val="both"/>
        <w:rPr>
          <w:rFonts w:eastAsia="Times New Roman"/>
          <w:sz w:val="22"/>
          <w:szCs w:val="22"/>
          <w:lang w:val="es-CR" w:eastAsia="es-CR"/>
        </w:rPr>
      </w:pPr>
      <w:r w:rsidRPr="00A156F4">
        <w:rPr>
          <w:rFonts w:eastAsia="Times New Roman"/>
          <w:sz w:val="22"/>
          <w:szCs w:val="22"/>
          <w:lang w:val="es-CR" w:eastAsia="es-CR"/>
        </w:rPr>
        <w:t>Estos medios de prueba deberán ser tramitados por el Órgano Instructor en un plazo de 15 días hábiles, posteriores al recibo del escrito de defensa. Se otorgará un plazo de 15 días hábiles para aportar la información solicitada, este plazo podrá ser ampliado por el mismo término,</w:t>
      </w:r>
      <w:r w:rsidR="00FA3AB2" w:rsidRPr="00A156F4">
        <w:rPr>
          <w:rFonts w:eastAsia="Times New Roman"/>
          <w:sz w:val="22"/>
          <w:szCs w:val="22"/>
          <w:lang w:val="es-CR" w:eastAsia="es-CR"/>
        </w:rPr>
        <w:t xml:space="preserve"> por una única vez,</w:t>
      </w:r>
      <w:r w:rsidRPr="00A156F4">
        <w:rPr>
          <w:rFonts w:eastAsia="Times New Roman"/>
          <w:sz w:val="22"/>
          <w:szCs w:val="22"/>
          <w:lang w:val="es-CR" w:eastAsia="es-CR"/>
        </w:rPr>
        <w:t xml:space="preserve"> cuando la complejidad de la información solicitada lo amerite. </w:t>
      </w:r>
    </w:p>
    <w:p w14:paraId="5EB4432E" w14:textId="77777777" w:rsidR="00B666CC" w:rsidRPr="00A156F4" w:rsidRDefault="00B666CC" w:rsidP="00B666CC">
      <w:pPr>
        <w:jc w:val="both"/>
        <w:rPr>
          <w:rFonts w:eastAsia="Times New Roman"/>
          <w:sz w:val="22"/>
          <w:szCs w:val="22"/>
          <w:lang w:val="es-CR" w:eastAsia="es-CR"/>
        </w:rPr>
      </w:pPr>
    </w:p>
    <w:p w14:paraId="448211CE" w14:textId="3A8DC100" w:rsidR="00B666CC" w:rsidRPr="00A156F4" w:rsidRDefault="00B666CC" w:rsidP="00B666CC">
      <w:pPr>
        <w:jc w:val="both"/>
        <w:rPr>
          <w:sz w:val="22"/>
          <w:szCs w:val="22"/>
          <w:lang w:val="es-CR"/>
        </w:rPr>
      </w:pPr>
      <w:r w:rsidRPr="00A156F4">
        <w:rPr>
          <w:sz w:val="22"/>
          <w:szCs w:val="22"/>
          <w:lang w:val="es-CR"/>
        </w:rPr>
        <w:t xml:space="preserve">Toda la prueba </w:t>
      </w:r>
      <w:r w:rsidR="001B5A0A" w:rsidRPr="00A156F4">
        <w:rPr>
          <w:sz w:val="22"/>
          <w:szCs w:val="22"/>
          <w:lang w:val="es-CR"/>
        </w:rPr>
        <w:t>ofrecida</w:t>
      </w:r>
      <w:r w:rsidRPr="00A156F4">
        <w:rPr>
          <w:rFonts w:eastAsia="Times New Roman"/>
          <w:sz w:val="22"/>
          <w:szCs w:val="22"/>
          <w:lang w:val="es-CR" w:eastAsia="es-CR"/>
        </w:rPr>
        <w:t xml:space="preserve"> por las partes en el escrito de defensa</w:t>
      </w:r>
      <w:r w:rsidR="001B5A0A" w:rsidRPr="00A156F4">
        <w:rPr>
          <w:rFonts w:eastAsia="Times New Roman"/>
          <w:sz w:val="22"/>
          <w:szCs w:val="22"/>
          <w:lang w:val="es-CR" w:eastAsia="es-CR"/>
        </w:rPr>
        <w:t xml:space="preserve"> o posteriormente,</w:t>
      </w:r>
      <w:r w:rsidRPr="00A156F4">
        <w:rPr>
          <w:rFonts w:eastAsia="Times New Roman"/>
          <w:sz w:val="22"/>
          <w:szCs w:val="22"/>
          <w:lang w:val="es-CR" w:eastAsia="es-CR"/>
        </w:rPr>
        <w:t xml:space="preserve"> y la que gestione el Órgano Instructor, </w:t>
      </w:r>
      <w:r w:rsidRPr="00A156F4">
        <w:rPr>
          <w:sz w:val="22"/>
          <w:szCs w:val="22"/>
          <w:lang w:val="es-CR"/>
        </w:rPr>
        <w:t xml:space="preserve">deberá ser </w:t>
      </w:r>
      <w:r w:rsidR="001B5A0A" w:rsidRPr="00A156F4">
        <w:rPr>
          <w:sz w:val="22"/>
          <w:szCs w:val="22"/>
          <w:lang w:val="es-CR"/>
        </w:rPr>
        <w:t xml:space="preserve">incorporada </w:t>
      </w:r>
      <w:r w:rsidRPr="00A156F4">
        <w:rPr>
          <w:sz w:val="22"/>
          <w:szCs w:val="22"/>
          <w:lang w:val="es-CR"/>
        </w:rPr>
        <w:t>al expediente, debidamente foliada y ordenada cronológicamente conforme a su presentación.</w:t>
      </w:r>
    </w:p>
    <w:p w14:paraId="576B7248" w14:textId="77777777" w:rsidR="00E81A36" w:rsidRPr="00A156F4" w:rsidRDefault="00E81A36" w:rsidP="00B666CC">
      <w:pPr>
        <w:jc w:val="both"/>
        <w:rPr>
          <w:rFonts w:eastAsia="Times New Roman"/>
          <w:color w:val="000000"/>
          <w:sz w:val="22"/>
          <w:szCs w:val="22"/>
          <w:lang w:val="es-CR" w:eastAsia="es-ES"/>
        </w:rPr>
      </w:pPr>
    </w:p>
    <w:p w14:paraId="49E99183" w14:textId="4A0EC32B" w:rsidR="00B666CC" w:rsidRPr="00A156F4" w:rsidRDefault="00B412A4" w:rsidP="00B666CC">
      <w:pPr>
        <w:jc w:val="both"/>
        <w:rPr>
          <w:rFonts w:eastAsia="Times New Roman"/>
          <w:color w:val="000000"/>
          <w:sz w:val="22"/>
          <w:szCs w:val="22"/>
          <w:lang w:eastAsia="es-ES"/>
        </w:rPr>
      </w:pPr>
      <w:bookmarkStart w:id="20" w:name="_Hlk536547064"/>
      <w:r w:rsidRPr="00A156F4">
        <w:rPr>
          <w:rFonts w:eastAsia="Times New Roman"/>
          <w:color w:val="000000"/>
          <w:sz w:val="22"/>
          <w:szCs w:val="22"/>
          <w:lang w:eastAsia="es-ES"/>
        </w:rPr>
        <w:t>El órgano Instructor, de oficio o a petición de parte, podrá solicitar</w:t>
      </w:r>
      <w:r w:rsidR="00B666CC" w:rsidRPr="00A156F4">
        <w:rPr>
          <w:rFonts w:eastAsia="Times New Roman"/>
          <w:color w:val="000000"/>
          <w:sz w:val="22"/>
          <w:szCs w:val="22"/>
          <w:lang w:eastAsia="es-ES"/>
        </w:rPr>
        <w:t xml:space="preserve"> la declaración testimonial de toda persona que haya tenido participación, directa o indirecta, en la conducta administrativa investigada, bajo el apercibimiento de que </w:t>
      </w:r>
      <w:r w:rsidR="00E81A36" w:rsidRPr="00A156F4">
        <w:rPr>
          <w:rFonts w:eastAsia="Times New Roman"/>
          <w:color w:val="000000"/>
          <w:sz w:val="22"/>
          <w:szCs w:val="22"/>
          <w:lang w:eastAsia="es-ES"/>
        </w:rPr>
        <w:t xml:space="preserve">se </w:t>
      </w:r>
      <w:r w:rsidR="00B666CC" w:rsidRPr="00A156F4">
        <w:rPr>
          <w:rFonts w:eastAsia="Times New Roman"/>
          <w:color w:val="000000"/>
          <w:sz w:val="22"/>
          <w:szCs w:val="22"/>
          <w:lang w:eastAsia="es-ES"/>
        </w:rPr>
        <w:t>podrá traer con auxilio de la fuerza pública. De igual forma,</w:t>
      </w:r>
      <w:r w:rsidRPr="00A156F4">
        <w:rPr>
          <w:rFonts w:eastAsia="Times New Roman"/>
          <w:color w:val="000000"/>
          <w:sz w:val="22"/>
          <w:szCs w:val="22"/>
          <w:lang w:eastAsia="es-ES"/>
        </w:rPr>
        <w:t xml:space="preserve"> </w:t>
      </w:r>
      <w:r w:rsidR="00B666CC" w:rsidRPr="00A156F4">
        <w:rPr>
          <w:rFonts w:eastAsia="Times New Roman"/>
          <w:color w:val="000000"/>
          <w:sz w:val="22"/>
          <w:szCs w:val="22"/>
          <w:lang w:eastAsia="es-ES"/>
        </w:rPr>
        <w:t>podrá requerir la declaración de testigos-peritos y de testigos-funcionarios,</w:t>
      </w:r>
      <w:r w:rsidR="00E81A36" w:rsidRPr="00A156F4">
        <w:rPr>
          <w:rFonts w:eastAsia="Times New Roman"/>
          <w:color w:val="000000"/>
          <w:sz w:val="22"/>
          <w:szCs w:val="22"/>
          <w:lang w:eastAsia="es-ES"/>
        </w:rPr>
        <w:t xml:space="preserve"> incluidos</w:t>
      </w:r>
      <w:r w:rsidR="00B666CC" w:rsidRPr="00A156F4">
        <w:rPr>
          <w:rFonts w:eastAsia="Times New Roman"/>
          <w:color w:val="000000"/>
          <w:sz w:val="22"/>
          <w:szCs w:val="22"/>
          <w:lang w:eastAsia="es-ES"/>
        </w:rPr>
        <w:t xml:space="preserve"> quienes</w:t>
      </w:r>
      <w:r w:rsidR="00E81A36" w:rsidRPr="00A156F4">
        <w:rPr>
          <w:rFonts w:eastAsia="Times New Roman"/>
          <w:color w:val="000000"/>
          <w:sz w:val="22"/>
          <w:szCs w:val="22"/>
          <w:lang w:eastAsia="es-ES"/>
        </w:rPr>
        <w:t xml:space="preserve"> participaron en la etapa de investigación, que</w:t>
      </w:r>
      <w:r w:rsidR="00B666CC" w:rsidRPr="00A156F4">
        <w:rPr>
          <w:rFonts w:eastAsia="Times New Roman"/>
          <w:color w:val="000000"/>
          <w:sz w:val="22"/>
          <w:szCs w:val="22"/>
          <w:lang w:eastAsia="es-ES"/>
        </w:rPr>
        <w:t xml:space="preserve"> se regirán por las reglas de la prueba testimonial, sin perjuicio de que puedan ser interrogados en aspectos técnicos y de apreciación. </w:t>
      </w:r>
    </w:p>
    <w:bookmarkEnd w:id="20"/>
    <w:p w14:paraId="564B4F39" w14:textId="3DBC5A8E" w:rsidR="00B666CC" w:rsidRPr="00A156F4" w:rsidRDefault="00B666CC" w:rsidP="005F7DB9">
      <w:pPr>
        <w:jc w:val="both"/>
        <w:rPr>
          <w:sz w:val="22"/>
          <w:szCs w:val="22"/>
        </w:rPr>
      </w:pPr>
      <w:r w:rsidRPr="00A156F4">
        <w:rPr>
          <w:sz w:val="22"/>
          <w:szCs w:val="22"/>
        </w:rPr>
        <w:t xml:space="preserve"> </w:t>
      </w:r>
    </w:p>
    <w:p w14:paraId="222B16F3" w14:textId="0411B3CE"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rPr>
        <w:t xml:space="preserve"> 4</w:t>
      </w:r>
      <w:r w:rsidR="00B82C4F" w:rsidRPr="00A156F4">
        <w:rPr>
          <w:rFonts w:ascii="Times New Roman" w:hAnsi="Times New Roman"/>
          <w:b/>
        </w:rPr>
        <w:t>8</w:t>
      </w:r>
      <w:r w:rsidRPr="00A156F4">
        <w:rPr>
          <w:rFonts w:ascii="Times New Roman" w:hAnsi="Times New Roman"/>
          <w:b/>
        </w:rPr>
        <w:t>.</w:t>
      </w:r>
      <w:r w:rsidR="00F153AC" w:rsidRPr="00A156F4">
        <w:rPr>
          <w:rFonts w:ascii="Times New Roman" w:hAnsi="Times New Roman"/>
          <w:b/>
        </w:rPr>
        <w:t>-</w:t>
      </w:r>
      <w:r w:rsidRPr="00A156F4">
        <w:rPr>
          <w:rFonts w:ascii="Times New Roman" w:hAnsi="Times New Roman"/>
          <w:b/>
        </w:rPr>
        <w:t xml:space="preserve"> Audiencia preparatoria</w:t>
      </w:r>
    </w:p>
    <w:p w14:paraId="6A1C2890" w14:textId="77777777" w:rsidR="00B666CC" w:rsidRPr="00A156F4" w:rsidRDefault="00B666CC" w:rsidP="00B666CC">
      <w:pPr>
        <w:pStyle w:val="Prrafodelista"/>
        <w:spacing w:after="0" w:line="240" w:lineRule="auto"/>
        <w:ind w:left="0"/>
        <w:contextualSpacing/>
        <w:jc w:val="both"/>
        <w:rPr>
          <w:rFonts w:ascii="Times New Roman" w:hAnsi="Times New Roman"/>
          <w:b/>
          <w:highlight w:val="yellow"/>
        </w:rPr>
      </w:pPr>
    </w:p>
    <w:p w14:paraId="750171FA" w14:textId="13A86EC9" w:rsidR="00CA61F5" w:rsidRPr="00A156F4" w:rsidRDefault="007A38C9" w:rsidP="00B666CC">
      <w:pPr>
        <w:pStyle w:val="Prrafodelista"/>
        <w:spacing w:after="0" w:line="240" w:lineRule="auto"/>
        <w:ind w:left="0"/>
        <w:contextualSpacing/>
        <w:jc w:val="both"/>
        <w:rPr>
          <w:rFonts w:ascii="Times New Roman" w:hAnsi="Times New Roman"/>
        </w:rPr>
      </w:pPr>
      <w:r w:rsidRPr="00A156F4">
        <w:rPr>
          <w:rFonts w:ascii="Times New Roman" w:hAnsi="Times New Roman"/>
        </w:rPr>
        <w:t>El Órgano Instructor realizará una audiencia preparatoria oral y privada con las partes involucradas</w:t>
      </w:r>
      <w:r w:rsidR="00CA61F5" w:rsidRPr="00A156F4">
        <w:rPr>
          <w:rFonts w:ascii="Times New Roman" w:hAnsi="Times New Roman"/>
        </w:rPr>
        <w:t>,</w:t>
      </w:r>
      <w:r w:rsidRPr="00A156F4">
        <w:rPr>
          <w:rFonts w:ascii="Times New Roman" w:hAnsi="Times New Roman"/>
        </w:rPr>
        <w:t xml:space="preserve"> c</w:t>
      </w:r>
      <w:r w:rsidR="00B666CC" w:rsidRPr="00A156F4">
        <w:rPr>
          <w:rFonts w:ascii="Times New Roman" w:hAnsi="Times New Roman"/>
        </w:rPr>
        <w:t xml:space="preserve">on el propósito de preparar el expediente para la comparecencia oral y privada ante el Órgano Superior </w:t>
      </w:r>
      <w:r w:rsidR="00CA61F5" w:rsidRPr="00A156F4">
        <w:rPr>
          <w:rFonts w:ascii="Times New Roman" w:hAnsi="Times New Roman"/>
        </w:rPr>
        <w:t>y</w:t>
      </w:r>
      <w:r w:rsidR="00117EE5" w:rsidRPr="00A156F4">
        <w:rPr>
          <w:rFonts w:ascii="Times New Roman" w:hAnsi="Times New Roman"/>
        </w:rPr>
        <w:t xml:space="preserve"> </w:t>
      </w:r>
      <w:r w:rsidR="00B666CC" w:rsidRPr="00A156F4">
        <w:rPr>
          <w:rFonts w:ascii="Times New Roman" w:hAnsi="Times New Roman"/>
        </w:rPr>
        <w:t>revis</w:t>
      </w:r>
      <w:r w:rsidR="00CA61F5" w:rsidRPr="00A156F4">
        <w:rPr>
          <w:rFonts w:ascii="Times New Roman" w:hAnsi="Times New Roman"/>
        </w:rPr>
        <w:t>ar</w:t>
      </w:r>
      <w:r w:rsidR="00B666CC" w:rsidRPr="00A156F4">
        <w:rPr>
          <w:rFonts w:ascii="Times New Roman" w:hAnsi="Times New Roman"/>
        </w:rPr>
        <w:t xml:space="preserve"> el procedimiento a efectos de su saneamiento y </w:t>
      </w:r>
      <w:r w:rsidR="00CA61F5" w:rsidRPr="00A156F4">
        <w:rPr>
          <w:rFonts w:ascii="Times New Roman" w:hAnsi="Times New Roman"/>
        </w:rPr>
        <w:t>que</w:t>
      </w:r>
      <w:r w:rsidR="00B666CC" w:rsidRPr="00A156F4">
        <w:rPr>
          <w:rFonts w:ascii="Times New Roman" w:hAnsi="Times New Roman"/>
        </w:rPr>
        <w:t xml:space="preserve"> quede presentada u ofrecida toda la prueba</w:t>
      </w:r>
      <w:r w:rsidR="00CA61F5" w:rsidRPr="00A156F4">
        <w:rPr>
          <w:rFonts w:ascii="Times New Roman" w:hAnsi="Times New Roman"/>
        </w:rPr>
        <w:t xml:space="preserve">, </w:t>
      </w:r>
      <w:r w:rsidR="00B666CC" w:rsidRPr="00A156F4">
        <w:rPr>
          <w:rFonts w:ascii="Times New Roman" w:hAnsi="Times New Roman"/>
        </w:rPr>
        <w:t>en debida forma</w:t>
      </w:r>
      <w:r w:rsidRPr="00A156F4">
        <w:rPr>
          <w:rFonts w:ascii="Times New Roman" w:hAnsi="Times New Roman"/>
        </w:rPr>
        <w:t>.</w:t>
      </w:r>
      <w:r w:rsidR="00B40D53" w:rsidRPr="00A156F4">
        <w:rPr>
          <w:rFonts w:ascii="Times New Roman" w:hAnsi="Times New Roman"/>
        </w:rPr>
        <w:t xml:space="preserve"> </w:t>
      </w:r>
    </w:p>
    <w:p w14:paraId="36D554ED" w14:textId="77777777" w:rsidR="00CA61F5" w:rsidRPr="00A156F4" w:rsidRDefault="00CA61F5" w:rsidP="00B666CC">
      <w:pPr>
        <w:pStyle w:val="Prrafodelista"/>
        <w:spacing w:after="0" w:line="240" w:lineRule="auto"/>
        <w:ind w:left="0"/>
        <w:contextualSpacing/>
        <w:jc w:val="both"/>
        <w:rPr>
          <w:rFonts w:ascii="Times New Roman" w:hAnsi="Times New Roman"/>
        </w:rPr>
      </w:pPr>
    </w:p>
    <w:p w14:paraId="554D16AB" w14:textId="537E7EDA" w:rsidR="00B666CC" w:rsidRPr="00A156F4" w:rsidRDefault="00B40D53" w:rsidP="00B666CC">
      <w:pPr>
        <w:pStyle w:val="Prrafodelista"/>
        <w:spacing w:after="0" w:line="240" w:lineRule="auto"/>
        <w:ind w:left="0"/>
        <w:contextualSpacing/>
        <w:jc w:val="both"/>
        <w:rPr>
          <w:rFonts w:ascii="Times New Roman" w:hAnsi="Times New Roman"/>
          <w:b/>
        </w:rPr>
      </w:pPr>
      <w:r w:rsidRPr="00A156F4">
        <w:rPr>
          <w:rFonts w:ascii="Times New Roman" w:hAnsi="Times New Roman"/>
        </w:rPr>
        <w:t>Dicha audiencia deberá ser convocada con al menos 15 días hábiles de antelación.</w:t>
      </w:r>
      <w:r w:rsidR="00CA61F5" w:rsidRPr="00A156F4">
        <w:rPr>
          <w:rFonts w:ascii="Times New Roman" w:hAnsi="Times New Roman"/>
        </w:rPr>
        <w:t xml:space="preserve"> </w:t>
      </w:r>
      <w:r w:rsidR="00B666CC" w:rsidRPr="00A156F4">
        <w:rPr>
          <w:rFonts w:ascii="Times New Roman" w:hAnsi="Times New Roman"/>
        </w:rPr>
        <w:t>La no asistencia de alguna de las partes, cuando la citación le ha sido debidamente notificada, no impedirá la realización de la audiencia preparatoria.</w:t>
      </w:r>
    </w:p>
    <w:p w14:paraId="6E817A5C" w14:textId="77777777" w:rsidR="00B666CC" w:rsidRPr="00A156F4" w:rsidRDefault="00B666CC" w:rsidP="00B666CC">
      <w:pPr>
        <w:pStyle w:val="Prrafodelista"/>
        <w:spacing w:after="0" w:line="240" w:lineRule="auto"/>
        <w:ind w:left="0"/>
        <w:contextualSpacing/>
        <w:jc w:val="both"/>
        <w:rPr>
          <w:rFonts w:ascii="Times New Roman" w:hAnsi="Times New Roman"/>
        </w:rPr>
      </w:pPr>
    </w:p>
    <w:p w14:paraId="784013D4" w14:textId="75B50FA9" w:rsidR="00B666CC" w:rsidRPr="00A156F4" w:rsidRDefault="00B666CC" w:rsidP="00B666CC">
      <w:pPr>
        <w:pStyle w:val="Prrafodelista"/>
        <w:spacing w:after="0" w:line="240" w:lineRule="auto"/>
        <w:ind w:left="0"/>
        <w:contextualSpacing/>
        <w:jc w:val="both"/>
        <w:rPr>
          <w:rFonts w:ascii="Times New Roman" w:hAnsi="Times New Roman"/>
        </w:rPr>
      </w:pPr>
      <w:r w:rsidRPr="00A156F4">
        <w:rPr>
          <w:rFonts w:ascii="Times New Roman" w:hAnsi="Times New Roman"/>
        </w:rPr>
        <w:t>De lo actuado en la audiencia preparatoria se levantará un acta sucinta.</w:t>
      </w:r>
    </w:p>
    <w:p w14:paraId="4D45A852" w14:textId="77777777" w:rsidR="00B666CC" w:rsidRPr="00A156F4" w:rsidRDefault="00B666CC" w:rsidP="00B666CC">
      <w:pPr>
        <w:pStyle w:val="Prrafodelista"/>
        <w:spacing w:after="0" w:line="240" w:lineRule="auto"/>
        <w:ind w:left="0"/>
        <w:contextualSpacing/>
        <w:jc w:val="both"/>
        <w:rPr>
          <w:rFonts w:ascii="Times New Roman" w:hAnsi="Times New Roman"/>
        </w:rPr>
      </w:pPr>
    </w:p>
    <w:p w14:paraId="045738D2" w14:textId="32901C4E"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rPr>
        <w:t xml:space="preserve"> 4</w:t>
      </w:r>
      <w:r w:rsidR="00B82C4F" w:rsidRPr="00A156F4">
        <w:rPr>
          <w:rFonts w:ascii="Times New Roman" w:hAnsi="Times New Roman"/>
          <w:b/>
        </w:rPr>
        <w:t>9</w:t>
      </w:r>
      <w:r w:rsidRPr="00A156F4">
        <w:rPr>
          <w:rFonts w:ascii="Times New Roman" w:hAnsi="Times New Roman"/>
          <w:b/>
        </w:rPr>
        <w:t>.</w:t>
      </w:r>
      <w:r w:rsidR="00F153AC" w:rsidRPr="00A156F4">
        <w:rPr>
          <w:rFonts w:ascii="Times New Roman" w:hAnsi="Times New Roman"/>
          <w:b/>
        </w:rPr>
        <w:t>-</w:t>
      </w:r>
      <w:r w:rsidRPr="00A156F4">
        <w:rPr>
          <w:rFonts w:ascii="Times New Roman" w:hAnsi="Times New Roman"/>
          <w:b/>
        </w:rPr>
        <w:t xml:space="preserve"> Diligencias de </w:t>
      </w:r>
      <w:r w:rsidR="00117EE5" w:rsidRPr="00A156F4">
        <w:rPr>
          <w:rFonts w:ascii="Times New Roman" w:hAnsi="Times New Roman"/>
          <w:b/>
        </w:rPr>
        <w:t>saneamiento</w:t>
      </w:r>
      <w:r w:rsidRPr="00A156F4">
        <w:rPr>
          <w:rFonts w:ascii="Times New Roman" w:hAnsi="Times New Roman"/>
          <w:b/>
        </w:rPr>
        <w:t xml:space="preserve"> del procedimiento durante la audiencia preparatoria</w:t>
      </w:r>
    </w:p>
    <w:p w14:paraId="212B7A67" w14:textId="77777777" w:rsidR="00B666CC" w:rsidRPr="00A156F4" w:rsidRDefault="00B666CC" w:rsidP="00B666CC">
      <w:pPr>
        <w:pStyle w:val="Prrafodelista"/>
        <w:spacing w:after="0" w:line="240" w:lineRule="auto"/>
        <w:ind w:left="0"/>
        <w:contextualSpacing/>
        <w:jc w:val="both"/>
        <w:rPr>
          <w:rFonts w:ascii="Times New Roman" w:hAnsi="Times New Roman"/>
        </w:rPr>
      </w:pPr>
    </w:p>
    <w:p w14:paraId="1C03780B" w14:textId="77777777" w:rsidR="00B666CC" w:rsidRPr="00A156F4" w:rsidRDefault="00B666CC" w:rsidP="00B666CC">
      <w:pPr>
        <w:pStyle w:val="Prrafodelista"/>
        <w:spacing w:after="0" w:line="240" w:lineRule="auto"/>
        <w:ind w:left="0"/>
        <w:contextualSpacing/>
        <w:jc w:val="both"/>
        <w:rPr>
          <w:rFonts w:ascii="Times New Roman" w:hAnsi="Times New Roman"/>
        </w:rPr>
      </w:pPr>
      <w:r w:rsidRPr="00A156F4">
        <w:rPr>
          <w:rFonts w:ascii="Times New Roman" w:hAnsi="Times New Roman"/>
        </w:rPr>
        <w:t>En la audiencia preparatoria, el Órgano Instructor llevará a cabo las siguientes diligencias:</w:t>
      </w:r>
    </w:p>
    <w:p w14:paraId="4C21016E" w14:textId="77777777" w:rsidR="00B666CC" w:rsidRPr="00A156F4" w:rsidRDefault="00B666CC" w:rsidP="00B666CC">
      <w:pPr>
        <w:pStyle w:val="Prrafodelista"/>
        <w:spacing w:after="0" w:line="240" w:lineRule="auto"/>
        <w:ind w:left="0"/>
        <w:contextualSpacing/>
        <w:jc w:val="both"/>
        <w:rPr>
          <w:rFonts w:ascii="Times New Roman" w:hAnsi="Times New Roman"/>
          <w:highlight w:val="yellow"/>
        </w:rPr>
      </w:pPr>
    </w:p>
    <w:p w14:paraId="2940C516" w14:textId="772366BC" w:rsidR="00B666CC" w:rsidRPr="00A156F4" w:rsidRDefault="00B666CC" w:rsidP="00117EE5">
      <w:pPr>
        <w:pStyle w:val="Prrafodelista"/>
        <w:numPr>
          <w:ilvl w:val="0"/>
          <w:numId w:val="28"/>
        </w:numPr>
        <w:spacing w:after="0" w:line="240" w:lineRule="auto"/>
        <w:contextualSpacing/>
        <w:jc w:val="both"/>
        <w:rPr>
          <w:rFonts w:ascii="Times New Roman" w:hAnsi="Times New Roman"/>
        </w:rPr>
      </w:pPr>
      <w:r w:rsidRPr="00A156F4">
        <w:rPr>
          <w:rFonts w:ascii="Times New Roman" w:hAnsi="Times New Roman"/>
        </w:rPr>
        <w:t xml:space="preserve">Verificará que las partes o </w:t>
      </w:r>
      <w:r w:rsidR="005D2096" w:rsidRPr="00A156F4">
        <w:rPr>
          <w:rFonts w:ascii="Times New Roman" w:hAnsi="Times New Roman"/>
        </w:rPr>
        <w:t>sus</w:t>
      </w:r>
      <w:r w:rsidRPr="00A156F4">
        <w:rPr>
          <w:rFonts w:ascii="Times New Roman" w:hAnsi="Times New Roman"/>
        </w:rPr>
        <w:t xml:space="preserve"> representantes estén debidamente acreditados.</w:t>
      </w:r>
    </w:p>
    <w:p w14:paraId="34D59497" w14:textId="77777777" w:rsidR="00B666CC" w:rsidRPr="00A156F4" w:rsidRDefault="00B666CC" w:rsidP="00B666CC">
      <w:pPr>
        <w:pStyle w:val="Prrafodelista"/>
        <w:spacing w:after="0" w:line="240" w:lineRule="auto"/>
        <w:ind w:left="720"/>
        <w:contextualSpacing/>
        <w:jc w:val="both"/>
        <w:rPr>
          <w:rFonts w:ascii="Times New Roman" w:hAnsi="Times New Roman"/>
        </w:rPr>
      </w:pPr>
    </w:p>
    <w:p w14:paraId="00B23628" w14:textId="1A97B666" w:rsidR="00B666CC" w:rsidRPr="00A156F4" w:rsidRDefault="00B666CC" w:rsidP="00117EE5">
      <w:pPr>
        <w:pStyle w:val="Prrafodelista"/>
        <w:numPr>
          <w:ilvl w:val="0"/>
          <w:numId w:val="28"/>
        </w:numPr>
        <w:spacing w:after="0" w:line="240" w:lineRule="auto"/>
        <w:contextualSpacing/>
        <w:jc w:val="both"/>
        <w:rPr>
          <w:rFonts w:ascii="Times New Roman" w:hAnsi="Times New Roman"/>
        </w:rPr>
      </w:pPr>
      <w:r w:rsidRPr="00A156F4">
        <w:rPr>
          <w:rFonts w:ascii="Times New Roman" w:hAnsi="Times New Roman"/>
        </w:rPr>
        <w:t>Se pronunciará sobre la participación de</w:t>
      </w:r>
      <w:r w:rsidR="001B5A0A" w:rsidRPr="00A156F4">
        <w:rPr>
          <w:rFonts w:ascii="Times New Roman" w:hAnsi="Times New Roman"/>
        </w:rPr>
        <w:t xml:space="preserve"> las partes,</w:t>
      </w:r>
      <w:r w:rsidRPr="00A156F4">
        <w:rPr>
          <w:rFonts w:ascii="Times New Roman" w:hAnsi="Times New Roman"/>
        </w:rPr>
        <w:t xml:space="preserve"> coadyuvantes y terceros interesados. Contra la denegatoria de participación de alguno de ellos procederá únicamente recurso de revocatoria, que deberá ser interpuesto y resuelto en forma oral en la misma audiencia.</w:t>
      </w:r>
    </w:p>
    <w:p w14:paraId="4FD45314" w14:textId="77777777" w:rsidR="00B666CC" w:rsidRPr="00A156F4" w:rsidRDefault="00B666CC" w:rsidP="00B666CC">
      <w:pPr>
        <w:pStyle w:val="Prrafodelista"/>
        <w:spacing w:after="0" w:line="240" w:lineRule="auto"/>
        <w:ind w:left="720"/>
        <w:contextualSpacing/>
        <w:jc w:val="both"/>
        <w:rPr>
          <w:rFonts w:ascii="Times New Roman" w:hAnsi="Times New Roman"/>
        </w:rPr>
      </w:pPr>
    </w:p>
    <w:p w14:paraId="1F840919" w14:textId="60254215" w:rsidR="00B666CC" w:rsidRPr="00A156F4" w:rsidRDefault="00B666CC" w:rsidP="00117EE5">
      <w:pPr>
        <w:pStyle w:val="Prrafodelista"/>
        <w:numPr>
          <w:ilvl w:val="0"/>
          <w:numId w:val="28"/>
        </w:numPr>
        <w:spacing w:after="0" w:line="240" w:lineRule="auto"/>
        <w:contextualSpacing/>
        <w:jc w:val="both"/>
        <w:rPr>
          <w:rFonts w:ascii="Times New Roman" w:hAnsi="Times New Roman"/>
          <w:color w:val="000000"/>
          <w:lang w:eastAsia="es-ES"/>
        </w:rPr>
      </w:pPr>
      <w:r w:rsidRPr="00A156F4">
        <w:rPr>
          <w:rFonts w:ascii="Times New Roman" w:hAnsi="Times New Roman"/>
        </w:rPr>
        <w:t xml:space="preserve">Revisará el procedimiento a efectos de su saneamiento, cuando sea necesario, para lo </w:t>
      </w:r>
      <w:r w:rsidR="00CA61F5" w:rsidRPr="00A156F4">
        <w:rPr>
          <w:rFonts w:ascii="Times New Roman" w:hAnsi="Times New Roman"/>
        </w:rPr>
        <w:t>que deberá resolver</w:t>
      </w:r>
      <w:r w:rsidRPr="00A156F4">
        <w:rPr>
          <w:rFonts w:ascii="Times New Roman" w:hAnsi="Times New Roman"/>
        </w:rPr>
        <w:t>:</w:t>
      </w:r>
    </w:p>
    <w:p w14:paraId="275DD96D" w14:textId="77777777" w:rsidR="00B666CC" w:rsidRPr="00A156F4" w:rsidRDefault="00B666CC" w:rsidP="00B666CC">
      <w:pPr>
        <w:pStyle w:val="Prrafodelista"/>
        <w:rPr>
          <w:rFonts w:ascii="Times New Roman" w:hAnsi="Times New Roman"/>
        </w:rPr>
      </w:pPr>
    </w:p>
    <w:p w14:paraId="566B002A" w14:textId="0A59EDF6" w:rsidR="00B666CC" w:rsidRPr="00A156F4" w:rsidRDefault="00CA61F5" w:rsidP="00117EE5">
      <w:pPr>
        <w:pStyle w:val="Prrafodelista"/>
        <w:numPr>
          <w:ilvl w:val="0"/>
          <w:numId w:val="32"/>
        </w:numPr>
        <w:spacing w:after="0" w:line="240" w:lineRule="auto"/>
        <w:contextualSpacing/>
        <w:jc w:val="both"/>
        <w:rPr>
          <w:rFonts w:ascii="Times New Roman" w:hAnsi="Times New Roman"/>
          <w:color w:val="000000"/>
          <w:lang w:eastAsia="es-ES"/>
        </w:rPr>
      </w:pPr>
      <w:r w:rsidRPr="00A156F4">
        <w:rPr>
          <w:rFonts w:ascii="Times New Roman" w:hAnsi="Times New Roman"/>
        </w:rPr>
        <w:t>T</w:t>
      </w:r>
      <w:r w:rsidR="00B666CC" w:rsidRPr="00A156F4">
        <w:rPr>
          <w:rFonts w:ascii="Times New Roman" w:hAnsi="Times New Roman"/>
        </w:rPr>
        <w:t xml:space="preserve">oda clase de nulidades procesales, así como las demás cuestiones que resulten no atinentes al objeto del procedimiento especial. </w:t>
      </w:r>
    </w:p>
    <w:p w14:paraId="61F235BB" w14:textId="77777777" w:rsidR="00B666CC" w:rsidRPr="00A156F4" w:rsidRDefault="00B666CC" w:rsidP="00B666CC">
      <w:pPr>
        <w:pStyle w:val="Prrafodelista"/>
        <w:spacing w:after="0" w:line="240" w:lineRule="auto"/>
        <w:ind w:left="1440"/>
        <w:contextualSpacing/>
        <w:jc w:val="both"/>
        <w:rPr>
          <w:rFonts w:ascii="Times New Roman" w:hAnsi="Times New Roman"/>
          <w:color w:val="000000"/>
          <w:lang w:eastAsia="es-ES"/>
        </w:rPr>
      </w:pPr>
    </w:p>
    <w:p w14:paraId="2404250C" w14:textId="16814BEA" w:rsidR="00B666CC" w:rsidRPr="00A156F4" w:rsidRDefault="00CA61F5" w:rsidP="00117EE5">
      <w:pPr>
        <w:pStyle w:val="Prrafodelista"/>
        <w:numPr>
          <w:ilvl w:val="0"/>
          <w:numId w:val="32"/>
        </w:numPr>
        <w:spacing w:after="0" w:line="240" w:lineRule="auto"/>
        <w:contextualSpacing/>
        <w:jc w:val="both"/>
        <w:rPr>
          <w:rFonts w:ascii="Times New Roman" w:hAnsi="Times New Roman"/>
        </w:rPr>
      </w:pPr>
      <w:r w:rsidRPr="00A156F4">
        <w:rPr>
          <w:rFonts w:ascii="Times New Roman" w:hAnsi="Times New Roman"/>
        </w:rPr>
        <w:t>L</w:t>
      </w:r>
      <w:r w:rsidR="00B666CC" w:rsidRPr="00A156F4">
        <w:rPr>
          <w:rFonts w:ascii="Times New Roman" w:hAnsi="Times New Roman"/>
        </w:rPr>
        <w:t>as excepciones previas</w:t>
      </w:r>
      <w:r w:rsidR="008410AC" w:rsidRPr="00A156F4">
        <w:rPr>
          <w:rFonts w:ascii="Times New Roman" w:hAnsi="Times New Roman"/>
        </w:rPr>
        <w:t xml:space="preserve"> indicadas en el artículo 44 de la presente </w:t>
      </w:r>
      <w:proofErr w:type="gramStart"/>
      <w:r w:rsidR="008410AC" w:rsidRPr="00A156F4">
        <w:rPr>
          <w:rFonts w:ascii="Times New Roman" w:hAnsi="Times New Roman"/>
        </w:rPr>
        <w:t xml:space="preserve">ley, </w:t>
      </w:r>
      <w:r w:rsidR="00B666CC" w:rsidRPr="00A156F4">
        <w:rPr>
          <w:rFonts w:ascii="Times New Roman" w:hAnsi="Times New Roman"/>
        </w:rPr>
        <w:t xml:space="preserve"> que</w:t>
      </w:r>
      <w:proofErr w:type="gramEnd"/>
      <w:r w:rsidR="00B666CC" w:rsidRPr="00A156F4">
        <w:rPr>
          <w:rFonts w:ascii="Times New Roman" w:hAnsi="Times New Roman"/>
        </w:rPr>
        <w:t xml:space="preserve"> se interpongan por el agente económico investigado,</w:t>
      </w:r>
      <w:r w:rsidR="001B5A0A" w:rsidRPr="00A156F4">
        <w:rPr>
          <w:rFonts w:ascii="Times New Roman" w:hAnsi="Times New Roman"/>
        </w:rPr>
        <w:t xml:space="preserve"> de forma interlocutoria.</w:t>
      </w:r>
      <w:r w:rsidR="00B666CC" w:rsidRPr="00A156F4">
        <w:rPr>
          <w:rFonts w:ascii="Times New Roman" w:hAnsi="Times New Roman"/>
          <w:lang w:val="es-ES"/>
        </w:rPr>
        <w:t xml:space="preserve">. </w:t>
      </w:r>
      <w:r w:rsidR="00B666CC" w:rsidRPr="00A156F4">
        <w:rPr>
          <w:rFonts w:ascii="Times New Roman" w:hAnsi="Times New Roman"/>
        </w:rPr>
        <w:t xml:space="preserve">Lo anterior, sin perjuicio de que sean analizadas nuevamente por parte del Órgano Superior con el dictado de la resolución final. </w:t>
      </w:r>
    </w:p>
    <w:p w14:paraId="4E0DF63B" w14:textId="77777777" w:rsidR="00B666CC" w:rsidRPr="00A156F4" w:rsidRDefault="00B666CC" w:rsidP="00B666CC">
      <w:pPr>
        <w:contextualSpacing/>
        <w:jc w:val="both"/>
        <w:rPr>
          <w:sz w:val="22"/>
          <w:szCs w:val="22"/>
        </w:rPr>
      </w:pPr>
    </w:p>
    <w:p w14:paraId="08AC0A1B" w14:textId="322968B7" w:rsidR="00B666CC" w:rsidRPr="00A156F4" w:rsidRDefault="00B666CC" w:rsidP="00B666CC">
      <w:pPr>
        <w:contextualSpacing/>
        <w:jc w:val="both"/>
        <w:rPr>
          <w:sz w:val="22"/>
          <w:szCs w:val="22"/>
        </w:rPr>
      </w:pPr>
      <w:bookmarkStart w:id="21" w:name="_Hlk536437164"/>
      <w:r w:rsidRPr="00A156F4">
        <w:rPr>
          <w:sz w:val="22"/>
          <w:szCs w:val="22"/>
        </w:rPr>
        <w:t>En caso de que el Órgano Instructor acoja alguna excepción o incidencia que le ponga término o fin al procedimiento, así lo determinará y contra dicha resolución cabrá recurso de apelación ante el Órgano Superior, que podrá interponerse en los plazos a los que se refiere el artículo</w:t>
      </w:r>
      <w:r w:rsidR="004A13FB" w:rsidRPr="00A156F4">
        <w:rPr>
          <w:sz w:val="22"/>
          <w:szCs w:val="22"/>
        </w:rPr>
        <w:t xml:space="preserve"> 60</w:t>
      </w:r>
      <w:r w:rsidRPr="00A156F4">
        <w:rPr>
          <w:sz w:val="22"/>
          <w:szCs w:val="22"/>
        </w:rPr>
        <w:t xml:space="preserve"> de </w:t>
      </w:r>
      <w:r w:rsidR="00F935B4" w:rsidRPr="00A156F4">
        <w:rPr>
          <w:sz w:val="22"/>
          <w:szCs w:val="22"/>
        </w:rPr>
        <w:t>la presente l</w:t>
      </w:r>
      <w:r w:rsidRPr="00A156F4">
        <w:rPr>
          <w:sz w:val="22"/>
          <w:szCs w:val="22"/>
        </w:rPr>
        <w:t xml:space="preserve">ey. </w:t>
      </w:r>
    </w:p>
    <w:bookmarkEnd w:id="21"/>
    <w:p w14:paraId="4B0C6B06" w14:textId="77777777" w:rsidR="00B666CC" w:rsidRPr="00A156F4" w:rsidRDefault="00B666CC" w:rsidP="00B666CC">
      <w:pPr>
        <w:pStyle w:val="Prrafodelista"/>
        <w:spacing w:after="0" w:line="240" w:lineRule="auto"/>
        <w:ind w:left="1440"/>
        <w:contextualSpacing/>
        <w:jc w:val="both"/>
        <w:rPr>
          <w:rFonts w:ascii="Times New Roman" w:hAnsi="Times New Roman"/>
        </w:rPr>
      </w:pPr>
    </w:p>
    <w:p w14:paraId="3672AE61" w14:textId="2A451064" w:rsidR="00B666CC" w:rsidRPr="00A156F4" w:rsidRDefault="00B666CC" w:rsidP="00B666CC">
      <w:pPr>
        <w:contextualSpacing/>
        <w:jc w:val="both"/>
        <w:rPr>
          <w:sz w:val="22"/>
          <w:szCs w:val="22"/>
        </w:rPr>
      </w:pPr>
      <w:r w:rsidRPr="00A156F4">
        <w:rPr>
          <w:sz w:val="22"/>
          <w:szCs w:val="22"/>
        </w:rPr>
        <w:t xml:space="preserve">De ser necesaria alguna subsanación del procedimiento, el Órgano Instructor </w:t>
      </w:r>
      <w:r w:rsidR="00117EE5" w:rsidRPr="00A156F4">
        <w:rPr>
          <w:sz w:val="22"/>
          <w:szCs w:val="22"/>
        </w:rPr>
        <w:t>suspenderá</w:t>
      </w:r>
      <w:r w:rsidRPr="00A156F4">
        <w:rPr>
          <w:sz w:val="22"/>
          <w:szCs w:val="22"/>
        </w:rPr>
        <w:t xml:space="preserve"> la audiencia </w:t>
      </w:r>
      <w:r w:rsidR="00A67A01" w:rsidRPr="00A156F4">
        <w:rPr>
          <w:sz w:val="22"/>
          <w:szCs w:val="22"/>
        </w:rPr>
        <w:t>por un plazo no mayor a 15 días hábiles,</w:t>
      </w:r>
      <w:r w:rsidR="00F935B4" w:rsidRPr="00A156F4">
        <w:rPr>
          <w:sz w:val="22"/>
          <w:szCs w:val="22"/>
        </w:rPr>
        <w:t xml:space="preserve"> por una única vez, </w:t>
      </w:r>
      <w:r w:rsidRPr="00A156F4">
        <w:rPr>
          <w:sz w:val="22"/>
          <w:szCs w:val="22"/>
        </w:rPr>
        <w:t xml:space="preserve">a efectos de realizar las gestiones necesarias con el fin de evitar alguna violación al derecho de defensa. </w:t>
      </w:r>
    </w:p>
    <w:p w14:paraId="689899F9" w14:textId="77777777" w:rsidR="00B666CC" w:rsidRPr="00A156F4" w:rsidRDefault="00B666CC" w:rsidP="00B666CC">
      <w:pPr>
        <w:contextualSpacing/>
        <w:jc w:val="both"/>
        <w:rPr>
          <w:sz w:val="22"/>
          <w:szCs w:val="22"/>
        </w:rPr>
      </w:pPr>
    </w:p>
    <w:p w14:paraId="4157E463" w14:textId="77777777" w:rsidR="00B666CC" w:rsidRPr="00A156F4" w:rsidRDefault="00B666CC" w:rsidP="00B666CC">
      <w:pPr>
        <w:contextualSpacing/>
        <w:jc w:val="both"/>
        <w:rPr>
          <w:sz w:val="22"/>
          <w:szCs w:val="22"/>
        </w:rPr>
      </w:pPr>
      <w:r w:rsidRPr="00A156F4">
        <w:rPr>
          <w:sz w:val="22"/>
          <w:szCs w:val="22"/>
        </w:rPr>
        <w:t>La nueva convocatoria se notificará con al menos cinco días hábiles de antelación.</w:t>
      </w:r>
    </w:p>
    <w:p w14:paraId="63E17843" w14:textId="77777777" w:rsidR="00B666CC" w:rsidRPr="00A156F4" w:rsidRDefault="00B666CC" w:rsidP="00B666CC">
      <w:pPr>
        <w:contextualSpacing/>
        <w:jc w:val="both"/>
        <w:rPr>
          <w:sz w:val="22"/>
          <w:szCs w:val="22"/>
        </w:rPr>
      </w:pPr>
    </w:p>
    <w:p w14:paraId="5BCF9B6C" w14:textId="353675A1"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rPr>
        <w:t xml:space="preserve"> </w:t>
      </w:r>
      <w:r w:rsidR="00B82C4F" w:rsidRPr="00A156F4">
        <w:rPr>
          <w:rFonts w:ascii="Times New Roman" w:hAnsi="Times New Roman"/>
          <w:b/>
        </w:rPr>
        <w:t>50</w:t>
      </w:r>
      <w:r w:rsidRPr="00A156F4">
        <w:rPr>
          <w:rFonts w:ascii="Times New Roman" w:hAnsi="Times New Roman"/>
          <w:b/>
        </w:rPr>
        <w:t>.</w:t>
      </w:r>
      <w:r w:rsidR="00F153AC" w:rsidRPr="00A156F4">
        <w:rPr>
          <w:rFonts w:ascii="Times New Roman" w:hAnsi="Times New Roman"/>
          <w:b/>
        </w:rPr>
        <w:t>-</w:t>
      </w:r>
      <w:r w:rsidRPr="00A156F4">
        <w:rPr>
          <w:rFonts w:ascii="Times New Roman" w:hAnsi="Times New Roman"/>
          <w:b/>
        </w:rPr>
        <w:t xml:space="preserve"> Diligencias de ofrecimiento y admisión de pruebas durante la audiencia preparatoria</w:t>
      </w:r>
    </w:p>
    <w:p w14:paraId="67F01880" w14:textId="00E8C3CA" w:rsidR="000147F0" w:rsidRPr="00A156F4" w:rsidRDefault="000147F0" w:rsidP="00B666CC">
      <w:pPr>
        <w:pStyle w:val="Prrafodelista"/>
        <w:spacing w:after="0" w:line="240" w:lineRule="auto"/>
        <w:ind w:left="0"/>
        <w:contextualSpacing/>
        <w:jc w:val="both"/>
        <w:rPr>
          <w:rFonts w:ascii="Times New Roman" w:hAnsi="Times New Roman"/>
          <w:b/>
        </w:rPr>
      </w:pPr>
    </w:p>
    <w:p w14:paraId="2D03FCF8" w14:textId="3D398DAC" w:rsidR="000147F0" w:rsidRPr="00A156F4" w:rsidRDefault="00F935B4" w:rsidP="000147F0">
      <w:pPr>
        <w:autoSpaceDE w:val="0"/>
        <w:autoSpaceDN w:val="0"/>
        <w:spacing w:before="40" w:after="40"/>
        <w:jc w:val="both"/>
        <w:rPr>
          <w:sz w:val="22"/>
          <w:szCs w:val="22"/>
        </w:rPr>
      </w:pPr>
      <w:r w:rsidRPr="00A156F4">
        <w:rPr>
          <w:sz w:val="22"/>
          <w:szCs w:val="22"/>
        </w:rPr>
        <w:t xml:space="preserve">Durante </w:t>
      </w:r>
      <w:r w:rsidR="000147F0" w:rsidRPr="00A156F4">
        <w:rPr>
          <w:sz w:val="22"/>
          <w:szCs w:val="22"/>
        </w:rPr>
        <w:t xml:space="preserve">la audiencia preparatoria, el Órgano Instructor </w:t>
      </w:r>
      <w:r w:rsidR="00E15E23" w:rsidRPr="00A156F4">
        <w:rPr>
          <w:sz w:val="22"/>
          <w:szCs w:val="22"/>
        </w:rPr>
        <w:t>deberá</w:t>
      </w:r>
      <w:r w:rsidR="000147F0" w:rsidRPr="00A156F4">
        <w:rPr>
          <w:sz w:val="22"/>
          <w:szCs w:val="22"/>
        </w:rPr>
        <w:t xml:space="preserve"> pronunciar</w:t>
      </w:r>
      <w:r w:rsidR="00E15E23" w:rsidRPr="00A156F4">
        <w:rPr>
          <w:sz w:val="22"/>
          <w:szCs w:val="22"/>
        </w:rPr>
        <w:t>se</w:t>
      </w:r>
      <w:r w:rsidR="000147F0" w:rsidRPr="00A156F4">
        <w:rPr>
          <w:sz w:val="22"/>
          <w:szCs w:val="22"/>
        </w:rPr>
        <w:t xml:space="preserve"> sobre la procedencia y la admisión de la prueba </w:t>
      </w:r>
      <w:r w:rsidR="00E15E23" w:rsidRPr="00A156F4">
        <w:rPr>
          <w:sz w:val="22"/>
          <w:szCs w:val="22"/>
        </w:rPr>
        <w:t>que conste en el expediente y aquella que las partes ofrezcan en la audiencia preparatoria</w:t>
      </w:r>
      <w:r w:rsidR="000147F0" w:rsidRPr="00A156F4">
        <w:rPr>
          <w:sz w:val="22"/>
          <w:szCs w:val="22"/>
        </w:rPr>
        <w:t xml:space="preserve">, </w:t>
      </w:r>
      <w:r w:rsidR="00E15E23" w:rsidRPr="00A156F4">
        <w:rPr>
          <w:sz w:val="22"/>
          <w:szCs w:val="22"/>
        </w:rPr>
        <w:t xml:space="preserve">debiendo </w:t>
      </w:r>
      <w:r w:rsidR="000147F0" w:rsidRPr="00A156F4">
        <w:rPr>
          <w:sz w:val="22"/>
          <w:szCs w:val="22"/>
        </w:rPr>
        <w:t>admiti</w:t>
      </w:r>
      <w:r w:rsidR="00E15E23" w:rsidRPr="00A156F4">
        <w:rPr>
          <w:sz w:val="22"/>
          <w:szCs w:val="22"/>
        </w:rPr>
        <w:t>r</w:t>
      </w:r>
      <w:r w:rsidR="000147F0" w:rsidRPr="00A156F4">
        <w:rPr>
          <w:sz w:val="22"/>
          <w:szCs w:val="22"/>
        </w:rPr>
        <w:t xml:space="preserve"> la que proceda y rechaza</w:t>
      </w:r>
      <w:r w:rsidR="00E15E23" w:rsidRPr="00A156F4">
        <w:rPr>
          <w:sz w:val="22"/>
          <w:szCs w:val="22"/>
        </w:rPr>
        <w:t>r</w:t>
      </w:r>
      <w:r w:rsidR="000147F0" w:rsidRPr="00A156F4">
        <w:rPr>
          <w:sz w:val="22"/>
          <w:szCs w:val="22"/>
        </w:rPr>
        <w:t xml:space="preserve"> la que sea evidentemente impertinente o inconducente</w:t>
      </w:r>
      <w:r w:rsidR="00E15E23" w:rsidRPr="00A156F4">
        <w:rPr>
          <w:sz w:val="22"/>
          <w:szCs w:val="22"/>
        </w:rPr>
        <w:t>;</w:t>
      </w:r>
      <w:r w:rsidR="000147F0" w:rsidRPr="00A156F4">
        <w:rPr>
          <w:sz w:val="22"/>
          <w:szCs w:val="22"/>
        </w:rPr>
        <w:t xml:space="preserve"> disponiendo </w:t>
      </w:r>
      <w:r w:rsidR="00E15E23" w:rsidRPr="00A156F4">
        <w:rPr>
          <w:sz w:val="22"/>
          <w:szCs w:val="22"/>
        </w:rPr>
        <w:t>además</w:t>
      </w:r>
      <w:r w:rsidR="000147F0" w:rsidRPr="00A156F4">
        <w:rPr>
          <w:sz w:val="22"/>
          <w:szCs w:val="22"/>
        </w:rPr>
        <w:t xml:space="preserve"> sobre el diligenciamiento </w:t>
      </w:r>
      <w:r w:rsidR="00E15E23" w:rsidRPr="00A156F4">
        <w:rPr>
          <w:sz w:val="22"/>
          <w:szCs w:val="22"/>
        </w:rPr>
        <w:t>correspondiente</w:t>
      </w:r>
      <w:r w:rsidR="000147F0" w:rsidRPr="00A156F4">
        <w:rPr>
          <w:color w:val="000000"/>
          <w:sz w:val="22"/>
          <w:szCs w:val="22"/>
        </w:rPr>
        <w:t xml:space="preserve"> La denegatoria de la procedencia y la admisión de alguna prueba, tendrá únicamente recurso de revocatoria, </w:t>
      </w:r>
      <w:r w:rsidR="00E15E23" w:rsidRPr="00A156F4">
        <w:rPr>
          <w:color w:val="000000"/>
          <w:sz w:val="22"/>
          <w:szCs w:val="22"/>
        </w:rPr>
        <w:t xml:space="preserve">que </w:t>
      </w:r>
      <w:r w:rsidR="000147F0" w:rsidRPr="00A156F4">
        <w:rPr>
          <w:color w:val="000000"/>
          <w:sz w:val="22"/>
          <w:szCs w:val="22"/>
        </w:rPr>
        <w:t>deberá ser interpuesto y resuelto de forma oral</w:t>
      </w:r>
      <w:r w:rsidR="00E15E23" w:rsidRPr="00A156F4">
        <w:rPr>
          <w:color w:val="000000"/>
          <w:sz w:val="22"/>
          <w:szCs w:val="22"/>
        </w:rPr>
        <w:t xml:space="preserve">, </w:t>
      </w:r>
      <w:r w:rsidR="003449C4" w:rsidRPr="00A156F4">
        <w:rPr>
          <w:color w:val="000000"/>
          <w:sz w:val="22"/>
          <w:szCs w:val="22"/>
        </w:rPr>
        <w:t>durante</w:t>
      </w:r>
      <w:r w:rsidR="00E15E23" w:rsidRPr="00A156F4">
        <w:rPr>
          <w:color w:val="000000"/>
          <w:sz w:val="22"/>
          <w:szCs w:val="22"/>
        </w:rPr>
        <w:t xml:space="preserve"> la misma audiencia</w:t>
      </w:r>
      <w:r w:rsidR="000147F0" w:rsidRPr="00A156F4">
        <w:rPr>
          <w:color w:val="000000"/>
          <w:sz w:val="22"/>
          <w:szCs w:val="22"/>
        </w:rPr>
        <w:t xml:space="preserve">. </w:t>
      </w:r>
    </w:p>
    <w:p w14:paraId="7CABD553" w14:textId="77777777" w:rsidR="000147F0" w:rsidRPr="00A156F4" w:rsidRDefault="000147F0" w:rsidP="00B666CC">
      <w:pPr>
        <w:pStyle w:val="Prrafodelista"/>
        <w:spacing w:after="0" w:line="240" w:lineRule="auto"/>
        <w:ind w:left="0"/>
        <w:contextualSpacing/>
        <w:jc w:val="both"/>
        <w:rPr>
          <w:rFonts w:ascii="Times New Roman" w:hAnsi="Times New Roman"/>
          <w:b/>
          <w:lang w:val="es-ES_tradnl"/>
        </w:rPr>
      </w:pPr>
    </w:p>
    <w:p w14:paraId="4B222D78" w14:textId="054B74AA"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rPr>
        <w:t xml:space="preserve"> </w:t>
      </w:r>
      <w:r w:rsidR="00B82C4F" w:rsidRPr="00A156F4">
        <w:rPr>
          <w:rFonts w:ascii="Times New Roman" w:hAnsi="Times New Roman"/>
          <w:b/>
        </w:rPr>
        <w:t>51</w:t>
      </w:r>
      <w:r w:rsidRPr="00A156F4">
        <w:rPr>
          <w:rFonts w:ascii="Times New Roman" w:hAnsi="Times New Roman"/>
          <w:b/>
        </w:rPr>
        <w:t>.</w:t>
      </w:r>
      <w:r w:rsidR="00F153AC" w:rsidRPr="00A156F4">
        <w:rPr>
          <w:rFonts w:ascii="Times New Roman" w:hAnsi="Times New Roman"/>
          <w:b/>
        </w:rPr>
        <w:t>-</w:t>
      </w:r>
      <w:r w:rsidRPr="00A156F4">
        <w:rPr>
          <w:rFonts w:ascii="Times New Roman" w:hAnsi="Times New Roman"/>
          <w:b/>
        </w:rPr>
        <w:t xml:space="preserve"> </w:t>
      </w:r>
      <w:r w:rsidR="00DE7BAF" w:rsidRPr="00A156F4">
        <w:rPr>
          <w:rFonts w:ascii="Times New Roman" w:hAnsi="Times New Roman"/>
          <w:b/>
        </w:rPr>
        <w:t>Traslado del expediente al Órgano Superior</w:t>
      </w:r>
    </w:p>
    <w:p w14:paraId="79372DE8" w14:textId="77777777" w:rsidR="00B666CC" w:rsidRPr="00A156F4" w:rsidRDefault="00B666CC" w:rsidP="00B666CC">
      <w:pPr>
        <w:pStyle w:val="Prrafodelista"/>
        <w:spacing w:after="0" w:line="240" w:lineRule="auto"/>
        <w:ind w:left="0"/>
        <w:contextualSpacing/>
        <w:jc w:val="both"/>
        <w:rPr>
          <w:rFonts w:ascii="Times New Roman" w:hAnsi="Times New Roman"/>
          <w:b/>
        </w:rPr>
      </w:pPr>
    </w:p>
    <w:p w14:paraId="28FD03FA" w14:textId="05174481" w:rsidR="006E650C" w:rsidRPr="00A156F4" w:rsidRDefault="003449C4" w:rsidP="00B666CC">
      <w:pPr>
        <w:pStyle w:val="Prrafodelista"/>
        <w:spacing w:after="0" w:line="240" w:lineRule="auto"/>
        <w:ind w:left="0"/>
        <w:contextualSpacing/>
        <w:jc w:val="both"/>
        <w:rPr>
          <w:rFonts w:ascii="Times New Roman" w:hAnsi="Times New Roman"/>
          <w:color w:val="000000"/>
          <w:lang w:eastAsia="es-ES"/>
        </w:rPr>
      </w:pPr>
      <w:r w:rsidRPr="00A156F4">
        <w:rPr>
          <w:rFonts w:ascii="Times New Roman" w:hAnsi="Times New Roman"/>
        </w:rPr>
        <w:t>El Órgano Instructor deberá trasladar el expediente al Órgano Su</w:t>
      </w:r>
      <w:r w:rsidR="00850343" w:rsidRPr="00A156F4">
        <w:rPr>
          <w:rFonts w:ascii="Times New Roman" w:hAnsi="Times New Roman"/>
        </w:rPr>
        <w:t>p</w:t>
      </w:r>
      <w:r w:rsidRPr="00A156F4">
        <w:rPr>
          <w:rFonts w:ascii="Times New Roman" w:hAnsi="Times New Roman"/>
        </w:rPr>
        <w:t xml:space="preserve">erior de la autoridad de competencia correspondiente, dentro de un plazo de un plazo de cinco días hábiles posteriores a la celebración de la audiencia preparatoria. </w:t>
      </w:r>
    </w:p>
    <w:p w14:paraId="32428ADA" w14:textId="3DD59CB2" w:rsidR="005F7DB9" w:rsidRPr="00A156F4" w:rsidRDefault="005F7DB9" w:rsidP="00B666CC">
      <w:pPr>
        <w:pStyle w:val="Prrafodelista"/>
        <w:spacing w:after="0" w:line="240" w:lineRule="auto"/>
        <w:ind w:left="0"/>
        <w:contextualSpacing/>
        <w:jc w:val="both"/>
        <w:rPr>
          <w:rFonts w:ascii="Times New Roman" w:hAnsi="Times New Roman"/>
          <w:color w:val="000000"/>
          <w:lang w:eastAsia="es-ES"/>
        </w:rPr>
      </w:pPr>
    </w:p>
    <w:p w14:paraId="46E927CA" w14:textId="77777777" w:rsidR="005F7DB9" w:rsidRPr="00A156F4" w:rsidRDefault="005F7DB9" w:rsidP="00B666CC">
      <w:pPr>
        <w:pStyle w:val="Prrafodelista"/>
        <w:spacing w:after="0" w:line="240" w:lineRule="auto"/>
        <w:ind w:left="0"/>
        <w:contextualSpacing/>
        <w:jc w:val="both"/>
        <w:rPr>
          <w:rFonts w:ascii="Times New Roman" w:hAnsi="Times New Roman"/>
          <w:color w:val="000000"/>
          <w:lang w:eastAsia="es-ES"/>
        </w:rPr>
      </w:pPr>
    </w:p>
    <w:p w14:paraId="32F18A38" w14:textId="77777777" w:rsidR="00B666CC" w:rsidRPr="00A156F4" w:rsidRDefault="00B666CC" w:rsidP="00B666CC">
      <w:pPr>
        <w:pStyle w:val="Prrafodelista"/>
        <w:spacing w:after="0" w:line="240" w:lineRule="auto"/>
        <w:ind w:left="0"/>
        <w:contextualSpacing/>
        <w:jc w:val="center"/>
        <w:rPr>
          <w:rFonts w:ascii="Times New Roman" w:hAnsi="Times New Roman"/>
          <w:b/>
        </w:rPr>
      </w:pPr>
      <w:r w:rsidRPr="00A156F4">
        <w:rPr>
          <w:rFonts w:ascii="Times New Roman" w:hAnsi="Times New Roman"/>
          <w:b/>
        </w:rPr>
        <w:t>SECCIÓN IV</w:t>
      </w:r>
    </w:p>
    <w:p w14:paraId="775066A0" w14:textId="60F7D2D1" w:rsidR="00B666CC" w:rsidRPr="00A156F4" w:rsidRDefault="00B666CC" w:rsidP="00B666CC">
      <w:pPr>
        <w:pStyle w:val="Prrafodelista"/>
        <w:spacing w:after="0" w:line="240" w:lineRule="auto"/>
        <w:ind w:left="0"/>
        <w:contextualSpacing/>
        <w:jc w:val="center"/>
        <w:rPr>
          <w:rFonts w:ascii="Times New Roman" w:hAnsi="Times New Roman"/>
          <w:b/>
        </w:rPr>
      </w:pPr>
      <w:r w:rsidRPr="00A156F4">
        <w:rPr>
          <w:rFonts w:ascii="Times New Roman" w:hAnsi="Times New Roman"/>
          <w:b/>
        </w:rPr>
        <w:t>Etapa Decisoria</w:t>
      </w:r>
    </w:p>
    <w:p w14:paraId="300272F3" w14:textId="79A84307" w:rsidR="00726882" w:rsidRPr="00A156F4" w:rsidRDefault="00726882" w:rsidP="00DE7BAF">
      <w:pPr>
        <w:pStyle w:val="Prrafodelista"/>
        <w:spacing w:after="0" w:line="240" w:lineRule="auto"/>
        <w:ind w:left="0"/>
        <w:contextualSpacing/>
        <w:jc w:val="both"/>
        <w:rPr>
          <w:rFonts w:ascii="Times New Roman" w:eastAsiaTheme="minorHAnsi" w:hAnsi="Times New Roman"/>
          <w:b/>
        </w:rPr>
      </w:pPr>
    </w:p>
    <w:p w14:paraId="47204ACB" w14:textId="77777777" w:rsidR="005F7DB9" w:rsidRPr="00A156F4" w:rsidRDefault="005F7DB9" w:rsidP="00DE7BAF">
      <w:pPr>
        <w:pStyle w:val="Prrafodelista"/>
        <w:spacing w:after="0" w:line="240" w:lineRule="auto"/>
        <w:ind w:left="0"/>
        <w:contextualSpacing/>
        <w:jc w:val="both"/>
        <w:rPr>
          <w:rFonts w:ascii="Times New Roman" w:eastAsiaTheme="minorHAnsi" w:hAnsi="Times New Roman"/>
          <w:b/>
        </w:rPr>
      </w:pPr>
    </w:p>
    <w:p w14:paraId="3CFB390B" w14:textId="3AC742B3" w:rsidR="00726882" w:rsidRPr="00A156F4" w:rsidRDefault="00726882" w:rsidP="00DE7BAF">
      <w:pPr>
        <w:pStyle w:val="Prrafodelista"/>
        <w:spacing w:after="0" w:line="240" w:lineRule="auto"/>
        <w:ind w:left="0"/>
        <w:contextualSpacing/>
        <w:jc w:val="both"/>
        <w:rPr>
          <w:rFonts w:ascii="Times New Roman" w:eastAsiaTheme="minorHAnsi" w:hAnsi="Times New Roman"/>
          <w:b/>
        </w:rPr>
      </w:pPr>
      <w:r w:rsidRPr="00A156F4">
        <w:rPr>
          <w:rFonts w:ascii="Times New Roman" w:eastAsiaTheme="minorHAnsi" w:hAnsi="Times New Roman"/>
          <w:b/>
        </w:rPr>
        <w:t xml:space="preserve">Artículo </w:t>
      </w:r>
      <w:r w:rsidR="00B82C4F" w:rsidRPr="00A156F4">
        <w:rPr>
          <w:rFonts w:ascii="Times New Roman" w:eastAsiaTheme="minorHAnsi" w:hAnsi="Times New Roman"/>
          <w:b/>
        </w:rPr>
        <w:t>52</w:t>
      </w:r>
      <w:r w:rsidRPr="00A156F4">
        <w:rPr>
          <w:rFonts w:ascii="Times New Roman" w:eastAsiaTheme="minorHAnsi" w:hAnsi="Times New Roman"/>
          <w:b/>
        </w:rPr>
        <w:t>.</w:t>
      </w:r>
      <w:r w:rsidR="00F153AC" w:rsidRPr="00A156F4">
        <w:rPr>
          <w:rFonts w:ascii="Times New Roman" w:eastAsiaTheme="minorHAnsi" w:hAnsi="Times New Roman"/>
          <w:b/>
        </w:rPr>
        <w:t>-</w:t>
      </w:r>
      <w:r w:rsidRPr="00A156F4">
        <w:rPr>
          <w:rFonts w:ascii="Times New Roman" w:eastAsiaTheme="minorHAnsi" w:hAnsi="Times New Roman"/>
          <w:b/>
        </w:rPr>
        <w:t xml:space="preserve"> Propósito</w:t>
      </w:r>
    </w:p>
    <w:p w14:paraId="47E607C7" w14:textId="5EC5490A" w:rsidR="00726882" w:rsidRPr="00A156F4" w:rsidRDefault="00726882" w:rsidP="00E170E0">
      <w:pPr>
        <w:pStyle w:val="Prrafodelista"/>
        <w:spacing w:after="0" w:line="240" w:lineRule="auto"/>
        <w:ind w:hanging="708"/>
        <w:contextualSpacing/>
        <w:jc w:val="both"/>
        <w:rPr>
          <w:rFonts w:ascii="Times New Roman" w:eastAsiaTheme="minorHAnsi" w:hAnsi="Times New Roman"/>
          <w:b/>
        </w:rPr>
      </w:pPr>
    </w:p>
    <w:p w14:paraId="42C93B22" w14:textId="0F1F2532" w:rsidR="00E36F68" w:rsidRPr="00A156F4" w:rsidRDefault="00726882" w:rsidP="00726882">
      <w:pPr>
        <w:jc w:val="both"/>
        <w:textAlignment w:val="center"/>
        <w:rPr>
          <w:rFonts w:eastAsia="Times New Roman"/>
          <w:sz w:val="22"/>
          <w:szCs w:val="22"/>
          <w:lang w:val="es-CR" w:eastAsia="es-CR"/>
        </w:rPr>
      </w:pPr>
      <w:r w:rsidRPr="00A156F4">
        <w:rPr>
          <w:sz w:val="22"/>
          <w:szCs w:val="22"/>
        </w:rPr>
        <w:t xml:space="preserve">La etapa decisoria tiene como finalidad </w:t>
      </w:r>
      <w:r w:rsidR="00E36F68" w:rsidRPr="00A156F4">
        <w:rPr>
          <w:rFonts w:eastAsia="Times New Roman"/>
          <w:sz w:val="22"/>
          <w:szCs w:val="22"/>
          <w:lang w:val="es-CR" w:eastAsia="es-CR"/>
        </w:rPr>
        <w:t>realizar la comparecencia oral y privada</w:t>
      </w:r>
      <w:r w:rsidR="007B795B" w:rsidRPr="00A156F4">
        <w:rPr>
          <w:rFonts w:eastAsia="Times New Roman"/>
          <w:sz w:val="22"/>
          <w:szCs w:val="22"/>
          <w:lang w:val="es-CR" w:eastAsia="es-CR"/>
        </w:rPr>
        <w:t>,</w:t>
      </w:r>
      <w:r w:rsidR="00E36F68" w:rsidRPr="00A156F4">
        <w:rPr>
          <w:rFonts w:eastAsia="Times New Roman"/>
          <w:sz w:val="22"/>
          <w:szCs w:val="22"/>
          <w:lang w:val="es-CR" w:eastAsia="es-CR"/>
        </w:rPr>
        <w:t xml:space="preserve"> para recibir los alegatos de defensa, evacuar la prueba que así lo requiera, escuchar la formulación de conclusiones y emitir la resolución final. </w:t>
      </w:r>
    </w:p>
    <w:p w14:paraId="53F84957" w14:textId="77777777" w:rsidR="00726882" w:rsidRPr="00A156F4" w:rsidRDefault="00726882" w:rsidP="00726882">
      <w:pPr>
        <w:jc w:val="both"/>
        <w:textAlignment w:val="center"/>
        <w:rPr>
          <w:sz w:val="22"/>
          <w:szCs w:val="22"/>
        </w:rPr>
      </w:pPr>
    </w:p>
    <w:p w14:paraId="77227B06" w14:textId="787C2770" w:rsidR="00726882" w:rsidRPr="00A156F4" w:rsidRDefault="00726882" w:rsidP="00726882">
      <w:pPr>
        <w:jc w:val="both"/>
        <w:textAlignment w:val="center"/>
        <w:rPr>
          <w:sz w:val="22"/>
          <w:szCs w:val="22"/>
        </w:rPr>
      </w:pPr>
      <w:r w:rsidRPr="00A156F4">
        <w:rPr>
          <w:sz w:val="22"/>
          <w:szCs w:val="22"/>
        </w:rPr>
        <w:t>Esta etapa tendrá una duración máxima de</w:t>
      </w:r>
      <w:r w:rsidR="00E36F68" w:rsidRPr="00A156F4">
        <w:rPr>
          <w:sz w:val="22"/>
          <w:szCs w:val="22"/>
        </w:rPr>
        <w:t xml:space="preserve"> </w:t>
      </w:r>
      <w:r w:rsidR="005F2CAA" w:rsidRPr="00A156F4">
        <w:rPr>
          <w:sz w:val="22"/>
          <w:szCs w:val="22"/>
        </w:rPr>
        <w:t>siete</w:t>
      </w:r>
      <w:r w:rsidR="00E36F68" w:rsidRPr="00A156F4">
        <w:rPr>
          <w:sz w:val="22"/>
          <w:szCs w:val="22"/>
        </w:rPr>
        <w:t xml:space="preserve"> </w:t>
      </w:r>
      <w:r w:rsidRPr="00A156F4">
        <w:rPr>
          <w:sz w:val="22"/>
          <w:szCs w:val="22"/>
        </w:rPr>
        <w:t xml:space="preserve">meses., </w:t>
      </w:r>
      <w:r w:rsidR="005A4586" w:rsidRPr="00A156F4">
        <w:rPr>
          <w:sz w:val="22"/>
          <w:szCs w:val="22"/>
        </w:rPr>
        <w:t>Este plazo</w:t>
      </w:r>
      <w:r w:rsidRPr="00A156F4">
        <w:rPr>
          <w:sz w:val="22"/>
          <w:szCs w:val="22"/>
        </w:rPr>
        <w:t xml:space="preserve"> podrá ser ampliado hasta por </w:t>
      </w:r>
      <w:r w:rsidR="00E36F68" w:rsidRPr="00A156F4">
        <w:rPr>
          <w:sz w:val="22"/>
          <w:szCs w:val="22"/>
        </w:rPr>
        <w:t>un</w:t>
      </w:r>
      <w:r w:rsidRPr="00A156F4">
        <w:rPr>
          <w:sz w:val="22"/>
          <w:szCs w:val="22"/>
        </w:rPr>
        <w:t xml:space="preserve"> mes adicional</w:t>
      </w:r>
      <w:r w:rsidR="005A4586" w:rsidRPr="00A156F4">
        <w:rPr>
          <w:sz w:val="22"/>
          <w:szCs w:val="22"/>
        </w:rPr>
        <w:t>, por una única vez, cuando proceda la evacuación de prueba para mejor resolver.</w:t>
      </w:r>
    </w:p>
    <w:p w14:paraId="42A07818" w14:textId="77777777" w:rsidR="00726882" w:rsidRPr="00A156F4" w:rsidRDefault="00726882" w:rsidP="00DE7BAF">
      <w:pPr>
        <w:pStyle w:val="Prrafodelista"/>
        <w:spacing w:after="0" w:line="240" w:lineRule="auto"/>
        <w:ind w:left="0"/>
        <w:contextualSpacing/>
        <w:jc w:val="both"/>
        <w:rPr>
          <w:rFonts w:ascii="Times New Roman" w:eastAsiaTheme="minorHAnsi" w:hAnsi="Times New Roman"/>
          <w:b/>
        </w:rPr>
      </w:pPr>
    </w:p>
    <w:p w14:paraId="20155350" w14:textId="09569590" w:rsidR="00DE7BAF" w:rsidRPr="00A156F4" w:rsidRDefault="00DE7BAF" w:rsidP="00DE7BAF">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rPr>
        <w:t xml:space="preserve"> </w:t>
      </w:r>
      <w:r w:rsidR="00B82C4F" w:rsidRPr="00A156F4">
        <w:rPr>
          <w:rFonts w:ascii="Times New Roman" w:hAnsi="Times New Roman"/>
          <w:b/>
        </w:rPr>
        <w:t>53</w:t>
      </w:r>
      <w:r w:rsidRPr="00A156F4">
        <w:rPr>
          <w:rFonts w:ascii="Times New Roman" w:hAnsi="Times New Roman"/>
          <w:b/>
        </w:rPr>
        <w:t>.</w:t>
      </w:r>
      <w:r w:rsidR="00F153AC" w:rsidRPr="00A156F4">
        <w:rPr>
          <w:rFonts w:ascii="Times New Roman" w:hAnsi="Times New Roman"/>
          <w:b/>
        </w:rPr>
        <w:t>-</w:t>
      </w:r>
      <w:r w:rsidRPr="00A156F4">
        <w:rPr>
          <w:rFonts w:ascii="Times New Roman" w:hAnsi="Times New Roman"/>
          <w:b/>
        </w:rPr>
        <w:t xml:space="preserve"> Citación a la comparecencia oral y privada ante el Órgano Superior</w:t>
      </w:r>
    </w:p>
    <w:p w14:paraId="6D29F423" w14:textId="77777777" w:rsidR="00DE7BAF" w:rsidRPr="00A156F4" w:rsidRDefault="00DE7BAF" w:rsidP="00DE7BAF">
      <w:pPr>
        <w:pStyle w:val="Prrafodelista"/>
        <w:spacing w:after="0" w:line="240" w:lineRule="auto"/>
        <w:ind w:left="0"/>
        <w:contextualSpacing/>
        <w:jc w:val="both"/>
        <w:rPr>
          <w:rFonts w:ascii="Times New Roman" w:hAnsi="Times New Roman"/>
          <w:color w:val="000000"/>
          <w:lang w:eastAsia="es-ES"/>
        </w:rPr>
      </w:pPr>
    </w:p>
    <w:p w14:paraId="7D87DA72" w14:textId="0A3BED09" w:rsidR="00DE7BAF" w:rsidRPr="00A156F4" w:rsidRDefault="00DE7BAF" w:rsidP="00DE7BAF">
      <w:pPr>
        <w:pStyle w:val="Prrafodelista"/>
        <w:spacing w:after="0" w:line="240" w:lineRule="auto"/>
        <w:ind w:left="0"/>
        <w:contextualSpacing/>
        <w:jc w:val="both"/>
        <w:rPr>
          <w:rFonts w:ascii="Times New Roman" w:hAnsi="Times New Roman"/>
          <w:color w:val="000000"/>
          <w:lang w:eastAsia="es-ES"/>
        </w:rPr>
      </w:pPr>
      <w:r w:rsidRPr="00A156F4">
        <w:rPr>
          <w:rFonts w:ascii="Times New Roman" w:hAnsi="Times New Roman"/>
          <w:color w:val="000000"/>
          <w:lang w:eastAsia="es-ES"/>
        </w:rPr>
        <w:t>Una vez recibido el expediente, el Órgano Superior tendrá un plazo de 60 días hábiles para</w:t>
      </w:r>
      <w:r w:rsidR="00B005A7" w:rsidRPr="00A156F4">
        <w:rPr>
          <w:rFonts w:ascii="Times New Roman" w:hAnsi="Times New Roman"/>
          <w:color w:val="000000"/>
          <w:lang w:eastAsia="es-ES"/>
        </w:rPr>
        <w:t xml:space="preserve"> preparar la comparecencia oral y privada y</w:t>
      </w:r>
      <w:r w:rsidRPr="00A156F4">
        <w:rPr>
          <w:rFonts w:ascii="Times New Roman" w:hAnsi="Times New Roman"/>
          <w:color w:val="000000"/>
          <w:lang w:eastAsia="es-ES"/>
        </w:rPr>
        <w:t xml:space="preserve"> citar a las partes. Dicha citación se realizará con al menos 15 días hábiles de antelación. </w:t>
      </w:r>
    </w:p>
    <w:p w14:paraId="5FD451CE" w14:textId="77777777" w:rsidR="00DE7BAF" w:rsidRPr="00A156F4" w:rsidRDefault="00DE7BAF" w:rsidP="00DE7BAF">
      <w:pPr>
        <w:pStyle w:val="Prrafodelista"/>
        <w:spacing w:after="0" w:line="240" w:lineRule="auto"/>
        <w:ind w:left="0"/>
        <w:contextualSpacing/>
        <w:jc w:val="both"/>
        <w:rPr>
          <w:rFonts w:ascii="Times New Roman" w:hAnsi="Times New Roman"/>
          <w:color w:val="000000"/>
          <w:lang w:eastAsia="es-ES"/>
        </w:rPr>
      </w:pPr>
    </w:p>
    <w:p w14:paraId="02E4D6E9" w14:textId="7B77EC29" w:rsidR="00DE7BAF" w:rsidRPr="00A156F4" w:rsidRDefault="00B005A7" w:rsidP="00B005A7">
      <w:pPr>
        <w:pStyle w:val="Prrafodelista"/>
        <w:spacing w:after="0" w:line="240" w:lineRule="auto"/>
        <w:ind w:left="0"/>
        <w:contextualSpacing/>
        <w:jc w:val="both"/>
        <w:rPr>
          <w:rFonts w:ascii="Times New Roman" w:hAnsi="Times New Roman"/>
          <w:color w:val="000000"/>
          <w:lang w:eastAsia="es-ES"/>
        </w:rPr>
      </w:pPr>
      <w:r w:rsidRPr="00A156F4">
        <w:rPr>
          <w:rFonts w:ascii="Times New Roman" w:hAnsi="Times New Roman"/>
          <w:color w:val="000000"/>
          <w:lang w:eastAsia="es-ES"/>
        </w:rPr>
        <w:t>Le</w:t>
      </w:r>
      <w:r w:rsidR="00DE7BAF" w:rsidRPr="00A156F4">
        <w:rPr>
          <w:rFonts w:ascii="Times New Roman" w:hAnsi="Times New Roman"/>
          <w:color w:val="000000"/>
          <w:lang w:eastAsia="es-ES"/>
        </w:rPr>
        <w:t xml:space="preserve"> corresponderá </w:t>
      </w:r>
      <w:r w:rsidRPr="00A156F4">
        <w:rPr>
          <w:rFonts w:ascii="Times New Roman" w:hAnsi="Times New Roman"/>
          <w:color w:val="000000"/>
          <w:lang w:eastAsia="es-ES"/>
        </w:rPr>
        <w:t>realizar l</w:t>
      </w:r>
      <w:r w:rsidR="00DE7BAF" w:rsidRPr="00A156F4">
        <w:rPr>
          <w:rFonts w:ascii="Times New Roman" w:hAnsi="Times New Roman"/>
          <w:color w:val="000000"/>
          <w:lang w:eastAsia="es-ES"/>
        </w:rPr>
        <w:t>a</w:t>
      </w:r>
      <w:r w:rsidRPr="00A156F4">
        <w:rPr>
          <w:rFonts w:ascii="Times New Roman" w:hAnsi="Times New Roman"/>
          <w:color w:val="000000"/>
          <w:lang w:eastAsia="es-ES"/>
        </w:rPr>
        <w:t>s</w:t>
      </w:r>
      <w:r w:rsidR="00DE7BAF" w:rsidRPr="00A156F4">
        <w:rPr>
          <w:rFonts w:ascii="Times New Roman" w:hAnsi="Times New Roman"/>
          <w:color w:val="000000"/>
          <w:lang w:eastAsia="es-ES"/>
        </w:rPr>
        <w:t xml:space="preserve"> citaci</w:t>
      </w:r>
      <w:r w:rsidRPr="00A156F4">
        <w:rPr>
          <w:rFonts w:ascii="Times New Roman" w:hAnsi="Times New Roman"/>
          <w:color w:val="000000"/>
          <w:lang w:eastAsia="es-ES"/>
        </w:rPr>
        <w:t>o</w:t>
      </w:r>
      <w:r w:rsidR="00DE7BAF" w:rsidRPr="00A156F4">
        <w:rPr>
          <w:rFonts w:ascii="Times New Roman" w:hAnsi="Times New Roman"/>
          <w:color w:val="000000"/>
          <w:lang w:eastAsia="es-ES"/>
        </w:rPr>
        <w:t>n</w:t>
      </w:r>
      <w:r w:rsidRPr="00A156F4">
        <w:rPr>
          <w:rFonts w:ascii="Times New Roman" w:hAnsi="Times New Roman"/>
          <w:color w:val="000000"/>
          <w:lang w:eastAsia="es-ES"/>
        </w:rPr>
        <w:t>es</w:t>
      </w:r>
      <w:r w:rsidR="00DE7BAF" w:rsidRPr="00A156F4">
        <w:rPr>
          <w:rFonts w:ascii="Times New Roman" w:hAnsi="Times New Roman"/>
          <w:color w:val="000000"/>
          <w:lang w:eastAsia="es-ES"/>
        </w:rPr>
        <w:t xml:space="preserve"> de los testigos, los peritos y los funcionarios que hayan sido admitidos en la audiencia preparatoria</w:t>
      </w:r>
      <w:r w:rsidRPr="00A156F4">
        <w:rPr>
          <w:rFonts w:ascii="Times New Roman" w:hAnsi="Times New Roman"/>
          <w:color w:val="000000"/>
          <w:lang w:eastAsia="es-ES"/>
        </w:rPr>
        <w:t xml:space="preserve">, en un plazo de </w:t>
      </w:r>
      <w:r w:rsidR="00DE7BAF" w:rsidRPr="00A156F4">
        <w:rPr>
          <w:rFonts w:ascii="Times New Roman" w:hAnsi="Times New Roman"/>
          <w:color w:val="000000"/>
          <w:lang w:eastAsia="es-ES"/>
        </w:rPr>
        <w:t xml:space="preserve">al menos </w:t>
      </w:r>
      <w:r w:rsidR="002C5910" w:rsidRPr="00A156F4">
        <w:rPr>
          <w:rFonts w:ascii="Times New Roman" w:hAnsi="Times New Roman"/>
          <w:color w:val="000000"/>
          <w:lang w:eastAsia="es-ES"/>
        </w:rPr>
        <w:t xml:space="preserve">15 </w:t>
      </w:r>
      <w:r w:rsidR="00DE7BAF" w:rsidRPr="00A156F4">
        <w:rPr>
          <w:rFonts w:ascii="Times New Roman" w:hAnsi="Times New Roman"/>
          <w:color w:val="000000"/>
          <w:lang w:eastAsia="es-ES"/>
        </w:rPr>
        <w:t>días hábiles de antelación a la comparecencia oral y privada</w:t>
      </w:r>
      <w:r w:rsidRPr="00A156F4">
        <w:rPr>
          <w:rFonts w:ascii="Times New Roman" w:hAnsi="Times New Roman"/>
          <w:color w:val="000000"/>
          <w:lang w:eastAsia="es-ES"/>
        </w:rPr>
        <w:t xml:space="preserve">. El diligenciamiento de las citaciones estará a cargo de la parte interesada. </w:t>
      </w:r>
    </w:p>
    <w:p w14:paraId="627DF19F" w14:textId="77777777" w:rsidR="00B666CC" w:rsidRPr="00A156F4" w:rsidRDefault="00B666CC" w:rsidP="00B666CC">
      <w:pPr>
        <w:pStyle w:val="Prrafodelista"/>
        <w:spacing w:after="0" w:line="240" w:lineRule="auto"/>
        <w:ind w:left="0"/>
        <w:contextualSpacing/>
        <w:jc w:val="both"/>
        <w:rPr>
          <w:rFonts w:ascii="Times New Roman" w:hAnsi="Times New Roman"/>
          <w:b/>
        </w:rPr>
      </w:pPr>
    </w:p>
    <w:p w14:paraId="14AB5760" w14:textId="387B2A56"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hAnsi="Times New Roman"/>
          <w:b/>
        </w:rPr>
        <w:t>Artículo 5</w:t>
      </w:r>
      <w:r w:rsidR="00B82C4F" w:rsidRPr="00A156F4">
        <w:rPr>
          <w:rFonts w:ascii="Times New Roman" w:hAnsi="Times New Roman"/>
          <w:b/>
        </w:rPr>
        <w:t>4</w:t>
      </w:r>
      <w:r w:rsidRPr="00A156F4">
        <w:rPr>
          <w:rFonts w:ascii="Times New Roman" w:hAnsi="Times New Roman"/>
          <w:b/>
        </w:rPr>
        <w:t>.- Comparecencia oral y privada</w:t>
      </w:r>
    </w:p>
    <w:p w14:paraId="0C43C5F6" w14:textId="77777777" w:rsidR="00B666CC" w:rsidRPr="00A156F4" w:rsidRDefault="00B666CC" w:rsidP="00B666CC">
      <w:pPr>
        <w:jc w:val="both"/>
        <w:rPr>
          <w:rFonts w:eastAsia="Times New Roman"/>
          <w:sz w:val="22"/>
          <w:szCs w:val="22"/>
          <w:lang w:val="es-CR" w:eastAsia="es-CR"/>
        </w:rPr>
      </w:pPr>
    </w:p>
    <w:p w14:paraId="7AB3FE78" w14:textId="3EEEE5D7" w:rsidR="00B666CC" w:rsidRPr="00A156F4" w:rsidRDefault="00CC77CF" w:rsidP="00E90E85">
      <w:pPr>
        <w:jc w:val="both"/>
        <w:rPr>
          <w:sz w:val="22"/>
          <w:szCs w:val="22"/>
        </w:rPr>
      </w:pPr>
      <w:r w:rsidRPr="00A156F4">
        <w:rPr>
          <w:rFonts w:eastAsia="Times New Roman"/>
          <w:sz w:val="22"/>
          <w:szCs w:val="22"/>
          <w:lang w:val="es-CR" w:eastAsia="es-CR"/>
        </w:rPr>
        <w:t>Durante la</w:t>
      </w:r>
      <w:r w:rsidR="00574D31" w:rsidRPr="00A156F4">
        <w:rPr>
          <w:rFonts w:eastAsia="Times New Roman"/>
          <w:sz w:val="22"/>
          <w:szCs w:val="22"/>
          <w:lang w:val="es-CR" w:eastAsia="es-CR"/>
        </w:rPr>
        <w:t xml:space="preserve"> comparecencia oral y privada</w:t>
      </w:r>
      <w:r w:rsidRPr="00A156F4">
        <w:rPr>
          <w:rFonts w:eastAsia="Times New Roman"/>
          <w:sz w:val="22"/>
          <w:szCs w:val="22"/>
          <w:lang w:val="es-CR" w:eastAsia="es-CR"/>
        </w:rPr>
        <w:t xml:space="preserve"> se evacuará la prueba</w:t>
      </w:r>
      <w:r w:rsidR="00574D31" w:rsidRPr="00A156F4">
        <w:rPr>
          <w:rFonts w:eastAsia="Times New Roman"/>
          <w:sz w:val="22"/>
          <w:szCs w:val="22"/>
          <w:lang w:val="es-CR" w:eastAsia="es-CR"/>
        </w:rPr>
        <w:t xml:space="preserve"> ante e</w:t>
      </w:r>
      <w:r w:rsidR="00B666CC" w:rsidRPr="00A156F4">
        <w:rPr>
          <w:rFonts w:eastAsia="Times New Roman"/>
          <w:sz w:val="22"/>
          <w:szCs w:val="22"/>
          <w:lang w:val="es-CR" w:eastAsia="es-CR"/>
        </w:rPr>
        <w:t>l Órgano Superior de la autoridad de competencia correspondiente, con la asistencia de los agentes económicos denunciados y, de haberlo, los denunciantes y coadyuvantes o terceros interesados</w:t>
      </w:r>
      <w:r w:rsidR="004E2A47" w:rsidRPr="00A156F4">
        <w:rPr>
          <w:rFonts w:eastAsia="Times New Roman"/>
          <w:sz w:val="22"/>
          <w:szCs w:val="22"/>
          <w:lang w:val="es-CR" w:eastAsia="es-CR"/>
        </w:rPr>
        <w:t>;</w:t>
      </w:r>
      <w:r w:rsidR="00B666CC" w:rsidRPr="00A156F4">
        <w:rPr>
          <w:rFonts w:eastAsia="Times New Roman"/>
          <w:sz w:val="22"/>
          <w:szCs w:val="22"/>
          <w:lang w:val="es-CR" w:eastAsia="es-CR"/>
        </w:rPr>
        <w:t xml:space="preserve"> </w:t>
      </w:r>
      <w:r w:rsidR="004E2A47" w:rsidRPr="00A156F4">
        <w:rPr>
          <w:rFonts w:eastAsia="Times New Roman"/>
          <w:sz w:val="22"/>
          <w:szCs w:val="22"/>
          <w:lang w:val="es-CR" w:eastAsia="es-CR"/>
        </w:rPr>
        <w:t xml:space="preserve">sin que su inasistencia impida la realización de la comparecencia, </w:t>
      </w:r>
      <w:r w:rsidR="00B666CC" w:rsidRPr="00A156F4">
        <w:rPr>
          <w:sz w:val="22"/>
          <w:szCs w:val="22"/>
        </w:rPr>
        <w:t>cuando la citación le ha</w:t>
      </w:r>
      <w:r w:rsidR="004E2A47" w:rsidRPr="00A156F4">
        <w:rPr>
          <w:sz w:val="22"/>
          <w:szCs w:val="22"/>
        </w:rPr>
        <w:t>ya</w:t>
      </w:r>
      <w:r w:rsidR="00B666CC" w:rsidRPr="00A156F4">
        <w:rPr>
          <w:sz w:val="22"/>
          <w:szCs w:val="22"/>
        </w:rPr>
        <w:t xml:space="preserve"> sido debidamente notificada</w:t>
      </w:r>
      <w:r w:rsidR="004E2A47" w:rsidRPr="00A156F4">
        <w:rPr>
          <w:sz w:val="22"/>
          <w:szCs w:val="22"/>
        </w:rPr>
        <w:t>.</w:t>
      </w:r>
    </w:p>
    <w:p w14:paraId="2DB56440" w14:textId="77777777" w:rsidR="004E2A47" w:rsidRPr="00A156F4" w:rsidRDefault="004E2A47" w:rsidP="00B666CC">
      <w:pPr>
        <w:jc w:val="both"/>
        <w:rPr>
          <w:sz w:val="22"/>
          <w:szCs w:val="22"/>
          <w:lang w:eastAsia="es-CR"/>
        </w:rPr>
      </w:pPr>
    </w:p>
    <w:p w14:paraId="4F9C1CDB" w14:textId="32487971" w:rsidR="004E2A47" w:rsidRPr="00A156F4" w:rsidRDefault="004E2A47" w:rsidP="00B666CC">
      <w:pPr>
        <w:jc w:val="both"/>
        <w:rPr>
          <w:rFonts w:eastAsia="Times New Roman"/>
          <w:sz w:val="22"/>
          <w:szCs w:val="22"/>
          <w:lang w:val="es-CR" w:eastAsia="es-CR"/>
        </w:rPr>
      </w:pPr>
      <w:r w:rsidRPr="00A156F4">
        <w:rPr>
          <w:rFonts w:eastAsia="Times New Roman"/>
          <w:sz w:val="22"/>
          <w:szCs w:val="22"/>
          <w:lang w:val="es-CR" w:eastAsia="es-CR"/>
        </w:rPr>
        <w:t>E</w:t>
      </w:r>
      <w:r w:rsidR="00B666CC" w:rsidRPr="00A156F4">
        <w:rPr>
          <w:rFonts w:eastAsia="Times New Roman"/>
          <w:sz w:val="22"/>
          <w:szCs w:val="22"/>
          <w:lang w:val="es-CR" w:eastAsia="es-CR"/>
        </w:rPr>
        <w:t>l Órgano Superior</w:t>
      </w:r>
      <w:r w:rsidR="004C10CD" w:rsidRPr="00A156F4">
        <w:rPr>
          <w:rFonts w:eastAsia="Times New Roman"/>
          <w:sz w:val="22"/>
          <w:szCs w:val="22"/>
          <w:lang w:val="es-CR" w:eastAsia="es-CR"/>
        </w:rPr>
        <w:t xml:space="preserve"> </w:t>
      </w:r>
      <w:r w:rsidR="00B666CC" w:rsidRPr="00A156F4">
        <w:rPr>
          <w:rFonts w:eastAsia="Times New Roman"/>
          <w:sz w:val="22"/>
          <w:szCs w:val="22"/>
          <w:lang w:val="es-CR" w:eastAsia="es-CR"/>
        </w:rPr>
        <w:t>contar</w:t>
      </w:r>
      <w:r w:rsidRPr="00A156F4">
        <w:rPr>
          <w:rFonts w:eastAsia="Times New Roman"/>
          <w:sz w:val="22"/>
          <w:szCs w:val="22"/>
          <w:lang w:val="es-CR" w:eastAsia="es-CR"/>
        </w:rPr>
        <w:t>á</w:t>
      </w:r>
      <w:r w:rsidR="00B666CC" w:rsidRPr="00A156F4">
        <w:rPr>
          <w:rFonts w:eastAsia="Times New Roman"/>
          <w:sz w:val="22"/>
          <w:szCs w:val="22"/>
          <w:lang w:val="es-CR" w:eastAsia="es-CR"/>
        </w:rPr>
        <w:t xml:space="preserve"> con el personal técnico que requiera</w:t>
      </w:r>
      <w:r w:rsidRPr="00A156F4">
        <w:rPr>
          <w:rFonts w:eastAsia="Times New Roman"/>
          <w:sz w:val="22"/>
          <w:szCs w:val="22"/>
          <w:lang w:val="es-CR" w:eastAsia="es-CR"/>
        </w:rPr>
        <w:t xml:space="preserve"> para la realización de la </w:t>
      </w:r>
      <w:r w:rsidR="00117EE5" w:rsidRPr="00A156F4">
        <w:rPr>
          <w:rFonts w:eastAsia="Times New Roman"/>
          <w:sz w:val="22"/>
          <w:szCs w:val="22"/>
          <w:lang w:val="es-CR" w:eastAsia="es-CR"/>
        </w:rPr>
        <w:t>comparecencia</w:t>
      </w:r>
      <w:r w:rsidR="00B666CC" w:rsidRPr="00A156F4">
        <w:rPr>
          <w:rFonts w:eastAsia="Times New Roman"/>
          <w:sz w:val="22"/>
          <w:szCs w:val="22"/>
          <w:lang w:val="es-CR" w:eastAsia="es-CR"/>
        </w:rPr>
        <w:t xml:space="preserve">, respetando la independencia entre etapas del procedimiento. </w:t>
      </w:r>
    </w:p>
    <w:p w14:paraId="6BB74EAB" w14:textId="77777777" w:rsidR="004E2A47" w:rsidRPr="00A156F4" w:rsidRDefault="004E2A47" w:rsidP="00B666CC">
      <w:pPr>
        <w:jc w:val="both"/>
        <w:rPr>
          <w:rFonts w:eastAsia="Times New Roman"/>
          <w:sz w:val="22"/>
          <w:szCs w:val="22"/>
          <w:lang w:val="es-CR" w:eastAsia="es-CR"/>
        </w:rPr>
      </w:pPr>
    </w:p>
    <w:p w14:paraId="2840F44E" w14:textId="330BEE07" w:rsidR="00D6497C" w:rsidRPr="00A156F4" w:rsidRDefault="00B666CC" w:rsidP="00B666CC">
      <w:pPr>
        <w:jc w:val="both"/>
        <w:rPr>
          <w:rFonts w:eastAsia="Times New Roman"/>
          <w:sz w:val="22"/>
          <w:szCs w:val="22"/>
          <w:lang w:val="es-CR" w:eastAsia="es-CR"/>
        </w:rPr>
      </w:pPr>
      <w:r w:rsidRPr="00A156F4">
        <w:rPr>
          <w:rFonts w:eastAsia="Times New Roman"/>
          <w:sz w:val="22"/>
          <w:szCs w:val="22"/>
          <w:lang w:val="es-CR" w:eastAsia="es-CR"/>
        </w:rPr>
        <w:t xml:space="preserve">Para los fines de la recepción de la prueba, el Órgano Superior tendrá las mismas facultades y deberes que las autoridades judiciales. </w:t>
      </w:r>
    </w:p>
    <w:p w14:paraId="194DFC78" w14:textId="77777777" w:rsidR="00B666CC" w:rsidRPr="00A156F4" w:rsidRDefault="00B666CC" w:rsidP="00B666CC">
      <w:pPr>
        <w:jc w:val="both"/>
        <w:rPr>
          <w:rFonts w:eastAsia="Times New Roman"/>
          <w:sz w:val="22"/>
          <w:szCs w:val="22"/>
          <w:lang w:val="es-CR" w:eastAsia="es-CR"/>
        </w:rPr>
      </w:pPr>
    </w:p>
    <w:p w14:paraId="5FDB4E66" w14:textId="6E56D77D"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hAnsi="Times New Roman"/>
          <w:b/>
        </w:rPr>
        <w:t>Artículo 5</w:t>
      </w:r>
      <w:r w:rsidR="00B82C4F" w:rsidRPr="00A156F4">
        <w:rPr>
          <w:rFonts w:ascii="Times New Roman" w:hAnsi="Times New Roman"/>
          <w:b/>
        </w:rPr>
        <w:t>5</w:t>
      </w:r>
      <w:r w:rsidRPr="00A156F4">
        <w:rPr>
          <w:rFonts w:ascii="Times New Roman" w:hAnsi="Times New Roman"/>
          <w:b/>
        </w:rPr>
        <w:t xml:space="preserve">.- Diligencias a realizar en la </w:t>
      </w:r>
      <w:r w:rsidR="001C2C14" w:rsidRPr="00A156F4">
        <w:rPr>
          <w:rFonts w:ascii="Times New Roman" w:hAnsi="Times New Roman"/>
          <w:b/>
        </w:rPr>
        <w:t>c</w:t>
      </w:r>
      <w:r w:rsidRPr="00A156F4">
        <w:rPr>
          <w:rFonts w:ascii="Times New Roman" w:hAnsi="Times New Roman"/>
          <w:b/>
        </w:rPr>
        <w:t>omparecencia oral y privada</w:t>
      </w:r>
    </w:p>
    <w:p w14:paraId="7B5B91D7" w14:textId="77777777" w:rsidR="00B666CC" w:rsidRPr="00A156F4" w:rsidRDefault="00B666CC" w:rsidP="00B666CC">
      <w:pPr>
        <w:jc w:val="both"/>
        <w:rPr>
          <w:rFonts w:eastAsia="Times New Roman"/>
          <w:sz w:val="22"/>
          <w:szCs w:val="22"/>
          <w:lang w:val="es-CR" w:eastAsia="es-CR"/>
        </w:rPr>
      </w:pPr>
    </w:p>
    <w:p w14:paraId="02F6EFCD" w14:textId="39850626" w:rsidR="00B666CC" w:rsidRPr="00A156F4" w:rsidRDefault="00B666CC" w:rsidP="00B666CC">
      <w:pPr>
        <w:jc w:val="both"/>
        <w:rPr>
          <w:rFonts w:eastAsia="Times New Roman"/>
          <w:color w:val="000000"/>
          <w:sz w:val="22"/>
          <w:szCs w:val="22"/>
          <w:lang w:eastAsia="es-ES"/>
        </w:rPr>
      </w:pPr>
      <w:r w:rsidRPr="00A156F4">
        <w:rPr>
          <w:rFonts w:eastAsia="Times New Roman"/>
          <w:color w:val="000000"/>
          <w:sz w:val="22"/>
          <w:szCs w:val="22"/>
          <w:lang w:eastAsia="es-ES"/>
        </w:rPr>
        <w:t>En la comparecencia oral y privada, el Órgano Superior seguirá las siguientes pautas:</w:t>
      </w:r>
    </w:p>
    <w:p w14:paraId="565A4757" w14:textId="77777777" w:rsidR="00B666CC" w:rsidRPr="00A156F4" w:rsidRDefault="00B666CC" w:rsidP="00B666CC">
      <w:pPr>
        <w:jc w:val="both"/>
        <w:rPr>
          <w:rFonts w:eastAsia="Times New Roman"/>
          <w:color w:val="000000"/>
          <w:sz w:val="22"/>
          <w:szCs w:val="22"/>
          <w:lang w:eastAsia="es-ES"/>
        </w:rPr>
      </w:pPr>
    </w:p>
    <w:p w14:paraId="606FB377" w14:textId="08BA53C2" w:rsidR="00B666CC" w:rsidRPr="00A156F4" w:rsidRDefault="00B666CC" w:rsidP="00117EE5">
      <w:pPr>
        <w:pStyle w:val="Prrafodelista"/>
        <w:numPr>
          <w:ilvl w:val="0"/>
          <w:numId w:val="29"/>
        </w:numPr>
        <w:spacing w:after="0" w:line="240" w:lineRule="auto"/>
        <w:jc w:val="both"/>
        <w:rPr>
          <w:rFonts w:ascii="Times New Roman" w:hAnsi="Times New Roman"/>
          <w:lang w:eastAsia="es-CR"/>
        </w:rPr>
      </w:pPr>
      <w:r w:rsidRPr="00A156F4">
        <w:rPr>
          <w:rFonts w:ascii="Times New Roman" w:hAnsi="Times New Roman"/>
          <w:lang w:eastAsia="es-CR"/>
        </w:rPr>
        <w:t xml:space="preserve">Verificará </w:t>
      </w:r>
      <w:r w:rsidRPr="00A156F4">
        <w:rPr>
          <w:rFonts w:ascii="Times New Roman" w:hAnsi="Times New Roman"/>
        </w:rPr>
        <w:t xml:space="preserve">que las partes o </w:t>
      </w:r>
      <w:r w:rsidR="00B96087" w:rsidRPr="00A156F4">
        <w:rPr>
          <w:rFonts w:ascii="Times New Roman" w:hAnsi="Times New Roman"/>
        </w:rPr>
        <w:t>sus</w:t>
      </w:r>
      <w:r w:rsidRPr="00A156F4">
        <w:rPr>
          <w:rFonts w:ascii="Times New Roman" w:hAnsi="Times New Roman"/>
        </w:rPr>
        <w:t xml:space="preserve"> representantes estén debidamente acreditados</w:t>
      </w:r>
      <w:r w:rsidRPr="00A156F4">
        <w:rPr>
          <w:rFonts w:ascii="Times New Roman" w:hAnsi="Times New Roman"/>
          <w:lang w:eastAsia="es-CR"/>
        </w:rPr>
        <w:t>.</w:t>
      </w:r>
    </w:p>
    <w:p w14:paraId="3844CB6D" w14:textId="77777777" w:rsidR="00B666CC" w:rsidRPr="00A156F4" w:rsidRDefault="00B666CC" w:rsidP="00B666CC">
      <w:pPr>
        <w:pStyle w:val="Prrafodelista"/>
        <w:spacing w:after="0" w:line="240" w:lineRule="auto"/>
        <w:ind w:left="720"/>
        <w:jc w:val="both"/>
        <w:rPr>
          <w:rFonts w:ascii="Times New Roman" w:hAnsi="Times New Roman"/>
          <w:lang w:eastAsia="es-CR"/>
        </w:rPr>
      </w:pPr>
    </w:p>
    <w:p w14:paraId="423CDD5A" w14:textId="7034448E" w:rsidR="00B666CC" w:rsidRPr="00A156F4" w:rsidRDefault="004C10CD" w:rsidP="00117EE5">
      <w:pPr>
        <w:pStyle w:val="Prrafodelista"/>
        <w:numPr>
          <w:ilvl w:val="0"/>
          <w:numId w:val="29"/>
        </w:numPr>
        <w:spacing w:after="0" w:line="240" w:lineRule="auto"/>
        <w:jc w:val="both"/>
        <w:rPr>
          <w:rFonts w:ascii="Times New Roman" w:hAnsi="Times New Roman"/>
          <w:lang w:eastAsia="es-CR"/>
        </w:rPr>
      </w:pPr>
      <w:r w:rsidRPr="00A156F4">
        <w:rPr>
          <w:rFonts w:ascii="Times New Roman" w:hAnsi="Times New Roman"/>
          <w:lang w:eastAsia="es-CR"/>
        </w:rPr>
        <w:t>D</w:t>
      </w:r>
      <w:r w:rsidR="00B666CC" w:rsidRPr="00A156F4">
        <w:rPr>
          <w:rFonts w:ascii="Times New Roman" w:hAnsi="Times New Roman"/>
          <w:lang w:eastAsia="es-CR"/>
        </w:rPr>
        <w:t>ará espacio</w:t>
      </w:r>
      <w:r w:rsidRPr="00A156F4">
        <w:rPr>
          <w:rFonts w:ascii="Times New Roman" w:hAnsi="Times New Roman"/>
          <w:lang w:eastAsia="es-CR"/>
        </w:rPr>
        <w:t xml:space="preserve">, a petición de </w:t>
      </w:r>
      <w:r w:rsidR="00117EE5" w:rsidRPr="00A156F4">
        <w:rPr>
          <w:rFonts w:ascii="Times New Roman" w:hAnsi="Times New Roman"/>
          <w:lang w:eastAsia="es-CR"/>
        </w:rPr>
        <w:t>parte, para</w:t>
      </w:r>
      <w:r w:rsidR="00B666CC" w:rsidRPr="00A156F4">
        <w:rPr>
          <w:rFonts w:ascii="Times New Roman" w:hAnsi="Times New Roman"/>
          <w:lang w:eastAsia="es-CR"/>
        </w:rPr>
        <w:t xml:space="preserve"> que puedan revisar el expediente </w:t>
      </w:r>
      <w:r w:rsidR="00C67A50" w:rsidRPr="00A156F4">
        <w:rPr>
          <w:rFonts w:ascii="Times New Roman" w:hAnsi="Times New Roman"/>
          <w:lang w:eastAsia="es-CR"/>
        </w:rPr>
        <w:t xml:space="preserve">por el </w:t>
      </w:r>
      <w:proofErr w:type="gramStart"/>
      <w:r w:rsidR="008B72CF" w:rsidRPr="00A156F4">
        <w:rPr>
          <w:rFonts w:ascii="Times New Roman" w:hAnsi="Times New Roman"/>
          <w:lang w:eastAsia="es-CR"/>
        </w:rPr>
        <w:t>lapso de tiempo</w:t>
      </w:r>
      <w:proofErr w:type="gramEnd"/>
      <w:r w:rsidR="00C67A50" w:rsidRPr="00A156F4">
        <w:rPr>
          <w:rFonts w:ascii="Times New Roman" w:hAnsi="Times New Roman"/>
          <w:lang w:eastAsia="es-CR"/>
        </w:rPr>
        <w:t xml:space="preserve"> que determine </w:t>
      </w:r>
      <w:r w:rsidRPr="00A156F4">
        <w:rPr>
          <w:rFonts w:ascii="Times New Roman" w:hAnsi="Times New Roman"/>
          <w:lang w:eastAsia="es-CR"/>
        </w:rPr>
        <w:t>conveniente</w:t>
      </w:r>
      <w:r w:rsidR="00B666CC" w:rsidRPr="00A156F4">
        <w:rPr>
          <w:rFonts w:ascii="Times New Roman" w:hAnsi="Times New Roman"/>
          <w:lang w:eastAsia="es-CR"/>
        </w:rPr>
        <w:t>.</w:t>
      </w:r>
      <w:r w:rsidR="00B96087" w:rsidRPr="00A156F4">
        <w:rPr>
          <w:rFonts w:ascii="Times New Roman" w:hAnsi="Times New Roman"/>
          <w:lang w:eastAsia="es-CR"/>
        </w:rPr>
        <w:t xml:space="preserve"> </w:t>
      </w:r>
    </w:p>
    <w:p w14:paraId="3404ADD9" w14:textId="5D85D15F" w:rsidR="00B666CC" w:rsidRPr="00A156F4" w:rsidRDefault="00B96087" w:rsidP="00B96087">
      <w:pPr>
        <w:pStyle w:val="Prrafodelista"/>
        <w:tabs>
          <w:tab w:val="left" w:pos="5518"/>
        </w:tabs>
        <w:spacing w:after="0" w:line="240" w:lineRule="auto"/>
        <w:ind w:left="720"/>
        <w:jc w:val="both"/>
        <w:rPr>
          <w:rFonts w:ascii="Times New Roman" w:hAnsi="Times New Roman"/>
          <w:lang w:eastAsia="es-CR"/>
        </w:rPr>
      </w:pPr>
      <w:r w:rsidRPr="00A156F4">
        <w:rPr>
          <w:rFonts w:ascii="Times New Roman" w:hAnsi="Times New Roman"/>
          <w:lang w:eastAsia="es-CR"/>
        </w:rPr>
        <w:tab/>
      </w:r>
    </w:p>
    <w:p w14:paraId="11FDF58F" w14:textId="4694E156" w:rsidR="00B666CC" w:rsidRPr="00A156F4" w:rsidRDefault="00B666CC" w:rsidP="00117EE5">
      <w:pPr>
        <w:pStyle w:val="Prrafodelista"/>
        <w:numPr>
          <w:ilvl w:val="0"/>
          <w:numId w:val="29"/>
        </w:numPr>
        <w:spacing w:after="0" w:line="240" w:lineRule="auto"/>
        <w:jc w:val="both"/>
        <w:rPr>
          <w:rFonts w:ascii="Times New Roman" w:hAnsi="Times New Roman"/>
          <w:lang w:eastAsia="es-CR"/>
        </w:rPr>
      </w:pPr>
      <w:r w:rsidRPr="00A156F4">
        <w:rPr>
          <w:rFonts w:ascii="Times New Roman" w:hAnsi="Times New Roman"/>
          <w:lang w:eastAsia="es-CR"/>
        </w:rPr>
        <w:t>Dará la palabra</w:t>
      </w:r>
      <w:r w:rsidR="00A4679C" w:rsidRPr="00A156F4">
        <w:rPr>
          <w:rFonts w:ascii="Times New Roman" w:hAnsi="Times New Roman"/>
          <w:lang w:eastAsia="es-CR"/>
        </w:rPr>
        <w:t xml:space="preserve"> de manera</w:t>
      </w:r>
      <w:r w:rsidRPr="00A156F4">
        <w:rPr>
          <w:rFonts w:ascii="Times New Roman" w:hAnsi="Times New Roman"/>
          <w:lang w:eastAsia="es-CR"/>
        </w:rPr>
        <w:t xml:space="preserve"> sucesiva</w:t>
      </w:r>
      <w:r w:rsidR="00574D31" w:rsidRPr="00A156F4">
        <w:rPr>
          <w:rFonts w:ascii="Times New Roman" w:hAnsi="Times New Roman"/>
          <w:lang w:eastAsia="es-CR"/>
        </w:rPr>
        <w:t xml:space="preserve"> y en este orden</w:t>
      </w:r>
      <w:r w:rsidR="00A4679C" w:rsidRPr="00A156F4">
        <w:rPr>
          <w:rFonts w:ascii="Times New Roman" w:hAnsi="Times New Roman"/>
          <w:lang w:eastAsia="es-CR"/>
        </w:rPr>
        <w:t>,</w:t>
      </w:r>
      <w:r w:rsidRPr="00A156F4">
        <w:rPr>
          <w:rFonts w:ascii="Times New Roman" w:hAnsi="Times New Roman"/>
          <w:lang w:eastAsia="es-CR"/>
        </w:rPr>
        <w:t xml:space="preserve"> al denunciante</w:t>
      </w:r>
      <w:r w:rsidR="008B72CF" w:rsidRPr="00A156F4">
        <w:rPr>
          <w:rFonts w:ascii="Times New Roman" w:hAnsi="Times New Roman"/>
          <w:lang w:eastAsia="es-CR"/>
        </w:rPr>
        <w:t>,</w:t>
      </w:r>
      <w:r w:rsidRPr="00A156F4">
        <w:rPr>
          <w:rFonts w:ascii="Times New Roman" w:hAnsi="Times New Roman"/>
          <w:lang w:eastAsia="es-CR"/>
        </w:rPr>
        <w:t xml:space="preserve"> coadyuvantes</w:t>
      </w:r>
      <w:r w:rsidR="008B72CF" w:rsidRPr="00A156F4">
        <w:rPr>
          <w:rFonts w:ascii="Times New Roman" w:hAnsi="Times New Roman"/>
          <w:lang w:eastAsia="es-CR"/>
        </w:rPr>
        <w:t>,</w:t>
      </w:r>
      <w:r w:rsidR="00A4679C" w:rsidRPr="00A156F4">
        <w:rPr>
          <w:rFonts w:ascii="Times New Roman" w:hAnsi="Times New Roman"/>
          <w:lang w:eastAsia="es-CR"/>
        </w:rPr>
        <w:t xml:space="preserve"> </w:t>
      </w:r>
      <w:r w:rsidRPr="00A156F4">
        <w:rPr>
          <w:rFonts w:ascii="Times New Roman" w:hAnsi="Times New Roman"/>
          <w:lang w:eastAsia="es-CR"/>
        </w:rPr>
        <w:t>terceros</w:t>
      </w:r>
      <w:r w:rsidR="008B72CF" w:rsidRPr="00A156F4">
        <w:rPr>
          <w:rFonts w:ascii="Times New Roman" w:hAnsi="Times New Roman"/>
          <w:lang w:eastAsia="es-CR"/>
        </w:rPr>
        <w:t xml:space="preserve"> interesados y a las partes investigadas</w:t>
      </w:r>
      <w:r w:rsidR="00A4679C" w:rsidRPr="00A156F4">
        <w:rPr>
          <w:rFonts w:ascii="Times New Roman" w:hAnsi="Times New Roman"/>
          <w:lang w:eastAsia="es-CR"/>
        </w:rPr>
        <w:t>,</w:t>
      </w:r>
      <w:r w:rsidR="008B72CF" w:rsidRPr="00A156F4">
        <w:rPr>
          <w:rFonts w:ascii="Times New Roman" w:hAnsi="Times New Roman"/>
          <w:lang w:eastAsia="es-CR"/>
        </w:rPr>
        <w:t xml:space="preserve"> para que formulen sus alegatos de forma verbal, por </w:t>
      </w:r>
      <w:r w:rsidR="00376B18" w:rsidRPr="00A156F4">
        <w:rPr>
          <w:rFonts w:ascii="Times New Roman" w:hAnsi="Times New Roman"/>
          <w:lang w:eastAsia="es-CR"/>
        </w:rPr>
        <w:t>el</w:t>
      </w:r>
      <w:r w:rsidR="008B72CF" w:rsidRPr="00A156F4">
        <w:rPr>
          <w:rFonts w:ascii="Times New Roman" w:hAnsi="Times New Roman"/>
          <w:lang w:eastAsia="es-CR"/>
        </w:rPr>
        <w:t xml:space="preserve"> </w:t>
      </w:r>
      <w:proofErr w:type="gramStart"/>
      <w:r w:rsidR="008B72CF" w:rsidRPr="00A156F4">
        <w:rPr>
          <w:rFonts w:ascii="Times New Roman" w:hAnsi="Times New Roman"/>
          <w:lang w:eastAsia="es-CR"/>
        </w:rPr>
        <w:t>lapso de tiempo</w:t>
      </w:r>
      <w:proofErr w:type="gramEnd"/>
      <w:r w:rsidR="008B72CF" w:rsidRPr="00A156F4">
        <w:rPr>
          <w:rFonts w:ascii="Times New Roman" w:hAnsi="Times New Roman"/>
          <w:lang w:eastAsia="es-CR"/>
        </w:rPr>
        <w:t xml:space="preserve"> que determine </w:t>
      </w:r>
      <w:r w:rsidR="00376B18" w:rsidRPr="00A156F4">
        <w:rPr>
          <w:rFonts w:ascii="Times New Roman" w:hAnsi="Times New Roman"/>
          <w:lang w:eastAsia="es-CR"/>
        </w:rPr>
        <w:t>conveniente</w:t>
      </w:r>
      <w:r w:rsidR="008B72CF" w:rsidRPr="00A156F4">
        <w:rPr>
          <w:rFonts w:ascii="Times New Roman" w:hAnsi="Times New Roman"/>
          <w:lang w:eastAsia="es-CR"/>
        </w:rPr>
        <w:t>.</w:t>
      </w:r>
      <w:r w:rsidRPr="00A156F4">
        <w:rPr>
          <w:rFonts w:ascii="Times New Roman" w:hAnsi="Times New Roman"/>
          <w:lang w:eastAsia="es-CR"/>
        </w:rPr>
        <w:t xml:space="preserve"> </w:t>
      </w:r>
    </w:p>
    <w:p w14:paraId="691F784E" w14:textId="77777777" w:rsidR="004C10CD" w:rsidRPr="00A156F4" w:rsidRDefault="004C10CD" w:rsidP="004C10CD">
      <w:pPr>
        <w:jc w:val="both"/>
        <w:rPr>
          <w:sz w:val="22"/>
          <w:szCs w:val="22"/>
          <w:lang w:eastAsia="es-CR"/>
        </w:rPr>
      </w:pPr>
    </w:p>
    <w:p w14:paraId="56C23801" w14:textId="781EDF56" w:rsidR="00B666CC" w:rsidRPr="00A156F4" w:rsidRDefault="00B666CC" w:rsidP="00117EE5">
      <w:pPr>
        <w:pStyle w:val="Prrafodelista"/>
        <w:numPr>
          <w:ilvl w:val="0"/>
          <w:numId w:val="29"/>
        </w:numPr>
        <w:spacing w:after="0" w:line="240" w:lineRule="auto"/>
        <w:jc w:val="both"/>
        <w:rPr>
          <w:rFonts w:ascii="Times New Roman" w:hAnsi="Times New Roman"/>
          <w:lang w:eastAsia="es-CR"/>
        </w:rPr>
      </w:pPr>
      <w:r w:rsidRPr="00A156F4">
        <w:rPr>
          <w:rFonts w:ascii="Times New Roman" w:hAnsi="Times New Roman"/>
          <w:lang w:eastAsia="es-CR"/>
        </w:rPr>
        <w:t>Recibirá la prueba documental</w:t>
      </w:r>
      <w:r w:rsidR="00376B18" w:rsidRPr="00A156F4">
        <w:rPr>
          <w:rFonts w:ascii="Times New Roman" w:hAnsi="Times New Roman"/>
          <w:lang w:eastAsia="es-CR"/>
        </w:rPr>
        <w:t>,</w:t>
      </w:r>
      <w:r w:rsidRPr="00A156F4">
        <w:rPr>
          <w:rFonts w:ascii="Times New Roman" w:hAnsi="Times New Roman"/>
          <w:lang w:eastAsia="es-CR"/>
        </w:rPr>
        <w:t xml:space="preserve"> previamente admitida en la audiencia preparatoria, que aporten los interesados en el acto. </w:t>
      </w:r>
    </w:p>
    <w:p w14:paraId="73EB5C05" w14:textId="77777777" w:rsidR="00B666CC" w:rsidRPr="00A156F4" w:rsidRDefault="00B666CC" w:rsidP="00B666CC">
      <w:pPr>
        <w:jc w:val="both"/>
        <w:rPr>
          <w:rFonts w:eastAsia="Times New Roman"/>
          <w:sz w:val="22"/>
          <w:szCs w:val="22"/>
          <w:lang w:val="es-CR" w:eastAsia="es-CR"/>
        </w:rPr>
      </w:pPr>
    </w:p>
    <w:p w14:paraId="27362DF8" w14:textId="7563E8C9" w:rsidR="00B666CC" w:rsidRPr="00A156F4" w:rsidRDefault="00B666CC" w:rsidP="00117EE5">
      <w:pPr>
        <w:pStyle w:val="Prrafodelista"/>
        <w:numPr>
          <w:ilvl w:val="0"/>
          <w:numId w:val="29"/>
        </w:numPr>
        <w:spacing w:after="0" w:line="240" w:lineRule="auto"/>
        <w:jc w:val="both"/>
        <w:rPr>
          <w:rFonts w:ascii="Times New Roman" w:hAnsi="Times New Roman"/>
          <w:lang w:eastAsia="es-CR"/>
        </w:rPr>
      </w:pPr>
      <w:r w:rsidRPr="00A156F4">
        <w:rPr>
          <w:rFonts w:ascii="Times New Roman" w:hAnsi="Times New Roman"/>
          <w:lang w:eastAsia="es-CR"/>
        </w:rPr>
        <w:t xml:space="preserve">Recibirá la prueba confesional, testimonial o pericial en el mismo orden de presentación establecido en el </w:t>
      </w:r>
      <w:r w:rsidR="00376B18" w:rsidRPr="00A156F4">
        <w:rPr>
          <w:rFonts w:ascii="Times New Roman" w:hAnsi="Times New Roman"/>
          <w:lang w:eastAsia="es-CR"/>
        </w:rPr>
        <w:t xml:space="preserve">inciso </w:t>
      </w:r>
      <w:r w:rsidRPr="00A156F4">
        <w:rPr>
          <w:rFonts w:ascii="Times New Roman" w:hAnsi="Times New Roman"/>
          <w:lang w:eastAsia="es-CR"/>
        </w:rPr>
        <w:t>c)</w:t>
      </w:r>
      <w:r w:rsidR="00376B18" w:rsidRPr="00A156F4">
        <w:rPr>
          <w:rFonts w:ascii="Times New Roman" w:hAnsi="Times New Roman"/>
          <w:lang w:eastAsia="es-CR"/>
        </w:rPr>
        <w:t xml:space="preserve"> anterior</w:t>
      </w:r>
      <w:r w:rsidRPr="00A156F4">
        <w:rPr>
          <w:rFonts w:ascii="Times New Roman" w:hAnsi="Times New Roman"/>
          <w:lang w:eastAsia="es-CR"/>
        </w:rPr>
        <w:t xml:space="preserve">. </w:t>
      </w:r>
      <w:r w:rsidR="00574D31" w:rsidRPr="00A156F4">
        <w:rPr>
          <w:rFonts w:ascii="Times New Roman" w:hAnsi="Times New Roman"/>
          <w:lang w:eastAsia="es-CR"/>
        </w:rPr>
        <w:t>Las preguntas las formulará inicialmente quien ofreció la prueba y posteriormente se dará oportunidad de repreguntar a los demás partes y coadyuvantes, y finalmente a los miembros del Órgano Superior.</w:t>
      </w:r>
    </w:p>
    <w:p w14:paraId="648E4A33" w14:textId="77777777" w:rsidR="00B666CC" w:rsidRPr="00A156F4" w:rsidRDefault="00B666CC" w:rsidP="00B666CC">
      <w:pPr>
        <w:pStyle w:val="Prrafodelista"/>
        <w:spacing w:after="0" w:line="240" w:lineRule="auto"/>
        <w:ind w:left="720"/>
        <w:jc w:val="both"/>
        <w:rPr>
          <w:rFonts w:ascii="Times New Roman" w:hAnsi="Times New Roman"/>
          <w:lang w:eastAsia="es-CR"/>
        </w:rPr>
      </w:pPr>
      <w:r w:rsidRPr="00A156F4" w:rsidDel="001805BD">
        <w:rPr>
          <w:rFonts w:ascii="Times New Roman" w:hAnsi="Times New Roman"/>
          <w:lang w:eastAsia="es-CR"/>
        </w:rPr>
        <w:t xml:space="preserve"> </w:t>
      </w:r>
    </w:p>
    <w:p w14:paraId="4477524F" w14:textId="02417E98" w:rsidR="00FF2AF5" w:rsidRPr="00A156F4" w:rsidRDefault="00B666CC" w:rsidP="00117EE5">
      <w:pPr>
        <w:pStyle w:val="Prrafodelista"/>
        <w:numPr>
          <w:ilvl w:val="0"/>
          <w:numId w:val="29"/>
        </w:numPr>
        <w:spacing w:after="0" w:line="240" w:lineRule="auto"/>
        <w:ind w:left="714" w:hanging="357"/>
        <w:jc w:val="both"/>
        <w:rPr>
          <w:rFonts w:ascii="Times New Roman" w:hAnsi="Times New Roman"/>
          <w:lang w:eastAsia="es-CR"/>
        </w:rPr>
      </w:pPr>
      <w:r w:rsidRPr="00A156F4">
        <w:rPr>
          <w:rFonts w:ascii="Times New Roman" w:hAnsi="Times New Roman"/>
          <w:lang w:eastAsia="es-CR"/>
        </w:rPr>
        <w:t>Concluida la evacuación de la prueba, el Órgano Superior</w:t>
      </w:r>
      <w:r w:rsidRPr="00A156F4" w:rsidDel="00053065">
        <w:rPr>
          <w:rFonts w:ascii="Times New Roman" w:hAnsi="Times New Roman"/>
          <w:lang w:eastAsia="es-CR"/>
        </w:rPr>
        <w:t xml:space="preserve"> </w:t>
      </w:r>
      <w:r w:rsidRPr="00A156F4">
        <w:rPr>
          <w:rFonts w:ascii="Times New Roman" w:hAnsi="Times New Roman"/>
          <w:lang w:eastAsia="es-CR"/>
        </w:rPr>
        <w:t>correspondiente dará a las partes y coadyuvantes la palabra para que formulen sus conclusiones sucintas</w:t>
      </w:r>
      <w:r w:rsidR="00FF2AF5" w:rsidRPr="00A156F4">
        <w:rPr>
          <w:rFonts w:ascii="Times New Roman" w:hAnsi="Times New Roman"/>
          <w:lang w:eastAsia="es-CR"/>
        </w:rPr>
        <w:t>, en el mismo orden indicado en el inciso c) anterior</w:t>
      </w:r>
      <w:r w:rsidRPr="00A156F4">
        <w:rPr>
          <w:rFonts w:ascii="Times New Roman" w:hAnsi="Times New Roman"/>
          <w:lang w:eastAsia="es-CR"/>
        </w:rPr>
        <w:t xml:space="preserve">. </w:t>
      </w:r>
    </w:p>
    <w:p w14:paraId="309D7AD7" w14:textId="77777777" w:rsidR="00FF2AF5" w:rsidRPr="00A156F4" w:rsidRDefault="00FF2AF5" w:rsidP="00D20986">
      <w:pPr>
        <w:pStyle w:val="Prrafodelista"/>
        <w:spacing w:after="0"/>
        <w:rPr>
          <w:rFonts w:ascii="Times New Roman" w:hAnsi="Times New Roman"/>
          <w:lang w:eastAsia="es-CR"/>
        </w:rPr>
      </w:pPr>
    </w:p>
    <w:p w14:paraId="41C16ED4" w14:textId="3142508D" w:rsidR="00B666CC" w:rsidRPr="00A156F4" w:rsidRDefault="00FF2AF5" w:rsidP="00117EE5">
      <w:pPr>
        <w:pStyle w:val="Prrafodelista"/>
        <w:numPr>
          <w:ilvl w:val="0"/>
          <w:numId w:val="29"/>
        </w:numPr>
        <w:spacing w:after="0" w:line="240" w:lineRule="auto"/>
        <w:ind w:left="714" w:hanging="357"/>
        <w:jc w:val="both"/>
        <w:rPr>
          <w:rFonts w:ascii="Times New Roman" w:hAnsi="Times New Roman"/>
          <w:lang w:eastAsia="es-CR"/>
        </w:rPr>
      </w:pPr>
      <w:r w:rsidRPr="00A156F4">
        <w:rPr>
          <w:rFonts w:ascii="Times New Roman" w:hAnsi="Times New Roman"/>
          <w:lang w:eastAsia="es-CR"/>
        </w:rPr>
        <w:t>O</w:t>
      </w:r>
      <w:r w:rsidR="00B666CC" w:rsidRPr="00A156F4">
        <w:rPr>
          <w:rFonts w:ascii="Times New Roman" w:hAnsi="Times New Roman"/>
          <w:lang w:eastAsia="es-CR"/>
        </w:rPr>
        <w:t>torgará a los interesados</w:t>
      </w:r>
      <w:r w:rsidRPr="00A156F4">
        <w:rPr>
          <w:rFonts w:ascii="Times New Roman" w:hAnsi="Times New Roman"/>
          <w:lang w:eastAsia="es-CR"/>
        </w:rPr>
        <w:t>, si así lo solicitan,</w:t>
      </w:r>
      <w:r w:rsidR="00B666CC" w:rsidRPr="00A156F4">
        <w:rPr>
          <w:rFonts w:ascii="Times New Roman" w:hAnsi="Times New Roman"/>
          <w:lang w:eastAsia="es-CR"/>
        </w:rPr>
        <w:t xml:space="preserve"> un plazo de hasta 10 días hábiles para</w:t>
      </w:r>
      <w:r w:rsidRPr="00A156F4">
        <w:rPr>
          <w:rFonts w:ascii="Times New Roman" w:hAnsi="Times New Roman"/>
          <w:lang w:eastAsia="es-CR"/>
        </w:rPr>
        <w:t xml:space="preserve"> </w:t>
      </w:r>
      <w:r w:rsidR="00B666CC" w:rsidRPr="00A156F4">
        <w:rPr>
          <w:rFonts w:ascii="Times New Roman" w:hAnsi="Times New Roman"/>
          <w:lang w:eastAsia="es-CR"/>
        </w:rPr>
        <w:t>ampliar sus conclusiones por escrito. Vencido este plazo, el expediente estará listo para el dictado de la resolución final.</w:t>
      </w:r>
    </w:p>
    <w:p w14:paraId="0650A273" w14:textId="77777777" w:rsidR="00D6497C" w:rsidRPr="00A156F4" w:rsidRDefault="00D6497C" w:rsidP="00D6497C">
      <w:pPr>
        <w:pStyle w:val="Prrafodelista"/>
        <w:spacing w:after="0" w:line="240" w:lineRule="auto"/>
        <w:ind w:left="0"/>
        <w:contextualSpacing/>
        <w:jc w:val="both"/>
        <w:rPr>
          <w:rFonts w:ascii="Times New Roman" w:hAnsi="Times New Roman"/>
          <w:b/>
        </w:rPr>
      </w:pPr>
      <w:bookmarkStart w:id="22" w:name="_Hlk523045496"/>
    </w:p>
    <w:p w14:paraId="1A067194" w14:textId="59B46231"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5</w:t>
      </w:r>
      <w:r w:rsidR="00B82C4F" w:rsidRPr="00A156F4">
        <w:rPr>
          <w:rFonts w:ascii="Times New Roman" w:hAnsi="Times New Roman"/>
          <w:b/>
          <w:bCs/>
        </w:rPr>
        <w:t>6</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Prueba para mejor resolver</w:t>
      </w:r>
    </w:p>
    <w:p w14:paraId="04400493" w14:textId="77777777" w:rsidR="00B666CC" w:rsidRPr="00A156F4" w:rsidRDefault="00B666CC" w:rsidP="00B666CC">
      <w:pPr>
        <w:jc w:val="both"/>
        <w:rPr>
          <w:rFonts w:eastAsia="Times New Roman"/>
          <w:sz w:val="22"/>
          <w:szCs w:val="22"/>
          <w:lang w:val="es-CR" w:eastAsia="es-CR"/>
        </w:rPr>
      </w:pPr>
    </w:p>
    <w:p w14:paraId="26FC2BA8" w14:textId="737E05AF" w:rsidR="00B666CC" w:rsidRPr="00A156F4" w:rsidRDefault="00E506CD" w:rsidP="00B666CC">
      <w:pPr>
        <w:contextualSpacing/>
        <w:jc w:val="both"/>
        <w:rPr>
          <w:sz w:val="22"/>
          <w:szCs w:val="22"/>
          <w:lang w:val="es-CR"/>
        </w:rPr>
      </w:pPr>
      <w:r w:rsidRPr="00A156F4">
        <w:rPr>
          <w:sz w:val="22"/>
          <w:szCs w:val="22"/>
          <w:lang w:val="es-CR"/>
        </w:rPr>
        <w:t>D</w:t>
      </w:r>
      <w:r w:rsidR="00B666CC" w:rsidRPr="00A156F4">
        <w:rPr>
          <w:sz w:val="22"/>
          <w:szCs w:val="22"/>
          <w:lang w:val="es-CR"/>
        </w:rPr>
        <w:t>urante la comparecencia oral y privada</w:t>
      </w:r>
      <w:r w:rsidRPr="00A156F4">
        <w:rPr>
          <w:sz w:val="22"/>
          <w:szCs w:val="22"/>
          <w:lang w:val="es-CR"/>
        </w:rPr>
        <w:t>,</w:t>
      </w:r>
      <w:r w:rsidR="00B666CC" w:rsidRPr="00A156F4">
        <w:rPr>
          <w:sz w:val="22"/>
          <w:szCs w:val="22"/>
          <w:lang w:val="es-CR"/>
        </w:rPr>
        <w:t xml:space="preserve"> el Órgano Superior</w:t>
      </w:r>
      <w:r w:rsidRPr="00A156F4">
        <w:rPr>
          <w:sz w:val="22"/>
          <w:szCs w:val="22"/>
          <w:lang w:val="es-CR"/>
        </w:rPr>
        <w:t xml:space="preserve"> podrá</w:t>
      </w:r>
      <w:r w:rsidR="008F6335" w:rsidRPr="00A156F4">
        <w:rPr>
          <w:sz w:val="22"/>
          <w:szCs w:val="22"/>
          <w:lang w:val="es-CR"/>
        </w:rPr>
        <w:t>, de oficio o a petición de parte y por una única vez,</w:t>
      </w:r>
      <w:r w:rsidRPr="00A156F4">
        <w:rPr>
          <w:sz w:val="22"/>
          <w:szCs w:val="22"/>
          <w:lang w:val="es-CR"/>
        </w:rPr>
        <w:t xml:space="preserve"> </w:t>
      </w:r>
      <w:r w:rsidR="008F6335" w:rsidRPr="00A156F4">
        <w:rPr>
          <w:sz w:val="22"/>
          <w:szCs w:val="22"/>
          <w:lang w:val="es-CR"/>
        </w:rPr>
        <w:t>ordenar la recepción de nuevas pruebas o ampliar las incorporadas; lo anterior cuando lo considere absolutamente necesario</w:t>
      </w:r>
      <w:r w:rsidR="00B666CC" w:rsidRPr="00A156F4">
        <w:rPr>
          <w:sz w:val="22"/>
          <w:szCs w:val="22"/>
          <w:lang w:val="es-CR"/>
        </w:rPr>
        <w:t>. Para ello</w:t>
      </w:r>
      <w:r w:rsidR="008F6335" w:rsidRPr="00A156F4">
        <w:rPr>
          <w:sz w:val="22"/>
          <w:szCs w:val="22"/>
          <w:lang w:val="es-CR"/>
        </w:rPr>
        <w:t>,</w:t>
      </w:r>
      <w:r w:rsidR="00B666CC" w:rsidRPr="00A156F4">
        <w:rPr>
          <w:sz w:val="22"/>
          <w:szCs w:val="22"/>
          <w:lang w:val="es-CR"/>
        </w:rPr>
        <w:t xml:space="preserve"> proceder</w:t>
      </w:r>
      <w:r w:rsidR="008F6335" w:rsidRPr="00A156F4">
        <w:rPr>
          <w:sz w:val="22"/>
          <w:szCs w:val="22"/>
          <w:lang w:val="es-CR"/>
        </w:rPr>
        <w:t>á</w:t>
      </w:r>
      <w:r w:rsidR="00B666CC" w:rsidRPr="00A156F4">
        <w:rPr>
          <w:sz w:val="22"/>
          <w:szCs w:val="22"/>
          <w:lang w:val="es-CR"/>
        </w:rPr>
        <w:t xml:space="preserve"> a citar a las partes en un plazo de 1</w:t>
      </w:r>
      <w:r w:rsidR="00E36F68" w:rsidRPr="00A156F4">
        <w:rPr>
          <w:sz w:val="22"/>
          <w:szCs w:val="22"/>
          <w:lang w:val="es-CR"/>
        </w:rPr>
        <w:t>0</w:t>
      </w:r>
      <w:r w:rsidR="00B666CC" w:rsidRPr="00A156F4">
        <w:rPr>
          <w:sz w:val="22"/>
          <w:szCs w:val="22"/>
          <w:lang w:val="es-CR"/>
        </w:rPr>
        <w:t xml:space="preserve"> días hábiles</w:t>
      </w:r>
      <w:r w:rsidR="0013709E" w:rsidRPr="00A156F4">
        <w:rPr>
          <w:sz w:val="22"/>
          <w:szCs w:val="22"/>
          <w:lang w:val="es-CR"/>
        </w:rPr>
        <w:t xml:space="preserve"> </w:t>
      </w:r>
      <w:r w:rsidR="00B666CC" w:rsidRPr="00A156F4">
        <w:rPr>
          <w:sz w:val="22"/>
          <w:szCs w:val="22"/>
          <w:lang w:val="es-CR"/>
        </w:rPr>
        <w:t>para la realización de una nueva comparecencia oral y privada</w:t>
      </w:r>
      <w:r w:rsidR="0013709E" w:rsidRPr="00A156F4">
        <w:rPr>
          <w:sz w:val="22"/>
          <w:szCs w:val="22"/>
          <w:lang w:val="es-CR"/>
        </w:rPr>
        <w:t>, que se</w:t>
      </w:r>
      <w:r w:rsidR="00B666CC" w:rsidRPr="00A156F4">
        <w:rPr>
          <w:sz w:val="22"/>
          <w:szCs w:val="22"/>
          <w:lang w:val="es-CR"/>
        </w:rPr>
        <w:t xml:space="preserve"> limita</w:t>
      </w:r>
      <w:r w:rsidR="0013709E" w:rsidRPr="00A156F4">
        <w:rPr>
          <w:sz w:val="22"/>
          <w:szCs w:val="22"/>
          <w:lang w:val="es-CR"/>
        </w:rPr>
        <w:t>rá</w:t>
      </w:r>
      <w:r w:rsidR="00B666CC" w:rsidRPr="00A156F4">
        <w:rPr>
          <w:sz w:val="22"/>
          <w:szCs w:val="22"/>
          <w:lang w:val="es-CR"/>
        </w:rPr>
        <w:t xml:space="preserve"> al examen de los nuevos elementos de apreciación. Dicha prueba será evacuada y valorada por el Órgano Superior, aún y cuando alguna de las partes no asista a la comparecencia</w:t>
      </w:r>
      <w:r w:rsidR="008F6335" w:rsidRPr="00A156F4">
        <w:rPr>
          <w:sz w:val="22"/>
          <w:szCs w:val="22"/>
          <w:lang w:val="es-CR"/>
        </w:rPr>
        <w:t>;</w:t>
      </w:r>
      <w:r w:rsidR="00117EE5" w:rsidRPr="00A156F4">
        <w:rPr>
          <w:sz w:val="22"/>
          <w:szCs w:val="22"/>
          <w:lang w:val="es-CR"/>
        </w:rPr>
        <w:t xml:space="preserve"> </w:t>
      </w:r>
      <w:r w:rsidR="008F6335" w:rsidRPr="00A156F4">
        <w:rPr>
          <w:sz w:val="22"/>
          <w:szCs w:val="22"/>
          <w:lang w:val="es-CR"/>
        </w:rPr>
        <w:t>siempre</w:t>
      </w:r>
      <w:r w:rsidRPr="00A156F4">
        <w:rPr>
          <w:sz w:val="22"/>
          <w:szCs w:val="22"/>
          <w:lang w:val="es-CR"/>
        </w:rPr>
        <w:t xml:space="preserve"> que </w:t>
      </w:r>
      <w:r w:rsidR="00B666CC" w:rsidRPr="00A156F4">
        <w:rPr>
          <w:sz w:val="22"/>
          <w:szCs w:val="22"/>
        </w:rPr>
        <w:t>la citación le ha</w:t>
      </w:r>
      <w:r w:rsidRPr="00A156F4">
        <w:rPr>
          <w:sz w:val="22"/>
          <w:szCs w:val="22"/>
        </w:rPr>
        <w:t>ya</w:t>
      </w:r>
      <w:r w:rsidR="00B666CC" w:rsidRPr="00A156F4">
        <w:rPr>
          <w:sz w:val="22"/>
          <w:szCs w:val="22"/>
        </w:rPr>
        <w:t xml:space="preserve"> sido debidamente notificada</w:t>
      </w:r>
      <w:r w:rsidR="00B666CC" w:rsidRPr="00A156F4">
        <w:rPr>
          <w:sz w:val="22"/>
          <w:szCs w:val="22"/>
          <w:lang w:val="es-CR"/>
        </w:rPr>
        <w:t xml:space="preserve">. </w:t>
      </w:r>
    </w:p>
    <w:p w14:paraId="4D030CD2" w14:textId="77777777" w:rsidR="0013709E" w:rsidRPr="00A156F4" w:rsidRDefault="0013709E" w:rsidP="00B666CC">
      <w:pPr>
        <w:contextualSpacing/>
        <w:jc w:val="both"/>
        <w:rPr>
          <w:sz w:val="22"/>
          <w:szCs w:val="22"/>
          <w:lang w:val="es-CR"/>
        </w:rPr>
      </w:pPr>
    </w:p>
    <w:p w14:paraId="3323A4F9" w14:textId="3AFD78F7" w:rsidR="00B666CC" w:rsidRPr="00A156F4" w:rsidRDefault="00B666CC" w:rsidP="00B666CC">
      <w:pPr>
        <w:contextualSpacing/>
        <w:jc w:val="both"/>
        <w:rPr>
          <w:sz w:val="22"/>
          <w:szCs w:val="22"/>
        </w:rPr>
      </w:pPr>
      <w:bookmarkStart w:id="23" w:name="_Hlk536437688"/>
      <w:r w:rsidRPr="00A156F4">
        <w:rPr>
          <w:sz w:val="22"/>
          <w:szCs w:val="22"/>
        </w:rPr>
        <w:t>La denegatoria del ofrecimiento y admisión de prueba para mejor resolver</w:t>
      </w:r>
      <w:r w:rsidR="0013709E" w:rsidRPr="00A156F4">
        <w:rPr>
          <w:sz w:val="22"/>
          <w:szCs w:val="22"/>
        </w:rPr>
        <w:t>,</w:t>
      </w:r>
      <w:r w:rsidR="008F6335" w:rsidRPr="00A156F4">
        <w:rPr>
          <w:sz w:val="22"/>
          <w:szCs w:val="22"/>
        </w:rPr>
        <w:t xml:space="preserve"> que haya sido</w:t>
      </w:r>
      <w:r w:rsidRPr="00A156F4">
        <w:rPr>
          <w:sz w:val="22"/>
          <w:szCs w:val="22"/>
        </w:rPr>
        <w:t xml:space="preserve"> </w:t>
      </w:r>
      <w:r w:rsidR="00117EE5" w:rsidRPr="00A156F4">
        <w:rPr>
          <w:sz w:val="22"/>
          <w:szCs w:val="22"/>
        </w:rPr>
        <w:t>solicitada,</w:t>
      </w:r>
      <w:r w:rsidRPr="00A156F4">
        <w:rPr>
          <w:sz w:val="22"/>
          <w:szCs w:val="22"/>
        </w:rPr>
        <w:t xml:space="preserve"> por una parte</w:t>
      </w:r>
      <w:r w:rsidR="0013709E" w:rsidRPr="00A156F4">
        <w:rPr>
          <w:sz w:val="22"/>
          <w:szCs w:val="22"/>
        </w:rPr>
        <w:t>,</w:t>
      </w:r>
      <w:r w:rsidRPr="00A156F4">
        <w:rPr>
          <w:sz w:val="22"/>
          <w:szCs w:val="22"/>
        </w:rPr>
        <w:t xml:space="preserve"> tendrá únicamente recurso de </w:t>
      </w:r>
      <w:r w:rsidRPr="00A156F4">
        <w:rPr>
          <w:sz w:val="22"/>
          <w:szCs w:val="22"/>
          <w:lang w:eastAsia="es-CR"/>
        </w:rPr>
        <w:t>reposición o reconsideración</w:t>
      </w:r>
      <w:r w:rsidRPr="00A156F4">
        <w:rPr>
          <w:sz w:val="22"/>
          <w:szCs w:val="22"/>
        </w:rPr>
        <w:t xml:space="preserve">, </w:t>
      </w:r>
      <w:r w:rsidR="0013709E" w:rsidRPr="00A156F4">
        <w:rPr>
          <w:sz w:val="22"/>
          <w:szCs w:val="22"/>
        </w:rPr>
        <w:t>que</w:t>
      </w:r>
      <w:r w:rsidR="00574D31" w:rsidRPr="00A156F4">
        <w:rPr>
          <w:sz w:val="22"/>
          <w:szCs w:val="22"/>
        </w:rPr>
        <w:t xml:space="preserve"> deberá ser interpuesto durante la audiencia de forma oral y</w:t>
      </w:r>
      <w:r w:rsidRPr="00A156F4">
        <w:rPr>
          <w:sz w:val="22"/>
          <w:szCs w:val="22"/>
        </w:rPr>
        <w:t xml:space="preserve"> </w:t>
      </w:r>
      <w:r w:rsidR="008F6335" w:rsidRPr="00A156F4">
        <w:rPr>
          <w:sz w:val="22"/>
          <w:szCs w:val="22"/>
        </w:rPr>
        <w:t>será</w:t>
      </w:r>
      <w:r w:rsidRPr="00A156F4">
        <w:rPr>
          <w:sz w:val="22"/>
          <w:szCs w:val="22"/>
        </w:rPr>
        <w:t xml:space="preserve"> resuelto</w:t>
      </w:r>
      <w:r w:rsidR="008F6335" w:rsidRPr="00A156F4">
        <w:rPr>
          <w:sz w:val="22"/>
          <w:szCs w:val="22"/>
        </w:rPr>
        <w:t xml:space="preserve"> </w:t>
      </w:r>
      <w:r w:rsidRPr="00A156F4">
        <w:rPr>
          <w:sz w:val="22"/>
          <w:szCs w:val="22"/>
        </w:rPr>
        <w:t>por el Órgano Superior</w:t>
      </w:r>
      <w:r w:rsidR="008F6335" w:rsidRPr="00A156F4">
        <w:rPr>
          <w:sz w:val="22"/>
          <w:szCs w:val="22"/>
        </w:rPr>
        <w:t>,</w:t>
      </w:r>
      <w:r w:rsidRPr="00A156F4">
        <w:rPr>
          <w:sz w:val="22"/>
          <w:szCs w:val="22"/>
        </w:rPr>
        <w:t xml:space="preserve"> </w:t>
      </w:r>
      <w:r w:rsidR="008F6335" w:rsidRPr="00A156F4">
        <w:rPr>
          <w:sz w:val="22"/>
          <w:szCs w:val="22"/>
        </w:rPr>
        <w:t>durante</w:t>
      </w:r>
      <w:r w:rsidRPr="00A156F4">
        <w:rPr>
          <w:sz w:val="22"/>
          <w:szCs w:val="22"/>
        </w:rPr>
        <w:t xml:space="preserve"> la misma comparecencia</w:t>
      </w:r>
      <w:r w:rsidR="00A12C08" w:rsidRPr="00A156F4">
        <w:rPr>
          <w:sz w:val="22"/>
          <w:szCs w:val="22"/>
        </w:rPr>
        <w:t xml:space="preserve"> y</w:t>
      </w:r>
      <w:r w:rsidR="00117EE5" w:rsidRPr="00A156F4">
        <w:rPr>
          <w:sz w:val="22"/>
          <w:szCs w:val="22"/>
        </w:rPr>
        <w:t xml:space="preserve"> </w:t>
      </w:r>
      <w:r w:rsidRPr="00A156F4">
        <w:rPr>
          <w:sz w:val="22"/>
          <w:szCs w:val="22"/>
        </w:rPr>
        <w:t xml:space="preserve">de </w:t>
      </w:r>
      <w:r w:rsidR="00A12C08" w:rsidRPr="00A156F4">
        <w:rPr>
          <w:sz w:val="22"/>
          <w:szCs w:val="22"/>
        </w:rPr>
        <w:t xml:space="preserve">la misma </w:t>
      </w:r>
      <w:r w:rsidRPr="00A156F4">
        <w:rPr>
          <w:sz w:val="22"/>
          <w:szCs w:val="22"/>
        </w:rPr>
        <w:t>forma.</w:t>
      </w:r>
    </w:p>
    <w:p w14:paraId="797CAF3B" w14:textId="77777777" w:rsidR="00B666CC" w:rsidRPr="00A156F4" w:rsidRDefault="00B666CC" w:rsidP="00B666CC">
      <w:pPr>
        <w:pStyle w:val="Prrafodelista"/>
        <w:spacing w:after="0" w:line="240" w:lineRule="auto"/>
        <w:ind w:left="0"/>
        <w:contextualSpacing/>
        <w:jc w:val="center"/>
        <w:rPr>
          <w:rFonts w:ascii="Times New Roman" w:hAnsi="Times New Roman"/>
          <w:b/>
          <w:lang w:val="es-ES_tradnl"/>
        </w:rPr>
      </w:pPr>
    </w:p>
    <w:bookmarkEnd w:id="22"/>
    <w:bookmarkEnd w:id="23"/>
    <w:p w14:paraId="3F5B7547" w14:textId="7827EA6F" w:rsidR="00B666CC" w:rsidRPr="00A156F4" w:rsidRDefault="00B666CC" w:rsidP="00B666CC">
      <w:pPr>
        <w:pStyle w:val="Prrafodelista"/>
        <w:spacing w:after="0" w:line="240" w:lineRule="auto"/>
        <w:ind w:left="0"/>
        <w:contextualSpacing/>
        <w:jc w:val="both"/>
        <w:rPr>
          <w:rFonts w:ascii="Times New Roman" w:hAnsi="Times New Roman"/>
          <w:b/>
        </w:rPr>
      </w:pPr>
      <w:r w:rsidRPr="00A156F4">
        <w:rPr>
          <w:rFonts w:ascii="Times New Roman" w:eastAsiaTheme="minorHAnsi" w:hAnsi="Times New Roman"/>
          <w:b/>
        </w:rPr>
        <w:t>Artículo</w:t>
      </w:r>
      <w:r w:rsidRPr="00A156F4">
        <w:rPr>
          <w:rFonts w:ascii="Times New Roman" w:hAnsi="Times New Roman"/>
          <w:b/>
          <w:bCs/>
        </w:rPr>
        <w:t xml:space="preserve"> 5</w:t>
      </w:r>
      <w:r w:rsidR="00B82C4F" w:rsidRPr="00A156F4">
        <w:rPr>
          <w:rFonts w:ascii="Times New Roman" w:hAnsi="Times New Roman"/>
          <w:b/>
          <w:bCs/>
        </w:rPr>
        <w:t>7</w:t>
      </w:r>
      <w:r w:rsidRPr="00A156F4">
        <w:rPr>
          <w:rFonts w:ascii="Times New Roman" w:hAnsi="Times New Roman"/>
          <w:b/>
        </w:rPr>
        <w:t>.-</w:t>
      </w:r>
      <w:r w:rsidR="00F153AC" w:rsidRPr="00A156F4">
        <w:rPr>
          <w:rFonts w:ascii="Times New Roman" w:hAnsi="Times New Roman"/>
          <w:b/>
        </w:rPr>
        <w:t xml:space="preserve"> </w:t>
      </w:r>
      <w:r w:rsidRPr="00A156F4">
        <w:rPr>
          <w:rFonts w:ascii="Times New Roman" w:hAnsi="Times New Roman"/>
          <w:b/>
        </w:rPr>
        <w:t>Resolución final</w:t>
      </w:r>
    </w:p>
    <w:p w14:paraId="32AEEE99" w14:textId="77777777" w:rsidR="00B666CC" w:rsidRPr="00A156F4" w:rsidRDefault="00B666CC" w:rsidP="00B666CC">
      <w:pPr>
        <w:jc w:val="both"/>
        <w:rPr>
          <w:rFonts w:eastAsia="Times New Roman"/>
          <w:sz w:val="22"/>
          <w:szCs w:val="22"/>
          <w:lang w:val="es-CR" w:eastAsia="es-CR"/>
        </w:rPr>
      </w:pPr>
    </w:p>
    <w:p w14:paraId="7C043A32" w14:textId="6CB41853" w:rsidR="00B666CC" w:rsidRPr="00A156F4" w:rsidRDefault="001C289C" w:rsidP="00B666CC">
      <w:pPr>
        <w:jc w:val="both"/>
        <w:rPr>
          <w:rFonts w:eastAsia="Times New Roman"/>
          <w:sz w:val="22"/>
          <w:szCs w:val="22"/>
          <w:lang w:val="es-CR" w:eastAsia="es-CR"/>
        </w:rPr>
      </w:pPr>
      <w:r w:rsidRPr="00A156F4">
        <w:rPr>
          <w:sz w:val="22"/>
          <w:szCs w:val="22"/>
          <w:lang w:val="es-CR"/>
        </w:rPr>
        <w:t>El Órgano Superior dictará l</w:t>
      </w:r>
      <w:r w:rsidR="00B666CC" w:rsidRPr="00A156F4">
        <w:rPr>
          <w:sz w:val="22"/>
          <w:szCs w:val="22"/>
          <w:lang w:val="es-CR"/>
        </w:rPr>
        <w:t xml:space="preserve">a resolución final dentro de los </w:t>
      </w:r>
      <w:r w:rsidR="00DC3BA9" w:rsidRPr="00A156F4">
        <w:rPr>
          <w:sz w:val="22"/>
          <w:szCs w:val="22"/>
          <w:lang w:val="es-CR"/>
        </w:rPr>
        <w:t xml:space="preserve">60 </w:t>
      </w:r>
      <w:r w:rsidR="005F2CAA" w:rsidRPr="00A156F4">
        <w:rPr>
          <w:sz w:val="22"/>
          <w:szCs w:val="22"/>
          <w:lang w:val="es-CR"/>
        </w:rPr>
        <w:t>días hábiles</w:t>
      </w:r>
      <w:r w:rsidR="00DC3BA9" w:rsidRPr="00A156F4">
        <w:rPr>
          <w:sz w:val="22"/>
          <w:szCs w:val="22"/>
          <w:lang w:val="es-CR"/>
        </w:rPr>
        <w:t>, contados</w:t>
      </w:r>
      <w:r w:rsidR="00B666CC" w:rsidRPr="00A156F4">
        <w:rPr>
          <w:sz w:val="22"/>
          <w:szCs w:val="22"/>
          <w:lang w:val="es-CR"/>
        </w:rPr>
        <w:t xml:space="preserve"> a partir </w:t>
      </w:r>
      <w:r w:rsidR="00C92270" w:rsidRPr="00A156F4">
        <w:rPr>
          <w:sz w:val="22"/>
          <w:szCs w:val="22"/>
          <w:lang w:val="es-CR"/>
        </w:rPr>
        <w:t>de la conclusión de la comparecencia oral y privada</w:t>
      </w:r>
      <w:r w:rsidR="00B666CC" w:rsidRPr="00A156F4">
        <w:rPr>
          <w:sz w:val="22"/>
          <w:szCs w:val="22"/>
          <w:lang w:eastAsia="es-CR"/>
        </w:rPr>
        <w:t>.</w:t>
      </w:r>
    </w:p>
    <w:p w14:paraId="49398F78" w14:textId="77777777" w:rsidR="00B666CC" w:rsidRPr="00A156F4" w:rsidRDefault="00B666CC" w:rsidP="00B666CC">
      <w:pPr>
        <w:jc w:val="both"/>
        <w:rPr>
          <w:rFonts w:eastAsia="Times New Roman"/>
          <w:sz w:val="22"/>
          <w:szCs w:val="22"/>
          <w:lang w:val="es-CR" w:eastAsia="es-CR"/>
        </w:rPr>
      </w:pPr>
    </w:p>
    <w:p w14:paraId="4041B973" w14:textId="2E598F19" w:rsidR="00B666CC" w:rsidRPr="00A156F4" w:rsidRDefault="00B666CC" w:rsidP="00B666CC">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eastAsia="en-US"/>
        </w:rPr>
        <w:t>5</w:t>
      </w:r>
      <w:r w:rsidR="00B82C4F" w:rsidRPr="00A156F4">
        <w:rPr>
          <w:rFonts w:ascii="Times New Roman" w:eastAsia="Times New Roman" w:hAnsi="Times New Roman" w:cs="Times New Roman"/>
          <w:b/>
          <w:i w:val="0"/>
          <w:iCs w:val="0"/>
          <w:color w:val="auto"/>
          <w:sz w:val="22"/>
          <w:szCs w:val="22"/>
          <w:lang w:eastAsia="en-US"/>
        </w:rPr>
        <w:t>8</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Subsanación de actuaciones y reposición de plazos</w:t>
      </w:r>
    </w:p>
    <w:p w14:paraId="347435DD" w14:textId="77777777" w:rsidR="00B666CC" w:rsidRPr="00A156F4" w:rsidRDefault="00B666CC" w:rsidP="00B666CC">
      <w:pPr>
        <w:jc w:val="both"/>
        <w:rPr>
          <w:rFonts w:eastAsia="Times New Roman"/>
          <w:sz w:val="22"/>
          <w:szCs w:val="22"/>
          <w:lang w:val="es-CR" w:eastAsia="es-CR"/>
        </w:rPr>
      </w:pPr>
    </w:p>
    <w:p w14:paraId="286DDD39" w14:textId="05CB1845" w:rsidR="00C304E2" w:rsidRPr="00A156F4" w:rsidRDefault="00B666CC" w:rsidP="00B666CC">
      <w:pPr>
        <w:jc w:val="both"/>
        <w:rPr>
          <w:rFonts w:eastAsia="Times New Roman"/>
          <w:sz w:val="22"/>
          <w:szCs w:val="22"/>
          <w:lang w:val="es-CR" w:eastAsia="es-CR"/>
        </w:rPr>
      </w:pPr>
      <w:r w:rsidRPr="00A156F4">
        <w:rPr>
          <w:rFonts w:eastAsia="Times New Roman"/>
          <w:sz w:val="22"/>
          <w:szCs w:val="22"/>
          <w:lang w:val="es-CR" w:eastAsia="es-CR"/>
        </w:rPr>
        <w:t xml:space="preserve">Previo al dictado del acto final, el </w:t>
      </w:r>
      <w:r w:rsidRPr="00A156F4">
        <w:rPr>
          <w:sz w:val="22"/>
          <w:szCs w:val="22"/>
        </w:rPr>
        <w:t>Órgano Superior</w:t>
      </w:r>
      <w:r w:rsidRPr="00A156F4" w:rsidDel="00053065">
        <w:rPr>
          <w:rFonts w:eastAsia="Times New Roman"/>
          <w:sz w:val="22"/>
          <w:szCs w:val="22"/>
          <w:lang w:val="es-CR" w:eastAsia="es-CR"/>
        </w:rPr>
        <w:t xml:space="preserve"> </w:t>
      </w:r>
      <w:r w:rsidRPr="00A156F4">
        <w:rPr>
          <w:rFonts w:eastAsia="Times New Roman"/>
          <w:sz w:val="22"/>
          <w:szCs w:val="22"/>
          <w:lang w:val="es-CR" w:eastAsia="es-CR"/>
        </w:rPr>
        <w:t>de la autoridad de competencia correspondiente deberá revisar las actuaciones del procedimiento</w:t>
      </w:r>
      <w:r w:rsidR="00C304E2" w:rsidRPr="00A156F4">
        <w:rPr>
          <w:rFonts w:eastAsia="Times New Roman"/>
          <w:sz w:val="22"/>
          <w:szCs w:val="22"/>
          <w:lang w:val="es-CR" w:eastAsia="es-CR"/>
        </w:rPr>
        <w:t xml:space="preserve">. En caso de encontrar alguna omisión o infracción a las normas procedimentales, </w:t>
      </w:r>
      <w:r w:rsidR="00D551EC" w:rsidRPr="00A156F4">
        <w:rPr>
          <w:rFonts w:eastAsia="Times New Roman"/>
          <w:sz w:val="22"/>
          <w:szCs w:val="22"/>
          <w:lang w:val="es-CR" w:eastAsia="es-CR"/>
        </w:rPr>
        <w:t xml:space="preserve">que sea </w:t>
      </w:r>
      <w:r w:rsidR="00C304E2" w:rsidRPr="00A156F4">
        <w:rPr>
          <w:rFonts w:eastAsia="Times New Roman"/>
          <w:sz w:val="22"/>
          <w:szCs w:val="22"/>
          <w:lang w:val="es-CR" w:eastAsia="es-CR"/>
        </w:rPr>
        <w:t>capaz de causar nulidad absoluta, indefensión a las partes, o quebranto del principio de verdad real, deberá devolver</w:t>
      </w:r>
      <w:r w:rsidRPr="00A156F4">
        <w:rPr>
          <w:rFonts w:eastAsia="Times New Roman"/>
          <w:sz w:val="22"/>
          <w:szCs w:val="22"/>
          <w:lang w:val="es-CR" w:eastAsia="es-CR"/>
        </w:rPr>
        <w:t xml:space="preserve"> los autos al estado que corresponda.</w:t>
      </w:r>
    </w:p>
    <w:p w14:paraId="5B6EC623" w14:textId="77777777" w:rsidR="00345265" w:rsidRPr="00A156F4" w:rsidRDefault="00345265" w:rsidP="00B666CC">
      <w:pPr>
        <w:jc w:val="both"/>
        <w:rPr>
          <w:rFonts w:eastAsia="Times New Roman"/>
          <w:sz w:val="22"/>
          <w:szCs w:val="22"/>
          <w:lang w:val="es-CR" w:eastAsia="es-CR"/>
        </w:rPr>
      </w:pPr>
    </w:p>
    <w:p w14:paraId="694324E4" w14:textId="297B99E1" w:rsidR="00B666CC" w:rsidRPr="00A156F4" w:rsidRDefault="00B666CC" w:rsidP="00B666CC">
      <w:pPr>
        <w:jc w:val="both"/>
        <w:rPr>
          <w:rFonts w:eastAsia="Times New Roman"/>
          <w:sz w:val="22"/>
          <w:szCs w:val="22"/>
          <w:lang w:val="es-CR" w:eastAsia="es-CR"/>
        </w:rPr>
      </w:pPr>
      <w:r w:rsidRPr="00A156F4">
        <w:rPr>
          <w:rFonts w:eastAsia="Times New Roman"/>
          <w:sz w:val="22"/>
          <w:szCs w:val="22"/>
          <w:lang w:val="es-CR" w:eastAsia="es-CR"/>
        </w:rPr>
        <w:t>En la resolución respectiva se ordenará el saneamiento del procedimiento con la respectiva reposición de plazos.</w:t>
      </w:r>
    </w:p>
    <w:p w14:paraId="4FEB3537" w14:textId="3CE23346" w:rsidR="00B666CC" w:rsidRPr="00A156F4" w:rsidRDefault="00B666CC" w:rsidP="00B666CC">
      <w:pPr>
        <w:jc w:val="both"/>
        <w:rPr>
          <w:rFonts w:eastAsia="Times New Roman"/>
          <w:sz w:val="22"/>
          <w:szCs w:val="22"/>
          <w:lang w:val="es-CR" w:eastAsia="es-CR"/>
        </w:rPr>
      </w:pPr>
    </w:p>
    <w:p w14:paraId="4CD5E2FD" w14:textId="77777777" w:rsidR="005F7DB9" w:rsidRPr="00A156F4" w:rsidRDefault="005F7DB9" w:rsidP="00B666CC">
      <w:pPr>
        <w:jc w:val="both"/>
        <w:rPr>
          <w:rFonts w:eastAsia="Times New Roman"/>
          <w:sz w:val="22"/>
          <w:szCs w:val="22"/>
          <w:lang w:val="es-CR" w:eastAsia="es-CR"/>
        </w:rPr>
      </w:pPr>
    </w:p>
    <w:p w14:paraId="0D655886" w14:textId="77777777" w:rsidR="00B666CC" w:rsidRPr="00A156F4" w:rsidRDefault="00B666CC" w:rsidP="00B666CC">
      <w:pPr>
        <w:pStyle w:val="Prrafodelista"/>
        <w:spacing w:after="0" w:line="240" w:lineRule="auto"/>
        <w:ind w:left="0"/>
        <w:contextualSpacing/>
        <w:jc w:val="center"/>
        <w:rPr>
          <w:rFonts w:ascii="Times New Roman" w:hAnsi="Times New Roman"/>
          <w:b/>
        </w:rPr>
      </w:pPr>
      <w:bookmarkStart w:id="24" w:name="_Hlk536805210"/>
      <w:bookmarkStart w:id="25" w:name="_Hlk278170"/>
      <w:bookmarkStart w:id="26" w:name="_Hlk361257"/>
      <w:r w:rsidRPr="00A156F4">
        <w:rPr>
          <w:rFonts w:ascii="Times New Roman" w:hAnsi="Times New Roman"/>
          <w:b/>
        </w:rPr>
        <w:t>SECCIÓN V</w:t>
      </w:r>
    </w:p>
    <w:p w14:paraId="0401C27B" w14:textId="4471E697" w:rsidR="00B666CC" w:rsidRPr="00A156F4" w:rsidRDefault="00B666CC" w:rsidP="00B666CC">
      <w:pPr>
        <w:pStyle w:val="Prrafodelista"/>
        <w:spacing w:after="0" w:line="240" w:lineRule="auto"/>
        <w:ind w:left="0"/>
        <w:contextualSpacing/>
        <w:jc w:val="center"/>
        <w:rPr>
          <w:rFonts w:ascii="Times New Roman" w:hAnsi="Times New Roman"/>
          <w:b/>
        </w:rPr>
      </w:pPr>
      <w:r w:rsidRPr="00A156F4">
        <w:rPr>
          <w:rFonts w:ascii="Times New Roman" w:hAnsi="Times New Roman"/>
          <w:b/>
        </w:rPr>
        <w:t>De los recursos dentro del procedimiento especial</w:t>
      </w:r>
    </w:p>
    <w:bookmarkEnd w:id="24"/>
    <w:p w14:paraId="60A81129" w14:textId="77777777" w:rsidR="005F7DB9" w:rsidRPr="00A156F4" w:rsidRDefault="005F7DB9" w:rsidP="00B666CC">
      <w:pPr>
        <w:pStyle w:val="Prrafodelista"/>
        <w:spacing w:after="0" w:line="240" w:lineRule="auto"/>
        <w:ind w:left="0"/>
        <w:contextualSpacing/>
        <w:jc w:val="center"/>
        <w:rPr>
          <w:rFonts w:ascii="Times New Roman" w:hAnsi="Times New Roman"/>
          <w:b/>
        </w:rPr>
      </w:pPr>
    </w:p>
    <w:p w14:paraId="528EAC31" w14:textId="77777777" w:rsidR="00B666CC" w:rsidRPr="00A156F4" w:rsidRDefault="00B666CC" w:rsidP="00B666CC">
      <w:pPr>
        <w:jc w:val="both"/>
        <w:rPr>
          <w:rFonts w:eastAsia="Times New Roman"/>
          <w:sz w:val="22"/>
          <w:szCs w:val="22"/>
          <w:lang w:val="es-CR" w:eastAsia="es-CR"/>
        </w:rPr>
      </w:pPr>
    </w:p>
    <w:p w14:paraId="4670C6E4" w14:textId="3CD385C7" w:rsidR="00B666CC" w:rsidRPr="00A156F4" w:rsidRDefault="00B666CC" w:rsidP="00B666CC">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eastAsia="en-US"/>
        </w:rPr>
        <w:t>5</w:t>
      </w:r>
      <w:r w:rsidR="00B82C4F" w:rsidRPr="00A156F4">
        <w:rPr>
          <w:rFonts w:ascii="Times New Roman" w:eastAsia="Times New Roman" w:hAnsi="Times New Roman" w:cs="Times New Roman"/>
          <w:b/>
          <w:i w:val="0"/>
          <w:iCs w:val="0"/>
          <w:color w:val="auto"/>
          <w:sz w:val="22"/>
          <w:szCs w:val="22"/>
          <w:lang w:eastAsia="en-US"/>
        </w:rPr>
        <w:t>9</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Recursos contra los actos del Órgano Superior de cada autoridad de competencia</w:t>
      </w:r>
    </w:p>
    <w:p w14:paraId="6F8AF2AA" w14:textId="77777777" w:rsidR="00B666CC" w:rsidRPr="00A156F4" w:rsidRDefault="00B666CC" w:rsidP="00B666CC">
      <w:pPr>
        <w:widowControl w:val="0"/>
        <w:jc w:val="both"/>
        <w:rPr>
          <w:rFonts w:eastAsia="Times New Roman"/>
          <w:sz w:val="22"/>
          <w:szCs w:val="22"/>
          <w:lang w:val="es-CR" w:eastAsia="es-CR"/>
        </w:rPr>
      </w:pPr>
    </w:p>
    <w:p w14:paraId="408C5BCB" w14:textId="4EDDE128" w:rsidR="00B666CC" w:rsidRPr="00A156F4" w:rsidRDefault="00B666CC" w:rsidP="00B666CC">
      <w:pPr>
        <w:widowControl w:val="0"/>
        <w:jc w:val="both"/>
        <w:rPr>
          <w:rFonts w:eastAsia="Times New Roman"/>
          <w:sz w:val="22"/>
          <w:szCs w:val="22"/>
          <w:lang w:val="es-CR" w:eastAsia="es-CR"/>
        </w:rPr>
      </w:pPr>
      <w:r w:rsidRPr="00A156F4">
        <w:rPr>
          <w:rFonts w:eastAsia="Times New Roman"/>
          <w:sz w:val="22"/>
          <w:szCs w:val="22"/>
          <w:lang w:val="es-CR" w:eastAsia="es-CR"/>
        </w:rPr>
        <w:t>Cabrá el recurso de reposición o reconsideración</w:t>
      </w:r>
      <w:r w:rsidR="00713D25" w:rsidRPr="00A156F4">
        <w:rPr>
          <w:rFonts w:eastAsia="Times New Roman"/>
          <w:sz w:val="22"/>
          <w:szCs w:val="22"/>
          <w:lang w:val="es-CR" w:eastAsia="es-CR"/>
        </w:rPr>
        <w:t>,</w:t>
      </w:r>
      <w:r w:rsidRPr="00A156F4">
        <w:rPr>
          <w:rFonts w:eastAsia="Times New Roman"/>
          <w:sz w:val="22"/>
          <w:szCs w:val="22"/>
          <w:lang w:val="es-CR" w:eastAsia="es-CR"/>
        </w:rPr>
        <w:t xml:space="preserve"> únicamente contra los siguientes actos del </w:t>
      </w:r>
      <w:r w:rsidRPr="00A156F4">
        <w:rPr>
          <w:sz w:val="22"/>
          <w:szCs w:val="22"/>
        </w:rPr>
        <w:t>Órgano Superior de la autoridad de competencia correspondiente</w:t>
      </w:r>
      <w:r w:rsidRPr="00A156F4">
        <w:rPr>
          <w:rFonts w:eastAsia="Times New Roman"/>
          <w:sz w:val="22"/>
          <w:szCs w:val="22"/>
          <w:lang w:val="es-CR" w:eastAsia="es-CR"/>
        </w:rPr>
        <w:t>:</w:t>
      </w:r>
    </w:p>
    <w:p w14:paraId="63AA5449" w14:textId="77777777" w:rsidR="00B666CC" w:rsidRPr="00A156F4" w:rsidRDefault="00B666CC" w:rsidP="00B666CC">
      <w:pPr>
        <w:pStyle w:val="Prrafodelista"/>
        <w:spacing w:after="0" w:line="240" w:lineRule="auto"/>
        <w:rPr>
          <w:rFonts w:ascii="Times New Roman" w:hAnsi="Times New Roman"/>
          <w:lang w:eastAsia="es-CR"/>
        </w:rPr>
      </w:pPr>
    </w:p>
    <w:p w14:paraId="187050AF" w14:textId="327606ED" w:rsidR="00B666CC" w:rsidRPr="00A156F4" w:rsidRDefault="00B666CC" w:rsidP="00117EE5">
      <w:pPr>
        <w:pStyle w:val="Prrafodelista1"/>
        <w:numPr>
          <w:ilvl w:val="0"/>
          <w:numId w:val="27"/>
        </w:numPr>
        <w:spacing w:after="0" w:line="240" w:lineRule="auto"/>
        <w:jc w:val="both"/>
        <w:rPr>
          <w:rFonts w:ascii="Times New Roman" w:hAnsi="Times New Roman"/>
          <w:lang w:eastAsia="es-CR"/>
        </w:rPr>
      </w:pPr>
      <w:r w:rsidRPr="00A156F4">
        <w:rPr>
          <w:rFonts w:ascii="Times New Roman" w:hAnsi="Times New Roman"/>
          <w:lang w:eastAsia="es-CR"/>
        </w:rPr>
        <w:t xml:space="preserve">La resolución que resuelve sobre </w:t>
      </w:r>
      <w:r w:rsidR="00A12C08" w:rsidRPr="00A156F4">
        <w:rPr>
          <w:rFonts w:ascii="Times New Roman" w:hAnsi="Times New Roman"/>
          <w:lang w:eastAsia="es-CR"/>
        </w:rPr>
        <w:t xml:space="preserve">una </w:t>
      </w:r>
      <w:r w:rsidRPr="00A156F4">
        <w:rPr>
          <w:rFonts w:ascii="Times New Roman" w:hAnsi="Times New Roman"/>
          <w:lang w:eastAsia="es-CR"/>
        </w:rPr>
        <w:t>solicitud de terminación anticipada.</w:t>
      </w:r>
    </w:p>
    <w:p w14:paraId="27D40D16" w14:textId="77777777" w:rsidR="00B666CC" w:rsidRPr="00A156F4" w:rsidRDefault="00B666CC" w:rsidP="00B666CC">
      <w:pPr>
        <w:pStyle w:val="Prrafodelista1"/>
        <w:spacing w:after="0" w:line="240" w:lineRule="auto"/>
        <w:ind w:left="0"/>
        <w:jc w:val="both"/>
        <w:rPr>
          <w:rFonts w:ascii="Times New Roman" w:hAnsi="Times New Roman"/>
          <w:lang w:eastAsia="es-CR"/>
        </w:rPr>
      </w:pPr>
    </w:p>
    <w:p w14:paraId="0D06D1B9" w14:textId="77777777" w:rsidR="00B666CC" w:rsidRPr="00A156F4" w:rsidRDefault="00B666CC" w:rsidP="00117EE5">
      <w:pPr>
        <w:pStyle w:val="Prrafodelista1"/>
        <w:numPr>
          <w:ilvl w:val="0"/>
          <w:numId w:val="27"/>
        </w:numPr>
        <w:spacing w:after="0" w:line="240" w:lineRule="auto"/>
        <w:jc w:val="both"/>
        <w:rPr>
          <w:rFonts w:ascii="Times New Roman" w:hAnsi="Times New Roman"/>
          <w:lang w:eastAsia="es-CR"/>
        </w:rPr>
      </w:pPr>
      <w:r w:rsidRPr="00A156F4">
        <w:rPr>
          <w:rFonts w:ascii="Times New Roman" w:hAnsi="Times New Roman"/>
          <w:lang w:eastAsia="es-CR"/>
        </w:rPr>
        <w:t>La resolución final del procedimiento.</w:t>
      </w:r>
    </w:p>
    <w:p w14:paraId="59A859AE" w14:textId="77777777" w:rsidR="00B666CC" w:rsidRPr="00A156F4" w:rsidRDefault="00B666CC" w:rsidP="00B666CC">
      <w:pPr>
        <w:pStyle w:val="Prrafodelista1"/>
        <w:spacing w:after="0" w:line="240" w:lineRule="auto"/>
        <w:ind w:left="1080"/>
        <w:jc w:val="both"/>
        <w:rPr>
          <w:rFonts w:ascii="Times New Roman" w:hAnsi="Times New Roman"/>
          <w:lang w:eastAsia="es-CR"/>
        </w:rPr>
      </w:pPr>
    </w:p>
    <w:p w14:paraId="2A85603F" w14:textId="445276DE" w:rsidR="00B666CC" w:rsidRPr="00A156F4" w:rsidRDefault="00B666CC" w:rsidP="00117EE5">
      <w:pPr>
        <w:pStyle w:val="Prrafodelista1"/>
        <w:numPr>
          <w:ilvl w:val="0"/>
          <w:numId w:val="27"/>
        </w:numPr>
        <w:spacing w:after="0" w:line="240" w:lineRule="auto"/>
        <w:jc w:val="both"/>
        <w:rPr>
          <w:rFonts w:ascii="Times New Roman" w:hAnsi="Times New Roman"/>
          <w:lang w:eastAsia="es-CR"/>
        </w:rPr>
      </w:pPr>
      <w:r w:rsidRPr="00A156F4">
        <w:rPr>
          <w:rFonts w:ascii="Times New Roman" w:hAnsi="Times New Roman"/>
          <w:lang w:eastAsia="es-CR"/>
        </w:rPr>
        <w:t>La resolución que establezca la necesidad de rendirse una garantía de tipo económico, según el artícul</w:t>
      </w:r>
      <w:r w:rsidR="004A13FB" w:rsidRPr="00A156F4">
        <w:rPr>
          <w:rFonts w:ascii="Times New Roman" w:hAnsi="Times New Roman"/>
          <w:lang w:eastAsia="es-CR"/>
        </w:rPr>
        <w:t>o 77 de</w:t>
      </w:r>
      <w:r w:rsidR="00700641">
        <w:rPr>
          <w:rFonts w:ascii="Times New Roman" w:hAnsi="Times New Roman"/>
          <w:lang w:eastAsia="es-CR"/>
        </w:rPr>
        <w:t xml:space="preserve"> la presente </w:t>
      </w:r>
      <w:r w:rsidR="004A13FB" w:rsidRPr="00A156F4">
        <w:rPr>
          <w:rFonts w:ascii="Times New Roman" w:hAnsi="Times New Roman"/>
          <w:lang w:eastAsia="es-CR"/>
        </w:rPr>
        <w:t>ley</w:t>
      </w:r>
      <w:r w:rsidRPr="00A156F4">
        <w:rPr>
          <w:rFonts w:ascii="Times New Roman" w:hAnsi="Times New Roman"/>
          <w:lang w:eastAsia="es-CR"/>
        </w:rPr>
        <w:t xml:space="preserve">. </w:t>
      </w:r>
    </w:p>
    <w:p w14:paraId="59CA2A46" w14:textId="77777777" w:rsidR="00B666CC" w:rsidRPr="00A156F4" w:rsidRDefault="00B666CC" w:rsidP="00B666CC">
      <w:pPr>
        <w:rPr>
          <w:sz w:val="22"/>
          <w:szCs w:val="22"/>
          <w:lang w:eastAsia="es-CR"/>
        </w:rPr>
      </w:pPr>
    </w:p>
    <w:p w14:paraId="3BC4B405" w14:textId="77777777" w:rsidR="00B666CC" w:rsidRPr="00A156F4" w:rsidRDefault="00B666CC" w:rsidP="00117EE5">
      <w:pPr>
        <w:pStyle w:val="Prrafodelista1"/>
        <w:numPr>
          <w:ilvl w:val="0"/>
          <w:numId w:val="27"/>
        </w:numPr>
        <w:spacing w:after="0" w:line="240" w:lineRule="auto"/>
        <w:jc w:val="both"/>
        <w:rPr>
          <w:rFonts w:ascii="Times New Roman" w:hAnsi="Times New Roman"/>
          <w:lang w:eastAsia="es-CR"/>
        </w:rPr>
      </w:pPr>
      <w:r w:rsidRPr="00A156F4">
        <w:rPr>
          <w:rFonts w:ascii="Times New Roman" w:hAnsi="Times New Roman"/>
          <w:lang w:eastAsia="es-CR"/>
        </w:rPr>
        <w:t xml:space="preserve">La resolución que resuelva una medida cautelar. </w:t>
      </w:r>
    </w:p>
    <w:p w14:paraId="043AEF93" w14:textId="77777777" w:rsidR="00B666CC" w:rsidRPr="00A156F4" w:rsidRDefault="00B666CC" w:rsidP="00B666CC">
      <w:pPr>
        <w:pStyle w:val="Prrafodelista1"/>
        <w:spacing w:after="0" w:line="240" w:lineRule="auto"/>
        <w:ind w:left="1080"/>
        <w:jc w:val="both"/>
        <w:rPr>
          <w:rFonts w:ascii="Times New Roman" w:hAnsi="Times New Roman"/>
          <w:lang w:eastAsia="es-CR"/>
        </w:rPr>
      </w:pPr>
    </w:p>
    <w:p w14:paraId="64058004" w14:textId="77777777" w:rsidR="00B666CC" w:rsidRPr="00A156F4" w:rsidRDefault="00B666CC" w:rsidP="00117EE5">
      <w:pPr>
        <w:pStyle w:val="Prrafodelista"/>
        <w:widowControl w:val="0"/>
        <w:numPr>
          <w:ilvl w:val="0"/>
          <w:numId w:val="27"/>
        </w:numPr>
        <w:spacing w:after="0" w:line="240" w:lineRule="auto"/>
        <w:jc w:val="both"/>
        <w:rPr>
          <w:rFonts w:ascii="Times New Roman" w:hAnsi="Times New Roman"/>
          <w:lang w:eastAsia="es-CR"/>
        </w:rPr>
      </w:pPr>
      <w:r w:rsidRPr="00A156F4">
        <w:rPr>
          <w:rFonts w:ascii="Times New Roman" w:hAnsi="Times New Roman"/>
          <w:lang w:eastAsia="es-CR"/>
        </w:rPr>
        <w:t>La resolución que se pronuncia sobre el carácter de confidencialidad de las piezas del expediente.</w:t>
      </w:r>
    </w:p>
    <w:p w14:paraId="420CFA56" w14:textId="77777777" w:rsidR="00B666CC" w:rsidRPr="00A156F4" w:rsidRDefault="00B666CC" w:rsidP="00B666CC">
      <w:pPr>
        <w:pStyle w:val="Prrafodelista"/>
        <w:widowControl w:val="0"/>
        <w:spacing w:after="0" w:line="240" w:lineRule="auto"/>
        <w:ind w:left="1080"/>
        <w:jc w:val="both"/>
        <w:rPr>
          <w:rFonts w:ascii="Times New Roman" w:hAnsi="Times New Roman"/>
          <w:lang w:eastAsia="es-CR"/>
        </w:rPr>
      </w:pPr>
    </w:p>
    <w:p w14:paraId="06EC89C4" w14:textId="77777777" w:rsidR="00B666CC" w:rsidRPr="00A156F4" w:rsidRDefault="00B666CC" w:rsidP="00117EE5">
      <w:pPr>
        <w:pStyle w:val="Prrafodelista"/>
        <w:widowControl w:val="0"/>
        <w:numPr>
          <w:ilvl w:val="0"/>
          <w:numId w:val="27"/>
        </w:numPr>
        <w:spacing w:after="0" w:line="240" w:lineRule="auto"/>
        <w:jc w:val="both"/>
        <w:rPr>
          <w:rFonts w:ascii="Times New Roman" w:hAnsi="Times New Roman"/>
          <w:lang w:eastAsia="es-CR"/>
        </w:rPr>
      </w:pPr>
      <w:r w:rsidRPr="00A156F4">
        <w:rPr>
          <w:rFonts w:ascii="Times New Roman" w:hAnsi="Times New Roman"/>
          <w:lang w:eastAsia="es-CR"/>
        </w:rPr>
        <w:t xml:space="preserve">Las solicitudes de información. </w:t>
      </w:r>
    </w:p>
    <w:p w14:paraId="3B6DD37C" w14:textId="77777777" w:rsidR="00B666CC" w:rsidRPr="00A156F4" w:rsidRDefault="00B666CC" w:rsidP="00B666CC">
      <w:pPr>
        <w:pStyle w:val="Prrafodelista1"/>
        <w:spacing w:after="0" w:line="240" w:lineRule="auto"/>
        <w:ind w:left="0"/>
        <w:jc w:val="both"/>
        <w:rPr>
          <w:rFonts w:ascii="Times New Roman" w:hAnsi="Times New Roman"/>
          <w:lang w:eastAsia="es-CR"/>
        </w:rPr>
      </w:pPr>
    </w:p>
    <w:p w14:paraId="038AD6B9" w14:textId="40681882" w:rsidR="00B666CC" w:rsidRPr="00A156F4" w:rsidRDefault="00B666CC" w:rsidP="005F7DB9">
      <w:pPr>
        <w:widowControl w:val="0"/>
        <w:jc w:val="both"/>
        <w:rPr>
          <w:sz w:val="22"/>
          <w:szCs w:val="22"/>
          <w:lang w:eastAsia="es-CR"/>
        </w:rPr>
      </w:pPr>
      <w:r w:rsidRPr="00A156F4">
        <w:rPr>
          <w:sz w:val="22"/>
          <w:szCs w:val="22"/>
          <w:lang w:eastAsia="es-CR"/>
        </w:rPr>
        <w:t>El plazo para interponer el recurso contra las resoluciones indicadas en los incisos a) y b) será de 15 días hábiles</w:t>
      </w:r>
      <w:r w:rsidR="00713D25" w:rsidRPr="00A156F4">
        <w:rPr>
          <w:sz w:val="22"/>
          <w:szCs w:val="22"/>
          <w:lang w:eastAsia="es-CR"/>
        </w:rPr>
        <w:t>,</w:t>
      </w:r>
      <w:r w:rsidR="00A94C6A" w:rsidRPr="00A156F4">
        <w:rPr>
          <w:sz w:val="22"/>
          <w:szCs w:val="22"/>
          <w:lang w:eastAsia="es-CR"/>
        </w:rPr>
        <w:t xml:space="preserve"> contados</w:t>
      </w:r>
      <w:r w:rsidRPr="00A156F4">
        <w:rPr>
          <w:sz w:val="22"/>
          <w:szCs w:val="22"/>
          <w:lang w:eastAsia="es-CR"/>
        </w:rPr>
        <w:t xml:space="preserve"> a partir del día hábil siguiente a la última comunicación del acto. En los demás casos, el plazo será de tres días hábiles</w:t>
      </w:r>
      <w:r w:rsidR="00713D25" w:rsidRPr="00A156F4">
        <w:rPr>
          <w:sz w:val="22"/>
          <w:szCs w:val="22"/>
          <w:lang w:eastAsia="es-CR"/>
        </w:rPr>
        <w:t>,</w:t>
      </w:r>
      <w:r w:rsidRPr="00A156F4">
        <w:rPr>
          <w:sz w:val="22"/>
          <w:szCs w:val="22"/>
          <w:lang w:eastAsia="es-CR"/>
        </w:rPr>
        <w:t xml:space="preserve"> contados a partir del día hábil siguiente a la última comunicación del acto. Todos los recursos deberán ser resueltos por el Órgano Superior</w:t>
      </w:r>
      <w:r w:rsidR="001960A5" w:rsidRPr="00A156F4">
        <w:rPr>
          <w:sz w:val="22"/>
          <w:szCs w:val="22"/>
          <w:lang w:eastAsia="es-CR"/>
        </w:rPr>
        <w:t>,</w:t>
      </w:r>
      <w:r w:rsidRPr="00A156F4">
        <w:rPr>
          <w:sz w:val="22"/>
          <w:szCs w:val="22"/>
          <w:lang w:eastAsia="es-CR"/>
        </w:rPr>
        <w:t xml:space="preserve"> en un plazo máximo de 15 días hábiles.</w:t>
      </w:r>
    </w:p>
    <w:p w14:paraId="005C28F7" w14:textId="77777777" w:rsidR="00B666CC" w:rsidRPr="00A156F4" w:rsidRDefault="00B666CC" w:rsidP="00B666CC">
      <w:pPr>
        <w:widowControl w:val="0"/>
        <w:jc w:val="both"/>
        <w:rPr>
          <w:sz w:val="22"/>
          <w:szCs w:val="22"/>
          <w:lang w:eastAsia="es-CR"/>
        </w:rPr>
      </w:pPr>
    </w:p>
    <w:p w14:paraId="6A9C3038" w14:textId="12CF5737" w:rsidR="00B666CC" w:rsidRPr="00A156F4" w:rsidRDefault="00B666CC" w:rsidP="00B666CC">
      <w:pPr>
        <w:widowControl w:val="0"/>
        <w:jc w:val="both"/>
        <w:rPr>
          <w:b/>
          <w:sz w:val="22"/>
          <w:szCs w:val="22"/>
          <w:lang w:eastAsia="es-CR"/>
        </w:rPr>
      </w:pPr>
      <w:r w:rsidRPr="00A156F4">
        <w:rPr>
          <w:b/>
          <w:sz w:val="22"/>
          <w:szCs w:val="22"/>
          <w:lang w:eastAsia="es-CR"/>
        </w:rPr>
        <w:t>Artículo 6</w:t>
      </w:r>
      <w:r w:rsidR="00B82C4F" w:rsidRPr="00A156F4">
        <w:rPr>
          <w:b/>
          <w:sz w:val="22"/>
          <w:szCs w:val="22"/>
          <w:lang w:eastAsia="es-CR"/>
        </w:rPr>
        <w:t>0</w:t>
      </w:r>
      <w:r w:rsidRPr="00A156F4">
        <w:rPr>
          <w:b/>
          <w:sz w:val="22"/>
          <w:szCs w:val="22"/>
          <w:lang w:eastAsia="es-CR"/>
        </w:rPr>
        <w:t>.- Recursos contra actos emitidos por los encargados de investigaciones e instrucción del Órgano Técnico de cada autoridad de competencia</w:t>
      </w:r>
    </w:p>
    <w:p w14:paraId="04F2BFCC" w14:textId="77777777" w:rsidR="00B666CC" w:rsidRPr="00A156F4" w:rsidRDefault="00B666CC" w:rsidP="00B666CC">
      <w:pPr>
        <w:widowControl w:val="0"/>
        <w:jc w:val="both"/>
        <w:rPr>
          <w:sz w:val="22"/>
          <w:szCs w:val="22"/>
          <w:lang w:eastAsia="es-CR"/>
        </w:rPr>
      </w:pPr>
    </w:p>
    <w:p w14:paraId="5F6E1257" w14:textId="6D817E80" w:rsidR="00EF0A8F" w:rsidRPr="00A156F4" w:rsidRDefault="00EF0A8F" w:rsidP="00B666CC">
      <w:pPr>
        <w:widowControl w:val="0"/>
        <w:jc w:val="both"/>
        <w:rPr>
          <w:sz w:val="22"/>
          <w:szCs w:val="22"/>
          <w:lang w:eastAsia="es-CR"/>
        </w:rPr>
      </w:pPr>
      <w:r w:rsidRPr="00A156F4">
        <w:rPr>
          <w:rFonts w:eastAsia="Times New Roman"/>
          <w:sz w:val="22"/>
          <w:szCs w:val="22"/>
          <w:lang w:val="es-CR" w:eastAsia="es-CR"/>
        </w:rPr>
        <w:t xml:space="preserve">Cabrá el recurso de revocatoria únicamente contra los siguientes actos que emitan </w:t>
      </w:r>
      <w:r w:rsidRPr="00A156F4">
        <w:rPr>
          <w:sz w:val="22"/>
          <w:szCs w:val="22"/>
          <w:lang w:eastAsia="es-CR"/>
        </w:rPr>
        <w:t>los encargados de investigaci</w:t>
      </w:r>
      <w:r w:rsidR="00713D25" w:rsidRPr="00A156F4">
        <w:rPr>
          <w:sz w:val="22"/>
          <w:szCs w:val="22"/>
          <w:lang w:eastAsia="es-CR"/>
        </w:rPr>
        <w:t>ón</w:t>
      </w:r>
      <w:r w:rsidRPr="00A156F4">
        <w:rPr>
          <w:sz w:val="22"/>
          <w:szCs w:val="22"/>
          <w:lang w:eastAsia="es-CR"/>
        </w:rPr>
        <w:t xml:space="preserve"> e instrucción</w:t>
      </w:r>
      <w:r w:rsidR="00713D25" w:rsidRPr="00A156F4">
        <w:rPr>
          <w:sz w:val="22"/>
          <w:szCs w:val="22"/>
          <w:lang w:eastAsia="es-CR"/>
        </w:rPr>
        <w:t>,</w:t>
      </w:r>
      <w:r w:rsidRPr="00A156F4">
        <w:rPr>
          <w:sz w:val="22"/>
          <w:szCs w:val="22"/>
          <w:lang w:eastAsia="es-CR"/>
        </w:rPr>
        <w:t xml:space="preserve"> del Órgano Técnico de la autoridad de competencia correspondiente:</w:t>
      </w:r>
    </w:p>
    <w:p w14:paraId="1BAA3286" w14:textId="6B60FE84" w:rsidR="00EF0A8F" w:rsidRPr="00A156F4" w:rsidRDefault="00EF0A8F" w:rsidP="00B666CC">
      <w:pPr>
        <w:widowControl w:val="0"/>
        <w:jc w:val="both"/>
        <w:rPr>
          <w:sz w:val="22"/>
          <w:szCs w:val="22"/>
          <w:lang w:eastAsia="es-CR"/>
        </w:rPr>
      </w:pPr>
    </w:p>
    <w:p w14:paraId="3EF47651" w14:textId="77777777" w:rsidR="00EF0A8F" w:rsidRPr="00A156F4" w:rsidRDefault="00EF0A8F" w:rsidP="00117EE5">
      <w:pPr>
        <w:pStyle w:val="Prrafodelista"/>
        <w:widowControl w:val="0"/>
        <w:numPr>
          <w:ilvl w:val="0"/>
          <w:numId w:val="31"/>
        </w:numPr>
        <w:spacing w:after="0" w:line="240" w:lineRule="auto"/>
        <w:jc w:val="both"/>
        <w:rPr>
          <w:rFonts w:ascii="Times New Roman" w:hAnsi="Times New Roman"/>
          <w:lang w:eastAsia="es-CR"/>
        </w:rPr>
      </w:pPr>
      <w:r w:rsidRPr="00A156F4">
        <w:rPr>
          <w:rFonts w:ascii="Times New Roman" w:hAnsi="Times New Roman"/>
          <w:lang w:eastAsia="es-CR"/>
        </w:rPr>
        <w:t>La resolución que se pronuncia sobre el carácter de confidencialidad de las piezas del expediente.</w:t>
      </w:r>
    </w:p>
    <w:p w14:paraId="436BC7B6" w14:textId="77777777" w:rsidR="00EF0A8F" w:rsidRPr="00A156F4" w:rsidRDefault="00EF0A8F" w:rsidP="00EF0A8F">
      <w:pPr>
        <w:pStyle w:val="Prrafodelista"/>
        <w:widowControl w:val="0"/>
        <w:spacing w:after="0" w:line="240" w:lineRule="auto"/>
        <w:ind w:left="1080"/>
        <w:jc w:val="both"/>
        <w:rPr>
          <w:rFonts w:ascii="Times New Roman" w:hAnsi="Times New Roman"/>
          <w:lang w:eastAsia="es-CR"/>
        </w:rPr>
      </w:pPr>
    </w:p>
    <w:p w14:paraId="159FEE67" w14:textId="56807F08" w:rsidR="00EF0A8F" w:rsidRPr="00A156F4" w:rsidRDefault="00EF0A8F" w:rsidP="00270761">
      <w:pPr>
        <w:pStyle w:val="Prrafodelista"/>
        <w:widowControl w:val="0"/>
        <w:numPr>
          <w:ilvl w:val="0"/>
          <w:numId w:val="31"/>
        </w:numPr>
        <w:spacing w:after="0" w:line="240" w:lineRule="auto"/>
        <w:jc w:val="both"/>
        <w:rPr>
          <w:rFonts w:ascii="Times New Roman" w:hAnsi="Times New Roman"/>
          <w:lang w:eastAsia="es-CR"/>
        </w:rPr>
      </w:pPr>
      <w:r w:rsidRPr="00A156F4">
        <w:rPr>
          <w:rFonts w:ascii="Times New Roman" w:hAnsi="Times New Roman"/>
          <w:lang w:eastAsia="es-CR"/>
        </w:rPr>
        <w:t xml:space="preserve">Las solicitudes de información. </w:t>
      </w:r>
    </w:p>
    <w:p w14:paraId="6AF321F4" w14:textId="77777777" w:rsidR="00EF0A8F" w:rsidRPr="00A156F4" w:rsidRDefault="00EF0A8F" w:rsidP="00B666CC">
      <w:pPr>
        <w:widowControl w:val="0"/>
        <w:jc w:val="both"/>
        <w:rPr>
          <w:sz w:val="22"/>
          <w:szCs w:val="22"/>
          <w:lang w:eastAsia="es-CR"/>
        </w:rPr>
      </w:pPr>
    </w:p>
    <w:p w14:paraId="6FB4A2BD" w14:textId="1CC27444" w:rsidR="00B666CC" w:rsidRPr="00A156F4" w:rsidRDefault="00B666CC" w:rsidP="00B666CC">
      <w:pPr>
        <w:widowControl w:val="0"/>
        <w:jc w:val="both"/>
        <w:rPr>
          <w:sz w:val="22"/>
          <w:szCs w:val="22"/>
          <w:lang w:eastAsia="es-CR"/>
        </w:rPr>
      </w:pPr>
      <w:r w:rsidRPr="00A156F4">
        <w:rPr>
          <w:sz w:val="22"/>
          <w:szCs w:val="22"/>
          <w:lang w:eastAsia="es-CR"/>
        </w:rPr>
        <w:t xml:space="preserve">Contra los siguientes actos que emitan los encargados de investigaciones e instrucción del Órgano Técnico de la autoridad de competencia correspondiente, cabrá únicamente recurso de apelación ante el encargado del Órgano Técnico respectivo: </w:t>
      </w:r>
    </w:p>
    <w:p w14:paraId="1622FCFB" w14:textId="77777777" w:rsidR="00586618" w:rsidRPr="00A156F4" w:rsidRDefault="00586618" w:rsidP="00586618">
      <w:pPr>
        <w:pStyle w:val="Prrafodelista1"/>
        <w:spacing w:after="0" w:line="240" w:lineRule="auto"/>
        <w:ind w:left="0"/>
        <w:jc w:val="both"/>
        <w:rPr>
          <w:rFonts w:ascii="Times New Roman" w:hAnsi="Times New Roman"/>
          <w:lang w:eastAsia="es-CR"/>
        </w:rPr>
      </w:pPr>
      <w:bookmarkStart w:id="27" w:name="_Hlk536013194"/>
    </w:p>
    <w:p w14:paraId="379CCB93" w14:textId="43B04B9A" w:rsidR="00586618" w:rsidRPr="00A156F4" w:rsidRDefault="00586618" w:rsidP="00586618">
      <w:pPr>
        <w:pStyle w:val="Prrafodelista1"/>
        <w:numPr>
          <w:ilvl w:val="0"/>
          <w:numId w:val="31"/>
        </w:numPr>
        <w:spacing w:after="0" w:line="240" w:lineRule="auto"/>
        <w:jc w:val="both"/>
        <w:rPr>
          <w:rFonts w:ascii="Times New Roman" w:hAnsi="Times New Roman"/>
          <w:lang w:eastAsia="es-CR"/>
        </w:rPr>
      </w:pPr>
      <w:r w:rsidRPr="00A156F4">
        <w:rPr>
          <w:rFonts w:ascii="Times New Roman" w:hAnsi="Times New Roman"/>
          <w:lang w:eastAsia="es-CR"/>
        </w:rPr>
        <w:t xml:space="preserve">La resolución que resuelva una medida cautelar. </w:t>
      </w:r>
    </w:p>
    <w:p w14:paraId="5147804F" w14:textId="77777777" w:rsidR="00586618" w:rsidRPr="00A156F4" w:rsidRDefault="00586618" w:rsidP="00586618">
      <w:pPr>
        <w:widowControl w:val="0"/>
        <w:jc w:val="both"/>
        <w:rPr>
          <w:sz w:val="22"/>
          <w:szCs w:val="22"/>
          <w:lang w:eastAsia="es-CR"/>
        </w:rPr>
      </w:pPr>
    </w:p>
    <w:p w14:paraId="0799652E" w14:textId="3D1A3D86" w:rsidR="00B666CC" w:rsidRPr="00A156F4" w:rsidRDefault="00B666CC" w:rsidP="00586618">
      <w:pPr>
        <w:pStyle w:val="Prrafodelista"/>
        <w:widowControl w:val="0"/>
        <w:numPr>
          <w:ilvl w:val="0"/>
          <w:numId w:val="31"/>
        </w:numPr>
        <w:jc w:val="both"/>
        <w:rPr>
          <w:rFonts w:ascii="Times New Roman" w:eastAsiaTheme="minorHAnsi" w:hAnsi="Times New Roman"/>
          <w:lang w:val="es-ES_tradnl" w:eastAsia="es-CR"/>
        </w:rPr>
      </w:pPr>
      <w:r w:rsidRPr="00A156F4">
        <w:rPr>
          <w:rFonts w:ascii="Times New Roman" w:eastAsiaTheme="minorHAnsi" w:hAnsi="Times New Roman"/>
          <w:lang w:val="es-ES_tradnl" w:eastAsia="es-CR"/>
        </w:rPr>
        <w:t>La resolución que ordena el inicio de la etapa de instrucción y el traslado de cargos.</w:t>
      </w:r>
    </w:p>
    <w:p w14:paraId="22CB46CB" w14:textId="77777777" w:rsidR="00B666CC" w:rsidRPr="00A156F4" w:rsidRDefault="00B666CC" w:rsidP="00586618">
      <w:pPr>
        <w:widowControl w:val="0"/>
        <w:jc w:val="both"/>
        <w:rPr>
          <w:sz w:val="22"/>
          <w:szCs w:val="22"/>
          <w:lang w:eastAsia="es-CR"/>
        </w:rPr>
      </w:pPr>
    </w:p>
    <w:p w14:paraId="6B678C3F" w14:textId="77777777" w:rsidR="00B666CC" w:rsidRPr="00A156F4" w:rsidRDefault="00B666CC" w:rsidP="00586618">
      <w:pPr>
        <w:pStyle w:val="Prrafodelista"/>
        <w:widowControl w:val="0"/>
        <w:numPr>
          <w:ilvl w:val="0"/>
          <w:numId w:val="31"/>
        </w:numPr>
        <w:spacing w:after="0" w:line="240" w:lineRule="auto"/>
        <w:jc w:val="both"/>
        <w:rPr>
          <w:rFonts w:ascii="Times New Roman" w:hAnsi="Times New Roman"/>
          <w:lang w:eastAsia="es-CR"/>
        </w:rPr>
      </w:pPr>
      <w:r w:rsidRPr="00A156F4">
        <w:rPr>
          <w:rFonts w:ascii="Times New Roman" w:hAnsi="Times New Roman"/>
          <w:lang w:eastAsia="es-CR"/>
        </w:rPr>
        <w:t>La resolución que ordena la ampliación o modificación del auto de inicio de la etapa de instrucción y el traslado de cargos.</w:t>
      </w:r>
    </w:p>
    <w:p w14:paraId="7E7C370E" w14:textId="77777777" w:rsidR="00B666CC" w:rsidRPr="00A156F4" w:rsidRDefault="00B666CC" w:rsidP="00B666CC">
      <w:pPr>
        <w:pStyle w:val="Prrafodelista"/>
        <w:widowControl w:val="0"/>
        <w:spacing w:after="0" w:line="240" w:lineRule="auto"/>
        <w:ind w:left="1080"/>
        <w:jc w:val="both"/>
        <w:rPr>
          <w:rFonts w:ascii="Times New Roman" w:hAnsi="Times New Roman"/>
          <w:lang w:eastAsia="es-CR"/>
        </w:rPr>
      </w:pPr>
    </w:p>
    <w:p w14:paraId="7E59231F" w14:textId="029074D5" w:rsidR="00B666CC" w:rsidRPr="00A156F4" w:rsidRDefault="00B666CC" w:rsidP="00586618">
      <w:pPr>
        <w:pStyle w:val="Prrafodelista"/>
        <w:widowControl w:val="0"/>
        <w:numPr>
          <w:ilvl w:val="0"/>
          <w:numId w:val="31"/>
        </w:numPr>
        <w:spacing w:after="0" w:line="240" w:lineRule="auto"/>
        <w:jc w:val="both"/>
        <w:rPr>
          <w:rFonts w:ascii="Times New Roman" w:hAnsi="Times New Roman"/>
          <w:lang w:eastAsia="es-CR"/>
        </w:rPr>
      </w:pPr>
      <w:r w:rsidRPr="00A156F4">
        <w:rPr>
          <w:rFonts w:ascii="Times New Roman" w:hAnsi="Times New Roman"/>
          <w:lang w:eastAsia="es-CR"/>
        </w:rPr>
        <w:t>La resolución que rechace la denuncia en términos del inciso a) del artículo 34</w:t>
      </w:r>
      <w:r w:rsidR="004A13FB" w:rsidRPr="00A156F4">
        <w:rPr>
          <w:rFonts w:ascii="Times New Roman" w:hAnsi="Times New Roman"/>
          <w:lang w:eastAsia="es-CR"/>
        </w:rPr>
        <w:t>.</w:t>
      </w:r>
    </w:p>
    <w:p w14:paraId="29A82775" w14:textId="77777777" w:rsidR="00EF0A8F" w:rsidRPr="00A156F4" w:rsidRDefault="00EF0A8F" w:rsidP="00EF0A8F">
      <w:pPr>
        <w:widowControl w:val="0"/>
        <w:jc w:val="both"/>
        <w:rPr>
          <w:sz w:val="22"/>
          <w:szCs w:val="22"/>
          <w:lang w:eastAsia="es-CR"/>
        </w:rPr>
      </w:pPr>
    </w:p>
    <w:p w14:paraId="6687DC54" w14:textId="77777777" w:rsidR="00B666CC" w:rsidRPr="00A156F4" w:rsidRDefault="00B666CC" w:rsidP="00586618">
      <w:pPr>
        <w:pStyle w:val="Prrafodelista"/>
        <w:widowControl w:val="0"/>
        <w:numPr>
          <w:ilvl w:val="0"/>
          <w:numId w:val="31"/>
        </w:numPr>
        <w:spacing w:after="0" w:line="240" w:lineRule="auto"/>
        <w:jc w:val="both"/>
        <w:rPr>
          <w:rFonts w:ascii="Times New Roman" w:hAnsi="Times New Roman"/>
          <w:lang w:eastAsia="es-CR"/>
        </w:rPr>
      </w:pPr>
      <w:r w:rsidRPr="00A156F4">
        <w:rPr>
          <w:rFonts w:ascii="Times New Roman" w:hAnsi="Times New Roman"/>
          <w:lang w:eastAsia="es-CR"/>
        </w:rPr>
        <w:t>La desestimación.</w:t>
      </w:r>
    </w:p>
    <w:p w14:paraId="73C3E5A8" w14:textId="77777777" w:rsidR="00B666CC" w:rsidRPr="00A156F4" w:rsidRDefault="00B666CC" w:rsidP="00B666CC">
      <w:pPr>
        <w:widowControl w:val="0"/>
        <w:jc w:val="both"/>
        <w:rPr>
          <w:sz w:val="22"/>
          <w:szCs w:val="22"/>
          <w:lang w:eastAsia="es-CR"/>
        </w:rPr>
      </w:pPr>
    </w:p>
    <w:p w14:paraId="3D4E64AE" w14:textId="4E513494" w:rsidR="00B666CC" w:rsidRPr="00A156F4" w:rsidRDefault="00B666CC" w:rsidP="00B666CC">
      <w:pPr>
        <w:widowControl w:val="0"/>
        <w:jc w:val="both"/>
        <w:rPr>
          <w:sz w:val="22"/>
          <w:szCs w:val="22"/>
          <w:lang w:eastAsia="es-CR"/>
        </w:rPr>
      </w:pPr>
      <w:r w:rsidRPr="00A156F4">
        <w:rPr>
          <w:sz w:val="22"/>
          <w:szCs w:val="22"/>
          <w:lang w:eastAsia="es-CR"/>
        </w:rPr>
        <w:t xml:space="preserve">El plazo para interponer el recurso contra las resoluciones indicadas en los incisos </w:t>
      </w:r>
      <w:r w:rsidR="00270761" w:rsidRPr="00A156F4">
        <w:rPr>
          <w:sz w:val="22"/>
          <w:szCs w:val="22"/>
          <w:lang w:eastAsia="es-CR"/>
        </w:rPr>
        <w:t>c</w:t>
      </w:r>
      <w:r w:rsidRPr="00A156F4">
        <w:rPr>
          <w:sz w:val="22"/>
          <w:szCs w:val="22"/>
          <w:lang w:eastAsia="es-CR"/>
        </w:rPr>
        <w:t>)</w:t>
      </w:r>
      <w:r w:rsidR="006C23AC" w:rsidRPr="00A156F4">
        <w:rPr>
          <w:sz w:val="22"/>
          <w:szCs w:val="22"/>
          <w:lang w:eastAsia="es-CR"/>
        </w:rPr>
        <w:t xml:space="preserve">, </w:t>
      </w:r>
      <w:r w:rsidR="00270761" w:rsidRPr="00A156F4">
        <w:rPr>
          <w:sz w:val="22"/>
          <w:szCs w:val="22"/>
          <w:lang w:eastAsia="es-CR"/>
        </w:rPr>
        <w:t>d</w:t>
      </w:r>
      <w:r w:rsidR="006C23AC" w:rsidRPr="00A156F4">
        <w:rPr>
          <w:sz w:val="22"/>
          <w:szCs w:val="22"/>
          <w:lang w:eastAsia="es-CR"/>
        </w:rPr>
        <w:t>)</w:t>
      </w:r>
      <w:r w:rsidR="00586618" w:rsidRPr="00A156F4">
        <w:rPr>
          <w:sz w:val="22"/>
          <w:szCs w:val="22"/>
          <w:lang w:eastAsia="es-CR"/>
        </w:rPr>
        <w:t>,</w:t>
      </w:r>
      <w:r w:rsidR="006C23AC" w:rsidRPr="00A156F4">
        <w:rPr>
          <w:sz w:val="22"/>
          <w:szCs w:val="22"/>
          <w:lang w:eastAsia="es-CR"/>
        </w:rPr>
        <w:t xml:space="preserve"> </w:t>
      </w:r>
      <w:r w:rsidR="00270761" w:rsidRPr="00A156F4">
        <w:rPr>
          <w:sz w:val="22"/>
          <w:szCs w:val="22"/>
          <w:lang w:eastAsia="es-CR"/>
        </w:rPr>
        <w:t>e</w:t>
      </w:r>
      <w:r w:rsidR="006C23AC" w:rsidRPr="00A156F4">
        <w:rPr>
          <w:sz w:val="22"/>
          <w:szCs w:val="22"/>
          <w:lang w:eastAsia="es-CR"/>
        </w:rPr>
        <w:t>)</w:t>
      </w:r>
      <w:r w:rsidR="00270761" w:rsidRPr="00A156F4">
        <w:rPr>
          <w:sz w:val="22"/>
          <w:szCs w:val="22"/>
          <w:lang w:eastAsia="es-CR"/>
        </w:rPr>
        <w:t>, f)</w:t>
      </w:r>
      <w:r w:rsidR="00586618" w:rsidRPr="00A156F4">
        <w:rPr>
          <w:sz w:val="22"/>
          <w:szCs w:val="22"/>
          <w:lang w:eastAsia="es-CR"/>
        </w:rPr>
        <w:t xml:space="preserve"> y </w:t>
      </w:r>
      <w:r w:rsidR="00270761" w:rsidRPr="00A156F4">
        <w:rPr>
          <w:sz w:val="22"/>
          <w:szCs w:val="22"/>
          <w:lang w:eastAsia="es-CR"/>
        </w:rPr>
        <w:t>g</w:t>
      </w:r>
      <w:r w:rsidR="00586618" w:rsidRPr="00A156F4">
        <w:rPr>
          <w:sz w:val="22"/>
          <w:szCs w:val="22"/>
          <w:lang w:eastAsia="es-CR"/>
        </w:rPr>
        <w:t>)</w:t>
      </w:r>
      <w:r w:rsidRPr="00A156F4">
        <w:rPr>
          <w:sz w:val="22"/>
          <w:szCs w:val="22"/>
          <w:lang w:eastAsia="es-CR"/>
        </w:rPr>
        <w:t xml:space="preserve"> será de 15 días hábiles</w:t>
      </w:r>
      <w:r w:rsidR="00713D25" w:rsidRPr="00A156F4">
        <w:rPr>
          <w:sz w:val="22"/>
          <w:szCs w:val="22"/>
          <w:lang w:eastAsia="es-CR"/>
        </w:rPr>
        <w:t>, contados</w:t>
      </w:r>
      <w:r w:rsidRPr="00A156F4">
        <w:rPr>
          <w:sz w:val="22"/>
          <w:szCs w:val="22"/>
          <w:lang w:eastAsia="es-CR"/>
        </w:rPr>
        <w:t xml:space="preserve"> a partir del día hábil siguiente a la última comunicación del acto. </w:t>
      </w:r>
      <w:r w:rsidR="00713D25" w:rsidRPr="00A156F4">
        <w:rPr>
          <w:sz w:val="22"/>
          <w:szCs w:val="22"/>
          <w:lang w:eastAsia="es-CR"/>
        </w:rPr>
        <w:t>En los demás casos, e</w:t>
      </w:r>
      <w:r w:rsidRPr="00A156F4">
        <w:rPr>
          <w:sz w:val="22"/>
          <w:szCs w:val="22"/>
          <w:lang w:eastAsia="es-CR"/>
        </w:rPr>
        <w:t>l plazo será de tres días hábiles, contados a partir del día hábil siguiente a la última comunicación del acto.</w:t>
      </w:r>
      <w:r w:rsidR="003F0E57" w:rsidRPr="00A156F4">
        <w:rPr>
          <w:sz w:val="22"/>
          <w:szCs w:val="22"/>
          <w:lang w:eastAsia="es-CR"/>
        </w:rPr>
        <w:t xml:space="preserve"> Los</w:t>
      </w:r>
      <w:r w:rsidRPr="00A156F4">
        <w:rPr>
          <w:sz w:val="22"/>
          <w:szCs w:val="22"/>
          <w:lang w:eastAsia="es-CR"/>
        </w:rPr>
        <w:t xml:space="preserve"> recurso</w:t>
      </w:r>
      <w:r w:rsidR="003F0E57" w:rsidRPr="00A156F4">
        <w:rPr>
          <w:sz w:val="22"/>
          <w:szCs w:val="22"/>
          <w:lang w:eastAsia="es-CR"/>
        </w:rPr>
        <w:t>s</w:t>
      </w:r>
      <w:r w:rsidRPr="00A156F4">
        <w:rPr>
          <w:sz w:val="22"/>
          <w:szCs w:val="22"/>
          <w:lang w:eastAsia="es-CR"/>
        </w:rPr>
        <w:t xml:space="preserve"> deberá</w:t>
      </w:r>
      <w:r w:rsidR="003F0E57" w:rsidRPr="00A156F4">
        <w:rPr>
          <w:sz w:val="22"/>
          <w:szCs w:val="22"/>
          <w:lang w:eastAsia="es-CR"/>
        </w:rPr>
        <w:t>n</w:t>
      </w:r>
      <w:r w:rsidRPr="00A156F4">
        <w:rPr>
          <w:sz w:val="22"/>
          <w:szCs w:val="22"/>
          <w:lang w:eastAsia="es-CR"/>
        </w:rPr>
        <w:t xml:space="preserve"> ser resuelto</w:t>
      </w:r>
      <w:r w:rsidR="003F0E57" w:rsidRPr="00A156F4">
        <w:rPr>
          <w:sz w:val="22"/>
          <w:szCs w:val="22"/>
          <w:lang w:eastAsia="es-CR"/>
        </w:rPr>
        <w:t>s</w:t>
      </w:r>
      <w:r w:rsidRPr="00A156F4">
        <w:rPr>
          <w:sz w:val="22"/>
          <w:szCs w:val="22"/>
          <w:lang w:eastAsia="es-CR"/>
        </w:rPr>
        <w:t xml:space="preserve"> en un plazo máximo de 15 días hábiles.</w:t>
      </w:r>
    </w:p>
    <w:bookmarkEnd w:id="27"/>
    <w:p w14:paraId="03792A6D" w14:textId="77777777" w:rsidR="00B666CC" w:rsidRPr="00A156F4" w:rsidRDefault="00B666CC" w:rsidP="00B666CC">
      <w:pPr>
        <w:pStyle w:val="Ttulo4"/>
        <w:keepNext w:val="0"/>
        <w:keepLines w:val="0"/>
        <w:spacing w:before="0"/>
        <w:contextualSpacing/>
        <w:jc w:val="both"/>
        <w:rPr>
          <w:rFonts w:ascii="Times New Roman" w:eastAsiaTheme="minorHAnsi" w:hAnsi="Times New Roman" w:cs="Times New Roman"/>
          <w:b/>
          <w:i w:val="0"/>
          <w:color w:val="auto"/>
          <w:sz w:val="22"/>
          <w:szCs w:val="22"/>
        </w:rPr>
      </w:pPr>
    </w:p>
    <w:p w14:paraId="5A5D4873" w14:textId="707649A9" w:rsidR="00B666CC" w:rsidRPr="00A156F4" w:rsidRDefault="00B666CC" w:rsidP="00B666CC">
      <w:pPr>
        <w:widowControl w:val="0"/>
        <w:jc w:val="both"/>
        <w:rPr>
          <w:b/>
          <w:sz w:val="22"/>
          <w:szCs w:val="22"/>
          <w:lang w:eastAsia="es-CR"/>
        </w:rPr>
      </w:pPr>
      <w:bookmarkStart w:id="28" w:name="_Hlk536013253"/>
      <w:r w:rsidRPr="00A156F4">
        <w:rPr>
          <w:b/>
          <w:sz w:val="22"/>
          <w:szCs w:val="22"/>
          <w:lang w:eastAsia="es-CR"/>
        </w:rPr>
        <w:t xml:space="preserve">Artículo </w:t>
      </w:r>
      <w:r w:rsidR="00B82C4F" w:rsidRPr="00A156F4">
        <w:rPr>
          <w:b/>
          <w:sz w:val="22"/>
          <w:szCs w:val="22"/>
          <w:lang w:eastAsia="es-CR"/>
        </w:rPr>
        <w:t>61</w:t>
      </w:r>
      <w:r w:rsidRPr="00A156F4">
        <w:rPr>
          <w:b/>
          <w:sz w:val="22"/>
          <w:szCs w:val="22"/>
          <w:lang w:eastAsia="es-CR"/>
        </w:rPr>
        <w:t>.- Recursos contra actos emitidos por el Órgano Instructor</w:t>
      </w:r>
    </w:p>
    <w:p w14:paraId="47B14E1A" w14:textId="77777777" w:rsidR="00B666CC" w:rsidRPr="00A156F4" w:rsidRDefault="00B666CC" w:rsidP="00B666CC">
      <w:pPr>
        <w:widowControl w:val="0"/>
        <w:jc w:val="both"/>
        <w:rPr>
          <w:sz w:val="22"/>
          <w:szCs w:val="22"/>
          <w:lang w:eastAsia="es-CR"/>
        </w:rPr>
      </w:pPr>
    </w:p>
    <w:p w14:paraId="780E0B9E" w14:textId="77777777" w:rsidR="00B666CC" w:rsidRPr="00A156F4" w:rsidRDefault="00B666CC" w:rsidP="00B666CC">
      <w:pPr>
        <w:widowControl w:val="0"/>
        <w:jc w:val="both"/>
        <w:rPr>
          <w:rFonts w:eastAsia="Times New Roman"/>
          <w:sz w:val="22"/>
          <w:szCs w:val="22"/>
          <w:lang w:val="es-CR" w:eastAsia="es-CR"/>
        </w:rPr>
      </w:pPr>
      <w:r w:rsidRPr="00A156F4">
        <w:rPr>
          <w:rFonts w:eastAsia="Times New Roman"/>
          <w:sz w:val="22"/>
          <w:szCs w:val="22"/>
          <w:lang w:val="es-CR" w:eastAsia="es-CR"/>
        </w:rPr>
        <w:t xml:space="preserve">Cabrá únicamente el recurso de revocatoria contra los siguientes actos del </w:t>
      </w:r>
      <w:r w:rsidRPr="00A156F4">
        <w:rPr>
          <w:sz w:val="22"/>
          <w:szCs w:val="22"/>
        </w:rPr>
        <w:t>Órgano Instructor</w:t>
      </w:r>
      <w:r w:rsidRPr="00A156F4">
        <w:rPr>
          <w:rFonts w:eastAsia="Times New Roman"/>
          <w:sz w:val="22"/>
          <w:szCs w:val="22"/>
          <w:lang w:val="es-CR" w:eastAsia="es-CR"/>
        </w:rPr>
        <w:t>:</w:t>
      </w:r>
    </w:p>
    <w:p w14:paraId="4DE093E0" w14:textId="77777777" w:rsidR="00B666CC" w:rsidRPr="00A156F4" w:rsidRDefault="00B666CC" w:rsidP="00B666CC">
      <w:pPr>
        <w:widowControl w:val="0"/>
        <w:jc w:val="both"/>
        <w:rPr>
          <w:sz w:val="22"/>
          <w:szCs w:val="22"/>
          <w:lang w:val="es-CR" w:eastAsia="es-CR"/>
        </w:rPr>
      </w:pPr>
    </w:p>
    <w:p w14:paraId="3B95CC5F" w14:textId="77777777" w:rsidR="00B666CC" w:rsidRPr="00A156F4" w:rsidRDefault="00B666CC" w:rsidP="00117EE5">
      <w:pPr>
        <w:pStyle w:val="Prrafodelista"/>
        <w:widowControl w:val="0"/>
        <w:numPr>
          <w:ilvl w:val="0"/>
          <w:numId w:val="30"/>
        </w:numPr>
        <w:spacing w:after="0" w:line="240" w:lineRule="auto"/>
        <w:jc w:val="both"/>
        <w:rPr>
          <w:rFonts w:ascii="Times New Roman" w:hAnsi="Times New Roman"/>
          <w:lang w:eastAsia="es-CR"/>
        </w:rPr>
      </w:pPr>
      <w:r w:rsidRPr="00A156F4">
        <w:rPr>
          <w:rFonts w:ascii="Times New Roman" w:eastAsiaTheme="minorHAnsi" w:hAnsi="Times New Roman"/>
          <w:lang w:val="es-ES_tradnl" w:eastAsia="es-CR"/>
        </w:rPr>
        <w:t>La resolución que se pronuncia sobre el carácter de confidencialidad de las piezas del expediente.</w:t>
      </w:r>
    </w:p>
    <w:p w14:paraId="7CCE23BD" w14:textId="77777777" w:rsidR="00B666CC" w:rsidRPr="00A156F4" w:rsidRDefault="00B666CC" w:rsidP="00B666CC">
      <w:pPr>
        <w:widowControl w:val="0"/>
        <w:jc w:val="both"/>
        <w:rPr>
          <w:sz w:val="22"/>
          <w:szCs w:val="22"/>
          <w:lang w:eastAsia="es-CR"/>
        </w:rPr>
      </w:pPr>
    </w:p>
    <w:p w14:paraId="0B3DF197" w14:textId="77777777" w:rsidR="00B666CC" w:rsidRPr="00A156F4" w:rsidRDefault="00B666CC" w:rsidP="00117EE5">
      <w:pPr>
        <w:pStyle w:val="Prrafodelista"/>
        <w:widowControl w:val="0"/>
        <w:numPr>
          <w:ilvl w:val="0"/>
          <w:numId w:val="30"/>
        </w:numPr>
        <w:spacing w:after="0" w:line="240" w:lineRule="auto"/>
        <w:jc w:val="both"/>
        <w:rPr>
          <w:rFonts w:ascii="Times New Roman" w:hAnsi="Times New Roman"/>
          <w:lang w:eastAsia="es-CR"/>
        </w:rPr>
      </w:pPr>
      <w:r w:rsidRPr="00A156F4">
        <w:rPr>
          <w:rFonts w:ascii="Times New Roman" w:eastAsiaTheme="minorHAnsi" w:hAnsi="Times New Roman"/>
          <w:lang w:val="es-ES_tradnl" w:eastAsia="es-CR"/>
        </w:rPr>
        <w:t xml:space="preserve">Las solicitudes de información. </w:t>
      </w:r>
    </w:p>
    <w:p w14:paraId="44EFFD1C" w14:textId="77777777" w:rsidR="00B666CC" w:rsidRPr="00A156F4" w:rsidRDefault="00B666CC" w:rsidP="00B666CC">
      <w:pPr>
        <w:rPr>
          <w:sz w:val="22"/>
          <w:szCs w:val="22"/>
          <w:lang w:eastAsia="es-CR"/>
        </w:rPr>
      </w:pPr>
    </w:p>
    <w:p w14:paraId="73BA606B" w14:textId="2019FD44" w:rsidR="00204F52" w:rsidRPr="00A156F4" w:rsidRDefault="00B666CC" w:rsidP="00204F52">
      <w:pPr>
        <w:widowControl w:val="0"/>
        <w:jc w:val="both"/>
        <w:rPr>
          <w:sz w:val="22"/>
          <w:szCs w:val="22"/>
          <w:lang w:eastAsia="es-CR"/>
        </w:rPr>
      </w:pPr>
      <w:r w:rsidRPr="00A156F4">
        <w:rPr>
          <w:sz w:val="22"/>
          <w:szCs w:val="22"/>
          <w:lang w:eastAsia="es-CR"/>
        </w:rPr>
        <w:t>Cabrá el recurso de apelación ante el encargado del Órgano Técnico</w:t>
      </w:r>
      <w:r w:rsidR="004815FA" w:rsidRPr="00A156F4">
        <w:rPr>
          <w:sz w:val="22"/>
          <w:szCs w:val="22"/>
          <w:lang w:eastAsia="es-CR"/>
        </w:rPr>
        <w:t xml:space="preserve"> respectivo</w:t>
      </w:r>
      <w:r w:rsidR="00031B08" w:rsidRPr="00A156F4">
        <w:rPr>
          <w:sz w:val="22"/>
          <w:szCs w:val="22"/>
          <w:lang w:eastAsia="es-CR"/>
        </w:rPr>
        <w:t>,</w:t>
      </w:r>
      <w:r w:rsidRPr="00A156F4">
        <w:rPr>
          <w:sz w:val="22"/>
          <w:szCs w:val="22"/>
          <w:lang w:eastAsia="es-CR"/>
        </w:rPr>
        <w:t xml:space="preserve"> únicamente contra las resoluciones del </w:t>
      </w:r>
      <w:r w:rsidR="00117EE5" w:rsidRPr="00A156F4">
        <w:rPr>
          <w:sz w:val="22"/>
          <w:szCs w:val="22"/>
          <w:lang w:eastAsia="es-CR"/>
        </w:rPr>
        <w:t>órgano</w:t>
      </w:r>
      <w:r w:rsidRPr="00A156F4">
        <w:rPr>
          <w:sz w:val="22"/>
          <w:szCs w:val="22"/>
          <w:lang w:eastAsia="es-CR"/>
        </w:rPr>
        <w:t xml:space="preserve"> </w:t>
      </w:r>
      <w:r w:rsidR="002535A7" w:rsidRPr="00A156F4">
        <w:rPr>
          <w:sz w:val="22"/>
          <w:szCs w:val="22"/>
          <w:lang w:eastAsia="es-CR"/>
        </w:rPr>
        <w:t>i</w:t>
      </w:r>
      <w:r w:rsidRPr="00A156F4">
        <w:rPr>
          <w:sz w:val="22"/>
          <w:szCs w:val="22"/>
          <w:lang w:eastAsia="es-CR"/>
        </w:rPr>
        <w:t>nstructor que acojan excepciones o incidencias que pongan término al procedimiento</w:t>
      </w:r>
      <w:r w:rsidR="00AA11E3" w:rsidRPr="00A156F4">
        <w:rPr>
          <w:sz w:val="22"/>
          <w:szCs w:val="22"/>
          <w:lang w:eastAsia="es-CR"/>
        </w:rPr>
        <w:t xml:space="preserve"> y la que resuelve sobre una medida cautelar</w:t>
      </w:r>
      <w:r w:rsidRPr="00A156F4">
        <w:rPr>
          <w:sz w:val="22"/>
          <w:szCs w:val="22"/>
          <w:lang w:eastAsia="es-CR"/>
        </w:rPr>
        <w:t>.</w:t>
      </w:r>
      <w:r w:rsidR="009341A7" w:rsidRPr="00A156F4">
        <w:rPr>
          <w:sz w:val="22"/>
          <w:szCs w:val="22"/>
          <w:lang w:eastAsia="es-CR"/>
        </w:rPr>
        <w:t xml:space="preserve"> El plazo para interponer este recurso será de 15 días hábiles</w:t>
      </w:r>
      <w:r w:rsidR="004B6649" w:rsidRPr="00A156F4">
        <w:rPr>
          <w:sz w:val="22"/>
          <w:szCs w:val="22"/>
          <w:lang w:eastAsia="es-CR"/>
        </w:rPr>
        <w:t>, contados a partir de</w:t>
      </w:r>
      <w:r w:rsidR="00204F52" w:rsidRPr="00A156F4">
        <w:rPr>
          <w:sz w:val="22"/>
          <w:szCs w:val="22"/>
          <w:lang w:eastAsia="es-CR"/>
        </w:rPr>
        <w:t>l día hábil siguiente a</w:t>
      </w:r>
      <w:r w:rsidR="004B6649" w:rsidRPr="00A156F4">
        <w:rPr>
          <w:sz w:val="22"/>
          <w:szCs w:val="22"/>
          <w:lang w:eastAsia="es-CR"/>
        </w:rPr>
        <w:t xml:space="preserve"> la </w:t>
      </w:r>
      <w:r w:rsidR="00204F52" w:rsidRPr="00A156F4">
        <w:rPr>
          <w:sz w:val="22"/>
          <w:szCs w:val="22"/>
          <w:lang w:eastAsia="es-CR"/>
        </w:rPr>
        <w:t>finalización</w:t>
      </w:r>
      <w:r w:rsidR="004B6649" w:rsidRPr="00A156F4">
        <w:rPr>
          <w:sz w:val="22"/>
          <w:szCs w:val="22"/>
          <w:lang w:eastAsia="es-CR"/>
        </w:rPr>
        <w:t xml:space="preserve"> de la audiencia</w:t>
      </w:r>
      <w:r w:rsidR="00204F52" w:rsidRPr="00A156F4">
        <w:rPr>
          <w:sz w:val="22"/>
          <w:szCs w:val="22"/>
          <w:lang w:eastAsia="es-CR"/>
        </w:rPr>
        <w:t xml:space="preserve"> preparatoria</w:t>
      </w:r>
      <w:r w:rsidR="009341A7" w:rsidRPr="00A156F4">
        <w:rPr>
          <w:sz w:val="22"/>
          <w:szCs w:val="22"/>
          <w:lang w:eastAsia="es-CR"/>
        </w:rPr>
        <w:t xml:space="preserve">. </w:t>
      </w:r>
      <w:r w:rsidR="00117EE5" w:rsidRPr="00A156F4">
        <w:rPr>
          <w:sz w:val="22"/>
          <w:szCs w:val="22"/>
          <w:lang w:eastAsia="es-CR"/>
        </w:rPr>
        <w:t>Este recurso deberá</w:t>
      </w:r>
      <w:r w:rsidR="00204F52" w:rsidRPr="00A156F4">
        <w:rPr>
          <w:sz w:val="22"/>
          <w:szCs w:val="22"/>
          <w:lang w:eastAsia="es-CR"/>
        </w:rPr>
        <w:t xml:space="preserve"> ser resuelto en un plazo máximo de 15 días hábiles.</w:t>
      </w:r>
    </w:p>
    <w:p w14:paraId="0B738C4A" w14:textId="77777777" w:rsidR="00B666CC" w:rsidRPr="00A156F4" w:rsidRDefault="00B666CC" w:rsidP="00B666CC">
      <w:pPr>
        <w:widowControl w:val="0"/>
        <w:jc w:val="both"/>
        <w:rPr>
          <w:rFonts w:eastAsia="Times New Roman"/>
          <w:sz w:val="22"/>
          <w:szCs w:val="22"/>
          <w:lang w:eastAsia="es-CR"/>
        </w:rPr>
      </w:pPr>
    </w:p>
    <w:p w14:paraId="6AD99FB0" w14:textId="1F03E4F8" w:rsidR="00B666CC" w:rsidRPr="00A156F4" w:rsidRDefault="00B666CC" w:rsidP="00B666CC">
      <w:pPr>
        <w:widowControl w:val="0"/>
        <w:jc w:val="both"/>
        <w:rPr>
          <w:sz w:val="22"/>
          <w:szCs w:val="22"/>
          <w:lang w:eastAsia="es-CR"/>
        </w:rPr>
      </w:pPr>
      <w:r w:rsidRPr="00A156F4">
        <w:rPr>
          <w:sz w:val="22"/>
          <w:szCs w:val="22"/>
          <w:lang w:eastAsia="es-CR"/>
        </w:rPr>
        <w:t>El plazo para presentar</w:t>
      </w:r>
      <w:r w:rsidR="009341A7" w:rsidRPr="00A156F4">
        <w:rPr>
          <w:sz w:val="22"/>
          <w:szCs w:val="22"/>
          <w:lang w:eastAsia="es-CR"/>
        </w:rPr>
        <w:t xml:space="preserve"> </w:t>
      </w:r>
      <w:r w:rsidRPr="00A156F4">
        <w:rPr>
          <w:sz w:val="22"/>
          <w:szCs w:val="22"/>
          <w:lang w:eastAsia="es-CR"/>
        </w:rPr>
        <w:t xml:space="preserve">los recursos contra </w:t>
      </w:r>
      <w:r w:rsidR="004B6649" w:rsidRPr="00A156F4">
        <w:rPr>
          <w:sz w:val="22"/>
          <w:szCs w:val="22"/>
          <w:lang w:eastAsia="es-CR"/>
        </w:rPr>
        <w:t>los</w:t>
      </w:r>
      <w:r w:rsidR="00F81AAD" w:rsidRPr="00A156F4">
        <w:rPr>
          <w:sz w:val="22"/>
          <w:szCs w:val="22"/>
          <w:lang w:eastAsia="es-CR"/>
        </w:rPr>
        <w:t xml:space="preserve"> </w:t>
      </w:r>
      <w:r w:rsidRPr="00A156F4">
        <w:rPr>
          <w:sz w:val="22"/>
          <w:szCs w:val="22"/>
          <w:lang w:eastAsia="es-CR"/>
        </w:rPr>
        <w:t>actos</w:t>
      </w:r>
      <w:r w:rsidR="004B6649" w:rsidRPr="00A156F4">
        <w:rPr>
          <w:sz w:val="22"/>
          <w:szCs w:val="22"/>
          <w:lang w:eastAsia="es-CR"/>
        </w:rPr>
        <w:t xml:space="preserve"> indicados en los incisos a), b) y c)</w:t>
      </w:r>
      <w:r w:rsidRPr="00A156F4">
        <w:rPr>
          <w:sz w:val="22"/>
          <w:szCs w:val="22"/>
          <w:lang w:eastAsia="es-CR"/>
        </w:rPr>
        <w:t xml:space="preserve"> será de tres días hábiles, contados a partir del día hábil siguiente a la última comunicación del acto. Los recursos deberán ser resueltos en un plazo máximo de 15 días hábiles.</w:t>
      </w:r>
    </w:p>
    <w:p w14:paraId="39D0149B" w14:textId="77777777" w:rsidR="00B666CC" w:rsidRPr="00A156F4" w:rsidRDefault="00B666CC" w:rsidP="00B666CC">
      <w:pPr>
        <w:rPr>
          <w:sz w:val="22"/>
          <w:szCs w:val="22"/>
        </w:rPr>
      </w:pPr>
    </w:p>
    <w:p w14:paraId="7EB346E9" w14:textId="635F5D02" w:rsidR="00B666CC" w:rsidRPr="00A156F4" w:rsidRDefault="00B666CC" w:rsidP="00B666CC">
      <w:pPr>
        <w:contextualSpacing/>
        <w:jc w:val="both"/>
        <w:rPr>
          <w:sz w:val="22"/>
          <w:szCs w:val="22"/>
          <w:lang w:eastAsia="es-CR"/>
        </w:rPr>
      </w:pPr>
      <w:r w:rsidRPr="00A156F4">
        <w:rPr>
          <w:sz w:val="22"/>
          <w:szCs w:val="22"/>
        </w:rPr>
        <w:t xml:space="preserve">Contra la </w:t>
      </w:r>
      <w:r w:rsidRPr="00A156F4">
        <w:rPr>
          <w:sz w:val="22"/>
          <w:szCs w:val="22"/>
          <w:lang w:eastAsia="es-CR"/>
        </w:rPr>
        <w:t xml:space="preserve">resolución que </w:t>
      </w:r>
      <w:r w:rsidRPr="00A156F4">
        <w:rPr>
          <w:sz w:val="22"/>
          <w:szCs w:val="22"/>
        </w:rPr>
        <w:t xml:space="preserve">deniega la participación de algún coadyuvante o tercero interesado, así como de aquella que </w:t>
      </w:r>
      <w:r w:rsidRPr="00A156F4">
        <w:rPr>
          <w:sz w:val="22"/>
          <w:szCs w:val="22"/>
          <w:lang w:eastAsia="es-CR"/>
        </w:rPr>
        <w:t>rechaza el ofrecimiento y la admisión de prueba</w:t>
      </w:r>
      <w:r w:rsidR="00031B08" w:rsidRPr="00A156F4">
        <w:rPr>
          <w:sz w:val="22"/>
          <w:szCs w:val="22"/>
          <w:lang w:eastAsia="es-CR"/>
        </w:rPr>
        <w:t xml:space="preserve"> </w:t>
      </w:r>
      <w:r w:rsidRPr="00A156F4">
        <w:rPr>
          <w:sz w:val="22"/>
          <w:szCs w:val="22"/>
          <w:lang w:eastAsia="es-CR"/>
        </w:rPr>
        <w:t>que se dicte por parte del Órgano Instructor durante la audiencia preparatoria</w:t>
      </w:r>
      <w:r w:rsidR="00031B08" w:rsidRPr="00A156F4">
        <w:rPr>
          <w:sz w:val="22"/>
          <w:szCs w:val="22"/>
          <w:lang w:eastAsia="es-CR"/>
        </w:rPr>
        <w:t>,</w:t>
      </w:r>
      <w:r w:rsidRPr="00A156F4">
        <w:rPr>
          <w:sz w:val="22"/>
          <w:szCs w:val="22"/>
          <w:lang w:eastAsia="es-CR"/>
        </w:rPr>
        <w:t xml:space="preserve"> cabrá únicamente recurso de revocatoria, </w:t>
      </w:r>
      <w:r w:rsidR="00031B08" w:rsidRPr="00A156F4">
        <w:rPr>
          <w:sz w:val="22"/>
          <w:szCs w:val="22"/>
          <w:lang w:eastAsia="es-CR"/>
        </w:rPr>
        <w:t>que</w:t>
      </w:r>
      <w:r w:rsidRPr="00A156F4">
        <w:rPr>
          <w:sz w:val="22"/>
          <w:szCs w:val="22"/>
          <w:lang w:eastAsia="es-CR"/>
        </w:rPr>
        <w:t xml:space="preserve"> deberá interponerse por la parte afectada y resolverse de forma verbal durante dicha audiencia.</w:t>
      </w:r>
    </w:p>
    <w:bookmarkEnd w:id="28"/>
    <w:p w14:paraId="3EB45939" w14:textId="77777777" w:rsidR="00B666CC" w:rsidRPr="00A156F4" w:rsidRDefault="00B666CC" w:rsidP="00B666CC">
      <w:pPr>
        <w:rPr>
          <w:i/>
          <w:sz w:val="22"/>
          <w:szCs w:val="22"/>
        </w:rPr>
      </w:pPr>
    </w:p>
    <w:p w14:paraId="27CFADDC" w14:textId="20B1A696" w:rsidR="00B666CC" w:rsidRPr="00A156F4" w:rsidRDefault="00B666CC" w:rsidP="00B666CC">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B82C4F" w:rsidRPr="00A156F4">
        <w:rPr>
          <w:rFonts w:ascii="Times New Roman" w:eastAsia="Times New Roman" w:hAnsi="Times New Roman" w:cs="Times New Roman"/>
          <w:b/>
          <w:i w:val="0"/>
          <w:iCs w:val="0"/>
          <w:color w:val="auto"/>
          <w:sz w:val="22"/>
          <w:szCs w:val="22"/>
          <w:lang w:eastAsia="en-US"/>
        </w:rPr>
        <w:t>62</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Ejecutoriedad de las resoluciones</w:t>
      </w:r>
    </w:p>
    <w:p w14:paraId="654D95B4" w14:textId="77777777" w:rsidR="00B666CC" w:rsidRPr="00A156F4" w:rsidRDefault="00B666CC" w:rsidP="00B666CC">
      <w:pPr>
        <w:widowControl w:val="0"/>
        <w:jc w:val="both"/>
        <w:textAlignment w:val="center"/>
        <w:outlineLvl w:val="0"/>
        <w:rPr>
          <w:bCs/>
          <w:sz w:val="22"/>
          <w:szCs w:val="22"/>
        </w:rPr>
      </w:pPr>
    </w:p>
    <w:p w14:paraId="6C7510DA" w14:textId="77777777" w:rsidR="00B666CC" w:rsidRPr="00A156F4" w:rsidRDefault="00B666CC" w:rsidP="00B666CC">
      <w:pPr>
        <w:widowControl w:val="0"/>
        <w:jc w:val="both"/>
        <w:textAlignment w:val="center"/>
        <w:outlineLvl w:val="0"/>
        <w:rPr>
          <w:bCs/>
          <w:sz w:val="22"/>
          <w:szCs w:val="22"/>
        </w:rPr>
      </w:pPr>
      <w:r w:rsidRPr="00A156F4">
        <w:rPr>
          <w:bCs/>
          <w:sz w:val="22"/>
          <w:szCs w:val="22"/>
        </w:rPr>
        <w:t>La interposición de recursos administrativos no suspenderá la ejecución del acto impugnado, salvo que así lo disponga una autoridad judicial.</w:t>
      </w:r>
    </w:p>
    <w:p w14:paraId="62145BB4" w14:textId="77777777" w:rsidR="00B666CC" w:rsidRPr="00A156F4" w:rsidRDefault="00B666CC" w:rsidP="00B666CC">
      <w:pPr>
        <w:widowControl w:val="0"/>
        <w:jc w:val="both"/>
        <w:textAlignment w:val="center"/>
        <w:outlineLvl w:val="0"/>
        <w:rPr>
          <w:bCs/>
          <w:sz w:val="22"/>
          <w:szCs w:val="22"/>
        </w:rPr>
      </w:pPr>
    </w:p>
    <w:p w14:paraId="420EE06E" w14:textId="77777777" w:rsidR="00B666CC" w:rsidRPr="00A156F4" w:rsidRDefault="00B666CC" w:rsidP="00B666CC">
      <w:pPr>
        <w:pStyle w:val="Ttulo4"/>
        <w:keepNext w:val="0"/>
        <w:keepLines w:val="0"/>
        <w:spacing w:before="0"/>
        <w:contextualSpacing/>
        <w:jc w:val="both"/>
        <w:rPr>
          <w:rFonts w:ascii="Times New Roman" w:hAnsi="Times New Roman" w:cs="Times New Roman"/>
          <w:bCs/>
          <w:i w:val="0"/>
          <w:color w:val="auto"/>
          <w:sz w:val="22"/>
          <w:szCs w:val="22"/>
        </w:rPr>
      </w:pPr>
      <w:r w:rsidRPr="00A156F4">
        <w:rPr>
          <w:rFonts w:ascii="Times New Roman" w:hAnsi="Times New Roman" w:cs="Times New Roman"/>
          <w:bCs/>
          <w:i w:val="0"/>
          <w:color w:val="auto"/>
          <w:sz w:val="22"/>
          <w:szCs w:val="22"/>
        </w:rPr>
        <w:t xml:space="preserve">A petición del interesado, el órgano encargado de la respectiva etapa del procedimiento podrá suspender la ejecución del acto de forma excepcional, para evitar daños graves y de difícil o imposible </w:t>
      </w:r>
      <w:bookmarkEnd w:id="26"/>
      <w:r w:rsidRPr="00A156F4">
        <w:rPr>
          <w:rFonts w:ascii="Times New Roman" w:hAnsi="Times New Roman" w:cs="Times New Roman"/>
          <w:bCs/>
          <w:i w:val="0"/>
          <w:color w:val="auto"/>
          <w:sz w:val="22"/>
          <w:szCs w:val="22"/>
        </w:rPr>
        <w:t>reparación.</w:t>
      </w:r>
    </w:p>
    <w:bookmarkEnd w:id="25"/>
    <w:p w14:paraId="77A5DDFC" w14:textId="681E79E9" w:rsidR="005F7DB9" w:rsidRDefault="005F7DB9" w:rsidP="00B666CC">
      <w:pPr>
        <w:rPr>
          <w:sz w:val="22"/>
          <w:szCs w:val="22"/>
        </w:rPr>
      </w:pPr>
    </w:p>
    <w:p w14:paraId="7437DC06" w14:textId="77777777" w:rsidR="00A156F4" w:rsidRPr="00A156F4" w:rsidRDefault="00A156F4" w:rsidP="00B666CC">
      <w:pPr>
        <w:rPr>
          <w:sz w:val="22"/>
          <w:szCs w:val="22"/>
        </w:rPr>
      </w:pPr>
    </w:p>
    <w:p w14:paraId="2CAF39E3" w14:textId="2564C1A1" w:rsidR="00B666CC" w:rsidRPr="00A156F4" w:rsidRDefault="00B666CC" w:rsidP="00B666CC">
      <w:pPr>
        <w:pStyle w:val="Ttulo4"/>
        <w:keepNext w:val="0"/>
        <w:spacing w:before="0"/>
        <w:contextualSpacing/>
        <w:jc w:val="center"/>
        <w:rPr>
          <w:rFonts w:ascii="Times New Roman" w:eastAsia="Times New Roman" w:hAnsi="Times New Roman" w:cs="Times New Roman"/>
          <w:b/>
          <w:bCs/>
          <w:i w:val="0"/>
          <w:iCs w:val="0"/>
          <w:color w:val="auto"/>
          <w:sz w:val="22"/>
          <w:szCs w:val="22"/>
          <w:lang w:eastAsia="en-US"/>
        </w:rPr>
      </w:pPr>
      <w:r w:rsidRPr="00A156F4">
        <w:rPr>
          <w:rFonts w:ascii="Times New Roman" w:eastAsia="Times New Roman" w:hAnsi="Times New Roman" w:cs="Times New Roman"/>
          <w:b/>
          <w:bCs/>
          <w:i w:val="0"/>
          <w:iCs w:val="0"/>
          <w:color w:val="auto"/>
          <w:sz w:val="22"/>
          <w:szCs w:val="22"/>
          <w:lang w:eastAsia="en-US"/>
        </w:rPr>
        <w:t>CAPÍTULO II</w:t>
      </w:r>
    </w:p>
    <w:p w14:paraId="594C8D02" w14:textId="314216CA" w:rsidR="00B666CC" w:rsidRPr="00A156F4" w:rsidRDefault="003710FF" w:rsidP="00B666CC">
      <w:pPr>
        <w:pStyle w:val="Ttulo4"/>
        <w:keepNext w:val="0"/>
        <w:spacing w:before="0"/>
        <w:contextualSpacing/>
        <w:jc w:val="center"/>
        <w:rPr>
          <w:rFonts w:ascii="Times New Roman" w:eastAsia="Times New Roman" w:hAnsi="Times New Roman" w:cs="Times New Roman"/>
          <w:b/>
          <w:bCs/>
          <w:i w:val="0"/>
          <w:iCs w:val="0"/>
          <w:color w:val="auto"/>
          <w:sz w:val="22"/>
          <w:szCs w:val="22"/>
          <w:lang w:eastAsia="en-US"/>
        </w:rPr>
      </w:pPr>
      <w:r w:rsidRPr="00A156F4">
        <w:rPr>
          <w:rFonts w:ascii="Times New Roman" w:eastAsia="Times New Roman" w:hAnsi="Times New Roman" w:cs="Times New Roman"/>
          <w:b/>
          <w:bCs/>
          <w:i w:val="0"/>
          <w:iCs w:val="0"/>
          <w:color w:val="auto"/>
          <w:sz w:val="22"/>
          <w:szCs w:val="22"/>
          <w:lang w:eastAsia="en-US"/>
        </w:rPr>
        <w:t>Procedimiento Sumario</w:t>
      </w:r>
    </w:p>
    <w:p w14:paraId="4F71222B" w14:textId="77777777" w:rsidR="005F7DB9" w:rsidRPr="00A156F4" w:rsidRDefault="005F7DB9" w:rsidP="005F7DB9">
      <w:pPr>
        <w:rPr>
          <w:sz w:val="22"/>
          <w:szCs w:val="22"/>
          <w:lang w:eastAsia="en-US"/>
        </w:rPr>
      </w:pPr>
    </w:p>
    <w:p w14:paraId="68CA73DE" w14:textId="77777777" w:rsidR="00B666CC" w:rsidRPr="00A156F4" w:rsidRDefault="00B666CC" w:rsidP="00B666CC">
      <w:pPr>
        <w:rPr>
          <w:sz w:val="22"/>
          <w:szCs w:val="22"/>
          <w:lang w:eastAsia="en-US"/>
        </w:rPr>
      </w:pPr>
    </w:p>
    <w:p w14:paraId="39CC0C4D" w14:textId="5A508243" w:rsidR="00B666CC" w:rsidRPr="00A156F4" w:rsidRDefault="00B666CC" w:rsidP="00B666CC">
      <w:pPr>
        <w:pStyle w:val="Ttulo4"/>
        <w:keepNext w:val="0"/>
        <w:spacing w:before="0"/>
        <w:contextualSpacing/>
        <w:jc w:val="both"/>
        <w:rPr>
          <w:rFonts w:ascii="Times New Roman" w:eastAsia="Times New Roman" w:hAnsi="Times New Roman" w:cs="Times New Roman"/>
          <w:b/>
          <w:bCs/>
          <w:i w:val="0"/>
          <w:iCs w:val="0"/>
          <w:color w:val="auto"/>
          <w:sz w:val="22"/>
          <w:szCs w:val="22"/>
          <w:lang w:eastAsia="en-US"/>
        </w:rPr>
      </w:pPr>
      <w:r w:rsidRPr="00A156F4">
        <w:rPr>
          <w:rFonts w:ascii="Times New Roman" w:eastAsia="Times New Roman" w:hAnsi="Times New Roman" w:cs="Times New Roman"/>
          <w:b/>
          <w:bCs/>
          <w:i w:val="0"/>
          <w:iCs w:val="0"/>
          <w:color w:val="auto"/>
          <w:sz w:val="22"/>
          <w:szCs w:val="22"/>
        </w:rPr>
        <w:t>Artículo</w:t>
      </w:r>
      <w:r w:rsidRPr="00A156F4">
        <w:rPr>
          <w:rFonts w:ascii="Times New Roman" w:eastAsia="Times New Roman" w:hAnsi="Times New Roman" w:cs="Times New Roman"/>
          <w:b/>
          <w:bCs/>
          <w:sz w:val="22"/>
          <w:szCs w:val="22"/>
        </w:rPr>
        <w:t xml:space="preserve"> </w:t>
      </w:r>
      <w:r w:rsidR="00B82C4F" w:rsidRPr="00A156F4">
        <w:rPr>
          <w:rFonts w:ascii="Times New Roman" w:eastAsia="Times New Roman" w:hAnsi="Times New Roman" w:cs="Times New Roman"/>
          <w:b/>
          <w:bCs/>
          <w:i w:val="0"/>
          <w:iCs w:val="0"/>
          <w:color w:val="auto"/>
          <w:sz w:val="22"/>
          <w:szCs w:val="22"/>
          <w:lang w:eastAsia="en-US"/>
        </w:rPr>
        <w:t>63</w:t>
      </w:r>
      <w:r w:rsidRPr="00A156F4">
        <w:rPr>
          <w:rFonts w:ascii="Times New Roman" w:eastAsia="Times New Roman" w:hAnsi="Times New Roman" w:cs="Times New Roman"/>
          <w:b/>
          <w:bCs/>
          <w:i w:val="0"/>
          <w:iCs w:val="0"/>
          <w:color w:val="auto"/>
          <w:sz w:val="22"/>
          <w:szCs w:val="22"/>
          <w:lang w:eastAsia="en-US"/>
        </w:rPr>
        <w:t>.-</w:t>
      </w:r>
      <w:r w:rsidR="00F153AC" w:rsidRPr="00A156F4">
        <w:rPr>
          <w:rFonts w:ascii="Times New Roman" w:eastAsia="Times New Roman" w:hAnsi="Times New Roman" w:cs="Times New Roman"/>
          <w:b/>
          <w:bCs/>
          <w:i w:val="0"/>
          <w:iCs w:val="0"/>
          <w:color w:val="auto"/>
          <w:sz w:val="22"/>
          <w:szCs w:val="22"/>
          <w:lang w:eastAsia="en-US"/>
        </w:rPr>
        <w:t xml:space="preserve"> </w:t>
      </w:r>
      <w:r w:rsidRPr="00A156F4">
        <w:rPr>
          <w:rFonts w:ascii="Times New Roman" w:eastAsia="Times New Roman" w:hAnsi="Times New Roman" w:cs="Times New Roman"/>
          <w:b/>
          <w:bCs/>
          <w:i w:val="0"/>
          <w:iCs w:val="0"/>
          <w:color w:val="auto"/>
          <w:sz w:val="22"/>
          <w:szCs w:val="22"/>
          <w:lang w:eastAsia="en-US"/>
        </w:rPr>
        <w:t>Procedencia del procedimiento sumario</w:t>
      </w:r>
    </w:p>
    <w:p w14:paraId="6400BB17" w14:textId="77777777" w:rsidR="00B666CC" w:rsidRPr="00A156F4" w:rsidRDefault="00B666CC" w:rsidP="00B666CC">
      <w:pPr>
        <w:jc w:val="both"/>
        <w:rPr>
          <w:sz w:val="22"/>
          <w:szCs w:val="22"/>
        </w:rPr>
      </w:pPr>
    </w:p>
    <w:p w14:paraId="10E5E06A" w14:textId="04AD3FC0" w:rsidR="005F7DB9" w:rsidRPr="00A156F4" w:rsidRDefault="003710FF" w:rsidP="00B666CC">
      <w:pPr>
        <w:jc w:val="both"/>
        <w:rPr>
          <w:sz w:val="22"/>
          <w:szCs w:val="22"/>
        </w:rPr>
      </w:pPr>
      <w:r w:rsidRPr="00A156F4">
        <w:rPr>
          <w:sz w:val="22"/>
          <w:szCs w:val="22"/>
        </w:rPr>
        <w:t>Aquellas</w:t>
      </w:r>
      <w:r w:rsidR="00B666CC" w:rsidRPr="00A156F4">
        <w:rPr>
          <w:sz w:val="22"/>
          <w:szCs w:val="22"/>
        </w:rPr>
        <w:t xml:space="preserve"> infracciones, cuya verificación </w:t>
      </w:r>
      <w:r w:rsidRPr="00A156F4">
        <w:rPr>
          <w:sz w:val="22"/>
          <w:szCs w:val="22"/>
        </w:rPr>
        <w:t>sea</w:t>
      </w:r>
      <w:r w:rsidR="00B666CC" w:rsidRPr="00A156F4">
        <w:rPr>
          <w:sz w:val="22"/>
          <w:szCs w:val="22"/>
        </w:rPr>
        <w:t xml:space="preserve"> de mera constatación, se investigarán y sancionarán por medio del procedimiento sumario previsto en los artículos 320, siguientes y concordantes de la </w:t>
      </w:r>
      <w:r w:rsidR="000005DA" w:rsidRPr="00A156F4">
        <w:rPr>
          <w:sz w:val="22"/>
          <w:szCs w:val="22"/>
        </w:rPr>
        <w:t xml:space="preserve">Ley General de la Administración Pública, Ley </w:t>
      </w:r>
      <w:proofErr w:type="spellStart"/>
      <w:r w:rsidR="000005DA" w:rsidRPr="00A156F4">
        <w:rPr>
          <w:sz w:val="22"/>
          <w:szCs w:val="22"/>
        </w:rPr>
        <w:t>N°</w:t>
      </w:r>
      <w:proofErr w:type="spellEnd"/>
      <w:r w:rsidR="000005DA" w:rsidRPr="00A156F4">
        <w:rPr>
          <w:sz w:val="22"/>
          <w:szCs w:val="22"/>
        </w:rPr>
        <w:t>. 6227, del 2 de mayo de 1978, sus reformas y sus reglamentos</w:t>
      </w:r>
      <w:r w:rsidRPr="00A156F4">
        <w:rPr>
          <w:sz w:val="22"/>
          <w:szCs w:val="22"/>
        </w:rPr>
        <w:t>.</w:t>
      </w:r>
    </w:p>
    <w:p w14:paraId="7AA51E99" w14:textId="77777777" w:rsidR="005F7DB9" w:rsidRPr="00A156F4" w:rsidRDefault="005F7DB9" w:rsidP="00B666CC">
      <w:pPr>
        <w:jc w:val="both"/>
        <w:rPr>
          <w:sz w:val="22"/>
          <w:szCs w:val="22"/>
        </w:rPr>
      </w:pPr>
    </w:p>
    <w:p w14:paraId="46CB080B" w14:textId="5DA21FE7" w:rsidR="00B666CC" w:rsidRPr="00A156F4" w:rsidRDefault="00B666CC" w:rsidP="00B666CC">
      <w:pPr>
        <w:pStyle w:val="Ttulo4"/>
        <w:keepNext w:val="0"/>
        <w:spacing w:before="0"/>
        <w:contextualSpacing/>
        <w:jc w:val="both"/>
        <w:rPr>
          <w:rFonts w:ascii="Times New Roman" w:eastAsia="Times New Roman" w:hAnsi="Times New Roman" w:cs="Times New Roman"/>
          <w:b/>
          <w:bCs/>
          <w:i w:val="0"/>
          <w:iCs w:val="0"/>
          <w:color w:val="auto"/>
          <w:sz w:val="22"/>
          <w:szCs w:val="22"/>
          <w:lang w:eastAsia="en-US"/>
        </w:rPr>
      </w:pPr>
      <w:r w:rsidRPr="00A156F4">
        <w:rPr>
          <w:rFonts w:ascii="Times New Roman" w:eastAsia="Times New Roman" w:hAnsi="Times New Roman" w:cs="Times New Roman"/>
          <w:b/>
          <w:bCs/>
          <w:i w:val="0"/>
          <w:iCs w:val="0"/>
          <w:color w:val="auto"/>
          <w:sz w:val="22"/>
          <w:szCs w:val="22"/>
        </w:rPr>
        <w:t>Artículo</w:t>
      </w:r>
      <w:r w:rsidRPr="00A156F4">
        <w:rPr>
          <w:rFonts w:ascii="Times New Roman" w:eastAsia="Times New Roman" w:hAnsi="Times New Roman" w:cs="Times New Roman"/>
          <w:b/>
          <w:bCs/>
          <w:sz w:val="22"/>
          <w:szCs w:val="22"/>
        </w:rPr>
        <w:t xml:space="preserve"> </w:t>
      </w:r>
      <w:r w:rsidR="00B82C4F" w:rsidRPr="00A156F4">
        <w:rPr>
          <w:rFonts w:ascii="Times New Roman" w:eastAsia="Times New Roman" w:hAnsi="Times New Roman" w:cs="Times New Roman"/>
          <w:b/>
          <w:bCs/>
          <w:i w:val="0"/>
          <w:iCs w:val="0"/>
          <w:color w:val="auto"/>
          <w:sz w:val="22"/>
          <w:szCs w:val="22"/>
          <w:lang w:eastAsia="en-US"/>
        </w:rPr>
        <w:t>6</w:t>
      </w:r>
      <w:r w:rsidRPr="00A156F4">
        <w:rPr>
          <w:rFonts w:ascii="Times New Roman" w:eastAsia="Times New Roman" w:hAnsi="Times New Roman" w:cs="Times New Roman"/>
          <w:b/>
          <w:bCs/>
          <w:i w:val="0"/>
          <w:iCs w:val="0"/>
          <w:color w:val="auto"/>
          <w:sz w:val="22"/>
          <w:szCs w:val="22"/>
          <w:lang w:eastAsia="en-US"/>
        </w:rPr>
        <w:t>4.-</w:t>
      </w:r>
      <w:r w:rsidR="00F153AC" w:rsidRPr="00A156F4">
        <w:rPr>
          <w:rFonts w:ascii="Times New Roman" w:eastAsia="Times New Roman" w:hAnsi="Times New Roman" w:cs="Times New Roman"/>
          <w:b/>
          <w:bCs/>
          <w:i w:val="0"/>
          <w:iCs w:val="0"/>
          <w:color w:val="auto"/>
          <w:sz w:val="22"/>
          <w:szCs w:val="22"/>
          <w:lang w:eastAsia="en-US"/>
        </w:rPr>
        <w:t xml:space="preserve"> </w:t>
      </w:r>
      <w:r w:rsidRPr="00A156F4">
        <w:rPr>
          <w:rFonts w:ascii="Times New Roman" w:eastAsia="Times New Roman" w:hAnsi="Times New Roman" w:cs="Times New Roman"/>
          <w:b/>
          <w:bCs/>
          <w:i w:val="0"/>
          <w:iCs w:val="0"/>
          <w:color w:val="auto"/>
          <w:sz w:val="22"/>
          <w:szCs w:val="22"/>
          <w:lang w:eastAsia="en-US"/>
        </w:rPr>
        <w:t>Conducción del procedimiento sumario</w:t>
      </w:r>
    </w:p>
    <w:p w14:paraId="76006AC1" w14:textId="77777777" w:rsidR="00B666CC" w:rsidRPr="00A156F4" w:rsidRDefault="00B666CC" w:rsidP="00B666CC">
      <w:pPr>
        <w:jc w:val="both"/>
        <w:rPr>
          <w:sz w:val="22"/>
          <w:szCs w:val="22"/>
          <w:lang w:eastAsia="es-CR"/>
        </w:rPr>
      </w:pPr>
    </w:p>
    <w:p w14:paraId="090C6960" w14:textId="77777777" w:rsidR="00B666CC" w:rsidRPr="00A156F4" w:rsidRDefault="00B666CC" w:rsidP="00B666CC">
      <w:pPr>
        <w:jc w:val="both"/>
        <w:rPr>
          <w:sz w:val="22"/>
          <w:szCs w:val="22"/>
        </w:rPr>
      </w:pPr>
      <w:r w:rsidRPr="00A156F4">
        <w:rPr>
          <w:sz w:val="22"/>
          <w:szCs w:val="22"/>
          <w:lang w:eastAsia="es-CR"/>
        </w:rPr>
        <w:t>La totalidad del procedimiento sumario será conducido por el Órgano Director designado al efecto por el Órgano Superior de cada autoridad correspondiente,</w:t>
      </w:r>
      <w:r w:rsidRPr="00A156F4">
        <w:rPr>
          <w:sz w:val="22"/>
          <w:szCs w:val="22"/>
        </w:rPr>
        <w:t xml:space="preserve"> quien podrá ser asistido por el personal técnico y profesional que requiera.</w:t>
      </w:r>
    </w:p>
    <w:p w14:paraId="3C3333B5" w14:textId="77777777" w:rsidR="00B666CC" w:rsidRPr="00A156F4" w:rsidRDefault="00B666CC" w:rsidP="00B666CC">
      <w:pPr>
        <w:jc w:val="both"/>
        <w:rPr>
          <w:sz w:val="22"/>
          <w:szCs w:val="22"/>
          <w:lang w:val="es-CR" w:eastAsia="es-CR"/>
        </w:rPr>
      </w:pPr>
    </w:p>
    <w:bookmarkEnd w:id="15"/>
    <w:p w14:paraId="381ED5F7" w14:textId="77777777" w:rsidR="000954F3" w:rsidRPr="00A156F4" w:rsidRDefault="000954F3" w:rsidP="005B0A50">
      <w:pPr>
        <w:rPr>
          <w:sz w:val="22"/>
          <w:szCs w:val="22"/>
          <w:lang w:val="es-ES"/>
        </w:rPr>
      </w:pPr>
    </w:p>
    <w:p w14:paraId="0D2D18A9" w14:textId="2564F84F" w:rsidR="00F0625A" w:rsidRPr="00A156F4" w:rsidRDefault="00F0625A" w:rsidP="00F0625A">
      <w:pPr>
        <w:jc w:val="center"/>
        <w:rPr>
          <w:rFonts w:eastAsia="Times New Roman"/>
          <w:b/>
          <w:sz w:val="22"/>
          <w:szCs w:val="22"/>
          <w:lang w:val="es-CR" w:eastAsia="en-US"/>
        </w:rPr>
      </w:pPr>
      <w:bookmarkStart w:id="29" w:name="_Hlk523045525"/>
      <w:r w:rsidRPr="00A156F4">
        <w:rPr>
          <w:rFonts w:eastAsia="Times New Roman"/>
          <w:b/>
          <w:sz w:val="22"/>
          <w:szCs w:val="22"/>
          <w:lang w:val="es-CR" w:eastAsia="en-US"/>
        </w:rPr>
        <w:t>CAPÍTULO III</w:t>
      </w:r>
    </w:p>
    <w:p w14:paraId="1617B92E" w14:textId="77777777" w:rsidR="00F0625A" w:rsidRPr="00A156F4" w:rsidRDefault="00F0625A" w:rsidP="00F0625A">
      <w:pPr>
        <w:pStyle w:val="Ttulo2"/>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Terminación Anticipada del Procedimiento</w:t>
      </w:r>
    </w:p>
    <w:p w14:paraId="2727CC84" w14:textId="77777777" w:rsidR="00F0625A" w:rsidRPr="00A156F4" w:rsidRDefault="00F0625A" w:rsidP="00F0625A">
      <w:pPr>
        <w:pStyle w:val="Ttulo2"/>
        <w:tabs>
          <w:tab w:val="center" w:pos="4419"/>
          <w:tab w:val="left" w:pos="7133"/>
        </w:tabs>
        <w:spacing w:before="0"/>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ab/>
      </w:r>
    </w:p>
    <w:p w14:paraId="3CDD9D46" w14:textId="77777777" w:rsidR="00F0625A" w:rsidRPr="00A156F4" w:rsidRDefault="00F0625A" w:rsidP="00F0625A">
      <w:pPr>
        <w:pStyle w:val="Ttulo2"/>
        <w:tabs>
          <w:tab w:val="center" w:pos="4419"/>
          <w:tab w:val="left" w:pos="7133"/>
        </w:tabs>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SECCIÓN I</w:t>
      </w:r>
    </w:p>
    <w:p w14:paraId="1CE75E8C" w14:textId="77777777" w:rsidR="00F0625A" w:rsidRPr="00A156F4" w:rsidRDefault="00F0625A" w:rsidP="00F0625A">
      <w:pPr>
        <w:pStyle w:val="Ttulo2"/>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Terminación por Improcedencia Manifiesta</w:t>
      </w:r>
    </w:p>
    <w:p w14:paraId="7322EBB6" w14:textId="2B93BD02" w:rsidR="00F0625A" w:rsidRPr="00A156F4" w:rsidRDefault="00F0625A" w:rsidP="00F0625A">
      <w:pPr>
        <w:rPr>
          <w:sz w:val="22"/>
          <w:szCs w:val="22"/>
          <w:lang w:val="es-CR" w:eastAsia="en-US"/>
        </w:rPr>
      </w:pPr>
    </w:p>
    <w:p w14:paraId="5DC6BF14" w14:textId="77777777" w:rsidR="005F7DB9" w:rsidRPr="00A156F4" w:rsidRDefault="005F7DB9" w:rsidP="00F0625A">
      <w:pPr>
        <w:rPr>
          <w:sz w:val="22"/>
          <w:szCs w:val="22"/>
          <w:lang w:val="es-CR" w:eastAsia="en-US"/>
        </w:rPr>
      </w:pPr>
    </w:p>
    <w:bookmarkEnd w:id="29"/>
    <w:p w14:paraId="1DB99091" w14:textId="2FAEB969" w:rsidR="00F0625A" w:rsidRPr="00A156F4" w:rsidRDefault="00F0625A" w:rsidP="00F0625A">
      <w:pPr>
        <w:pStyle w:val="Ttulo4"/>
        <w:keepNext w:val="0"/>
        <w:keepLines w:val="0"/>
        <w:spacing w:before="0"/>
        <w:contextualSpacing/>
        <w:jc w:val="both"/>
        <w:rPr>
          <w:rFonts w:ascii="Times New Roman" w:eastAsia="Times New Roman" w:hAnsi="Times New Roman" w:cs="Times New Roman"/>
          <w:sz w:val="22"/>
          <w:szCs w:val="22"/>
          <w:lang w:val="es-ES" w:eastAsia="es-CR"/>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B82C4F" w:rsidRPr="00A156F4">
        <w:rPr>
          <w:rFonts w:ascii="Times New Roman" w:eastAsia="Times New Roman" w:hAnsi="Times New Roman" w:cs="Times New Roman"/>
          <w:b/>
          <w:i w:val="0"/>
          <w:iCs w:val="0"/>
          <w:color w:val="auto"/>
          <w:sz w:val="22"/>
          <w:szCs w:val="22"/>
          <w:lang w:val="es-CR" w:eastAsia="en-US"/>
        </w:rPr>
        <w:t>65</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Procedencia</w:t>
      </w:r>
      <w:r w:rsidRPr="00A156F4">
        <w:rPr>
          <w:rFonts w:ascii="Times New Roman" w:eastAsia="Times New Roman" w:hAnsi="Times New Roman" w:cs="Times New Roman"/>
          <w:b/>
          <w:i w:val="0"/>
          <w:iCs w:val="0"/>
          <w:color w:val="auto"/>
          <w:sz w:val="22"/>
          <w:szCs w:val="22"/>
          <w:lang w:val="es-CR" w:eastAsia="en-US"/>
        </w:rPr>
        <w:tab/>
      </w:r>
    </w:p>
    <w:p w14:paraId="4C0346F8" w14:textId="77777777" w:rsidR="00F87575" w:rsidRPr="00A156F4" w:rsidRDefault="00F87575" w:rsidP="00F0625A">
      <w:pPr>
        <w:jc w:val="both"/>
        <w:rPr>
          <w:sz w:val="22"/>
          <w:szCs w:val="22"/>
          <w:lang w:val="es-ES"/>
        </w:rPr>
      </w:pPr>
    </w:p>
    <w:p w14:paraId="5BA81048" w14:textId="2FB199D3" w:rsidR="00F0625A" w:rsidRPr="00A156F4" w:rsidRDefault="00F0625A" w:rsidP="00F0625A">
      <w:pPr>
        <w:jc w:val="both"/>
        <w:rPr>
          <w:sz w:val="22"/>
          <w:szCs w:val="22"/>
          <w:lang w:val="es-ES"/>
        </w:rPr>
      </w:pPr>
      <w:r w:rsidRPr="00A156F4">
        <w:rPr>
          <w:sz w:val="22"/>
          <w:szCs w:val="22"/>
          <w:lang w:val="es-ES"/>
        </w:rPr>
        <w:t>En cualquier momento durante la etapa decisoria del procedimiento especial, si como resultado de las gestiones realizadas,</w:t>
      </w:r>
      <w:r w:rsidR="00731BAA" w:rsidRPr="00A156F4">
        <w:rPr>
          <w:sz w:val="22"/>
          <w:szCs w:val="22"/>
          <w:lang w:val="es-ES"/>
        </w:rPr>
        <w:t xml:space="preserve"> de oficio o a petición de parte,</w:t>
      </w:r>
      <w:r w:rsidRPr="00A156F4">
        <w:rPr>
          <w:sz w:val="22"/>
          <w:szCs w:val="22"/>
          <w:lang w:val="es-ES"/>
        </w:rPr>
        <w:t xml:space="preserve"> el </w:t>
      </w:r>
      <w:r w:rsidRPr="00A156F4">
        <w:rPr>
          <w:sz w:val="22"/>
          <w:szCs w:val="22"/>
        </w:rPr>
        <w:t>Órgano Superior</w:t>
      </w:r>
      <w:r w:rsidRPr="00A156F4">
        <w:rPr>
          <w:sz w:val="22"/>
          <w:szCs w:val="22"/>
          <w:lang w:val="es-ES"/>
        </w:rPr>
        <w:t xml:space="preserve"> de la autoridad de competencia correspondiente determina que el auto de inicio de la etapa de instrucción y traslado de cargos es evidente y manifiestamente improcedente, podrá mediante resolución motivada, terminar anticipadamente el procedimiento y ordenar el archivo del expediente sin imposición de sanción alguna y sin necesidad de ofrecimiento de compromisos por parte de los agentes</w:t>
      </w:r>
      <w:r w:rsidR="00820197" w:rsidRPr="00A156F4">
        <w:rPr>
          <w:sz w:val="22"/>
          <w:szCs w:val="22"/>
          <w:lang w:val="es-ES"/>
        </w:rPr>
        <w:t xml:space="preserve"> económicos</w:t>
      </w:r>
      <w:r w:rsidRPr="00A156F4">
        <w:rPr>
          <w:sz w:val="22"/>
          <w:szCs w:val="22"/>
          <w:lang w:val="es-ES"/>
        </w:rPr>
        <w:t xml:space="preserve"> investigados.</w:t>
      </w:r>
    </w:p>
    <w:p w14:paraId="598591F7" w14:textId="30D6576A" w:rsidR="00F0625A" w:rsidRPr="00A156F4" w:rsidRDefault="00F0625A" w:rsidP="00F0625A">
      <w:pPr>
        <w:jc w:val="both"/>
        <w:rPr>
          <w:sz w:val="22"/>
          <w:szCs w:val="22"/>
          <w:lang w:val="es-ES"/>
        </w:rPr>
      </w:pPr>
      <w:r w:rsidRPr="00A156F4">
        <w:rPr>
          <w:sz w:val="22"/>
          <w:szCs w:val="22"/>
          <w:lang w:val="es-ES"/>
        </w:rPr>
        <w:t xml:space="preserve"> </w:t>
      </w:r>
    </w:p>
    <w:p w14:paraId="4AB3A292" w14:textId="77777777" w:rsidR="00122F84" w:rsidRPr="00A156F4" w:rsidRDefault="00122F84" w:rsidP="00F0625A">
      <w:pPr>
        <w:jc w:val="both"/>
        <w:rPr>
          <w:sz w:val="22"/>
          <w:szCs w:val="22"/>
          <w:lang w:val="es-ES"/>
        </w:rPr>
      </w:pPr>
      <w:bookmarkStart w:id="30" w:name="_Hlk536805213"/>
    </w:p>
    <w:p w14:paraId="743D9B93" w14:textId="77777777" w:rsidR="00F0625A" w:rsidRPr="00A156F4" w:rsidRDefault="00F0625A" w:rsidP="00F0625A">
      <w:pPr>
        <w:pStyle w:val="Ttulo2"/>
        <w:tabs>
          <w:tab w:val="center" w:pos="4419"/>
          <w:tab w:val="left" w:pos="7133"/>
        </w:tabs>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SECCIÓN II</w:t>
      </w:r>
    </w:p>
    <w:p w14:paraId="7A86575A" w14:textId="77777777" w:rsidR="00F0625A" w:rsidRPr="00A156F4" w:rsidRDefault="00F0625A" w:rsidP="00F0625A">
      <w:pPr>
        <w:pStyle w:val="Ttulo2"/>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Terminación Anticipada con Reconocimiento de Comisión de Infracción</w:t>
      </w:r>
    </w:p>
    <w:bookmarkEnd w:id="30"/>
    <w:p w14:paraId="0ED208C4" w14:textId="0826A4D4" w:rsidR="00F0625A" w:rsidRPr="00A156F4" w:rsidRDefault="00F0625A" w:rsidP="00F0625A">
      <w:pPr>
        <w:jc w:val="both"/>
        <w:rPr>
          <w:sz w:val="22"/>
          <w:szCs w:val="22"/>
          <w:lang w:val="es-CR"/>
        </w:rPr>
      </w:pPr>
    </w:p>
    <w:p w14:paraId="4D8E05E6" w14:textId="77777777" w:rsidR="005F7DB9" w:rsidRPr="00A156F4" w:rsidRDefault="005F7DB9" w:rsidP="00F0625A">
      <w:pPr>
        <w:jc w:val="both"/>
        <w:rPr>
          <w:sz w:val="22"/>
          <w:szCs w:val="22"/>
          <w:lang w:val="es-CR"/>
        </w:rPr>
      </w:pPr>
    </w:p>
    <w:p w14:paraId="2AA6FE6D" w14:textId="625F7E0B" w:rsidR="00F0625A" w:rsidRPr="00A156F4" w:rsidRDefault="00F0625A" w:rsidP="00F0625A">
      <w:pPr>
        <w:jc w:val="both"/>
        <w:rPr>
          <w:rFonts w:eastAsia="Times New Roman"/>
          <w:b/>
          <w:sz w:val="22"/>
          <w:szCs w:val="22"/>
          <w:lang w:val="es-CR" w:eastAsia="en-US"/>
        </w:rPr>
      </w:pPr>
      <w:r w:rsidRPr="00A156F4">
        <w:rPr>
          <w:rFonts w:eastAsia="Times New Roman"/>
          <w:b/>
          <w:sz w:val="22"/>
          <w:szCs w:val="22"/>
          <w:lang w:val="es-CR" w:eastAsia="en-US"/>
        </w:rPr>
        <w:t>Artículo 6</w:t>
      </w:r>
      <w:r w:rsidR="00B82C4F" w:rsidRPr="00A156F4">
        <w:rPr>
          <w:rFonts w:eastAsia="Times New Roman"/>
          <w:b/>
          <w:sz w:val="22"/>
          <w:szCs w:val="22"/>
          <w:lang w:val="es-CR" w:eastAsia="en-US"/>
        </w:rPr>
        <w:t>6</w:t>
      </w:r>
      <w:r w:rsidRPr="00A156F4">
        <w:rPr>
          <w:rFonts w:eastAsia="Times New Roman"/>
          <w:b/>
          <w:sz w:val="22"/>
          <w:szCs w:val="22"/>
          <w:lang w:val="es-CR" w:eastAsia="en-US"/>
        </w:rPr>
        <w:t>.- Solicitud de terminación anticipada del procedimiento con reconocimiento de comisión de la infracción</w:t>
      </w:r>
    </w:p>
    <w:p w14:paraId="637B706A" w14:textId="77777777" w:rsidR="00F0625A" w:rsidRPr="00A156F4" w:rsidRDefault="00F0625A" w:rsidP="00F0625A">
      <w:pPr>
        <w:jc w:val="both"/>
        <w:rPr>
          <w:sz w:val="22"/>
          <w:szCs w:val="22"/>
          <w:lang w:val="es-CR"/>
        </w:rPr>
      </w:pPr>
    </w:p>
    <w:p w14:paraId="266AF647" w14:textId="62F74ACE" w:rsidR="003A7729" w:rsidRPr="00A156F4" w:rsidRDefault="00B94CE2" w:rsidP="00F0625A">
      <w:pPr>
        <w:jc w:val="both"/>
        <w:rPr>
          <w:sz w:val="22"/>
          <w:szCs w:val="22"/>
          <w:lang w:val="es-ES"/>
        </w:rPr>
      </w:pPr>
      <w:r w:rsidRPr="00A156F4">
        <w:rPr>
          <w:sz w:val="22"/>
          <w:szCs w:val="22"/>
          <w:lang w:val="es-ES"/>
        </w:rPr>
        <w:t xml:space="preserve">La </w:t>
      </w:r>
      <w:r w:rsidR="00F0625A" w:rsidRPr="00A156F4">
        <w:rPr>
          <w:sz w:val="22"/>
          <w:szCs w:val="22"/>
          <w:lang w:val="es-ES"/>
        </w:rPr>
        <w:t>autoridad de competencia correspondiente podrá poner fin al procedimiento especial de forma anticipada, en aquellos casos en los que el agente económico investigado por prácticas monopolísticas</w:t>
      </w:r>
      <w:r w:rsidR="003A7729" w:rsidRPr="00A156F4">
        <w:rPr>
          <w:sz w:val="22"/>
          <w:szCs w:val="22"/>
          <w:lang w:val="es-ES"/>
        </w:rPr>
        <w:t xml:space="preserve"> absolutas</w:t>
      </w:r>
      <w:r w:rsidR="00F0625A" w:rsidRPr="00A156F4">
        <w:rPr>
          <w:sz w:val="22"/>
          <w:szCs w:val="22"/>
          <w:lang w:val="es-ES"/>
        </w:rPr>
        <w:t xml:space="preserve"> esté dispuesto a reconocer su participación en la conducta ilícita y su consiguiente responsabilidad</w:t>
      </w:r>
      <w:r w:rsidRPr="00A156F4">
        <w:rPr>
          <w:sz w:val="22"/>
          <w:szCs w:val="22"/>
          <w:lang w:val="es-ES"/>
        </w:rPr>
        <w:t>;</w:t>
      </w:r>
      <w:r w:rsidR="00F0625A" w:rsidRPr="00A156F4">
        <w:rPr>
          <w:sz w:val="22"/>
          <w:szCs w:val="22"/>
          <w:lang w:val="es-ES"/>
        </w:rPr>
        <w:t xml:space="preserve"> contribuyendo también a agilizar el procedimiento y la adopción de la resolución correspondiente por parte de la autoridad.</w:t>
      </w:r>
      <w:r w:rsidRPr="00A156F4">
        <w:rPr>
          <w:sz w:val="22"/>
          <w:szCs w:val="22"/>
          <w:lang w:val="es-ES"/>
        </w:rPr>
        <w:t xml:space="preserve"> </w:t>
      </w:r>
      <w:r w:rsidR="003A7729" w:rsidRPr="00A156F4">
        <w:rPr>
          <w:sz w:val="22"/>
          <w:szCs w:val="22"/>
        </w:rPr>
        <w:t>La propuesta de terminación anticipada deberá ser presentada por todos los agentes económicos</w:t>
      </w:r>
      <w:r w:rsidR="00A12C08" w:rsidRPr="00A156F4">
        <w:rPr>
          <w:sz w:val="22"/>
          <w:szCs w:val="22"/>
        </w:rPr>
        <w:t xml:space="preserve"> y personas físicas</w:t>
      </w:r>
      <w:r w:rsidR="003A7729" w:rsidRPr="00A156F4">
        <w:rPr>
          <w:sz w:val="22"/>
          <w:szCs w:val="22"/>
        </w:rPr>
        <w:t xml:space="preserve"> </w:t>
      </w:r>
      <w:r w:rsidR="00A12C08" w:rsidRPr="00A156F4">
        <w:rPr>
          <w:sz w:val="22"/>
          <w:szCs w:val="22"/>
        </w:rPr>
        <w:t>contra quienes se abrió</w:t>
      </w:r>
      <w:r w:rsidR="003A7729" w:rsidRPr="00A156F4">
        <w:rPr>
          <w:sz w:val="22"/>
          <w:szCs w:val="22"/>
        </w:rPr>
        <w:t xml:space="preserve"> el procedimiento. </w:t>
      </w:r>
    </w:p>
    <w:p w14:paraId="0999BB24" w14:textId="77777777" w:rsidR="00F0625A" w:rsidRPr="00A156F4" w:rsidRDefault="00F0625A" w:rsidP="00F0625A">
      <w:pPr>
        <w:jc w:val="both"/>
        <w:rPr>
          <w:sz w:val="22"/>
          <w:szCs w:val="22"/>
          <w:lang w:val="es-ES"/>
        </w:rPr>
      </w:pPr>
    </w:p>
    <w:p w14:paraId="69AD0933" w14:textId="77777777" w:rsidR="00F0625A" w:rsidRPr="00A156F4" w:rsidRDefault="00F0625A" w:rsidP="00F0625A">
      <w:pPr>
        <w:jc w:val="both"/>
        <w:rPr>
          <w:sz w:val="22"/>
          <w:szCs w:val="22"/>
        </w:rPr>
      </w:pPr>
      <w:r w:rsidRPr="00A156F4">
        <w:rPr>
          <w:sz w:val="22"/>
          <w:szCs w:val="22"/>
          <w:lang w:val="es-ES"/>
        </w:rPr>
        <w:t xml:space="preserve">El plazo del procedimiento se suspenderá </w:t>
      </w:r>
      <w:r w:rsidRPr="00A156F4">
        <w:rPr>
          <w:sz w:val="22"/>
          <w:szCs w:val="22"/>
        </w:rPr>
        <w:t>sin necesidad de resolución que así lo determine, desde la interposición de la solicitud hasta su resolución definitiva por parte del Órgano Superior correspondiente.</w:t>
      </w:r>
      <w:r w:rsidRPr="00A156F4">
        <w:rPr>
          <w:sz w:val="22"/>
          <w:szCs w:val="22"/>
          <w:lang w:val="es-ES"/>
        </w:rPr>
        <w:t xml:space="preserve"> </w:t>
      </w:r>
    </w:p>
    <w:p w14:paraId="2E46E16A" w14:textId="77777777" w:rsidR="00F0625A" w:rsidRPr="00A156F4" w:rsidRDefault="00F0625A" w:rsidP="00F0625A">
      <w:pPr>
        <w:jc w:val="both"/>
        <w:rPr>
          <w:sz w:val="22"/>
          <w:szCs w:val="22"/>
          <w:lang w:val="es-ES"/>
        </w:rPr>
      </w:pPr>
    </w:p>
    <w:p w14:paraId="70426AF5" w14:textId="578B83ED" w:rsidR="00F0625A" w:rsidRPr="00A156F4" w:rsidRDefault="00F0625A" w:rsidP="00F0625A">
      <w:pPr>
        <w:jc w:val="both"/>
        <w:rPr>
          <w:sz w:val="22"/>
          <w:szCs w:val="22"/>
          <w:lang w:val="es-ES"/>
        </w:rPr>
      </w:pPr>
      <w:r w:rsidRPr="00A156F4">
        <w:rPr>
          <w:rFonts w:eastAsia="Times New Roman"/>
          <w:b/>
          <w:sz w:val="22"/>
          <w:szCs w:val="22"/>
          <w:lang w:val="es-CR" w:eastAsia="en-US"/>
        </w:rPr>
        <w:t>Artículo 6</w:t>
      </w:r>
      <w:r w:rsidR="00B82C4F" w:rsidRPr="00A156F4">
        <w:rPr>
          <w:rFonts w:eastAsia="Times New Roman"/>
          <w:b/>
          <w:sz w:val="22"/>
          <w:szCs w:val="22"/>
          <w:lang w:val="es-CR" w:eastAsia="en-US"/>
        </w:rPr>
        <w:t>7</w:t>
      </w:r>
      <w:r w:rsidRPr="00A156F4">
        <w:rPr>
          <w:rFonts w:eastAsia="Times New Roman"/>
          <w:b/>
          <w:sz w:val="22"/>
          <w:szCs w:val="22"/>
          <w:lang w:val="es-CR" w:eastAsia="en-US"/>
        </w:rPr>
        <w:t>.- Contenido de la solicitud de terminación anticipada del procedimiento con reconocimiento de comisión de la infracción</w:t>
      </w:r>
    </w:p>
    <w:p w14:paraId="3F0E35D6" w14:textId="77777777" w:rsidR="00F0625A" w:rsidRPr="00A156F4" w:rsidRDefault="00F0625A" w:rsidP="00F0625A">
      <w:pPr>
        <w:jc w:val="both"/>
        <w:rPr>
          <w:sz w:val="22"/>
          <w:szCs w:val="22"/>
          <w:lang w:val="es-ES"/>
        </w:rPr>
      </w:pPr>
    </w:p>
    <w:p w14:paraId="1F341DE6" w14:textId="525746C8" w:rsidR="00F0625A" w:rsidRPr="00A156F4" w:rsidRDefault="00A12C08" w:rsidP="00F0625A">
      <w:pPr>
        <w:jc w:val="both"/>
        <w:rPr>
          <w:sz w:val="22"/>
          <w:szCs w:val="22"/>
          <w:lang w:val="es-ES"/>
        </w:rPr>
      </w:pPr>
      <w:r w:rsidRPr="00A156F4">
        <w:rPr>
          <w:sz w:val="22"/>
          <w:szCs w:val="22"/>
          <w:lang w:val="es-ES"/>
        </w:rPr>
        <w:t>En el supuesto del artículo anterior, l</w:t>
      </w:r>
      <w:r w:rsidR="003A7729" w:rsidRPr="00A156F4">
        <w:rPr>
          <w:sz w:val="22"/>
          <w:szCs w:val="22"/>
          <w:lang w:val="es-ES"/>
        </w:rPr>
        <w:t>os</w:t>
      </w:r>
      <w:r w:rsidR="00F0625A" w:rsidRPr="00A156F4">
        <w:rPr>
          <w:sz w:val="22"/>
          <w:szCs w:val="22"/>
          <w:lang w:val="es-ES"/>
        </w:rPr>
        <w:t xml:space="preserve"> agente</w:t>
      </w:r>
      <w:r w:rsidR="003A7729" w:rsidRPr="00A156F4">
        <w:rPr>
          <w:sz w:val="22"/>
          <w:szCs w:val="22"/>
          <w:lang w:val="es-ES"/>
        </w:rPr>
        <w:t>s</w:t>
      </w:r>
      <w:r w:rsidR="00F0625A" w:rsidRPr="00A156F4">
        <w:rPr>
          <w:sz w:val="22"/>
          <w:szCs w:val="22"/>
          <w:lang w:val="es-ES"/>
        </w:rPr>
        <w:t xml:space="preserve"> económico</w:t>
      </w:r>
      <w:r w:rsidR="003A7729" w:rsidRPr="00A156F4">
        <w:rPr>
          <w:sz w:val="22"/>
          <w:szCs w:val="22"/>
          <w:lang w:val="es-ES"/>
        </w:rPr>
        <w:t>s</w:t>
      </w:r>
      <w:r w:rsidR="00F0625A" w:rsidRPr="00A156F4">
        <w:rPr>
          <w:sz w:val="22"/>
          <w:szCs w:val="22"/>
          <w:lang w:val="es-ES"/>
        </w:rPr>
        <w:t xml:space="preserve"> investigado</w:t>
      </w:r>
      <w:r w:rsidR="003A7729" w:rsidRPr="00A156F4">
        <w:rPr>
          <w:sz w:val="22"/>
          <w:szCs w:val="22"/>
          <w:lang w:val="es-ES"/>
        </w:rPr>
        <w:t>s</w:t>
      </w:r>
      <w:r w:rsidR="00B94CE2" w:rsidRPr="00A156F4">
        <w:rPr>
          <w:sz w:val="22"/>
          <w:szCs w:val="22"/>
          <w:lang w:val="es-ES"/>
        </w:rPr>
        <w:t xml:space="preserve"> podrán</w:t>
      </w:r>
      <w:r w:rsidR="00F0625A" w:rsidRPr="00A156F4">
        <w:rPr>
          <w:sz w:val="22"/>
          <w:szCs w:val="22"/>
          <w:lang w:val="es-ES"/>
        </w:rPr>
        <w:t xml:space="preserve"> presentar la solicitud de terminación, que al menos deberá contener:</w:t>
      </w:r>
    </w:p>
    <w:p w14:paraId="2D6BBB26" w14:textId="77777777" w:rsidR="00F0625A" w:rsidRPr="00A156F4" w:rsidRDefault="00F0625A" w:rsidP="00F0625A">
      <w:pPr>
        <w:jc w:val="both"/>
        <w:rPr>
          <w:sz w:val="22"/>
          <w:szCs w:val="22"/>
          <w:lang w:val="es-ES"/>
        </w:rPr>
      </w:pPr>
    </w:p>
    <w:p w14:paraId="7A192364" w14:textId="78A76017" w:rsidR="00A12C08" w:rsidRPr="00A156F4" w:rsidRDefault="00F0625A" w:rsidP="00117EE5">
      <w:pPr>
        <w:pStyle w:val="Prrafodelista"/>
        <w:widowControl w:val="0"/>
        <w:numPr>
          <w:ilvl w:val="0"/>
          <w:numId w:val="36"/>
        </w:numPr>
        <w:spacing w:after="0" w:line="240" w:lineRule="auto"/>
        <w:jc w:val="both"/>
        <w:rPr>
          <w:rFonts w:ascii="Times New Roman" w:eastAsiaTheme="minorHAnsi" w:hAnsi="Times New Roman"/>
          <w:lang w:val="es-ES" w:eastAsia="es-ES_tradnl"/>
        </w:rPr>
      </w:pPr>
      <w:r w:rsidRPr="00A156F4">
        <w:rPr>
          <w:rFonts w:ascii="Times New Roman" w:eastAsiaTheme="minorHAnsi" w:hAnsi="Times New Roman"/>
          <w:lang w:val="es-ES" w:eastAsia="es-ES_tradnl"/>
        </w:rPr>
        <w:t xml:space="preserve">El </w:t>
      </w:r>
      <w:r w:rsidRPr="00A156F4">
        <w:rPr>
          <w:rFonts w:ascii="Times New Roman" w:eastAsiaTheme="minorHAnsi" w:hAnsi="Times New Roman"/>
          <w:lang w:val="es-ES_tradnl" w:eastAsia="es-CR"/>
        </w:rPr>
        <w:t>reconocimiento</w:t>
      </w:r>
      <w:r w:rsidRPr="00A156F4">
        <w:rPr>
          <w:rFonts w:ascii="Times New Roman" w:eastAsiaTheme="minorHAnsi" w:hAnsi="Times New Roman"/>
          <w:lang w:val="es-ES" w:eastAsia="es-ES_tradnl"/>
        </w:rPr>
        <w:t xml:space="preserve"> expreso de la responsabilidad en la infracción investigada, en los términos descritos en el auto de inicio de la etapa de instrucción y traslado de cargos</w:t>
      </w:r>
      <w:r w:rsidR="00B94CE2" w:rsidRPr="00A156F4">
        <w:rPr>
          <w:rFonts w:ascii="Times New Roman" w:eastAsiaTheme="minorHAnsi" w:hAnsi="Times New Roman"/>
          <w:lang w:val="es-ES" w:eastAsia="es-ES_tradnl"/>
        </w:rPr>
        <w:t>;</w:t>
      </w:r>
      <w:r w:rsidRPr="00A156F4">
        <w:rPr>
          <w:rFonts w:ascii="Times New Roman" w:eastAsiaTheme="minorHAnsi" w:hAnsi="Times New Roman"/>
          <w:lang w:val="es-ES" w:eastAsia="es-ES_tradnl"/>
        </w:rPr>
        <w:t xml:space="preserve"> incluyendo además una descripción del papel desempeñado por </w:t>
      </w:r>
      <w:r w:rsidR="003A7729" w:rsidRPr="00A156F4">
        <w:rPr>
          <w:rFonts w:ascii="Times New Roman" w:eastAsiaTheme="minorHAnsi" w:hAnsi="Times New Roman"/>
          <w:lang w:val="es-ES" w:eastAsia="es-ES_tradnl"/>
        </w:rPr>
        <w:t>ellos</w:t>
      </w:r>
      <w:r w:rsidRPr="00A156F4">
        <w:rPr>
          <w:rFonts w:ascii="Times New Roman" w:eastAsiaTheme="minorHAnsi" w:hAnsi="Times New Roman"/>
          <w:lang w:val="es-ES" w:eastAsia="es-ES_tradnl"/>
        </w:rPr>
        <w:t xml:space="preserve"> en la infracción investigada y la duración de su participación en </w:t>
      </w:r>
      <w:r w:rsidR="00B94CE2" w:rsidRPr="00A156F4">
        <w:rPr>
          <w:rFonts w:ascii="Times New Roman" w:eastAsiaTheme="minorHAnsi" w:hAnsi="Times New Roman"/>
          <w:lang w:val="es-ES" w:eastAsia="es-ES_tradnl"/>
        </w:rPr>
        <w:t>e</w:t>
      </w:r>
      <w:r w:rsidRPr="00A156F4">
        <w:rPr>
          <w:rFonts w:ascii="Times New Roman" w:eastAsiaTheme="minorHAnsi" w:hAnsi="Times New Roman"/>
          <w:lang w:val="es-ES" w:eastAsia="es-ES_tradnl"/>
        </w:rPr>
        <w:t>sta.</w:t>
      </w:r>
    </w:p>
    <w:p w14:paraId="089E0420" w14:textId="77777777" w:rsidR="00A12C08" w:rsidRPr="00A156F4" w:rsidRDefault="00A12C08" w:rsidP="00A12C08">
      <w:pPr>
        <w:pStyle w:val="Prrafodelista"/>
        <w:widowControl w:val="0"/>
        <w:spacing w:after="0" w:line="240" w:lineRule="auto"/>
        <w:ind w:left="720"/>
        <w:jc w:val="both"/>
        <w:rPr>
          <w:rFonts w:ascii="Times New Roman" w:eastAsiaTheme="minorHAnsi" w:hAnsi="Times New Roman"/>
          <w:lang w:val="es-ES" w:eastAsia="es-ES_tradnl"/>
        </w:rPr>
      </w:pPr>
    </w:p>
    <w:p w14:paraId="1FFAF760" w14:textId="43085EDD" w:rsidR="00A12C08" w:rsidRPr="00A156F4" w:rsidRDefault="00F0625A" w:rsidP="00117EE5">
      <w:pPr>
        <w:pStyle w:val="Prrafodelista"/>
        <w:widowControl w:val="0"/>
        <w:numPr>
          <w:ilvl w:val="0"/>
          <w:numId w:val="36"/>
        </w:numPr>
        <w:spacing w:after="0" w:line="240" w:lineRule="auto"/>
        <w:jc w:val="both"/>
        <w:rPr>
          <w:rFonts w:ascii="Times New Roman" w:eastAsiaTheme="minorHAnsi" w:hAnsi="Times New Roman"/>
          <w:lang w:val="es-ES" w:eastAsia="es-ES_tradnl"/>
        </w:rPr>
      </w:pPr>
      <w:r w:rsidRPr="00A156F4">
        <w:rPr>
          <w:rFonts w:ascii="Times New Roman" w:eastAsiaTheme="minorHAnsi" w:hAnsi="Times New Roman"/>
          <w:lang w:val="es-ES" w:eastAsia="es-ES_tradnl"/>
        </w:rPr>
        <w:t>La confirmación de que ha</w:t>
      </w:r>
      <w:r w:rsidR="003A7729" w:rsidRPr="00A156F4">
        <w:rPr>
          <w:rFonts w:ascii="Times New Roman" w:eastAsiaTheme="minorHAnsi" w:hAnsi="Times New Roman"/>
          <w:lang w:val="es-ES" w:eastAsia="es-ES_tradnl"/>
        </w:rPr>
        <w:t>n</w:t>
      </w:r>
      <w:r w:rsidRPr="00A156F4">
        <w:rPr>
          <w:rFonts w:ascii="Times New Roman" w:eastAsiaTheme="minorHAnsi" w:hAnsi="Times New Roman"/>
          <w:lang w:val="es-ES" w:eastAsia="es-ES_tradnl"/>
        </w:rPr>
        <w:t xml:space="preserve"> sido informado</w:t>
      </w:r>
      <w:r w:rsidR="003A7729" w:rsidRPr="00A156F4">
        <w:rPr>
          <w:rFonts w:ascii="Times New Roman" w:eastAsiaTheme="minorHAnsi" w:hAnsi="Times New Roman"/>
          <w:lang w:val="es-ES" w:eastAsia="es-ES_tradnl"/>
        </w:rPr>
        <w:t>s</w:t>
      </w:r>
      <w:r w:rsidRPr="00A156F4">
        <w:rPr>
          <w:rFonts w:ascii="Times New Roman" w:eastAsiaTheme="minorHAnsi" w:hAnsi="Times New Roman"/>
          <w:lang w:val="es-ES" w:eastAsia="es-ES_tradnl"/>
        </w:rPr>
        <w:t xml:space="preserve"> </w:t>
      </w:r>
      <w:r w:rsidR="003A7729" w:rsidRPr="00A156F4">
        <w:rPr>
          <w:rFonts w:ascii="Times New Roman" w:eastAsiaTheme="minorHAnsi" w:hAnsi="Times New Roman"/>
          <w:lang w:val="es-ES" w:eastAsia="es-ES_tradnl"/>
        </w:rPr>
        <w:t xml:space="preserve">de </w:t>
      </w:r>
      <w:r w:rsidRPr="00A156F4">
        <w:rPr>
          <w:rFonts w:ascii="Times New Roman" w:eastAsiaTheme="minorHAnsi" w:hAnsi="Times New Roman"/>
          <w:lang w:val="es-ES" w:eastAsia="es-ES_tradnl"/>
        </w:rPr>
        <w:t>que, en caso de aceptarse la solicitud, se impondrá una sanción en su contra, en los términos y montos previstos en el</w:t>
      </w:r>
      <w:r w:rsidR="00962580" w:rsidRPr="00A156F4">
        <w:rPr>
          <w:rFonts w:ascii="Times New Roman" w:eastAsiaTheme="minorHAnsi" w:hAnsi="Times New Roman"/>
          <w:lang w:val="es-ES" w:eastAsia="es-ES_tradnl"/>
        </w:rPr>
        <w:t xml:space="preserve"> artículo</w:t>
      </w:r>
      <w:r w:rsidRPr="00A156F4">
        <w:rPr>
          <w:rFonts w:ascii="Times New Roman" w:eastAsiaTheme="minorHAnsi" w:hAnsi="Times New Roman"/>
          <w:lang w:val="es-ES" w:eastAsia="es-ES_tradnl"/>
        </w:rPr>
        <w:t xml:space="preserve"> </w:t>
      </w:r>
      <w:r w:rsidR="00962580" w:rsidRPr="00A156F4">
        <w:rPr>
          <w:rFonts w:ascii="Times New Roman" w:eastAsiaTheme="minorHAnsi" w:hAnsi="Times New Roman"/>
          <w:lang w:val="es-ES" w:eastAsia="es-ES_tradnl"/>
        </w:rPr>
        <w:t>117</w:t>
      </w:r>
      <w:r w:rsidRPr="00A156F4">
        <w:rPr>
          <w:rFonts w:ascii="Times New Roman" w:eastAsiaTheme="minorHAnsi" w:hAnsi="Times New Roman"/>
          <w:lang w:val="es-ES" w:eastAsia="es-ES_tradnl"/>
        </w:rPr>
        <w:t xml:space="preserve"> </w:t>
      </w:r>
      <w:r w:rsidR="00962580" w:rsidRPr="00A156F4">
        <w:rPr>
          <w:rFonts w:ascii="Times New Roman" w:eastAsiaTheme="minorHAnsi" w:hAnsi="Times New Roman"/>
          <w:lang w:val="es-ES" w:eastAsia="es-ES_tradnl"/>
        </w:rPr>
        <w:t xml:space="preserve">de </w:t>
      </w:r>
      <w:r w:rsidR="00700641">
        <w:rPr>
          <w:rFonts w:ascii="Times New Roman" w:eastAsiaTheme="minorHAnsi" w:hAnsi="Times New Roman"/>
          <w:lang w:val="es-ES" w:eastAsia="es-ES_tradnl"/>
        </w:rPr>
        <w:t>la presente</w:t>
      </w:r>
      <w:r w:rsidRPr="00A156F4">
        <w:rPr>
          <w:rFonts w:ascii="Times New Roman" w:eastAsiaTheme="minorHAnsi" w:hAnsi="Times New Roman"/>
          <w:lang w:val="es-ES" w:eastAsia="es-ES_tradnl"/>
        </w:rPr>
        <w:t xml:space="preserve"> </w:t>
      </w:r>
      <w:r w:rsidR="00700641">
        <w:rPr>
          <w:rFonts w:ascii="Times New Roman" w:eastAsiaTheme="minorHAnsi" w:hAnsi="Times New Roman"/>
          <w:lang w:val="es-ES" w:eastAsia="es-ES_tradnl"/>
        </w:rPr>
        <w:t>l</w:t>
      </w:r>
      <w:r w:rsidRPr="00A156F4">
        <w:rPr>
          <w:rFonts w:ascii="Times New Roman" w:eastAsiaTheme="minorHAnsi" w:hAnsi="Times New Roman"/>
          <w:lang w:val="es-ES" w:eastAsia="es-ES_tradnl"/>
        </w:rPr>
        <w:t>ey.</w:t>
      </w:r>
    </w:p>
    <w:p w14:paraId="26627FD2" w14:textId="77777777" w:rsidR="00A12C08" w:rsidRPr="00A156F4" w:rsidRDefault="00A12C08" w:rsidP="00A12C08">
      <w:pPr>
        <w:pStyle w:val="Prrafodelista"/>
        <w:widowControl w:val="0"/>
        <w:spacing w:after="0" w:line="240" w:lineRule="auto"/>
        <w:ind w:left="720"/>
        <w:jc w:val="both"/>
        <w:rPr>
          <w:rFonts w:ascii="Times New Roman" w:eastAsiaTheme="minorHAnsi" w:hAnsi="Times New Roman"/>
          <w:lang w:val="es-ES" w:eastAsia="es-ES_tradnl"/>
        </w:rPr>
      </w:pPr>
    </w:p>
    <w:p w14:paraId="45AA5486" w14:textId="0EF5298B" w:rsidR="00F0625A" w:rsidRPr="00A156F4" w:rsidRDefault="00F0625A" w:rsidP="00117EE5">
      <w:pPr>
        <w:pStyle w:val="Prrafodelista"/>
        <w:widowControl w:val="0"/>
        <w:numPr>
          <w:ilvl w:val="0"/>
          <w:numId w:val="36"/>
        </w:numPr>
        <w:spacing w:after="0" w:line="240" w:lineRule="auto"/>
        <w:jc w:val="both"/>
        <w:rPr>
          <w:rFonts w:ascii="Times New Roman" w:eastAsiaTheme="minorHAnsi" w:hAnsi="Times New Roman"/>
          <w:lang w:val="es-ES" w:eastAsia="es-ES_tradnl"/>
        </w:rPr>
      </w:pPr>
      <w:r w:rsidRPr="00A156F4">
        <w:rPr>
          <w:rFonts w:ascii="Times New Roman" w:eastAsiaTheme="minorHAnsi" w:hAnsi="Times New Roman"/>
          <w:lang w:val="es-ES" w:eastAsia="es-ES_tradnl"/>
        </w:rPr>
        <w:t>Que se compromete</w:t>
      </w:r>
      <w:r w:rsidR="003A7729" w:rsidRPr="00A156F4">
        <w:rPr>
          <w:rFonts w:ascii="Times New Roman" w:eastAsiaTheme="minorHAnsi" w:hAnsi="Times New Roman"/>
          <w:lang w:val="es-ES" w:eastAsia="es-ES_tradnl"/>
        </w:rPr>
        <w:t>n</w:t>
      </w:r>
      <w:r w:rsidRPr="00A156F4">
        <w:rPr>
          <w:rFonts w:ascii="Times New Roman" w:eastAsiaTheme="minorHAnsi" w:hAnsi="Times New Roman"/>
          <w:lang w:val="es-ES" w:eastAsia="es-ES_tradnl"/>
        </w:rPr>
        <w:t xml:space="preserve"> a cooperar en la tramitación expedita del procedimiento.</w:t>
      </w:r>
    </w:p>
    <w:p w14:paraId="32796BB4" w14:textId="77777777" w:rsidR="00F0625A" w:rsidRPr="00A156F4" w:rsidRDefault="00F0625A" w:rsidP="00F0625A">
      <w:pPr>
        <w:jc w:val="both"/>
        <w:rPr>
          <w:sz w:val="22"/>
          <w:szCs w:val="22"/>
          <w:lang w:val="es-ES"/>
        </w:rPr>
      </w:pPr>
    </w:p>
    <w:p w14:paraId="772595C1" w14:textId="23D42139" w:rsidR="00F0625A" w:rsidRPr="00A156F4" w:rsidRDefault="00F0625A" w:rsidP="00F0625A">
      <w:pPr>
        <w:jc w:val="both"/>
        <w:rPr>
          <w:sz w:val="22"/>
          <w:szCs w:val="22"/>
          <w:lang w:val="es-ES"/>
        </w:rPr>
      </w:pPr>
      <w:r w:rsidRPr="00A156F4">
        <w:rPr>
          <w:rFonts w:eastAsia="Times New Roman"/>
          <w:b/>
          <w:sz w:val="22"/>
          <w:szCs w:val="22"/>
          <w:lang w:val="es-CR" w:eastAsia="en-US"/>
        </w:rPr>
        <w:t>Artículo 6</w:t>
      </w:r>
      <w:r w:rsidR="00B82C4F" w:rsidRPr="00A156F4">
        <w:rPr>
          <w:rFonts w:eastAsia="Times New Roman"/>
          <w:b/>
          <w:sz w:val="22"/>
          <w:szCs w:val="22"/>
          <w:lang w:val="es-CR" w:eastAsia="en-US"/>
        </w:rPr>
        <w:t>8</w:t>
      </w:r>
      <w:r w:rsidRPr="00A156F4">
        <w:rPr>
          <w:rFonts w:eastAsia="Times New Roman"/>
          <w:b/>
          <w:sz w:val="22"/>
          <w:szCs w:val="22"/>
          <w:lang w:val="es-CR" w:eastAsia="en-US"/>
        </w:rPr>
        <w:t>.- Tramitación de la solicitud de terminación anticipada del procedimiento con reconocimiento de comisión de la infracción</w:t>
      </w:r>
    </w:p>
    <w:p w14:paraId="77EF043F" w14:textId="77777777" w:rsidR="00F0625A" w:rsidRPr="00A156F4" w:rsidRDefault="00F0625A" w:rsidP="00F0625A">
      <w:pPr>
        <w:jc w:val="both"/>
        <w:rPr>
          <w:sz w:val="22"/>
          <w:szCs w:val="22"/>
          <w:lang w:val="es-ES"/>
        </w:rPr>
      </w:pPr>
    </w:p>
    <w:p w14:paraId="62878184" w14:textId="7F384144" w:rsidR="00F0625A" w:rsidRPr="00A156F4" w:rsidRDefault="003E47FB" w:rsidP="00F0625A">
      <w:pPr>
        <w:jc w:val="both"/>
        <w:rPr>
          <w:sz w:val="22"/>
          <w:szCs w:val="22"/>
          <w:lang w:val="es-ES"/>
        </w:rPr>
      </w:pPr>
      <w:r w:rsidRPr="00A156F4">
        <w:rPr>
          <w:sz w:val="22"/>
          <w:szCs w:val="22"/>
          <w:lang w:val="es-ES"/>
        </w:rPr>
        <w:t>La solicitud a la que se refiere</w:t>
      </w:r>
      <w:r w:rsidR="00AC2BEE" w:rsidRPr="00A156F4">
        <w:rPr>
          <w:sz w:val="22"/>
          <w:szCs w:val="22"/>
          <w:lang w:val="es-ES"/>
        </w:rPr>
        <w:t>n</w:t>
      </w:r>
      <w:r w:rsidRPr="00A156F4">
        <w:rPr>
          <w:sz w:val="22"/>
          <w:szCs w:val="22"/>
          <w:lang w:val="es-ES"/>
        </w:rPr>
        <w:t xml:space="preserve"> </w:t>
      </w:r>
      <w:r w:rsidR="00AC2BEE" w:rsidRPr="00A156F4">
        <w:rPr>
          <w:sz w:val="22"/>
          <w:szCs w:val="22"/>
          <w:lang w:val="es-ES"/>
        </w:rPr>
        <w:t>los</w:t>
      </w:r>
      <w:r w:rsidRPr="00A156F4">
        <w:rPr>
          <w:sz w:val="22"/>
          <w:szCs w:val="22"/>
          <w:lang w:val="es-ES"/>
        </w:rPr>
        <w:t xml:space="preserve"> artículo</w:t>
      </w:r>
      <w:r w:rsidR="00AC2BEE" w:rsidRPr="00A156F4">
        <w:rPr>
          <w:sz w:val="22"/>
          <w:szCs w:val="22"/>
          <w:lang w:val="es-ES"/>
        </w:rPr>
        <w:t>s 66 y 67</w:t>
      </w:r>
      <w:r w:rsidRPr="00A156F4">
        <w:rPr>
          <w:sz w:val="22"/>
          <w:szCs w:val="22"/>
          <w:lang w:val="es-ES"/>
        </w:rPr>
        <w:t xml:space="preserve"> podrá ser presentada </w:t>
      </w:r>
      <w:r w:rsidR="00F0625A" w:rsidRPr="00A156F4">
        <w:rPr>
          <w:sz w:val="22"/>
          <w:szCs w:val="22"/>
          <w:lang w:val="es-ES"/>
        </w:rPr>
        <w:t xml:space="preserve">en cualquier momento antes del inicio de la comparecencia oral y privada, ante el Órgano Superior de la respectiva autoridad de competencia, a quien corresponderá resolverla en un plazo de </w:t>
      </w:r>
      <w:r w:rsidR="0016119C" w:rsidRPr="00A156F4">
        <w:rPr>
          <w:sz w:val="22"/>
          <w:szCs w:val="22"/>
          <w:lang w:val="es-ES"/>
        </w:rPr>
        <w:t>30</w:t>
      </w:r>
      <w:r w:rsidR="00F0625A" w:rsidRPr="00A156F4">
        <w:rPr>
          <w:sz w:val="22"/>
          <w:szCs w:val="22"/>
          <w:lang w:val="es-ES"/>
        </w:rPr>
        <w:t xml:space="preserve"> días hábiles. </w:t>
      </w:r>
    </w:p>
    <w:p w14:paraId="4EE15365" w14:textId="77777777" w:rsidR="00B94CE2" w:rsidRPr="00A156F4" w:rsidRDefault="00B94CE2" w:rsidP="00F0625A">
      <w:pPr>
        <w:jc w:val="both"/>
        <w:rPr>
          <w:sz w:val="22"/>
          <w:szCs w:val="22"/>
          <w:lang w:val="es-ES"/>
        </w:rPr>
      </w:pPr>
    </w:p>
    <w:p w14:paraId="0D2E090A" w14:textId="4BA808B0" w:rsidR="006E38FE" w:rsidRPr="00A156F4" w:rsidRDefault="00F0625A" w:rsidP="00F0625A">
      <w:pPr>
        <w:jc w:val="both"/>
        <w:rPr>
          <w:sz w:val="22"/>
          <w:szCs w:val="22"/>
        </w:rPr>
      </w:pPr>
      <w:r w:rsidRPr="00A156F4">
        <w:rPr>
          <w:sz w:val="22"/>
          <w:szCs w:val="22"/>
          <w:lang w:val="es-ES"/>
        </w:rPr>
        <w:t>En caso de que la propuesta se presente ante otro órgano de la autoridad de competencia, este deberá remitirla</w:t>
      </w:r>
      <w:r w:rsidR="00D84D4B" w:rsidRPr="00A156F4">
        <w:rPr>
          <w:sz w:val="22"/>
          <w:szCs w:val="22"/>
          <w:lang w:val="es-ES"/>
        </w:rPr>
        <w:t xml:space="preserve"> al Órgano Superior,</w:t>
      </w:r>
      <w:r w:rsidRPr="00A156F4">
        <w:rPr>
          <w:sz w:val="22"/>
          <w:szCs w:val="22"/>
          <w:lang w:val="es-ES"/>
        </w:rPr>
        <w:t xml:space="preserve"> sin mayor trámite</w:t>
      </w:r>
      <w:r w:rsidR="00D84D4B" w:rsidRPr="00A156F4">
        <w:rPr>
          <w:sz w:val="22"/>
          <w:szCs w:val="22"/>
          <w:lang w:val="es-ES"/>
        </w:rPr>
        <w:t>,</w:t>
      </w:r>
      <w:r w:rsidRPr="00A156F4">
        <w:rPr>
          <w:sz w:val="22"/>
          <w:szCs w:val="22"/>
          <w:lang w:val="es-ES"/>
        </w:rPr>
        <w:t xml:space="preserve"> en el plazo máximo de tres días hábiles</w:t>
      </w:r>
      <w:r w:rsidR="00D84D4B" w:rsidRPr="00A156F4">
        <w:rPr>
          <w:sz w:val="22"/>
          <w:szCs w:val="22"/>
          <w:lang w:val="es-ES"/>
        </w:rPr>
        <w:t>.</w:t>
      </w:r>
    </w:p>
    <w:p w14:paraId="7EB0AFA5" w14:textId="77777777" w:rsidR="00F0625A" w:rsidRPr="00A156F4" w:rsidRDefault="00F0625A" w:rsidP="00F0625A">
      <w:pPr>
        <w:jc w:val="both"/>
        <w:rPr>
          <w:sz w:val="22"/>
          <w:szCs w:val="22"/>
          <w:lang w:val="es-ES"/>
        </w:rPr>
      </w:pPr>
    </w:p>
    <w:p w14:paraId="5B4F4B92" w14:textId="77C1B689" w:rsidR="00F0625A" w:rsidRPr="00A156F4" w:rsidRDefault="00F0625A" w:rsidP="00F0625A">
      <w:pPr>
        <w:jc w:val="both"/>
        <w:rPr>
          <w:sz w:val="22"/>
          <w:szCs w:val="22"/>
          <w:lang w:val="es-ES"/>
        </w:rPr>
      </w:pPr>
      <w:r w:rsidRPr="00A156F4">
        <w:rPr>
          <w:rFonts w:eastAsia="Times New Roman"/>
          <w:b/>
          <w:sz w:val="22"/>
          <w:szCs w:val="22"/>
          <w:lang w:val="es-CR" w:eastAsia="en-US"/>
        </w:rPr>
        <w:t>Artículo 6</w:t>
      </w:r>
      <w:r w:rsidR="00B82C4F" w:rsidRPr="00A156F4">
        <w:rPr>
          <w:rFonts w:eastAsia="Times New Roman"/>
          <w:b/>
          <w:sz w:val="22"/>
          <w:szCs w:val="22"/>
          <w:lang w:val="es-CR" w:eastAsia="en-US"/>
        </w:rPr>
        <w:t>9</w:t>
      </w:r>
      <w:r w:rsidRPr="00A156F4">
        <w:rPr>
          <w:rFonts w:eastAsia="Times New Roman"/>
          <w:b/>
          <w:sz w:val="22"/>
          <w:szCs w:val="22"/>
          <w:lang w:val="es-CR" w:eastAsia="en-US"/>
        </w:rPr>
        <w:t>.- Efectos de la solicitud de terminación anticipada del procedimiento con reconocimiento de comisión de la infracción</w:t>
      </w:r>
    </w:p>
    <w:p w14:paraId="0C12F8FC" w14:textId="77777777" w:rsidR="00F0625A" w:rsidRPr="00A156F4" w:rsidRDefault="00F0625A" w:rsidP="00F0625A">
      <w:pPr>
        <w:jc w:val="both"/>
        <w:rPr>
          <w:sz w:val="22"/>
          <w:szCs w:val="22"/>
          <w:lang w:val="es-ES"/>
        </w:rPr>
      </w:pPr>
    </w:p>
    <w:p w14:paraId="4EE67FF6" w14:textId="71EC1A75" w:rsidR="00F0625A" w:rsidRPr="00A156F4" w:rsidRDefault="00F0625A" w:rsidP="00F0625A">
      <w:pPr>
        <w:jc w:val="both"/>
        <w:rPr>
          <w:sz w:val="22"/>
          <w:szCs w:val="22"/>
          <w:lang w:val="es-ES"/>
        </w:rPr>
      </w:pPr>
      <w:r w:rsidRPr="00A156F4">
        <w:rPr>
          <w:sz w:val="22"/>
          <w:szCs w:val="22"/>
          <w:lang w:val="es-ES"/>
        </w:rPr>
        <w:t>En caso de aceptarse la solicitud de terminación</w:t>
      </w:r>
      <w:r w:rsidR="003E47FB" w:rsidRPr="00A156F4">
        <w:rPr>
          <w:sz w:val="22"/>
          <w:szCs w:val="22"/>
          <w:lang w:val="es-ES"/>
        </w:rPr>
        <w:t xml:space="preserve"> en los términos antes indicados</w:t>
      </w:r>
      <w:r w:rsidRPr="00A156F4">
        <w:rPr>
          <w:sz w:val="22"/>
          <w:szCs w:val="22"/>
          <w:lang w:val="es-ES"/>
        </w:rPr>
        <w:t>, el Órgano Superior impondrá una multa</w:t>
      </w:r>
      <w:r w:rsidR="00D84D4B" w:rsidRPr="00A156F4">
        <w:rPr>
          <w:sz w:val="22"/>
          <w:szCs w:val="22"/>
          <w:lang w:val="es-ES"/>
        </w:rPr>
        <w:t xml:space="preserve"> cuyo monto</w:t>
      </w:r>
      <w:r w:rsidRPr="00A156F4">
        <w:rPr>
          <w:sz w:val="22"/>
          <w:szCs w:val="22"/>
          <w:lang w:val="es-ES"/>
        </w:rPr>
        <w:t xml:space="preserve"> </w:t>
      </w:r>
      <w:r w:rsidR="00D84D4B" w:rsidRPr="00A156F4">
        <w:rPr>
          <w:sz w:val="22"/>
          <w:szCs w:val="22"/>
          <w:lang w:val="es-ES"/>
        </w:rPr>
        <w:t xml:space="preserve">será reducido en </w:t>
      </w:r>
      <w:r w:rsidRPr="00A156F4">
        <w:rPr>
          <w:sz w:val="22"/>
          <w:szCs w:val="22"/>
          <w:lang w:val="es-ES"/>
        </w:rPr>
        <w:t xml:space="preserve">un 10% de lo que en condiciones normales correspondería para la infracción investigada. Lo anterior sin perjuicio de las medidas correctivas que procedan conforme a la Ley. </w:t>
      </w:r>
    </w:p>
    <w:p w14:paraId="7BC7E4D8" w14:textId="77777777" w:rsidR="00F0625A" w:rsidRPr="00A156F4" w:rsidRDefault="00F0625A" w:rsidP="00F0625A">
      <w:pPr>
        <w:jc w:val="both"/>
        <w:rPr>
          <w:sz w:val="22"/>
          <w:szCs w:val="22"/>
          <w:lang w:val="es-ES"/>
        </w:rPr>
      </w:pPr>
    </w:p>
    <w:p w14:paraId="3EA32290" w14:textId="4EAB25C3" w:rsidR="00F0625A" w:rsidRPr="00A156F4" w:rsidRDefault="00F0625A" w:rsidP="00F0625A">
      <w:pPr>
        <w:jc w:val="both"/>
        <w:rPr>
          <w:sz w:val="22"/>
          <w:szCs w:val="22"/>
          <w:lang w:val="es-ES"/>
        </w:rPr>
      </w:pPr>
      <w:r w:rsidRPr="00A156F4">
        <w:rPr>
          <w:sz w:val="22"/>
          <w:szCs w:val="22"/>
          <w:lang w:val="es-ES"/>
        </w:rPr>
        <w:t xml:space="preserve">En caso de rechazo de la solicitud, </w:t>
      </w:r>
      <w:r w:rsidR="00D84D4B" w:rsidRPr="00A156F4">
        <w:rPr>
          <w:sz w:val="22"/>
          <w:szCs w:val="22"/>
          <w:lang w:val="es-ES"/>
        </w:rPr>
        <w:t>esta</w:t>
      </w:r>
      <w:r w:rsidRPr="00A156F4">
        <w:rPr>
          <w:sz w:val="22"/>
          <w:szCs w:val="22"/>
          <w:lang w:val="es-ES"/>
        </w:rPr>
        <w:t xml:space="preserve"> no surtirá efecto alguno en el procedimiento, por lo que el reconocimiento de responsabilidad no podrá ser considerado una confesión, y la información intercambiada durante su trámite no podrá ser utilizada en contra de</w:t>
      </w:r>
      <w:r w:rsidR="00CF1434" w:rsidRPr="00A156F4">
        <w:rPr>
          <w:sz w:val="22"/>
          <w:szCs w:val="22"/>
          <w:lang w:val="es-ES"/>
        </w:rPr>
        <w:t xml:space="preserve"> </w:t>
      </w:r>
      <w:r w:rsidRPr="00A156F4">
        <w:rPr>
          <w:sz w:val="22"/>
          <w:szCs w:val="22"/>
          <w:lang w:val="es-ES"/>
        </w:rPr>
        <w:t>l</w:t>
      </w:r>
      <w:r w:rsidR="00CF1434" w:rsidRPr="00A156F4">
        <w:rPr>
          <w:sz w:val="22"/>
          <w:szCs w:val="22"/>
          <w:lang w:val="es-ES"/>
        </w:rPr>
        <w:t>os</w:t>
      </w:r>
      <w:r w:rsidRPr="00A156F4">
        <w:rPr>
          <w:sz w:val="22"/>
          <w:szCs w:val="22"/>
          <w:lang w:val="es-ES"/>
        </w:rPr>
        <w:t xml:space="preserve"> agente</w:t>
      </w:r>
      <w:r w:rsidR="00CF1434" w:rsidRPr="00A156F4">
        <w:rPr>
          <w:sz w:val="22"/>
          <w:szCs w:val="22"/>
          <w:lang w:val="es-ES"/>
        </w:rPr>
        <w:t>s</w:t>
      </w:r>
      <w:r w:rsidRPr="00A156F4">
        <w:rPr>
          <w:sz w:val="22"/>
          <w:szCs w:val="22"/>
          <w:lang w:val="es-ES"/>
        </w:rPr>
        <w:t xml:space="preserve"> económico</w:t>
      </w:r>
      <w:r w:rsidR="00CF1434" w:rsidRPr="00A156F4">
        <w:rPr>
          <w:sz w:val="22"/>
          <w:szCs w:val="22"/>
          <w:lang w:val="es-ES"/>
        </w:rPr>
        <w:t>s</w:t>
      </w:r>
      <w:r w:rsidRPr="00A156F4">
        <w:rPr>
          <w:sz w:val="22"/>
          <w:szCs w:val="22"/>
          <w:lang w:val="es-ES"/>
        </w:rPr>
        <w:t xml:space="preserve"> investigado</w:t>
      </w:r>
      <w:r w:rsidR="00CF1434" w:rsidRPr="00A156F4">
        <w:rPr>
          <w:sz w:val="22"/>
          <w:szCs w:val="22"/>
          <w:lang w:val="es-ES"/>
        </w:rPr>
        <w:t>s</w:t>
      </w:r>
      <w:r w:rsidRPr="00A156F4">
        <w:rPr>
          <w:sz w:val="22"/>
          <w:szCs w:val="22"/>
          <w:lang w:val="es-ES"/>
        </w:rPr>
        <w:t>.</w:t>
      </w:r>
    </w:p>
    <w:p w14:paraId="1371BDF7" w14:textId="6FC92B17" w:rsidR="00F0625A" w:rsidRPr="00A156F4" w:rsidRDefault="00F0625A" w:rsidP="00F0625A">
      <w:pPr>
        <w:jc w:val="both"/>
        <w:rPr>
          <w:sz w:val="22"/>
          <w:szCs w:val="22"/>
        </w:rPr>
      </w:pPr>
    </w:p>
    <w:p w14:paraId="13870DE4" w14:textId="77777777" w:rsidR="005F7DB9" w:rsidRPr="00A156F4" w:rsidRDefault="005F7DB9" w:rsidP="00F0625A">
      <w:pPr>
        <w:jc w:val="both"/>
        <w:rPr>
          <w:sz w:val="22"/>
          <w:szCs w:val="22"/>
        </w:rPr>
      </w:pPr>
    </w:p>
    <w:p w14:paraId="0D91636E" w14:textId="77777777" w:rsidR="00F0625A" w:rsidRPr="00A156F4" w:rsidRDefault="00F0625A" w:rsidP="00F0625A">
      <w:pPr>
        <w:pStyle w:val="Ttulo4"/>
        <w:keepNext w:val="0"/>
        <w:keepLines w:val="0"/>
        <w:spacing w:before="0"/>
        <w:contextualSpacing/>
        <w:jc w:val="center"/>
        <w:rPr>
          <w:rFonts w:ascii="Times New Roman" w:eastAsia="Times New Roman" w:hAnsi="Times New Roman" w:cs="Times New Roman"/>
          <w:b/>
          <w:i w:val="0"/>
          <w:iCs w:val="0"/>
          <w:color w:val="auto"/>
          <w:sz w:val="22"/>
          <w:szCs w:val="22"/>
          <w:lang w:val="es-CR" w:eastAsia="en-US"/>
        </w:rPr>
      </w:pPr>
      <w:bookmarkStart w:id="31" w:name="_Hlk536805214"/>
      <w:bookmarkStart w:id="32" w:name="_Hlk523045534"/>
      <w:r w:rsidRPr="00A156F4">
        <w:rPr>
          <w:rFonts w:ascii="Times New Roman" w:eastAsia="Times New Roman" w:hAnsi="Times New Roman" w:cs="Times New Roman"/>
          <w:b/>
          <w:i w:val="0"/>
          <w:iCs w:val="0"/>
          <w:color w:val="auto"/>
          <w:sz w:val="22"/>
          <w:szCs w:val="22"/>
          <w:lang w:val="es-CR" w:eastAsia="en-US"/>
        </w:rPr>
        <w:t>SECCIÓN III</w:t>
      </w:r>
    </w:p>
    <w:p w14:paraId="1DA03D5E" w14:textId="3F2C931C" w:rsidR="00F0625A" w:rsidRPr="00A156F4" w:rsidRDefault="00F0625A" w:rsidP="00F0625A">
      <w:pPr>
        <w:pStyle w:val="Ttulo4"/>
        <w:keepNext w:val="0"/>
        <w:keepLines w:val="0"/>
        <w:spacing w:before="0"/>
        <w:contextualSpacing/>
        <w:jc w:val="center"/>
        <w:rPr>
          <w:rFonts w:ascii="Times New Roman" w:eastAsia="Times New Roman" w:hAnsi="Times New Roman" w:cs="Times New Roman"/>
          <w:b/>
          <w:i w:val="0"/>
          <w:iCs w:val="0"/>
          <w:color w:val="auto"/>
          <w:sz w:val="22"/>
          <w:szCs w:val="22"/>
          <w:lang w:val="es-CR" w:eastAsia="en-US"/>
        </w:rPr>
      </w:pPr>
      <w:r w:rsidRPr="00A156F4">
        <w:rPr>
          <w:rFonts w:ascii="Times New Roman" w:eastAsia="Times New Roman" w:hAnsi="Times New Roman" w:cs="Times New Roman"/>
          <w:b/>
          <w:i w:val="0"/>
          <w:iCs w:val="0"/>
          <w:color w:val="auto"/>
          <w:sz w:val="22"/>
          <w:szCs w:val="22"/>
          <w:lang w:val="es-CR" w:eastAsia="en-US"/>
        </w:rPr>
        <w:t>Terminación Anticipada del procedimiento con Ofrecimiento de Compromisos</w:t>
      </w:r>
      <w:bookmarkEnd w:id="31"/>
    </w:p>
    <w:p w14:paraId="2C146440" w14:textId="77777777" w:rsidR="005F7DB9" w:rsidRPr="00A156F4" w:rsidRDefault="005F7DB9" w:rsidP="005F7DB9">
      <w:pPr>
        <w:rPr>
          <w:sz w:val="22"/>
          <w:szCs w:val="22"/>
          <w:lang w:val="es-CR" w:eastAsia="en-US"/>
        </w:rPr>
      </w:pPr>
    </w:p>
    <w:bookmarkEnd w:id="32"/>
    <w:p w14:paraId="275F00CA" w14:textId="77777777"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p w14:paraId="02ADFD5C" w14:textId="334B1EBC"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B82C4F" w:rsidRPr="00A156F4">
        <w:rPr>
          <w:rFonts w:ascii="Times New Roman" w:eastAsia="Times New Roman" w:hAnsi="Times New Roman" w:cs="Times New Roman"/>
          <w:b/>
          <w:i w:val="0"/>
          <w:iCs w:val="0"/>
          <w:color w:val="auto"/>
          <w:sz w:val="22"/>
          <w:szCs w:val="22"/>
          <w:lang w:eastAsia="en-US"/>
        </w:rPr>
        <w:t>70</w:t>
      </w:r>
      <w:r w:rsidRPr="00A156F4">
        <w:rPr>
          <w:rFonts w:ascii="Times New Roman" w:eastAsia="Times New Roman" w:hAnsi="Times New Roman" w:cs="Times New Roman"/>
          <w:b/>
          <w:i w:val="0"/>
          <w:iCs w:val="0"/>
          <w:color w:val="auto"/>
          <w:sz w:val="22"/>
          <w:szCs w:val="22"/>
          <w:lang w:val="es-CR" w:eastAsia="en-US"/>
        </w:rPr>
        <w:t>.-</w:t>
      </w:r>
      <w:r w:rsidR="00B82C4F"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Solicitud de terminación anticipada del procedimiento con ofrecimiento de compromisos</w:t>
      </w:r>
    </w:p>
    <w:p w14:paraId="67DD59D5" w14:textId="77777777" w:rsidR="00F0625A" w:rsidRPr="00A156F4" w:rsidRDefault="00F0625A" w:rsidP="00F0625A">
      <w:pPr>
        <w:widowControl w:val="0"/>
        <w:jc w:val="both"/>
        <w:rPr>
          <w:sz w:val="22"/>
          <w:szCs w:val="22"/>
        </w:rPr>
      </w:pPr>
    </w:p>
    <w:p w14:paraId="31CC2F0D" w14:textId="2E854BF0" w:rsidR="00F0625A" w:rsidRPr="00A156F4" w:rsidRDefault="00F0625A" w:rsidP="00F0625A">
      <w:pPr>
        <w:jc w:val="both"/>
        <w:rPr>
          <w:sz w:val="22"/>
          <w:szCs w:val="22"/>
        </w:rPr>
      </w:pPr>
      <w:r w:rsidRPr="00A156F4">
        <w:rPr>
          <w:sz w:val="22"/>
          <w:szCs w:val="22"/>
        </w:rPr>
        <w:t xml:space="preserve">Cada autoridad de competencia podrá poner fin al procedimiento especial de forma anticipada, en aquellos casos en que </w:t>
      </w:r>
      <w:r w:rsidR="005675DC" w:rsidRPr="00A156F4">
        <w:rPr>
          <w:sz w:val="22"/>
          <w:szCs w:val="22"/>
        </w:rPr>
        <w:t>los</w:t>
      </w:r>
      <w:r w:rsidRPr="00A156F4">
        <w:rPr>
          <w:sz w:val="22"/>
          <w:szCs w:val="22"/>
        </w:rPr>
        <w:t xml:space="preserve"> agente</w:t>
      </w:r>
      <w:r w:rsidR="005675DC" w:rsidRPr="00A156F4">
        <w:rPr>
          <w:sz w:val="22"/>
          <w:szCs w:val="22"/>
        </w:rPr>
        <w:t>s</w:t>
      </w:r>
      <w:r w:rsidRPr="00A156F4">
        <w:rPr>
          <w:sz w:val="22"/>
          <w:szCs w:val="22"/>
        </w:rPr>
        <w:t xml:space="preserve"> económico</w:t>
      </w:r>
      <w:r w:rsidR="005675DC" w:rsidRPr="00A156F4">
        <w:rPr>
          <w:sz w:val="22"/>
          <w:szCs w:val="22"/>
        </w:rPr>
        <w:t>s</w:t>
      </w:r>
      <w:r w:rsidRPr="00A156F4">
        <w:rPr>
          <w:sz w:val="22"/>
          <w:szCs w:val="22"/>
        </w:rPr>
        <w:t xml:space="preserve"> investigado</w:t>
      </w:r>
      <w:r w:rsidR="005675DC" w:rsidRPr="00A156F4">
        <w:rPr>
          <w:sz w:val="22"/>
          <w:szCs w:val="22"/>
        </w:rPr>
        <w:t>s</w:t>
      </w:r>
      <w:r w:rsidRPr="00A156F4">
        <w:rPr>
          <w:sz w:val="22"/>
          <w:szCs w:val="22"/>
        </w:rPr>
        <w:t xml:space="preserve"> por prácticas monopolísticas relativas lo solicite</w:t>
      </w:r>
      <w:r w:rsidR="005675DC" w:rsidRPr="00A156F4">
        <w:rPr>
          <w:sz w:val="22"/>
          <w:szCs w:val="22"/>
        </w:rPr>
        <w:t>n</w:t>
      </w:r>
      <w:r w:rsidRPr="00A156F4">
        <w:rPr>
          <w:sz w:val="22"/>
          <w:szCs w:val="22"/>
        </w:rPr>
        <w:t xml:space="preserve"> y ofrezca compromisos de eliminar la conducta y contrarrestar sus efectos. </w:t>
      </w:r>
      <w:r w:rsidRPr="00A156F4">
        <w:rPr>
          <w:sz w:val="22"/>
          <w:szCs w:val="22"/>
          <w:lang w:val="es-ES"/>
        </w:rPr>
        <w:t>Esta solicitud no implica</w:t>
      </w:r>
      <w:r w:rsidR="00D84D4B" w:rsidRPr="00A156F4">
        <w:rPr>
          <w:sz w:val="22"/>
          <w:szCs w:val="22"/>
          <w:lang w:val="es-ES"/>
        </w:rPr>
        <w:t>rá</w:t>
      </w:r>
      <w:r w:rsidRPr="00A156F4">
        <w:rPr>
          <w:sz w:val="22"/>
          <w:szCs w:val="22"/>
          <w:lang w:val="es-ES"/>
        </w:rPr>
        <w:t xml:space="preserve"> la aceptación de una conducta ilegal. </w:t>
      </w:r>
    </w:p>
    <w:p w14:paraId="0135DB12" w14:textId="77777777" w:rsidR="00F0625A" w:rsidRPr="00A156F4" w:rsidRDefault="00F0625A" w:rsidP="00F0625A">
      <w:pPr>
        <w:jc w:val="both"/>
        <w:rPr>
          <w:sz w:val="22"/>
          <w:szCs w:val="22"/>
        </w:rPr>
      </w:pPr>
    </w:p>
    <w:p w14:paraId="0A21F0BF" w14:textId="77777777" w:rsidR="00F0625A" w:rsidRPr="00A156F4" w:rsidRDefault="00F0625A" w:rsidP="00F0625A">
      <w:pPr>
        <w:jc w:val="both"/>
        <w:rPr>
          <w:sz w:val="22"/>
          <w:szCs w:val="22"/>
          <w:lang w:val="es-ES"/>
        </w:rPr>
      </w:pPr>
      <w:r w:rsidRPr="00A156F4">
        <w:rPr>
          <w:sz w:val="22"/>
          <w:szCs w:val="22"/>
          <w:lang w:val="es-ES"/>
        </w:rPr>
        <w:t xml:space="preserve">El plazo del procedimiento se suspenderá </w:t>
      </w:r>
      <w:r w:rsidRPr="00A156F4">
        <w:rPr>
          <w:sz w:val="22"/>
          <w:szCs w:val="22"/>
        </w:rPr>
        <w:t>sin necesidad de resolución que así lo determine, desde la interposición de la solicitud hasta su resolución definitiva por parte del Órgano Superior correspondiente.</w:t>
      </w:r>
      <w:r w:rsidRPr="00A156F4">
        <w:rPr>
          <w:sz w:val="22"/>
          <w:szCs w:val="22"/>
          <w:lang w:val="es-ES"/>
        </w:rPr>
        <w:t xml:space="preserve"> </w:t>
      </w:r>
    </w:p>
    <w:p w14:paraId="531D937F" w14:textId="77777777" w:rsidR="00F0625A" w:rsidRPr="00A156F4" w:rsidRDefault="00F0625A" w:rsidP="00F0625A">
      <w:pPr>
        <w:jc w:val="both"/>
        <w:rPr>
          <w:sz w:val="22"/>
          <w:szCs w:val="22"/>
        </w:rPr>
      </w:pPr>
    </w:p>
    <w:p w14:paraId="30B058C0" w14:textId="72789DC4" w:rsidR="00F0625A" w:rsidRPr="00A156F4" w:rsidRDefault="00F0625A" w:rsidP="00F0625A">
      <w:pPr>
        <w:jc w:val="both"/>
        <w:rPr>
          <w:sz w:val="22"/>
          <w:szCs w:val="22"/>
        </w:rPr>
      </w:pPr>
      <w:r w:rsidRPr="00A156F4">
        <w:rPr>
          <w:sz w:val="22"/>
          <w:szCs w:val="22"/>
          <w:lang w:val="es-ES"/>
        </w:rPr>
        <w:t>La solicitud de terminación anticipada deberá presentarse ante el Órgano Superior de la respectiva autoridad de competencia</w:t>
      </w:r>
      <w:r w:rsidR="00D84D4B" w:rsidRPr="00A156F4">
        <w:rPr>
          <w:sz w:val="22"/>
          <w:szCs w:val="22"/>
          <w:lang w:val="es-ES"/>
        </w:rPr>
        <w:t>,</w:t>
      </w:r>
      <w:r w:rsidRPr="00A156F4">
        <w:rPr>
          <w:sz w:val="22"/>
          <w:szCs w:val="22"/>
          <w:lang w:val="es-ES"/>
        </w:rPr>
        <w:t xml:space="preserve"> a quien </w:t>
      </w:r>
      <w:r w:rsidR="00D84D4B" w:rsidRPr="00A156F4">
        <w:rPr>
          <w:sz w:val="22"/>
          <w:szCs w:val="22"/>
          <w:lang w:val="es-ES"/>
        </w:rPr>
        <w:t xml:space="preserve">le </w:t>
      </w:r>
      <w:r w:rsidRPr="00A156F4">
        <w:rPr>
          <w:sz w:val="22"/>
          <w:szCs w:val="22"/>
          <w:lang w:val="es-ES"/>
        </w:rPr>
        <w:t>corresponderá resolverla. En caso de que la propuesta se presente ante otro órgano de la autoridad de competencia, este deberá remitirla</w:t>
      </w:r>
      <w:r w:rsidR="00D84D4B" w:rsidRPr="00A156F4">
        <w:rPr>
          <w:sz w:val="22"/>
          <w:szCs w:val="22"/>
          <w:lang w:val="es-ES"/>
        </w:rPr>
        <w:t xml:space="preserve"> al Órgano Superior de la respectiva autoridad de competencia,</w:t>
      </w:r>
      <w:r w:rsidRPr="00A156F4">
        <w:rPr>
          <w:sz w:val="22"/>
          <w:szCs w:val="22"/>
          <w:lang w:val="es-ES"/>
        </w:rPr>
        <w:t xml:space="preserve"> sin mayor trámite</w:t>
      </w:r>
      <w:r w:rsidR="00D84D4B" w:rsidRPr="00A156F4">
        <w:rPr>
          <w:sz w:val="22"/>
          <w:szCs w:val="22"/>
          <w:lang w:val="es-ES"/>
        </w:rPr>
        <w:t>,</w:t>
      </w:r>
      <w:r w:rsidRPr="00A156F4">
        <w:rPr>
          <w:sz w:val="22"/>
          <w:szCs w:val="22"/>
          <w:lang w:val="es-ES"/>
        </w:rPr>
        <w:t xml:space="preserve"> en </w:t>
      </w:r>
      <w:r w:rsidR="00D84D4B" w:rsidRPr="00A156F4">
        <w:rPr>
          <w:sz w:val="22"/>
          <w:szCs w:val="22"/>
          <w:lang w:val="es-ES"/>
        </w:rPr>
        <w:t>un</w:t>
      </w:r>
      <w:r w:rsidRPr="00A156F4">
        <w:rPr>
          <w:sz w:val="22"/>
          <w:szCs w:val="22"/>
          <w:lang w:val="es-ES"/>
        </w:rPr>
        <w:t xml:space="preserve"> plazo máximo de tres días hábiles.</w:t>
      </w:r>
    </w:p>
    <w:p w14:paraId="7849853A" w14:textId="77777777" w:rsidR="00F0625A" w:rsidRPr="00A156F4" w:rsidRDefault="00F0625A" w:rsidP="00F0625A">
      <w:pPr>
        <w:jc w:val="both"/>
        <w:rPr>
          <w:sz w:val="22"/>
          <w:szCs w:val="22"/>
        </w:rPr>
      </w:pPr>
    </w:p>
    <w:p w14:paraId="37890D37" w14:textId="01B49178"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imes New Roman" w:hAnsi="Times New Roman" w:cs="Times New Roman"/>
          <w:b/>
          <w:i w:val="0"/>
          <w:iCs w:val="0"/>
          <w:color w:val="auto"/>
          <w:sz w:val="22"/>
          <w:szCs w:val="22"/>
          <w:lang w:val="es-CR" w:eastAsia="en-US"/>
        </w:rPr>
        <w:t xml:space="preserve">Artículo </w:t>
      </w:r>
      <w:r w:rsidR="00B82C4F" w:rsidRPr="00A156F4">
        <w:rPr>
          <w:rFonts w:ascii="Times New Roman" w:eastAsia="Times New Roman" w:hAnsi="Times New Roman" w:cs="Times New Roman"/>
          <w:b/>
          <w:i w:val="0"/>
          <w:iCs w:val="0"/>
          <w:color w:val="auto"/>
          <w:sz w:val="22"/>
          <w:szCs w:val="22"/>
          <w:lang w:val="es-CR" w:eastAsia="en-US"/>
        </w:rPr>
        <w:t>71</w:t>
      </w:r>
      <w:r w:rsidRPr="00A156F4">
        <w:rPr>
          <w:rFonts w:ascii="Times New Roman" w:eastAsia="Times New Roman" w:hAnsi="Times New Roman" w:cs="Times New Roman"/>
          <w:b/>
          <w:i w:val="0"/>
          <w:iCs w:val="0"/>
          <w:color w:val="auto"/>
          <w:sz w:val="22"/>
          <w:szCs w:val="22"/>
          <w:lang w:val="es-CR" w:eastAsia="en-US"/>
        </w:rPr>
        <w:t>.- Contenido de la solicitud de terminación anticipada del procedimiento con ofrecimiento de compromisos</w:t>
      </w:r>
    </w:p>
    <w:p w14:paraId="1FCCB64C" w14:textId="77777777" w:rsidR="00F0625A" w:rsidRPr="00A156F4" w:rsidRDefault="00F0625A" w:rsidP="00F0625A">
      <w:pPr>
        <w:jc w:val="both"/>
        <w:rPr>
          <w:rFonts w:eastAsia="Times New Roman"/>
          <w:b/>
          <w:sz w:val="22"/>
          <w:szCs w:val="22"/>
          <w:lang w:val="es-CR" w:eastAsia="en-US"/>
        </w:rPr>
      </w:pPr>
    </w:p>
    <w:p w14:paraId="0B7A47BF" w14:textId="7D53DF69" w:rsidR="00F0625A" w:rsidRPr="00A156F4" w:rsidRDefault="00F0625A" w:rsidP="00F0625A">
      <w:pPr>
        <w:jc w:val="both"/>
        <w:rPr>
          <w:sz w:val="22"/>
          <w:szCs w:val="22"/>
        </w:rPr>
      </w:pPr>
      <w:r w:rsidRPr="00A156F4">
        <w:rPr>
          <w:sz w:val="22"/>
          <w:szCs w:val="22"/>
          <w:lang w:val="es-ES"/>
        </w:rPr>
        <w:t>La solicitud de terminación anticipada del procedimiento con ofrecimiento de compromisos deberá contener el compromiso expreso de suprimir los hechos comprendidos en el auto de inicio de la etapa de instrucción y traslado de cargos</w:t>
      </w:r>
      <w:r w:rsidR="00D84D4B" w:rsidRPr="00A156F4">
        <w:rPr>
          <w:sz w:val="22"/>
          <w:szCs w:val="22"/>
          <w:lang w:val="es-ES"/>
        </w:rPr>
        <w:t>; así como</w:t>
      </w:r>
      <w:r w:rsidRPr="00A156F4">
        <w:rPr>
          <w:sz w:val="22"/>
          <w:szCs w:val="22"/>
          <w:lang w:val="es-ES"/>
        </w:rPr>
        <w:t xml:space="preserve"> de tomar medidas para</w:t>
      </w:r>
      <w:r w:rsidR="00D84D4B" w:rsidRPr="00A156F4">
        <w:rPr>
          <w:sz w:val="22"/>
          <w:szCs w:val="22"/>
          <w:lang w:val="es-ES"/>
        </w:rPr>
        <w:t xml:space="preserve"> que</w:t>
      </w:r>
      <w:r w:rsidRPr="00A156F4">
        <w:rPr>
          <w:sz w:val="22"/>
          <w:szCs w:val="22"/>
          <w:lang w:val="es-ES"/>
        </w:rPr>
        <w:t xml:space="preserve">, </w:t>
      </w:r>
      <w:r w:rsidR="00D84D4B" w:rsidRPr="00A156F4">
        <w:rPr>
          <w:sz w:val="22"/>
          <w:szCs w:val="22"/>
          <w:lang w:val="es-ES"/>
        </w:rPr>
        <w:t>cuando corresponda</w:t>
      </w:r>
      <w:r w:rsidRPr="00A156F4">
        <w:rPr>
          <w:sz w:val="22"/>
          <w:szCs w:val="22"/>
          <w:lang w:val="es-ES"/>
        </w:rPr>
        <w:t xml:space="preserve">, </w:t>
      </w:r>
      <w:r w:rsidR="00D84D4B" w:rsidRPr="00A156F4">
        <w:rPr>
          <w:sz w:val="22"/>
          <w:szCs w:val="22"/>
          <w:lang w:val="es-ES"/>
        </w:rPr>
        <w:t xml:space="preserve">se </w:t>
      </w:r>
      <w:r w:rsidRPr="00A156F4">
        <w:rPr>
          <w:sz w:val="22"/>
          <w:szCs w:val="22"/>
          <w:lang w:val="es-ES"/>
        </w:rPr>
        <w:t>contrarrest</w:t>
      </w:r>
      <w:r w:rsidR="00D84D4B" w:rsidRPr="00A156F4">
        <w:rPr>
          <w:sz w:val="22"/>
          <w:szCs w:val="22"/>
          <w:lang w:val="es-ES"/>
        </w:rPr>
        <w:t>en</w:t>
      </w:r>
      <w:r w:rsidRPr="00A156F4">
        <w:rPr>
          <w:sz w:val="22"/>
          <w:szCs w:val="22"/>
          <w:lang w:val="es-ES"/>
        </w:rPr>
        <w:t xml:space="preserve"> sus posibles efectos anticompetitivos, </w:t>
      </w:r>
      <w:r w:rsidR="00D84D4B" w:rsidRPr="00A156F4">
        <w:rPr>
          <w:sz w:val="22"/>
          <w:szCs w:val="22"/>
          <w:lang w:val="es-ES"/>
        </w:rPr>
        <w:t>debiendo indicar</w:t>
      </w:r>
      <w:r w:rsidRPr="00A156F4">
        <w:rPr>
          <w:sz w:val="22"/>
          <w:szCs w:val="22"/>
          <w:lang w:val="es-ES"/>
        </w:rPr>
        <w:t xml:space="preserve"> la forma y</w:t>
      </w:r>
      <w:r w:rsidR="00D84D4B" w:rsidRPr="00A156F4">
        <w:rPr>
          <w:sz w:val="22"/>
          <w:szCs w:val="22"/>
          <w:lang w:val="es-ES"/>
        </w:rPr>
        <w:t xml:space="preserve"> el</w:t>
      </w:r>
      <w:r w:rsidRPr="00A156F4">
        <w:rPr>
          <w:sz w:val="22"/>
          <w:szCs w:val="22"/>
          <w:lang w:val="es-ES"/>
        </w:rPr>
        <w:t xml:space="preserve"> plazo para</w:t>
      </w:r>
      <w:r w:rsidR="00D84D4B" w:rsidRPr="00A156F4">
        <w:rPr>
          <w:sz w:val="22"/>
          <w:szCs w:val="22"/>
          <w:lang w:val="es-ES"/>
        </w:rPr>
        <w:t xml:space="preserve"> su</w:t>
      </w:r>
      <w:r w:rsidRPr="00A156F4">
        <w:rPr>
          <w:sz w:val="22"/>
          <w:szCs w:val="22"/>
          <w:lang w:val="es-ES"/>
        </w:rPr>
        <w:t xml:space="preserve"> </w:t>
      </w:r>
      <w:r w:rsidR="00D84D4B" w:rsidRPr="00A156F4">
        <w:rPr>
          <w:sz w:val="22"/>
          <w:szCs w:val="22"/>
          <w:lang w:val="es-ES"/>
        </w:rPr>
        <w:t>implementación</w:t>
      </w:r>
      <w:r w:rsidRPr="00A156F4">
        <w:rPr>
          <w:sz w:val="22"/>
          <w:szCs w:val="22"/>
          <w:lang w:val="es-ES"/>
        </w:rPr>
        <w:t xml:space="preserve">. </w:t>
      </w:r>
    </w:p>
    <w:p w14:paraId="6D1F1E76" w14:textId="77777777" w:rsidR="00F0625A" w:rsidRPr="00A156F4" w:rsidRDefault="00F0625A" w:rsidP="00F0625A">
      <w:pPr>
        <w:jc w:val="both"/>
        <w:rPr>
          <w:sz w:val="22"/>
          <w:szCs w:val="22"/>
          <w:lang w:val="es-ES"/>
        </w:rPr>
      </w:pPr>
    </w:p>
    <w:p w14:paraId="5DE077EC" w14:textId="49ABC165" w:rsidR="00F0625A" w:rsidRPr="00A156F4" w:rsidRDefault="00F0625A" w:rsidP="00F0625A">
      <w:pPr>
        <w:jc w:val="both"/>
        <w:rPr>
          <w:sz w:val="22"/>
          <w:szCs w:val="22"/>
          <w:lang w:val="es-ES"/>
        </w:rPr>
      </w:pPr>
      <w:r w:rsidRPr="00A156F4">
        <w:rPr>
          <w:sz w:val="22"/>
          <w:szCs w:val="22"/>
          <w:lang w:val="es-ES"/>
        </w:rPr>
        <w:t xml:space="preserve">La propuesta deberá incluir la forma </w:t>
      </w:r>
      <w:r w:rsidR="00D84D4B" w:rsidRPr="00A156F4">
        <w:rPr>
          <w:sz w:val="22"/>
          <w:szCs w:val="22"/>
          <w:lang w:val="es-ES"/>
        </w:rPr>
        <w:t xml:space="preserve">en </w:t>
      </w:r>
      <w:r w:rsidR="00820197" w:rsidRPr="00A156F4">
        <w:rPr>
          <w:sz w:val="22"/>
          <w:szCs w:val="22"/>
          <w:lang w:val="es-ES"/>
        </w:rPr>
        <w:t>cómo</w:t>
      </w:r>
      <w:r w:rsidRPr="00A156F4">
        <w:rPr>
          <w:sz w:val="22"/>
          <w:szCs w:val="22"/>
          <w:lang w:val="es-ES"/>
        </w:rPr>
        <w:t xml:space="preserve"> se pretende garantizar el cumplimiento de lo ofrecido, indicando el tipo de garantía y las demás condiciones que regirán su cumplimiento. </w:t>
      </w:r>
    </w:p>
    <w:p w14:paraId="076577AC" w14:textId="77777777" w:rsidR="00F0625A" w:rsidRPr="00A156F4" w:rsidRDefault="00F0625A" w:rsidP="00F0625A">
      <w:pPr>
        <w:jc w:val="both"/>
        <w:rPr>
          <w:sz w:val="22"/>
          <w:szCs w:val="22"/>
          <w:lang w:val="es-ES"/>
        </w:rPr>
      </w:pPr>
    </w:p>
    <w:p w14:paraId="5AACBA47" w14:textId="405E087E" w:rsidR="00F0625A" w:rsidRPr="00A156F4" w:rsidRDefault="00F0625A" w:rsidP="00F0625A">
      <w:pPr>
        <w:jc w:val="both"/>
        <w:rPr>
          <w:sz w:val="22"/>
          <w:szCs w:val="22"/>
          <w:lang w:val="es-ES"/>
        </w:rPr>
      </w:pPr>
      <w:r w:rsidRPr="00A156F4">
        <w:rPr>
          <w:sz w:val="22"/>
          <w:szCs w:val="22"/>
        </w:rPr>
        <w:t>En los procedimientos en los que intervenga más de una parte, la propuesta de terminación anticipada deberá ser presentada por todos los agentes</w:t>
      </w:r>
      <w:r w:rsidR="005675DC" w:rsidRPr="00A156F4">
        <w:rPr>
          <w:sz w:val="22"/>
          <w:szCs w:val="22"/>
        </w:rPr>
        <w:t xml:space="preserve"> </w:t>
      </w:r>
      <w:r w:rsidR="006447D8" w:rsidRPr="00A156F4">
        <w:rPr>
          <w:sz w:val="22"/>
          <w:szCs w:val="22"/>
        </w:rPr>
        <w:t xml:space="preserve">económicos </w:t>
      </w:r>
      <w:r w:rsidR="005675DC" w:rsidRPr="00A156F4">
        <w:rPr>
          <w:sz w:val="22"/>
          <w:szCs w:val="22"/>
        </w:rPr>
        <w:t>y personas físicas</w:t>
      </w:r>
      <w:r w:rsidRPr="00A156F4">
        <w:rPr>
          <w:sz w:val="22"/>
          <w:szCs w:val="22"/>
        </w:rPr>
        <w:t xml:space="preserve"> investigados.</w:t>
      </w:r>
      <w:r w:rsidRPr="00A156F4">
        <w:rPr>
          <w:sz w:val="22"/>
          <w:szCs w:val="22"/>
          <w:lang w:val="es-ES"/>
        </w:rPr>
        <w:t xml:space="preserve"> </w:t>
      </w:r>
    </w:p>
    <w:p w14:paraId="2F7329DC" w14:textId="77777777" w:rsidR="00F0625A" w:rsidRPr="00A156F4" w:rsidRDefault="00F0625A" w:rsidP="00F0625A">
      <w:pPr>
        <w:jc w:val="both"/>
        <w:rPr>
          <w:rFonts w:eastAsia="Times New Roman"/>
          <w:b/>
          <w:sz w:val="22"/>
          <w:szCs w:val="22"/>
          <w:lang w:val="es-CR" w:eastAsia="en-US"/>
        </w:rPr>
      </w:pPr>
    </w:p>
    <w:p w14:paraId="70199E42" w14:textId="5D0BB87A"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i w:val="0"/>
          <w:color w:val="auto"/>
          <w:sz w:val="22"/>
          <w:szCs w:val="22"/>
        </w:rPr>
        <w:t xml:space="preserve"> </w:t>
      </w:r>
      <w:r w:rsidR="00B82C4F" w:rsidRPr="00A156F4">
        <w:rPr>
          <w:rFonts w:ascii="Times New Roman" w:hAnsi="Times New Roman" w:cs="Times New Roman"/>
          <w:b/>
          <w:bCs/>
          <w:i w:val="0"/>
          <w:color w:val="auto"/>
          <w:sz w:val="22"/>
          <w:szCs w:val="22"/>
        </w:rPr>
        <w:t>72</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Traslado al denunciante</w:t>
      </w:r>
    </w:p>
    <w:p w14:paraId="21D932CE" w14:textId="77777777" w:rsidR="00F0625A" w:rsidRPr="00A156F4" w:rsidRDefault="00F0625A" w:rsidP="00F0625A">
      <w:pPr>
        <w:jc w:val="both"/>
        <w:rPr>
          <w:sz w:val="22"/>
          <w:szCs w:val="22"/>
        </w:rPr>
      </w:pPr>
    </w:p>
    <w:p w14:paraId="247EC0CF" w14:textId="77777777" w:rsidR="00F0625A" w:rsidRPr="00A156F4" w:rsidRDefault="00F0625A" w:rsidP="00F0625A">
      <w:pPr>
        <w:jc w:val="both"/>
        <w:rPr>
          <w:sz w:val="22"/>
          <w:szCs w:val="22"/>
        </w:rPr>
      </w:pPr>
      <w:r w:rsidRPr="00A156F4">
        <w:rPr>
          <w:sz w:val="22"/>
          <w:szCs w:val="22"/>
        </w:rPr>
        <w:t>El Órgano Superior</w:t>
      </w:r>
      <w:r w:rsidRPr="00A156F4" w:rsidDel="00053065">
        <w:rPr>
          <w:sz w:val="22"/>
          <w:szCs w:val="22"/>
        </w:rPr>
        <w:t xml:space="preserve"> </w:t>
      </w:r>
      <w:r w:rsidRPr="00A156F4">
        <w:rPr>
          <w:sz w:val="22"/>
          <w:szCs w:val="22"/>
        </w:rPr>
        <w:t xml:space="preserve">de cada autoridad de competencia trasladará una versión no confidencial de la </w:t>
      </w:r>
      <w:r w:rsidRPr="00A156F4">
        <w:rPr>
          <w:sz w:val="22"/>
          <w:szCs w:val="22"/>
          <w:lang w:val="es-ES"/>
        </w:rPr>
        <w:t xml:space="preserve">propuesta de terminación anticipada del procedimiento con ofrecimiento de compromisos </w:t>
      </w:r>
      <w:r w:rsidRPr="00A156F4">
        <w:rPr>
          <w:sz w:val="22"/>
          <w:szCs w:val="22"/>
        </w:rPr>
        <w:t>al denunciante, si lo hubiera, para que en un plazo de cinco días hábiles haga las manifestaciones que considere convenientes.</w:t>
      </w:r>
    </w:p>
    <w:p w14:paraId="2DB792FA" w14:textId="77777777" w:rsidR="00F0625A" w:rsidRPr="00A156F4" w:rsidRDefault="00F0625A" w:rsidP="00F0625A">
      <w:pPr>
        <w:jc w:val="both"/>
        <w:rPr>
          <w:sz w:val="22"/>
          <w:szCs w:val="22"/>
        </w:rPr>
      </w:pPr>
    </w:p>
    <w:p w14:paraId="768E4920" w14:textId="77777777" w:rsidR="00F0625A" w:rsidRPr="00A156F4" w:rsidRDefault="00F0625A" w:rsidP="00F0625A">
      <w:pPr>
        <w:jc w:val="both"/>
        <w:rPr>
          <w:sz w:val="22"/>
          <w:szCs w:val="22"/>
        </w:rPr>
      </w:pPr>
      <w:r w:rsidRPr="00A156F4">
        <w:rPr>
          <w:sz w:val="22"/>
          <w:szCs w:val="22"/>
        </w:rPr>
        <w:t xml:space="preserve">Para terminar anticipadamente el procedimiento no se requerirá la aprobación o consentimiento del denunciante. Sin embargo, las manifestaciones que este formule serán consideradas por el Órgano Superior correspondiente al adoptar el acuerdo respectivo y deberá referirse expresamente a estas consideraciones. </w:t>
      </w:r>
    </w:p>
    <w:p w14:paraId="4B983554" w14:textId="77777777"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p w14:paraId="2942B627" w14:textId="25B0F72A"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eastAsia="en-US"/>
        </w:rPr>
        <w:t>73</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Valoración de la propuesta de terminación anticipada del procedimiento con ofrecimiento de compromisos</w:t>
      </w:r>
    </w:p>
    <w:p w14:paraId="7F52B973" w14:textId="77777777" w:rsidR="00F0625A" w:rsidRPr="00A156F4" w:rsidRDefault="00F0625A" w:rsidP="00F0625A">
      <w:pPr>
        <w:jc w:val="both"/>
        <w:rPr>
          <w:sz w:val="22"/>
          <w:szCs w:val="22"/>
          <w:lang w:val="es-ES"/>
        </w:rPr>
      </w:pPr>
    </w:p>
    <w:p w14:paraId="23A17554" w14:textId="32DB0943" w:rsidR="00F0625A" w:rsidRPr="00A156F4" w:rsidRDefault="00F0625A" w:rsidP="00F0625A">
      <w:pPr>
        <w:jc w:val="both"/>
        <w:rPr>
          <w:sz w:val="22"/>
          <w:szCs w:val="22"/>
          <w:lang w:val="es-ES"/>
        </w:rPr>
      </w:pPr>
      <w:r w:rsidRPr="00A156F4">
        <w:rPr>
          <w:sz w:val="22"/>
          <w:szCs w:val="22"/>
          <w:lang w:val="es-ES"/>
        </w:rPr>
        <w:t xml:space="preserve">La propuesta de terminación anticipada del procedimiento con ofrecimiento de compromisos deberá resolverse dentro del plazo de </w:t>
      </w:r>
      <w:r w:rsidR="0016119C" w:rsidRPr="00A156F4">
        <w:rPr>
          <w:sz w:val="22"/>
          <w:szCs w:val="22"/>
          <w:lang w:val="es-ES"/>
        </w:rPr>
        <w:t>30</w:t>
      </w:r>
      <w:r w:rsidRPr="00A156F4">
        <w:rPr>
          <w:sz w:val="22"/>
          <w:szCs w:val="22"/>
          <w:lang w:val="es-ES"/>
        </w:rPr>
        <w:t xml:space="preserve"> días hábiles</w:t>
      </w:r>
      <w:r w:rsidR="00066DE2" w:rsidRPr="00A156F4">
        <w:rPr>
          <w:sz w:val="22"/>
          <w:szCs w:val="22"/>
          <w:lang w:val="es-ES"/>
        </w:rPr>
        <w:t xml:space="preserve">, </w:t>
      </w:r>
      <w:r w:rsidRPr="00A156F4">
        <w:rPr>
          <w:sz w:val="22"/>
          <w:szCs w:val="22"/>
          <w:lang w:val="es-ES"/>
        </w:rPr>
        <w:t xml:space="preserve">contados a partir de que el Órgano Superior correspondiente la recibió. </w:t>
      </w:r>
    </w:p>
    <w:p w14:paraId="041ED76F" w14:textId="77777777" w:rsidR="00F0625A" w:rsidRPr="00A156F4" w:rsidRDefault="00F0625A" w:rsidP="00F0625A">
      <w:pPr>
        <w:jc w:val="both"/>
        <w:rPr>
          <w:sz w:val="22"/>
          <w:szCs w:val="22"/>
          <w:lang w:val="es-ES"/>
        </w:rPr>
      </w:pPr>
    </w:p>
    <w:p w14:paraId="2E3B6E7B" w14:textId="184959CC" w:rsidR="00F0625A" w:rsidRPr="00A156F4" w:rsidRDefault="00F0625A" w:rsidP="00F0625A">
      <w:pPr>
        <w:jc w:val="both"/>
        <w:rPr>
          <w:sz w:val="22"/>
          <w:szCs w:val="22"/>
        </w:rPr>
      </w:pPr>
      <w:r w:rsidRPr="00A156F4">
        <w:rPr>
          <w:sz w:val="22"/>
          <w:szCs w:val="22"/>
          <w:lang w:val="es-ES"/>
        </w:rPr>
        <w:t>Al evaluar la propuesta de terminación anticipada del procedimiento con ofrecimiento de compromisos</w:t>
      </w:r>
      <w:r w:rsidR="00840300" w:rsidRPr="00A156F4">
        <w:rPr>
          <w:sz w:val="22"/>
          <w:szCs w:val="22"/>
          <w:lang w:val="es-ES"/>
        </w:rPr>
        <w:t xml:space="preserve"> que haya sido</w:t>
      </w:r>
      <w:r w:rsidRPr="00A156F4">
        <w:rPr>
          <w:sz w:val="22"/>
          <w:szCs w:val="22"/>
          <w:lang w:val="es-ES"/>
        </w:rPr>
        <w:t xml:space="preserve"> presentada, el </w:t>
      </w:r>
      <w:r w:rsidRPr="00A156F4">
        <w:rPr>
          <w:sz w:val="22"/>
          <w:szCs w:val="22"/>
        </w:rPr>
        <w:t>Órgano Superior</w:t>
      </w:r>
      <w:r w:rsidRPr="00A156F4" w:rsidDel="00053065">
        <w:rPr>
          <w:sz w:val="22"/>
          <w:szCs w:val="22"/>
          <w:lang w:val="es-ES"/>
        </w:rPr>
        <w:t xml:space="preserve"> </w:t>
      </w:r>
      <w:r w:rsidRPr="00A156F4">
        <w:rPr>
          <w:sz w:val="22"/>
          <w:szCs w:val="22"/>
          <w:lang w:val="es-ES"/>
        </w:rPr>
        <w:t xml:space="preserve">respectivo deberá considerar el daño razonablemente previsible que se atribuya a las conductas investigadas, el comportamiento del agente económico en el pasado, y la posibilidad de restablecer las condiciones </w:t>
      </w:r>
      <w:r w:rsidR="00D65E0F" w:rsidRPr="00A156F4">
        <w:rPr>
          <w:sz w:val="22"/>
          <w:szCs w:val="22"/>
          <w:lang w:val="es-ES"/>
        </w:rPr>
        <w:t>de competencia</w:t>
      </w:r>
      <w:r w:rsidRPr="00A156F4">
        <w:rPr>
          <w:sz w:val="22"/>
          <w:szCs w:val="22"/>
          <w:lang w:val="es-ES"/>
        </w:rPr>
        <w:t xml:space="preserve"> en el mercado. </w:t>
      </w:r>
    </w:p>
    <w:p w14:paraId="390A1E28" w14:textId="77777777" w:rsidR="00F0625A" w:rsidRPr="00A156F4" w:rsidRDefault="00F0625A" w:rsidP="00F0625A">
      <w:pPr>
        <w:rPr>
          <w:sz w:val="22"/>
          <w:szCs w:val="22"/>
          <w:lang w:val="es-ES"/>
        </w:rPr>
      </w:pPr>
    </w:p>
    <w:p w14:paraId="5433A438" w14:textId="77777777" w:rsidR="00F0625A" w:rsidRPr="00A156F4" w:rsidRDefault="00F0625A" w:rsidP="00F0625A">
      <w:pPr>
        <w:rPr>
          <w:sz w:val="22"/>
          <w:szCs w:val="22"/>
          <w:lang w:val="es-ES"/>
        </w:rPr>
      </w:pPr>
      <w:r w:rsidRPr="00A156F4">
        <w:rPr>
          <w:sz w:val="22"/>
          <w:szCs w:val="22"/>
          <w:lang w:val="es-ES"/>
        </w:rPr>
        <w:t xml:space="preserve">Asimismo, deberá valorar si: </w:t>
      </w:r>
    </w:p>
    <w:p w14:paraId="5C2FE151" w14:textId="77777777" w:rsidR="00F0625A" w:rsidRPr="00A156F4" w:rsidRDefault="00F0625A" w:rsidP="00F0625A">
      <w:pPr>
        <w:rPr>
          <w:sz w:val="22"/>
          <w:szCs w:val="22"/>
        </w:rPr>
      </w:pPr>
    </w:p>
    <w:p w14:paraId="33E3CCA0" w14:textId="38F023BC" w:rsidR="00F0625A" w:rsidRPr="00A156F4" w:rsidRDefault="00F0625A" w:rsidP="00F0625A">
      <w:pPr>
        <w:pStyle w:val="Prrafodelista"/>
        <w:numPr>
          <w:ilvl w:val="0"/>
          <w:numId w:val="8"/>
        </w:numPr>
        <w:spacing w:after="0" w:line="240" w:lineRule="auto"/>
        <w:contextualSpacing/>
        <w:jc w:val="both"/>
        <w:rPr>
          <w:rFonts w:ascii="Times New Roman" w:hAnsi="Times New Roman"/>
        </w:rPr>
      </w:pPr>
      <w:r w:rsidRPr="00A156F4">
        <w:rPr>
          <w:rFonts w:ascii="Times New Roman" w:hAnsi="Times New Roman"/>
          <w:lang w:val="es-ES"/>
        </w:rPr>
        <w:t>La propuesta de terminación anticipada del procedimiento con ofrecimiento de compromisos</w:t>
      </w:r>
      <w:r w:rsidR="00840300" w:rsidRPr="00A156F4">
        <w:rPr>
          <w:rFonts w:ascii="Times New Roman" w:hAnsi="Times New Roman"/>
          <w:lang w:val="es-ES"/>
        </w:rPr>
        <w:t xml:space="preserve"> por parte</w:t>
      </w:r>
      <w:r w:rsidRPr="00A156F4">
        <w:rPr>
          <w:rFonts w:ascii="Times New Roman" w:hAnsi="Times New Roman"/>
          <w:lang w:val="es-ES"/>
        </w:rPr>
        <w:t xml:space="preserve"> del agente económico investigado elimina los efectos anticompetitivos atribuibles a los hechos investigados. </w:t>
      </w:r>
    </w:p>
    <w:p w14:paraId="452DD4B1" w14:textId="77777777" w:rsidR="00F0625A" w:rsidRPr="00A156F4" w:rsidRDefault="00F0625A" w:rsidP="00F0625A">
      <w:pPr>
        <w:pStyle w:val="Prrafodelista"/>
        <w:spacing w:after="0" w:line="240" w:lineRule="auto"/>
        <w:rPr>
          <w:rFonts w:ascii="Times New Roman" w:hAnsi="Times New Roman"/>
        </w:rPr>
      </w:pPr>
    </w:p>
    <w:p w14:paraId="0A45577B" w14:textId="77777777" w:rsidR="00F0625A" w:rsidRPr="00A156F4" w:rsidRDefault="00F0625A" w:rsidP="00F0625A">
      <w:pPr>
        <w:pStyle w:val="Prrafodelista"/>
        <w:numPr>
          <w:ilvl w:val="0"/>
          <w:numId w:val="8"/>
        </w:numPr>
        <w:spacing w:after="0" w:line="240" w:lineRule="auto"/>
        <w:contextualSpacing/>
        <w:rPr>
          <w:rFonts w:ascii="Times New Roman" w:hAnsi="Times New Roman"/>
        </w:rPr>
      </w:pPr>
      <w:r w:rsidRPr="00A156F4">
        <w:rPr>
          <w:rFonts w:ascii="Times New Roman" w:hAnsi="Times New Roman"/>
          <w:lang w:val="es-ES"/>
        </w:rPr>
        <w:t xml:space="preserve">Los compromisos ofrecidos pueden implementarse de manera rápida y efectiva. </w:t>
      </w:r>
    </w:p>
    <w:p w14:paraId="2139C09C" w14:textId="77777777" w:rsidR="00F0625A" w:rsidRPr="00A156F4" w:rsidRDefault="00F0625A" w:rsidP="00F0625A">
      <w:pPr>
        <w:pStyle w:val="Prrafodelista"/>
        <w:spacing w:after="0" w:line="240" w:lineRule="auto"/>
        <w:rPr>
          <w:rFonts w:ascii="Times New Roman" w:hAnsi="Times New Roman"/>
        </w:rPr>
      </w:pPr>
    </w:p>
    <w:p w14:paraId="3F9ED99E" w14:textId="77777777" w:rsidR="00F0625A" w:rsidRPr="00A156F4" w:rsidRDefault="00F0625A" w:rsidP="00F0625A">
      <w:pPr>
        <w:pStyle w:val="Prrafodelista"/>
        <w:numPr>
          <w:ilvl w:val="0"/>
          <w:numId w:val="8"/>
        </w:numPr>
        <w:spacing w:after="0" w:line="240" w:lineRule="auto"/>
        <w:contextualSpacing/>
        <w:rPr>
          <w:rFonts w:ascii="Times New Roman" w:hAnsi="Times New Roman"/>
        </w:rPr>
      </w:pPr>
      <w:r w:rsidRPr="00A156F4">
        <w:rPr>
          <w:rFonts w:ascii="Times New Roman" w:hAnsi="Times New Roman"/>
          <w:lang w:val="es-ES"/>
        </w:rPr>
        <w:t xml:space="preserve">La vigilancia del cumplimiento y de la efectividad de los compromisos es viable y eficaz. </w:t>
      </w:r>
    </w:p>
    <w:p w14:paraId="4C0F5E09" w14:textId="77777777" w:rsidR="00F0625A" w:rsidRPr="00A156F4" w:rsidRDefault="00F0625A" w:rsidP="00F0625A">
      <w:pPr>
        <w:jc w:val="both"/>
        <w:rPr>
          <w:sz w:val="22"/>
          <w:szCs w:val="22"/>
          <w:lang w:val="es-ES"/>
        </w:rPr>
      </w:pPr>
    </w:p>
    <w:p w14:paraId="04975EBB" w14:textId="5106A8AC" w:rsidR="00F0625A" w:rsidRPr="00A156F4" w:rsidRDefault="00F0625A" w:rsidP="00F0625A">
      <w:pPr>
        <w:jc w:val="both"/>
        <w:rPr>
          <w:sz w:val="22"/>
          <w:szCs w:val="22"/>
          <w:lang w:val="es-ES"/>
        </w:rPr>
      </w:pPr>
      <w:r w:rsidRPr="00A156F4">
        <w:rPr>
          <w:sz w:val="22"/>
          <w:szCs w:val="22"/>
          <w:lang w:val="es-ES"/>
        </w:rPr>
        <w:t xml:space="preserve">En todos los casos, deberá </w:t>
      </w:r>
      <w:r w:rsidR="00840300" w:rsidRPr="00A156F4">
        <w:rPr>
          <w:sz w:val="22"/>
          <w:szCs w:val="22"/>
          <w:lang w:val="es-ES"/>
        </w:rPr>
        <w:t xml:space="preserve">existir </w:t>
      </w:r>
      <w:r w:rsidRPr="00A156F4">
        <w:rPr>
          <w:sz w:val="22"/>
          <w:szCs w:val="22"/>
          <w:lang w:val="es-ES"/>
        </w:rPr>
        <w:t xml:space="preserve">correspondencia entre los hechos objeto del procedimiento según el auto de inicio de la etapa de instrucción, los posibles efectos anticompetitivos atribuibles a las conductas que se investigan y las condiciones que se establezcan al agente económico investigado. </w:t>
      </w:r>
    </w:p>
    <w:p w14:paraId="3E19EF25" w14:textId="77777777"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p w14:paraId="03F835A9" w14:textId="420BD433"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imes New Roman" w:hAnsi="Times New Roman" w:cs="Times New Roman"/>
          <w:b/>
          <w:i w:val="0"/>
          <w:iCs w:val="0"/>
          <w:color w:val="auto"/>
          <w:sz w:val="22"/>
          <w:szCs w:val="22"/>
          <w:lang w:val="es-CR" w:eastAsia="en-US"/>
        </w:rPr>
        <w:t xml:space="preserve">Artículo </w:t>
      </w:r>
      <w:r w:rsidR="00701AF7" w:rsidRPr="00A156F4">
        <w:rPr>
          <w:rFonts w:ascii="Times New Roman" w:eastAsia="Times New Roman" w:hAnsi="Times New Roman" w:cs="Times New Roman"/>
          <w:b/>
          <w:i w:val="0"/>
          <w:iCs w:val="0"/>
          <w:color w:val="auto"/>
          <w:sz w:val="22"/>
          <w:szCs w:val="22"/>
          <w:lang w:val="es-CR" w:eastAsia="en-US"/>
        </w:rPr>
        <w:t>74.</w:t>
      </w:r>
      <w:r w:rsidRPr="00A156F4">
        <w:rPr>
          <w:rFonts w:ascii="Times New Roman" w:eastAsia="Times New Roman" w:hAnsi="Times New Roman" w:cs="Times New Roman"/>
          <w:b/>
          <w:i w:val="0"/>
          <w:iCs w:val="0"/>
          <w:color w:val="auto"/>
          <w:sz w:val="22"/>
          <w:szCs w:val="22"/>
          <w:lang w:val="es-CR" w:eastAsia="en-US"/>
        </w:rPr>
        <w:t>-</w:t>
      </w:r>
      <w:r w:rsidR="00701AF7"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Reuniones de coordinación </w:t>
      </w:r>
    </w:p>
    <w:p w14:paraId="642F585A" w14:textId="77777777" w:rsidR="00F0625A" w:rsidRPr="00A156F4" w:rsidRDefault="00F0625A" w:rsidP="00F0625A">
      <w:pPr>
        <w:jc w:val="both"/>
        <w:rPr>
          <w:sz w:val="22"/>
          <w:szCs w:val="22"/>
          <w:lang w:val="es-ES"/>
        </w:rPr>
      </w:pPr>
    </w:p>
    <w:p w14:paraId="075D6B3C" w14:textId="037BD21C" w:rsidR="00F0625A" w:rsidRPr="00A156F4" w:rsidRDefault="00840300" w:rsidP="00F0625A">
      <w:pPr>
        <w:jc w:val="both"/>
        <w:rPr>
          <w:sz w:val="22"/>
          <w:szCs w:val="22"/>
        </w:rPr>
      </w:pPr>
      <w:r w:rsidRPr="00A156F4">
        <w:rPr>
          <w:sz w:val="22"/>
          <w:szCs w:val="22"/>
          <w:lang w:val="es-ES"/>
        </w:rPr>
        <w:t xml:space="preserve">El Órgano Superior correspondiente podrá, de oficio o a solicitud de parte, celebrar reuniones cuando considere necesario aclarar los alcances de los compromisos ofrecidos; en cuyo caso se levantará un acta que indique los principales temas tratados, que deberá ser firmada por todos los participantes. </w:t>
      </w:r>
    </w:p>
    <w:p w14:paraId="25E79DE9" w14:textId="77777777"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p w14:paraId="41A1C790" w14:textId="1106CDBE"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eastAsia="en-US"/>
        </w:rPr>
        <w:t>75</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Decisión de la propuesta de terminación anticipada del procedimiento con ofrecimiento de compromisos</w:t>
      </w:r>
    </w:p>
    <w:p w14:paraId="7671C9EF" w14:textId="77777777" w:rsidR="00F0625A" w:rsidRPr="00A156F4" w:rsidRDefault="00F0625A" w:rsidP="00F0625A">
      <w:pPr>
        <w:rPr>
          <w:sz w:val="22"/>
          <w:szCs w:val="22"/>
          <w:lang w:val="es-ES"/>
        </w:rPr>
      </w:pPr>
    </w:p>
    <w:p w14:paraId="065CC1E0" w14:textId="77777777" w:rsidR="00F0625A" w:rsidRPr="00A156F4" w:rsidRDefault="00F0625A" w:rsidP="00F0625A">
      <w:pPr>
        <w:jc w:val="both"/>
        <w:rPr>
          <w:sz w:val="22"/>
          <w:szCs w:val="22"/>
          <w:lang w:val="es-ES"/>
        </w:rPr>
      </w:pPr>
      <w:r w:rsidRPr="00A156F4">
        <w:rPr>
          <w:sz w:val="22"/>
          <w:szCs w:val="22"/>
          <w:lang w:val="es-ES"/>
        </w:rPr>
        <w:t>Una vez valorada la propuesta de terminación anticipada del procedimiento con ofrecimiento de compromisos, el Órgano Superior</w:t>
      </w:r>
      <w:r w:rsidRPr="00A156F4" w:rsidDel="00053065">
        <w:rPr>
          <w:sz w:val="22"/>
          <w:szCs w:val="22"/>
          <w:lang w:val="es-ES"/>
        </w:rPr>
        <w:t xml:space="preserve"> </w:t>
      </w:r>
      <w:r w:rsidRPr="00A156F4">
        <w:rPr>
          <w:sz w:val="22"/>
          <w:szCs w:val="22"/>
          <w:lang w:val="es-ES"/>
        </w:rPr>
        <w:t xml:space="preserve">de la autoridad de competencia correspondiente podrá: </w:t>
      </w:r>
    </w:p>
    <w:p w14:paraId="2F865F28" w14:textId="77777777" w:rsidR="00F0625A" w:rsidRPr="00A156F4" w:rsidRDefault="00F0625A" w:rsidP="00F0625A">
      <w:pPr>
        <w:pStyle w:val="Default"/>
        <w:tabs>
          <w:tab w:val="left" w:pos="426"/>
        </w:tabs>
        <w:ind w:left="720" w:right="57"/>
        <w:contextualSpacing/>
        <w:jc w:val="both"/>
        <w:textAlignment w:val="center"/>
        <w:rPr>
          <w:rFonts w:ascii="Times New Roman" w:hAnsi="Times New Roman" w:cs="Times New Roman"/>
          <w:sz w:val="22"/>
          <w:szCs w:val="22"/>
        </w:rPr>
      </w:pPr>
    </w:p>
    <w:p w14:paraId="50FD3E86" w14:textId="4E95F1BE" w:rsidR="00F0625A" w:rsidRPr="00A156F4" w:rsidRDefault="00F0625A" w:rsidP="00F0625A">
      <w:pPr>
        <w:pStyle w:val="Default"/>
        <w:numPr>
          <w:ilvl w:val="0"/>
          <w:numId w:val="7"/>
        </w:numPr>
        <w:tabs>
          <w:tab w:val="left" w:pos="426"/>
        </w:tabs>
        <w:ind w:right="57"/>
        <w:contextualSpacing/>
        <w:jc w:val="both"/>
        <w:textAlignment w:val="center"/>
        <w:rPr>
          <w:rFonts w:ascii="Times New Roman" w:hAnsi="Times New Roman" w:cs="Times New Roman"/>
          <w:sz w:val="22"/>
          <w:szCs w:val="22"/>
        </w:rPr>
      </w:pPr>
      <w:r w:rsidRPr="00A156F4">
        <w:rPr>
          <w:rFonts w:ascii="Times New Roman" w:hAnsi="Times New Roman" w:cs="Times New Roman"/>
          <w:sz w:val="22"/>
          <w:szCs w:val="22"/>
          <w:lang w:val="es-ES"/>
        </w:rPr>
        <w:t>Aceptar la propuesta formulada por considerar que cumple adecuadamente con los fines perseguidos por la presente ley</w:t>
      </w:r>
      <w:r w:rsidR="00840300" w:rsidRPr="00A156F4">
        <w:rPr>
          <w:rFonts w:ascii="Times New Roman" w:hAnsi="Times New Roman" w:cs="Times New Roman"/>
          <w:sz w:val="22"/>
          <w:szCs w:val="22"/>
          <w:lang w:val="es-ES"/>
        </w:rPr>
        <w:t>;</w:t>
      </w:r>
      <w:r w:rsidRPr="00A156F4">
        <w:rPr>
          <w:rFonts w:ascii="Times New Roman" w:hAnsi="Times New Roman" w:cs="Times New Roman"/>
          <w:sz w:val="22"/>
          <w:szCs w:val="22"/>
          <w:lang w:val="es-ES"/>
        </w:rPr>
        <w:t xml:space="preserve"> </w:t>
      </w:r>
      <w:r w:rsidRPr="00A156F4">
        <w:rPr>
          <w:rFonts w:ascii="Times New Roman" w:hAnsi="Times New Roman" w:cs="Times New Roman"/>
          <w:color w:val="auto"/>
          <w:sz w:val="22"/>
          <w:szCs w:val="22"/>
        </w:rPr>
        <w:t xml:space="preserve">la Ley de Promoción de la Competencia y Defensa Efectiva del Consumidor, Ley </w:t>
      </w:r>
      <w:proofErr w:type="spellStart"/>
      <w:r w:rsidRPr="00A156F4">
        <w:rPr>
          <w:rFonts w:ascii="Times New Roman" w:hAnsi="Times New Roman" w:cs="Times New Roman"/>
          <w:color w:val="auto"/>
          <w:sz w:val="22"/>
          <w:szCs w:val="22"/>
        </w:rPr>
        <w:t>N°</w:t>
      </w:r>
      <w:proofErr w:type="spellEnd"/>
      <w:r w:rsidRPr="00A156F4">
        <w:rPr>
          <w:rFonts w:ascii="Times New Roman" w:hAnsi="Times New Roman" w:cs="Times New Roman"/>
          <w:color w:val="auto"/>
          <w:sz w:val="22"/>
          <w:szCs w:val="22"/>
        </w:rPr>
        <w:t>. 7472, del 20 de diciembre de 1994, sus reformas y sus reglamentos</w:t>
      </w:r>
      <w:r w:rsidR="00840300" w:rsidRPr="00A156F4">
        <w:rPr>
          <w:rFonts w:ascii="Times New Roman" w:hAnsi="Times New Roman" w:cs="Times New Roman"/>
          <w:sz w:val="22"/>
          <w:szCs w:val="22"/>
          <w:lang w:val="es-ES"/>
        </w:rPr>
        <w:t>;</w:t>
      </w:r>
      <w:r w:rsidRPr="00A156F4">
        <w:rPr>
          <w:rFonts w:ascii="Times New Roman" w:hAnsi="Times New Roman" w:cs="Times New Roman"/>
          <w:sz w:val="22"/>
          <w:szCs w:val="22"/>
          <w:lang w:val="es-ES"/>
        </w:rPr>
        <w:t xml:space="preserve"> y en la Ley General de Telecomunicaciones, Ley </w:t>
      </w:r>
      <w:proofErr w:type="spellStart"/>
      <w:r w:rsidRPr="00A156F4">
        <w:rPr>
          <w:rFonts w:ascii="Times New Roman" w:hAnsi="Times New Roman" w:cs="Times New Roman"/>
          <w:sz w:val="22"/>
          <w:szCs w:val="22"/>
          <w:lang w:val="es-ES"/>
        </w:rPr>
        <w:t>N°</w:t>
      </w:r>
      <w:proofErr w:type="spellEnd"/>
      <w:r w:rsidR="00820197" w:rsidRPr="00A156F4">
        <w:rPr>
          <w:rFonts w:ascii="Times New Roman" w:hAnsi="Times New Roman" w:cs="Times New Roman"/>
          <w:sz w:val="22"/>
          <w:szCs w:val="22"/>
          <w:lang w:val="es-ES"/>
        </w:rPr>
        <w:t xml:space="preserve">. </w:t>
      </w:r>
      <w:r w:rsidRPr="00A156F4">
        <w:rPr>
          <w:rFonts w:ascii="Times New Roman" w:hAnsi="Times New Roman" w:cs="Times New Roman"/>
          <w:sz w:val="22"/>
          <w:szCs w:val="22"/>
          <w:lang w:val="es-ES"/>
        </w:rPr>
        <w:t xml:space="preserve">8642, </w:t>
      </w:r>
      <w:r w:rsidRPr="00A156F4">
        <w:rPr>
          <w:rFonts w:ascii="Times New Roman" w:hAnsi="Times New Roman" w:cs="Times New Roman"/>
          <w:color w:val="auto"/>
          <w:sz w:val="22"/>
          <w:szCs w:val="22"/>
        </w:rPr>
        <w:t>del 4 de junio de 2008</w:t>
      </w:r>
      <w:r w:rsidR="00840300" w:rsidRPr="00A156F4">
        <w:rPr>
          <w:rFonts w:ascii="Times New Roman" w:hAnsi="Times New Roman" w:cs="Times New Roman"/>
          <w:color w:val="auto"/>
          <w:sz w:val="22"/>
          <w:szCs w:val="22"/>
        </w:rPr>
        <w:t>,</w:t>
      </w:r>
      <w:r w:rsidR="00820197" w:rsidRPr="00A156F4">
        <w:rPr>
          <w:rFonts w:ascii="Times New Roman" w:hAnsi="Times New Roman" w:cs="Times New Roman"/>
          <w:color w:val="auto"/>
          <w:sz w:val="22"/>
          <w:szCs w:val="22"/>
        </w:rPr>
        <w:t xml:space="preserve"> </w:t>
      </w:r>
      <w:r w:rsidRPr="00A156F4">
        <w:rPr>
          <w:rFonts w:ascii="Times New Roman" w:hAnsi="Times New Roman" w:cs="Times New Roman"/>
          <w:color w:val="auto"/>
          <w:sz w:val="22"/>
          <w:szCs w:val="22"/>
        </w:rPr>
        <w:t>sus reformas y sus reglamentos.</w:t>
      </w:r>
    </w:p>
    <w:p w14:paraId="1E546EFA" w14:textId="77777777" w:rsidR="00F0625A" w:rsidRPr="00A156F4" w:rsidRDefault="00F0625A" w:rsidP="00F0625A">
      <w:pPr>
        <w:pStyle w:val="Default"/>
        <w:tabs>
          <w:tab w:val="left" w:pos="426"/>
        </w:tabs>
        <w:ind w:left="720" w:right="57"/>
        <w:contextualSpacing/>
        <w:jc w:val="both"/>
        <w:textAlignment w:val="center"/>
        <w:rPr>
          <w:rFonts w:ascii="Times New Roman" w:hAnsi="Times New Roman" w:cs="Times New Roman"/>
          <w:sz w:val="22"/>
          <w:szCs w:val="22"/>
          <w:lang w:val="es-ES"/>
        </w:rPr>
      </w:pPr>
    </w:p>
    <w:p w14:paraId="28322D8F" w14:textId="42134B88" w:rsidR="00F0625A" w:rsidRPr="00A156F4" w:rsidRDefault="00F0625A" w:rsidP="00F0625A">
      <w:pPr>
        <w:pStyle w:val="Default"/>
        <w:numPr>
          <w:ilvl w:val="0"/>
          <w:numId w:val="7"/>
        </w:numPr>
        <w:tabs>
          <w:tab w:val="left" w:pos="426"/>
        </w:tabs>
        <w:ind w:right="57"/>
        <w:contextualSpacing/>
        <w:jc w:val="both"/>
        <w:textAlignment w:val="center"/>
        <w:rPr>
          <w:rFonts w:ascii="Times New Roman" w:hAnsi="Times New Roman" w:cs="Times New Roman"/>
          <w:sz w:val="22"/>
          <w:szCs w:val="22"/>
          <w:lang w:val="es-ES"/>
        </w:rPr>
      </w:pPr>
      <w:r w:rsidRPr="00A156F4">
        <w:rPr>
          <w:rFonts w:ascii="Times New Roman" w:hAnsi="Times New Roman" w:cs="Times New Roman"/>
          <w:sz w:val="22"/>
          <w:szCs w:val="22"/>
          <w:lang w:val="es-ES"/>
        </w:rPr>
        <w:t>Otorgar al solicitante un plazo de hasta 30 días hábiles para presentar una segunda propuesta que corrija o amplíe los compromisos ofrecidos, cuando considere que la propuesta no contrarresta los posibles efectos anticompetitivos de la conducta, pero que estos podrían resolverse mediante otros compromisos. De no presentarse la propuesta en el plazo indicado, se tendrá por desistida la solicitud.</w:t>
      </w:r>
      <w:r w:rsidR="0016119C" w:rsidRPr="00A156F4">
        <w:rPr>
          <w:rFonts w:ascii="Times New Roman" w:hAnsi="Times New Roman" w:cs="Times New Roman"/>
          <w:sz w:val="22"/>
          <w:szCs w:val="22"/>
          <w:lang w:val="es-ES"/>
        </w:rPr>
        <w:t xml:space="preserve"> </w:t>
      </w:r>
    </w:p>
    <w:p w14:paraId="280A9E64" w14:textId="77777777" w:rsidR="00F0625A" w:rsidRPr="00A156F4" w:rsidRDefault="00F0625A" w:rsidP="00F0625A">
      <w:pPr>
        <w:rPr>
          <w:color w:val="000000"/>
          <w:sz w:val="22"/>
          <w:szCs w:val="22"/>
          <w:lang w:val="es-ES"/>
        </w:rPr>
      </w:pPr>
    </w:p>
    <w:p w14:paraId="3A6B3B32" w14:textId="0724A0A3" w:rsidR="00F0625A" w:rsidRPr="00A156F4" w:rsidRDefault="00F0625A" w:rsidP="00F0625A">
      <w:pPr>
        <w:pStyle w:val="Default"/>
        <w:numPr>
          <w:ilvl w:val="0"/>
          <w:numId w:val="7"/>
        </w:numPr>
        <w:tabs>
          <w:tab w:val="left" w:pos="426"/>
        </w:tabs>
        <w:ind w:right="57"/>
        <w:contextualSpacing/>
        <w:jc w:val="both"/>
        <w:textAlignment w:val="center"/>
        <w:rPr>
          <w:rFonts w:ascii="Times New Roman" w:hAnsi="Times New Roman" w:cs="Times New Roman"/>
          <w:sz w:val="22"/>
          <w:szCs w:val="22"/>
          <w:lang w:val="es-ES"/>
        </w:rPr>
      </w:pPr>
      <w:r w:rsidRPr="00A156F4">
        <w:rPr>
          <w:rFonts w:ascii="Times New Roman" w:hAnsi="Times New Roman" w:cs="Times New Roman"/>
          <w:sz w:val="22"/>
          <w:szCs w:val="22"/>
          <w:lang w:val="es-ES"/>
        </w:rPr>
        <w:t xml:space="preserve">Rechazar la propuesta, por considerar que la resolución anticipada del caso no cumple con los fines de interés público o que no permite restablecer las condiciones </w:t>
      </w:r>
      <w:r w:rsidR="00D65E0F" w:rsidRPr="00A156F4">
        <w:rPr>
          <w:rFonts w:ascii="Times New Roman" w:hAnsi="Times New Roman" w:cs="Times New Roman"/>
          <w:sz w:val="22"/>
          <w:szCs w:val="22"/>
          <w:lang w:val="es-ES"/>
        </w:rPr>
        <w:t xml:space="preserve">de competencia </w:t>
      </w:r>
      <w:r w:rsidRPr="00A156F4">
        <w:rPr>
          <w:rFonts w:ascii="Times New Roman" w:hAnsi="Times New Roman" w:cs="Times New Roman"/>
          <w:sz w:val="22"/>
          <w:szCs w:val="22"/>
          <w:lang w:val="es-ES"/>
        </w:rPr>
        <w:t>en el mercado</w:t>
      </w:r>
      <w:r w:rsidR="00840300" w:rsidRPr="00A156F4">
        <w:rPr>
          <w:rFonts w:ascii="Times New Roman" w:hAnsi="Times New Roman" w:cs="Times New Roman"/>
          <w:sz w:val="22"/>
          <w:szCs w:val="22"/>
          <w:lang w:val="es-ES"/>
        </w:rPr>
        <w:t>,</w:t>
      </w:r>
      <w:r w:rsidRPr="00A156F4">
        <w:rPr>
          <w:rFonts w:ascii="Times New Roman" w:hAnsi="Times New Roman" w:cs="Times New Roman"/>
          <w:sz w:val="22"/>
          <w:szCs w:val="22"/>
          <w:lang w:val="es-ES"/>
        </w:rPr>
        <w:t xml:space="preserve"> de conformidad con lo establecido en </w:t>
      </w:r>
      <w:r w:rsidR="00840300" w:rsidRPr="00A156F4">
        <w:rPr>
          <w:rFonts w:ascii="Times New Roman" w:hAnsi="Times New Roman" w:cs="Times New Roman"/>
          <w:sz w:val="22"/>
          <w:szCs w:val="22"/>
          <w:lang w:val="es-ES"/>
        </w:rPr>
        <w:t>la presente</w:t>
      </w:r>
      <w:r w:rsidRPr="00A156F4">
        <w:rPr>
          <w:rFonts w:ascii="Times New Roman" w:hAnsi="Times New Roman" w:cs="Times New Roman"/>
          <w:sz w:val="22"/>
          <w:szCs w:val="22"/>
          <w:lang w:val="es-ES"/>
        </w:rPr>
        <w:t xml:space="preserve"> ley</w:t>
      </w:r>
      <w:r w:rsidR="00840300" w:rsidRPr="00A156F4">
        <w:rPr>
          <w:rFonts w:ascii="Times New Roman" w:hAnsi="Times New Roman" w:cs="Times New Roman"/>
          <w:sz w:val="22"/>
          <w:szCs w:val="22"/>
          <w:lang w:val="es-ES"/>
        </w:rPr>
        <w:t>;</w:t>
      </w:r>
      <w:r w:rsidRPr="00A156F4">
        <w:rPr>
          <w:rFonts w:ascii="Times New Roman" w:hAnsi="Times New Roman" w:cs="Times New Roman"/>
          <w:sz w:val="22"/>
          <w:szCs w:val="22"/>
          <w:lang w:val="es-ES"/>
        </w:rPr>
        <w:t xml:space="preserve"> la Ley de Promoción de la Competencia y Defensa Efectiva del Consumidor, Ley </w:t>
      </w:r>
      <w:proofErr w:type="spellStart"/>
      <w:r w:rsidRPr="00A156F4">
        <w:rPr>
          <w:rFonts w:ascii="Times New Roman" w:hAnsi="Times New Roman" w:cs="Times New Roman"/>
          <w:sz w:val="22"/>
          <w:szCs w:val="22"/>
          <w:lang w:val="es-ES"/>
        </w:rPr>
        <w:t>N°</w:t>
      </w:r>
      <w:proofErr w:type="spellEnd"/>
      <w:r w:rsidRPr="00A156F4">
        <w:rPr>
          <w:rFonts w:ascii="Times New Roman" w:hAnsi="Times New Roman" w:cs="Times New Roman"/>
          <w:sz w:val="22"/>
          <w:szCs w:val="22"/>
          <w:lang w:val="es-ES"/>
        </w:rPr>
        <w:t>. 7472, del 20 de diciembre de 1994, sus reformas y sus reglamentos</w:t>
      </w:r>
      <w:r w:rsidR="00840300" w:rsidRPr="00A156F4">
        <w:rPr>
          <w:rFonts w:ascii="Times New Roman" w:hAnsi="Times New Roman" w:cs="Times New Roman"/>
          <w:sz w:val="22"/>
          <w:szCs w:val="22"/>
          <w:lang w:val="es-ES"/>
        </w:rPr>
        <w:t>;</w:t>
      </w:r>
      <w:r w:rsidRPr="00A156F4">
        <w:rPr>
          <w:rFonts w:ascii="Times New Roman" w:hAnsi="Times New Roman" w:cs="Times New Roman"/>
          <w:sz w:val="22"/>
          <w:szCs w:val="22"/>
          <w:lang w:val="es-ES"/>
        </w:rPr>
        <w:t xml:space="preserve"> y por la Ley General de Telecomunicaciones Ley N°8642, del 4 de junio de 2008</w:t>
      </w:r>
      <w:r w:rsidR="00840300" w:rsidRPr="00A156F4">
        <w:rPr>
          <w:rFonts w:ascii="Times New Roman" w:hAnsi="Times New Roman" w:cs="Times New Roman"/>
          <w:sz w:val="22"/>
          <w:szCs w:val="22"/>
          <w:lang w:val="es-ES"/>
        </w:rPr>
        <w:t>,</w:t>
      </w:r>
      <w:r w:rsidRPr="00A156F4">
        <w:rPr>
          <w:rFonts w:ascii="Times New Roman" w:hAnsi="Times New Roman" w:cs="Times New Roman"/>
          <w:sz w:val="22"/>
          <w:szCs w:val="22"/>
          <w:lang w:val="es-ES"/>
        </w:rPr>
        <w:t xml:space="preserve"> sus reformas y sus reglamentos.</w:t>
      </w:r>
    </w:p>
    <w:p w14:paraId="3ECAB0F9" w14:textId="7F576DF6" w:rsidR="00F0625A" w:rsidRPr="00A156F4" w:rsidRDefault="00F0625A" w:rsidP="00F0625A">
      <w:pPr>
        <w:jc w:val="both"/>
        <w:rPr>
          <w:sz w:val="22"/>
          <w:szCs w:val="22"/>
          <w:lang w:val="es-ES"/>
        </w:rPr>
      </w:pPr>
    </w:p>
    <w:p w14:paraId="582266AF" w14:textId="1525954E" w:rsidR="00E47D32" w:rsidRPr="00A156F4" w:rsidRDefault="00E47D32" w:rsidP="00F0625A">
      <w:pPr>
        <w:jc w:val="both"/>
        <w:rPr>
          <w:sz w:val="22"/>
          <w:szCs w:val="22"/>
          <w:lang w:val="es-ES"/>
        </w:rPr>
      </w:pPr>
      <w:r w:rsidRPr="00A156F4">
        <w:rPr>
          <w:sz w:val="22"/>
          <w:szCs w:val="22"/>
          <w:lang w:val="es-ES"/>
        </w:rPr>
        <w:t>En caso de haber solicitado una segunda propuesta</w:t>
      </w:r>
      <w:r w:rsidR="00730FE0" w:rsidRPr="00A156F4">
        <w:rPr>
          <w:sz w:val="22"/>
          <w:szCs w:val="22"/>
          <w:lang w:val="es-ES"/>
        </w:rPr>
        <w:t xml:space="preserve"> de compromisos</w:t>
      </w:r>
      <w:r w:rsidRPr="00A156F4">
        <w:rPr>
          <w:sz w:val="22"/>
          <w:szCs w:val="22"/>
          <w:lang w:val="es-ES"/>
        </w:rPr>
        <w:t>, el Órgano Superior deberá resolver acerca de dichos compromisos en un plazo de 30 días hábiles.</w:t>
      </w:r>
    </w:p>
    <w:p w14:paraId="40E59B5B" w14:textId="77777777" w:rsidR="00E47D32" w:rsidRPr="00A156F4" w:rsidRDefault="00E47D32" w:rsidP="00F0625A">
      <w:pPr>
        <w:jc w:val="both"/>
        <w:rPr>
          <w:sz w:val="22"/>
          <w:szCs w:val="22"/>
          <w:lang w:val="es-ES"/>
        </w:rPr>
      </w:pPr>
    </w:p>
    <w:p w14:paraId="00F42910" w14:textId="790E9E8E" w:rsidR="00F0625A" w:rsidRPr="00A156F4" w:rsidRDefault="00F0625A" w:rsidP="00F0625A">
      <w:pPr>
        <w:jc w:val="both"/>
        <w:rPr>
          <w:sz w:val="22"/>
          <w:szCs w:val="22"/>
          <w:lang w:val="es-ES"/>
        </w:rPr>
      </w:pPr>
      <w:r w:rsidRPr="00A156F4">
        <w:rPr>
          <w:sz w:val="22"/>
          <w:szCs w:val="22"/>
          <w:lang w:val="es-ES"/>
        </w:rPr>
        <w:t xml:space="preserve">Antes de dictar esta resolución, el </w:t>
      </w:r>
      <w:r w:rsidRPr="00A156F4">
        <w:rPr>
          <w:sz w:val="22"/>
          <w:szCs w:val="22"/>
        </w:rPr>
        <w:t>Órgano Superior</w:t>
      </w:r>
      <w:r w:rsidRPr="00A156F4" w:rsidDel="00053065">
        <w:rPr>
          <w:sz w:val="22"/>
          <w:szCs w:val="22"/>
          <w:lang w:val="es-ES"/>
        </w:rPr>
        <w:t xml:space="preserve"> </w:t>
      </w:r>
      <w:r w:rsidRPr="00A156F4">
        <w:rPr>
          <w:sz w:val="22"/>
          <w:szCs w:val="22"/>
          <w:lang w:val="es-ES"/>
        </w:rPr>
        <w:t xml:space="preserve">correspondiente podrá solicitar aclaraciones sobre las condiciones ofrecidas. </w:t>
      </w:r>
    </w:p>
    <w:p w14:paraId="31D7EDCE" w14:textId="77777777" w:rsidR="00F0625A" w:rsidRPr="00A156F4" w:rsidRDefault="00F0625A" w:rsidP="00F0625A">
      <w:pPr>
        <w:rPr>
          <w:sz w:val="22"/>
          <w:szCs w:val="22"/>
          <w:lang w:val="es-CR" w:eastAsia="en-US"/>
        </w:rPr>
      </w:pPr>
    </w:p>
    <w:p w14:paraId="43CACB02" w14:textId="5976DF81" w:rsidR="00F0625A" w:rsidRPr="00A156F4" w:rsidRDefault="00F0625A" w:rsidP="00F0625A">
      <w:pPr>
        <w:jc w:val="both"/>
        <w:rPr>
          <w:sz w:val="22"/>
          <w:szCs w:val="22"/>
          <w:lang w:val="es-ES"/>
        </w:rPr>
      </w:pPr>
      <w:r w:rsidRPr="00A156F4">
        <w:rPr>
          <w:sz w:val="22"/>
          <w:szCs w:val="22"/>
          <w:lang w:val="es-ES"/>
        </w:rPr>
        <w:t>En caso de rechazo de la solicitud de terminación anticipada, el Órgano Superior de la respectiva autoridad de competencia devolverá el expediente al encargado de la etapa respectiva en que se encontraba el procedimiento especial para que se contin</w:t>
      </w:r>
      <w:r w:rsidR="0047473A" w:rsidRPr="00A156F4">
        <w:rPr>
          <w:sz w:val="22"/>
          <w:szCs w:val="22"/>
          <w:lang w:val="es-ES"/>
        </w:rPr>
        <w:t>ú</w:t>
      </w:r>
      <w:r w:rsidRPr="00A156F4">
        <w:rPr>
          <w:sz w:val="22"/>
          <w:szCs w:val="22"/>
          <w:lang w:val="es-ES"/>
        </w:rPr>
        <w:t>e con la tramitación de</w:t>
      </w:r>
      <w:r w:rsidR="00820197" w:rsidRPr="00A156F4">
        <w:rPr>
          <w:sz w:val="22"/>
          <w:szCs w:val="22"/>
          <w:lang w:val="es-ES"/>
        </w:rPr>
        <w:t xml:space="preserve"> este</w:t>
      </w:r>
      <w:r w:rsidRPr="00A156F4">
        <w:rPr>
          <w:sz w:val="22"/>
          <w:szCs w:val="22"/>
          <w:lang w:val="es-ES"/>
        </w:rPr>
        <w:t>.</w:t>
      </w:r>
      <w:r w:rsidR="0047473A" w:rsidRPr="00A156F4">
        <w:rPr>
          <w:sz w:val="22"/>
          <w:szCs w:val="22"/>
          <w:lang w:val="es-ES"/>
        </w:rPr>
        <w:t xml:space="preserve"> </w:t>
      </w:r>
    </w:p>
    <w:p w14:paraId="55DAE288" w14:textId="77777777" w:rsidR="00F0625A" w:rsidRPr="00A156F4" w:rsidRDefault="00F0625A" w:rsidP="00F0625A">
      <w:pPr>
        <w:jc w:val="both"/>
        <w:rPr>
          <w:sz w:val="22"/>
          <w:szCs w:val="22"/>
          <w:lang w:val="es-ES"/>
        </w:rPr>
      </w:pPr>
    </w:p>
    <w:p w14:paraId="4931529F" w14:textId="40692F3B"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hAnsi="Times New Roman" w:cs="Times New Roman"/>
          <w:b/>
          <w:bCs/>
          <w:i w:val="0"/>
          <w:color w:val="auto"/>
          <w:sz w:val="22"/>
          <w:szCs w:val="22"/>
        </w:rPr>
        <w:t>7</w:t>
      </w:r>
      <w:r w:rsidRPr="00A156F4">
        <w:rPr>
          <w:rFonts w:ascii="Times New Roman" w:eastAsia="Times New Roman" w:hAnsi="Times New Roman" w:cs="Times New Roman"/>
          <w:b/>
          <w:i w:val="0"/>
          <w:iCs w:val="0"/>
          <w:color w:val="auto"/>
          <w:sz w:val="22"/>
          <w:szCs w:val="22"/>
          <w:lang w:val="es-CR" w:eastAsia="en-US"/>
        </w:rPr>
        <w:t>6.-</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Contenido de la resolución que acoge la solicitud de terminación anticipada del procedimiento con ofrecimiento de compromisos</w:t>
      </w:r>
    </w:p>
    <w:p w14:paraId="043B8817" w14:textId="77777777" w:rsidR="00F0625A" w:rsidRPr="00A156F4" w:rsidRDefault="00F0625A" w:rsidP="00F0625A">
      <w:pPr>
        <w:rPr>
          <w:sz w:val="22"/>
          <w:szCs w:val="22"/>
          <w:lang w:val="es-CR" w:eastAsia="en-US"/>
        </w:rPr>
      </w:pPr>
    </w:p>
    <w:p w14:paraId="7AE0842A" w14:textId="77777777" w:rsidR="00F0625A" w:rsidRPr="00A156F4" w:rsidRDefault="00F0625A" w:rsidP="00F0625A">
      <w:pPr>
        <w:jc w:val="both"/>
        <w:rPr>
          <w:sz w:val="22"/>
          <w:szCs w:val="22"/>
          <w:lang w:val="es-ES"/>
        </w:rPr>
      </w:pPr>
      <w:r w:rsidRPr="00A156F4">
        <w:rPr>
          <w:sz w:val="22"/>
          <w:szCs w:val="22"/>
          <w:lang w:val="es-ES"/>
        </w:rPr>
        <w:t xml:space="preserve">La resolución que acoja la terminación anticipada del procedimiento con ofrecimiento de compromisos contendrá al menos: </w:t>
      </w:r>
    </w:p>
    <w:p w14:paraId="123B26BD" w14:textId="77777777" w:rsidR="00F0625A" w:rsidRPr="00A156F4" w:rsidRDefault="00F0625A" w:rsidP="00F0625A">
      <w:pPr>
        <w:jc w:val="both"/>
        <w:rPr>
          <w:sz w:val="22"/>
          <w:szCs w:val="22"/>
        </w:rPr>
      </w:pPr>
    </w:p>
    <w:p w14:paraId="0249CE4C" w14:textId="77777777" w:rsidR="00F0625A" w:rsidRPr="00A156F4" w:rsidRDefault="00F0625A" w:rsidP="00F0625A">
      <w:pPr>
        <w:pStyle w:val="Prrafodelista"/>
        <w:numPr>
          <w:ilvl w:val="0"/>
          <w:numId w:val="9"/>
        </w:numPr>
        <w:spacing w:after="0" w:line="240" w:lineRule="auto"/>
        <w:contextualSpacing/>
        <w:jc w:val="both"/>
        <w:rPr>
          <w:rFonts w:ascii="Times New Roman" w:hAnsi="Times New Roman"/>
        </w:rPr>
      </w:pPr>
      <w:r w:rsidRPr="00A156F4">
        <w:rPr>
          <w:rFonts w:ascii="Times New Roman" w:hAnsi="Times New Roman"/>
          <w:lang w:val="es-ES"/>
        </w:rPr>
        <w:t xml:space="preserve">Indicación de las partes del procedimiento. </w:t>
      </w:r>
    </w:p>
    <w:p w14:paraId="647BDE79" w14:textId="77777777" w:rsidR="00F0625A" w:rsidRPr="00A156F4" w:rsidRDefault="00F0625A" w:rsidP="00F0625A">
      <w:pPr>
        <w:pStyle w:val="Prrafodelista"/>
        <w:spacing w:after="0" w:line="240" w:lineRule="auto"/>
        <w:jc w:val="both"/>
        <w:rPr>
          <w:rFonts w:ascii="Times New Roman" w:hAnsi="Times New Roman"/>
        </w:rPr>
      </w:pPr>
    </w:p>
    <w:p w14:paraId="7F12AFE2" w14:textId="77777777" w:rsidR="00F0625A" w:rsidRPr="00A156F4" w:rsidRDefault="00F0625A" w:rsidP="00F0625A">
      <w:pPr>
        <w:pStyle w:val="Prrafodelista"/>
        <w:numPr>
          <w:ilvl w:val="0"/>
          <w:numId w:val="9"/>
        </w:numPr>
        <w:spacing w:after="0" w:line="240" w:lineRule="auto"/>
        <w:contextualSpacing/>
        <w:jc w:val="both"/>
        <w:rPr>
          <w:rFonts w:ascii="Times New Roman" w:hAnsi="Times New Roman"/>
        </w:rPr>
      </w:pPr>
      <w:r w:rsidRPr="00A156F4">
        <w:rPr>
          <w:rFonts w:ascii="Times New Roman" w:hAnsi="Times New Roman"/>
          <w:lang w:val="es-ES"/>
        </w:rPr>
        <w:t xml:space="preserve">Resumen de los hechos por los cuales se inició el procedimiento, así como los posibles efectos anticompetitivos que pueden preverse de las conductas investigadas. Lo anterior conforme a lo dispuesto en el auto de inicio de la etapa de instrucción y traslado de cargos. </w:t>
      </w:r>
    </w:p>
    <w:p w14:paraId="0AF25F79" w14:textId="77777777" w:rsidR="00F0625A" w:rsidRPr="00A156F4" w:rsidRDefault="00F0625A" w:rsidP="00F0625A">
      <w:pPr>
        <w:pStyle w:val="Prrafodelista"/>
        <w:spacing w:after="0" w:line="240" w:lineRule="auto"/>
        <w:jc w:val="both"/>
        <w:rPr>
          <w:rFonts w:ascii="Times New Roman" w:hAnsi="Times New Roman"/>
        </w:rPr>
      </w:pPr>
    </w:p>
    <w:p w14:paraId="0F456DDE" w14:textId="5DC8C466" w:rsidR="00F0625A" w:rsidRPr="00A156F4" w:rsidRDefault="00F0625A" w:rsidP="00F0625A">
      <w:pPr>
        <w:pStyle w:val="Prrafodelista"/>
        <w:numPr>
          <w:ilvl w:val="0"/>
          <w:numId w:val="9"/>
        </w:numPr>
        <w:spacing w:after="0" w:line="240" w:lineRule="auto"/>
        <w:contextualSpacing/>
        <w:jc w:val="both"/>
        <w:rPr>
          <w:rFonts w:ascii="Times New Roman" w:hAnsi="Times New Roman"/>
        </w:rPr>
      </w:pPr>
      <w:r w:rsidRPr="00A156F4">
        <w:rPr>
          <w:rFonts w:ascii="Times New Roman" w:hAnsi="Times New Roman"/>
          <w:lang w:val="es-ES"/>
        </w:rPr>
        <w:t>Descripción de las condiciones que debe</w:t>
      </w:r>
      <w:r w:rsidR="0047473A" w:rsidRPr="00A156F4">
        <w:rPr>
          <w:rFonts w:ascii="Times New Roman" w:hAnsi="Times New Roman"/>
          <w:lang w:val="es-ES"/>
        </w:rPr>
        <w:t>rá</w:t>
      </w:r>
      <w:r w:rsidRPr="00A156F4">
        <w:rPr>
          <w:rFonts w:ascii="Times New Roman" w:hAnsi="Times New Roman"/>
          <w:lang w:val="es-ES"/>
        </w:rPr>
        <w:t xml:space="preserve"> cumplir el agente económico involucrado, con indicación de los respectivos plazos. </w:t>
      </w:r>
    </w:p>
    <w:p w14:paraId="75948702" w14:textId="77777777" w:rsidR="00F0625A" w:rsidRPr="00A156F4" w:rsidRDefault="00F0625A" w:rsidP="00F0625A">
      <w:pPr>
        <w:pStyle w:val="Prrafodelista"/>
        <w:spacing w:after="0" w:line="240" w:lineRule="auto"/>
        <w:jc w:val="both"/>
        <w:rPr>
          <w:rFonts w:ascii="Times New Roman" w:hAnsi="Times New Roman"/>
        </w:rPr>
      </w:pPr>
    </w:p>
    <w:p w14:paraId="5E0C3BC1" w14:textId="23EC0FD2" w:rsidR="00F0625A" w:rsidRPr="00A156F4" w:rsidRDefault="00F0625A" w:rsidP="00F0625A">
      <w:pPr>
        <w:pStyle w:val="Prrafodelista"/>
        <w:numPr>
          <w:ilvl w:val="0"/>
          <w:numId w:val="9"/>
        </w:numPr>
        <w:spacing w:after="0" w:line="240" w:lineRule="auto"/>
        <w:contextualSpacing/>
        <w:jc w:val="both"/>
        <w:rPr>
          <w:rFonts w:ascii="Times New Roman" w:hAnsi="Times New Roman"/>
        </w:rPr>
      </w:pPr>
      <w:r w:rsidRPr="00A156F4">
        <w:rPr>
          <w:rFonts w:ascii="Times New Roman" w:hAnsi="Times New Roman"/>
          <w:lang w:val="es-ES"/>
        </w:rPr>
        <w:t xml:space="preserve">Indicación de la forma </w:t>
      </w:r>
      <w:r w:rsidR="0047473A" w:rsidRPr="00A156F4">
        <w:rPr>
          <w:rFonts w:ascii="Times New Roman" w:hAnsi="Times New Roman"/>
          <w:lang w:val="es-ES"/>
        </w:rPr>
        <w:t xml:space="preserve">en </w:t>
      </w:r>
      <w:r w:rsidR="005D3DCA" w:rsidRPr="00A156F4">
        <w:rPr>
          <w:rFonts w:ascii="Times New Roman" w:hAnsi="Times New Roman"/>
          <w:lang w:val="es-ES"/>
        </w:rPr>
        <w:t>cómo</w:t>
      </w:r>
      <w:r w:rsidRPr="00A156F4">
        <w:rPr>
          <w:rFonts w:ascii="Times New Roman" w:hAnsi="Times New Roman"/>
          <w:lang w:val="es-ES"/>
        </w:rPr>
        <w:t xml:space="preserve"> se verificará el cumplimiento de las condiciones, incluyendo de ser necesario, los reportes e información que deberá presentar el agente económico involucrado para esos efectos. </w:t>
      </w:r>
    </w:p>
    <w:p w14:paraId="165D47D6" w14:textId="77777777" w:rsidR="00F0625A" w:rsidRPr="00A156F4" w:rsidRDefault="00F0625A" w:rsidP="00F0625A">
      <w:pPr>
        <w:pStyle w:val="Prrafodelista"/>
        <w:spacing w:after="0" w:line="240" w:lineRule="auto"/>
        <w:jc w:val="both"/>
        <w:rPr>
          <w:rFonts w:ascii="Times New Roman" w:hAnsi="Times New Roman"/>
        </w:rPr>
      </w:pPr>
    </w:p>
    <w:p w14:paraId="1399A5BA" w14:textId="642B0E9E" w:rsidR="00F0625A" w:rsidRPr="00A156F4" w:rsidRDefault="00F0625A" w:rsidP="00F0625A">
      <w:pPr>
        <w:pStyle w:val="Prrafodelista"/>
        <w:numPr>
          <w:ilvl w:val="0"/>
          <w:numId w:val="9"/>
        </w:numPr>
        <w:spacing w:after="0" w:line="240" w:lineRule="auto"/>
        <w:contextualSpacing/>
        <w:jc w:val="both"/>
        <w:rPr>
          <w:rFonts w:ascii="Times New Roman" w:hAnsi="Times New Roman"/>
        </w:rPr>
      </w:pPr>
      <w:r w:rsidRPr="00A156F4">
        <w:rPr>
          <w:rFonts w:ascii="Times New Roman" w:hAnsi="Times New Roman"/>
          <w:lang w:val="es-ES"/>
        </w:rPr>
        <w:t>En su caso, el tipo de garantía, monto y plazo que debe</w:t>
      </w:r>
      <w:r w:rsidR="0047473A" w:rsidRPr="00A156F4">
        <w:rPr>
          <w:rFonts w:ascii="Times New Roman" w:hAnsi="Times New Roman"/>
          <w:lang w:val="es-ES"/>
        </w:rPr>
        <w:t>rá</w:t>
      </w:r>
      <w:r w:rsidRPr="00A156F4">
        <w:rPr>
          <w:rFonts w:ascii="Times New Roman" w:hAnsi="Times New Roman"/>
          <w:lang w:val="es-ES"/>
        </w:rPr>
        <w:t xml:space="preserve"> rendir el agente económico investigado y plazo para constituirla. </w:t>
      </w:r>
    </w:p>
    <w:p w14:paraId="618EB6E3" w14:textId="77777777" w:rsidR="00F0625A" w:rsidRPr="00A156F4" w:rsidRDefault="00F0625A" w:rsidP="00F0625A">
      <w:pPr>
        <w:pStyle w:val="Ttulo4"/>
        <w:keepNext w:val="0"/>
        <w:keepLines w:val="0"/>
        <w:spacing w:before="0"/>
        <w:contextualSpacing/>
        <w:jc w:val="both"/>
        <w:rPr>
          <w:rFonts w:ascii="Times New Roman" w:eastAsiaTheme="minorHAnsi" w:hAnsi="Times New Roman" w:cs="Times New Roman"/>
          <w:b/>
          <w:i w:val="0"/>
          <w:color w:val="auto"/>
          <w:sz w:val="22"/>
          <w:szCs w:val="22"/>
        </w:rPr>
      </w:pPr>
    </w:p>
    <w:p w14:paraId="3B0B0765" w14:textId="5ACD34C7"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val="es-CR" w:eastAsia="en-US"/>
        </w:rPr>
        <w:t>77</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Garantías</w:t>
      </w:r>
    </w:p>
    <w:p w14:paraId="31277ADE" w14:textId="77777777" w:rsidR="00F0625A" w:rsidRPr="00A156F4" w:rsidRDefault="00F0625A" w:rsidP="00F0625A">
      <w:pPr>
        <w:rPr>
          <w:sz w:val="22"/>
          <w:szCs w:val="22"/>
          <w:lang w:val="es-CR" w:eastAsia="en-US"/>
        </w:rPr>
      </w:pPr>
    </w:p>
    <w:p w14:paraId="52A173EF" w14:textId="77777777" w:rsidR="00F0625A" w:rsidRPr="00A156F4" w:rsidRDefault="00F0625A" w:rsidP="00F0625A">
      <w:pPr>
        <w:jc w:val="both"/>
        <w:rPr>
          <w:sz w:val="22"/>
          <w:szCs w:val="22"/>
          <w:lang w:val="es-ES"/>
        </w:rPr>
      </w:pPr>
      <w:r w:rsidRPr="00A156F4">
        <w:rPr>
          <w:sz w:val="22"/>
          <w:szCs w:val="22"/>
          <w:lang w:val="es-ES"/>
        </w:rPr>
        <w:t xml:space="preserve">Para asegurar el cumplimiento de los compromisos que adquiere el agente económico investigado, la autoridad de competencia correspondiente podrá solicitar la rendición de una garantía, incluso de tipo económico, a la orden de dicha autoridad. En ningún caso el monto de la garantía será superior a la multa máxima prevista para la conducta a que se refieren los compromisos ofrecidos. </w:t>
      </w:r>
    </w:p>
    <w:p w14:paraId="16E97723" w14:textId="77777777" w:rsidR="00F0625A" w:rsidRPr="00A156F4" w:rsidRDefault="00F0625A" w:rsidP="00F0625A">
      <w:pPr>
        <w:jc w:val="both"/>
        <w:rPr>
          <w:sz w:val="22"/>
          <w:szCs w:val="22"/>
          <w:lang w:val="es-ES"/>
        </w:rPr>
      </w:pPr>
    </w:p>
    <w:p w14:paraId="158C2EFE" w14:textId="70E44E3F" w:rsidR="00F0625A" w:rsidRPr="00A156F4" w:rsidRDefault="00F0625A" w:rsidP="00F0625A">
      <w:pPr>
        <w:jc w:val="both"/>
        <w:rPr>
          <w:sz w:val="22"/>
          <w:szCs w:val="22"/>
          <w:lang w:val="es-ES"/>
        </w:rPr>
      </w:pPr>
      <w:r w:rsidRPr="00A156F4">
        <w:rPr>
          <w:sz w:val="22"/>
          <w:szCs w:val="22"/>
          <w:lang w:val="es-ES"/>
        </w:rPr>
        <w:t xml:space="preserve">El </w:t>
      </w:r>
      <w:r w:rsidRPr="00A156F4">
        <w:rPr>
          <w:sz w:val="22"/>
          <w:szCs w:val="22"/>
        </w:rPr>
        <w:t>Órgano Superior</w:t>
      </w:r>
      <w:r w:rsidRPr="00A156F4" w:rsidDel="00053065">
        <w:rPr>
          <w:sz w:val="22"/>
          <w:szCs w:val="22"/>
          <w:lang w:val="es-ES"/>
        </w:rPr>
        <w:t xml:space="preserve"> </w:t>
      </w:r>
      <w:r w:rsidRPr="00A156F4">
        <w:rPr>
          <w:sz w:val="22"/>
          <w:szCs w:val="22"/>
          <w:lang w:val="es-ES"/>
        </w:rPr>
        <w:t xml:space="preserve">respectivo determinará el lapso durante el </w:t>
      </w:r>
      <w:r w:rsidR="0047473A" w:rsidRPr="00A156F4">
        <w:rPr>
          <w:sz w:val="22"/>
          <w:szCs w:val="22"/>
          <w:lang w:val="es-ES"/>
        </w:rPr>
        <w:t>que deberán</w:t>
      </w:r>
      <w:r w:rsidRPr="00A156F4">
        <w:rPr>
          <w:sz w:val="22"/>
          <w:szCs w:val="22"/>
          <w:lang w:val="es-ES"/>
        </w:rPr>
        <w:t xml:space="preserve"> mantener las garantías ofrecidas, que no podrá ser mayor al establecido para el cumplimiento de las condiciones que se pretendan garantizar. </w:t>
      </w:r>
    </w:p>
    <w:p w14:paraId="3DF37F5F" w14:textId="77777777" w:rsidR="00F0625A" w:rsidRPr="00A156F4" w:rsidRDefault="00F0625A" w:rsidP="00F0625A">
      <w:pPr>
        <w:jc w:val="both"/>
        <w:rPr>
          <w:sz w:val="22"/>
          <w:szCs w:val="22"/>
        </w:rPr>
      </w:pPr>
    </w:p>
    <w:p w14:paraId="416A22B9" w14:textId="7C365867" w:rsidR="00F0625A" w:rsidRPr="00A156F4" w:rsidRDefault="00F0625A" w:rsidP="00F0625A">
      <w:pPr>
        <w:jc w:val="both"/>
        <w:rPr>
          <w:sz w:val="22"/>
          <w:szCs w:val="22"/>
          <w:lang w:val="es-ES"/>
        </w:rPr>
      </w:pPr>
      <w:r w:rsidRPr="00A156F4">
        <w:rPr>
          <w:sz w:val="22"/>
          <w:szCs w:val="22"/>
          <w:lang w:val="es-ES"/>
        </w:rPr>
        <w:t>En caso de incumplimiento de los compromisos asumidos, comprobado</w:t>
      </w:r>
      <w:r w:rsidR="00BE2D09" w:rsidRPr="00A156F4">
        <w:rPr>
          <w:sz w:val="22"/>
          <w:szCs w:val="22"/>
          <w:lang w:val="es-ES"/>
        </w:rPr>
        <w:t>s</w:t>
      </w:r>
      <w:r w:rsidRPr="00A156F4">
        <w:rPr>
          <w:sz w:val="22"/>
          <w:szCs w:val="22"/>
          <w:lang w:val="es-ES"/>
        </w:rPr>
        <w:t xml:space="preserve"> mediante </w:t>
      </w:r>
      <w:r w:rsidR="00BE2D09" w:rsidRPr="00A156F4">
        <w:rPr>
          <w:sz w:val="22"/>
          <w:szCs w:val="22"/>
          <w:lang w:val="es-ES"/>
        </w:rPr>
        <w:t>procedimiento especial</w:t>
      </w:r>
      <w:r w:rsidRPr="00A156F4">
        <w:rPr>
          <w:sz w:val="22"/>
          <w:szCs w:val="22"/>
          <w:lang w:val="es-ES"/>
        </w:rPr>
        <w:t xml:space="preserve">, y si la garantía rendida es de tipo económico, esta podrá ser ejecutada total o parcialmente para el pago de la multa que corresponda. </w:t>
      </w:r>
    </w:p>
    <w:p w14:paraId="1FC2EA6D" w14:textId="77777777" w:rsidR="00F0625A" w:rsidRPr="00A156F4" w:rsidRDefault="00F0625A" w:rsidP="00F0625A">
      <w:pPr>
        <w:jc w:val="both"/>
        <w:rPr>
          <w:sz w:val="22"/>
          <w:szCs w:val="22"/>
          <w:lang w:val="es-ES"/>
        </w:rPr>
      </w:pPr>
    </w:p>
    <w:p w14:paraId="13A81B90" w14:textId="42FC6402" w:rsidR="00F0625A" w:rsidRPr="00A156F4" w:rsidRDefault="00F0625A" w:rsidP="00F0625A">
      <w:pPr>
        <w:jc w:val="both"/>
        <w:rPr>
          <w:sz w:val="22"/>
          <w:szCs w:val="22"/>
          <w:lang w:val="es-ES"/>
        </w:rPr>
      </w:pPr>
      <w:bookmarkStart w:id="33" w:name="_Hlk536446198"/>
      <w:r w:rsidRPr="00A156F4">
        <w:rPr>
          <w:sz w:val="22"/>
          <w:szCs w:val="22"/>
          <w:lang w:val="es-ES"/>
        </w:rPr>
        <w:t>Contra la resolución que establezca la necesidad de rendir una garantía de tipo económico cabrá recurso de reconsideración, que deberá interponerse en el plazo de tres días hábiles</w:t>
      </w:r>
      <w:r w:rsidR="00430E15" w:rsidRPr="00A156F4">
        <w:rPr>
          <w:sz w:val="22"/>
          <w:szCs w:val="22"/>
          <w:lang w:val="es-ES"/>
        </w:rPr>
        <w:t>.</w:t>
      </w:r>
    </w:p>
    <w:bookmarkEnd w:id="33"/>
    <w:p w14:paraId="33360D20" w14:textId="77777777" w:rsidR="00F0625A" w:rsidRPr="00A156F4" w:rsidRDefault="00F0625A" w:rsidP="00F0625A">
      <w:pPr>
        <w:rPr>
          <w:sz w:val="22"/>
          <w:szCs w:val="22"/>
          <w:lang w:val="es-CR" w:eastAsia="en-US"/>
        </w:rPr>
      </w:pPr>
    </w:p>
    <w:p w14:paraId="3BA245BD" w14:textId="0D6E9FF2"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val="es-CR" w:eastAsia="en-US"/>
        </w:rPr>
        <w:t>78</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hyperlink r:id="rId8" w:tgtFrame="_top" w:history="1"/>
      <w:r w:rsidRPr="00A156F4">
        <w:rPr>
          <w:rFonts w:ascii="Times New Roman" w:eastAsia="Times New Roman" w:hAnsi="Times New Roman" w:cs="Times New Roman"/>
          <w:b/>
          <w:i w:val="0"/>
          <w:iCs w:val="0"/>
          <w:color w:val="auto"/>
          <w:sz w:val="22"/>
          <w:szCs w:val="22"/>
          <w:lang w:val="es-CR" w:eastAsia="en-US"/>
        </w:rPr>
        <w:t>Publicación del acuerdo</w:t>
      </w:r>
    </w:p>
    <w:p w14:paraId="5B5A3794" w14:textId="77777777" w:rsidR="00F0625A" w:rsidRPr="00A156F4" w:rsidRDefault="00F0625A" w:rsidP="00821138">
      <w:pPr>
        <w:pStyle w:val="Ttulo4"/>
        <w:keepNext w:val="0"/>
        <w:keepLines w:val="0"/>
        <w:spacing w:before="0"/>
        <w:contextualSpacing/>
        <w:jc w:val="both"/>
        <w:rPr>
          <w:rFonts w:ascii="Times New Roman" w:hAnsi="Times New Roman" w:cs="Times New Roman"/>
          <w:sz w:val="22"/>
          <w:szCs w:val="22"/>
          <w:lang w:val="es-ES"/>
        </w:rPr>
      </w:pPr>
    </w:p>
    <w:p w14:paraId="2F131364" w14:textId="3E8ED2BA" w:rsidR="00F0625A" w:rsidRPr="00A156F4" w:rsidRDefault="00F0625A" w:rsidP="00F0625A">
      <w:pPr>
        <w:jc w:val="both"/>
        <w:rPr>
          <w:sz w:val="22"/>
          <w:szCs w:val="22"/>
        </w:rPr>
      </w:pPr>
      <w:r w:rsidRPr="00A156F4">
        <w:rPr>
          <w:sz w:val="22"/>
          <w:szCs w:val="22"/>
          <w:lang w:val="es-ES"/>
        </w:rPr>
        <w:t xml:space="preserve">El </w:t>
      </w:r>
      <w:r w:rsidRPr="00A156F4">
        <w:rPr>
          <w:sz w:val="22"/>
          <w:szCs w:val="22"/>
        </w:rPr>
        <w:t>Órgano Superior</w:t>
      </w:r>
      <w:r w:rsidRPr="00A156F4">
        <w:rPr>
          <w:sz w:val="22"/>
          <w:szCs w:val="22"/>
          <w:lang w:val="es-ES"/>
        </w:rPr>
        <w:t xml:space="preserve"> de la autoridad de competencia correspondiente podrá ordenar la publicación de un resumen del acuerdo que pone fin al procedimiento en un diario de circulación nacional y la comunicación directa a quienes considere conveniente, todo a costa del solicitante. </w:t>
      </w:r>
    </w:p>
    <w:p w14:paraId="09DBA904" w14:textId="77777777"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p w14:paraId="4AEFAF15" w14:textId="67FABEBC"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val="es-CR" w:eastAsia="en-US"/>
        </w:rPr>
        <w:t>79</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Recursos</w:t>
      </w:r>
    </w:p>
    <w:p w14:paraId="681C8E0C" w14:textId="77777777" w:rsidR="00F0625A" w:rsidRPr="00A156F4" w:rsidRDefault="00F0625A" w:rsidP="00F0625A">
      <w:pPr>
        <w:jc w:val="both"/>
        <w:rPr>
          <w:sz w:val="22"/>
          <w:szCs w:val="22"/>
          <w:lang w:val="es-ES"/>
        </w:rPr>
      </w:pPr>
    </w:p>
    <w:p w14:paraId="2A823EE6" w14:textId="30AAEC49" w:rsidR="00F0625A" w:rsidRPr="00A156F4" w:rsidRDefault="00F0625A" w:rsidP="00F0625A">
      <w:pPr>
        <w:jc w:val="both"/>
        <w:rPr>
          <w:sz w:val="22"/>
          <w:szCs w:val="22"/>
          <w:lang w:val="es-ES"/>
        </w:rPr>
      </w:pPr>
      <w:bookmarkStart w:id="34" w:name="_Hlk536446814"/>
      <w:r w:rsidRPr="00A156F4">
        <w:rPr>
          <w:sz w:val="22"/>
          <w:szCs w:val="22"/>
          <w:lang w:val="es-ES"/>
        </w:rPr>
        <w:t xml:space="preserve">Contra la resolución que </w:t>
      </w:r>
      <w:r w:rsidR="005134BE" w:rsidRPr="00A156F4">
        <w:rPr>
          <w:sz w:val="22"/>
          <w:szCs w:val="22"/>
          <w:lang w:val="es-ES"/>
        </w:rPr>
        <w:t>resuelve sobre una</w:t>
      </w:r>
      <w:r w:rsidRPr="00A156F4">
        <w:rPr>
          <w:sz w:val="22"/>
          <w:szCs w:val="22"/>
          <w:lang w:val="es-ES"/>
        </w:rPr>
        <w:t xml:space="preserve"> solicitud de terminación anticipada con ofrecimiento de compromisos cabrá recurso de reconsideración, </w:t>
      </w:r>
      <w:r w:rsidR="0047473A" w:rsidRPr="00A156F4">
        <w:rPr>
          <w:sz w:val="22"/>
          <w:szCs w:val="22"/>
          <w:lang w:val="es-ES"/>
        </w:rPr>
        <w:t>que</w:t>
      </w:r>
      <w:r w:rsidRPr="00A156F4">
        <w:rPr>
          <w:sz w:val="22"/>
          <w:szCs w:val="22"/>
          <w:lang w:val="es-ES"/>
        </w:rPr>
        <w:t xml:space="preserve"> podrá interponerse dentro de los 15 días hábiles a partir del día hábil siguiente a la última comunicación del acto. </w:t>
      </w:r>
    </w:p>
    <w:p w14:paraId="61B3BD8B" w14:textId="77777777"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bookmarkEnd w:id="34"/>
    <w:p w14:paraId="477B5BFB" w14:textId="19741880"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val="es-CR" w:eastAsia="en-US"/>
        </w:rPr>
        <w:t>80</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hyperlink r:id="rId9" w:tgtFrame="_top" w:history="1"/>
      <w:r w:rsidRPr="00A156F4">
        <w:rPr>
          <w:rFonts w:ascii="Times New Roman" w:eastAsia="Times New Roman" w:hAnsi="Times New Roman" w:cs="Times New Roman"/>
          <w:b/>
          <w:i w:val="0"/>
          <w:iCs w:val="0"/>
          <w:color w:val="auto"/>
          <w:sz w:val="22"/>
          <w:szCs w:val="22"/>
          <w:lang w:val="es-CR" w:eastAsia="en-US"/>
        </w:rPr>
        <w:t>Resolución basada en información falsa, incompleta o inexacta</w:t>
      </w:r>
    </w:p>
    <w:p w14:paraId="628487E5" w14:textId="77777777" w:rsidR="00F0625A" w:rsidRPr="00A156F4" w:rsidRDefault="00F0625A" w:rsidP="00F0625A">
      <w:pPr>
        <w:jc w:val="both"/>
        <w:rPr>
          <w:sz w:val="22"/>
          <w:szCs w:val="22"/>
          <w:lang w:val="es-CR"/>
        </w:rPr>
      </w:pPr>
    </w:p>
    <w:p w14:paraId="115E429F" w14:textId="4005EE6A" w:rsidR="00F0625A" w:rsidRPr="00A156F4" w:rsidRDefault="00F0625A" w:rsidP="00F0625A">
      <w:pPr>
        <w:jc w:val="both"/>
        <w:rPr>
          <w:sz w:val="22"/>
          <w:szCs w:val="22"/>
          <w:lang w:val="es-ES"/>
        </w:rPr>
      </w:pPr>
      <w:r w:rsidRPr="00A156F4">
        <w:rPr>
          <w:sz w:val="22"/>
          <w:szCs w:val="22"/>
          <w:lang w:val="es-ES"/>
        </w:rPr>
        <w:t xml:space="preserve">El </w:t>
      </w:r>
      <w:r w:rsidRPr="00A156F4">
        <w:rPr>
          <w:sz w:val="22"/>
          <w:szCs w:val="22"/>
        </w:rPr>
        <w:t xml:space="preserve">Órgano Superior </w:t>
      </w:r>
      <w:r w:rsidRPr="00A156F4">
        <w:rPr>
          <w:sz w:val="22"/>
          <w:szCs w:val="22"/>
          <w:lang w:val="es-ES"/>
        </w:rPr>
        <w:t>de la autoridad de competencia correspondiente</w:t>
      </w:r>
      <w:r w:rsidR="00241D9C" w:rsidRPr="00A156F4">
        <w:rPr>
          <w:sz w:val="22"/>
          <w:szCs w:val="22"/>
          <w:lang w:val="es-ES"/>
        </w:rPr>
        <w:t xml:space="preserve"> </w:t>
      </w:r>
      <w:r w:rsidRPr="00A156F4">
        <w:rPr>
          <w:sz w:val="22"/>
          <w:szCs w:val="22"/>
          <w:lang w:val="es-ES"/>
        </w:rPr>
        <w:t>podrá anular,</w:t>
      </w:r>
      <w:r w:rsidR="00241D9C" w:rsidRPr="00A156F4">
        <w:rPr>
          <w:sz w:val="22"/>
          <w:szCs w:val="22"/>
          <w:lang w:val="es-ES"/>
        </w:rPr>
        <w:t xml:space="preserve"> de oficio o a petición de parte y</w:t>
      </w:r>
      <w:r w:rsidRPr="00A156F4">
        <w:rPr>
          <w:sz w:val="22"/>
          <w:szCs w:val="22"/>
          <w:lang w:val="es-ES"/>
        </w:rPr>
        <w:t xml:space="preserve"> sin más trámite, la decisión de terminar un procedi</w:t>
      </w:r>
      <w:r w:rsidR="00B34641" w:rsidRPr="00A156F4">
        <w:rPr>
          <w:sz w:val="22"/>
          <w:szCs w:val="22"/>
          <w:lang w:val="es-ES"/>
        </w:rPr>
        <w:t>mi</w:t>
      </w:r>
      <w:r w:rsidRPr="00A156F4">
        <w:rPr>
          <w:sz w:val="22"/>
          <w:szCs w:val="22"/>
          <w:lang w:val="es-ES"/>
        </w:rPr>
        <w:t>ento en forma anticipada con determinados compromisos</w:t>
      </w:r>
      <w:r w:rsidR="00241D9C" w:rsidRPr="00A156F4">
        <w:rPr>
          <w:sz w:val="22"/>
          <w:szCs w:val="22"/>
          <w:lang w:val="es-ES"/>
        </w:rPr>
        <w:t>,</w:t>
      </w:r>
      <w:r w:rsidRPr="00A156F4">
        <w:rPr>
          <w:sz w:val="22"/>
          <w:szCs w:val="22"/>
          <w:lang w:val="es-ES"/>
        </w:rPr>
        <w:t xml:space="preserve"> si esta se </w:t>
      </w:r>
      <w:r w:rsidR="00241D9C" w:rsidRPr="00A156F4">
        <w:rPr>
          <w:sz w:val="22"/>
          <w:szCs w:val="22"/>
          <w:lang w:val="es-ES"/>
        </w:rPr>
        <w:t xml:space="preserve">hubiere basado </w:t>
      </w:r>
      <w:r w:rsidRPr="00A156F4">
        <w:rPr>
          <w:sz w:val="22"/>
          <w:szCs w:val="22"/>
          <w:lang w:val="es-ES"/>
        </w:rPr>
        <w:t xml:space="preserve">en información incompleta, inexacta o engañosa facilitada por las partes; sin perjuicio de la multa que corresponda. </w:t>
      </w:r>
    </w:p>
    <w:p w14:paraId="682E8CD9" w14:textId="77777777" w:rsidR="00F0625A" w:rsidRPr="00A156F4" w:rsidRDefault="00F0625A" w:rsidP="00F0625A">
      <w:pPr>
        <w:jc w:val="both"/>
        <w:rPr>
          <w:sz w:val="22"/>
          <w:szCs w:val="22"/>
          <w:lang w:val="es-ES"/>
        </w:rPr>
      </w:pPr>
    </w:p>
    <w:p w14:paraId="5CDE5EC9" w14:textId="15DCB70D" w:rsidR="00F0625A" w:rsidRPr="00A156F4" w:rsidRDefault="00F0625A" w:rsidP="00F0625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val="es-CR" w:eastAsia="en-US"/>
        </w:rPr>
        <w:t>81</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hyperlink r:id="rId10" w:tgtFrame="_top" w:history="1"/>
      <w:r w:rsidRPr="00A156F4">
        <w:rPr>
          <w:rFonts w:ascii="Times New Roman" w:eastAsia="Times New Roman" w:hAnsi="Times New Roman" w:cs="Times New Roman"/>
          <w:b/>
          <w:i w:val="0"/>
          <w:iCs w:val="0"/>
          <w:color w:val="auto"/>
          <w:sz w:val="22"/>
          <w:szCs w:val="22"/>
          <w:lang w:val="es-CR" w:eastAsia="en-US"/>
        </w:rPr>
        <w:t>Vigilancia del cumplimiento de los compromisos</w:t>
      </w:r>
    </w:p>
    <w:p w14:paraId="59E72BD2" w14:textId="77777777" w:rsidR="00F0625A" w:rsidRPr="00A156F4" w:rsidRDefault="00F0625A" w:rsidP="00F0625A">
      <w:pPr>
        <w:jc w:val="both"/>
        <w:rPr>
          <w:sz w:val="22"/>
          <w:szCs w:val="22"/>
          <w:lang w:val="es-CR"/>
        </w:rPr>
      </w:pPr>
    </w:p>
    <w:p w14:paraId="1488F939" w14:textId="77777777" w:rsidR="00F0625A" w:rsidRPr="00A156F4" w:rsidRDefault="00F0625A" w:rsidP="00F0625A">
      <w:pPr>
        <w:jc w:val="both"/>
        <w:rPr>
          <w:sz w:val="22"/>
          <w:szCs w:val="22"/>
        </w:rPr>
      </w:pPr>
      <w:r w:rsidRPr="00A156F4">
        <w:rPr>
          <w:sz w:val="22"/>
          <w:szCs w:val="22"/>
          <w:lang w:val="es-ES"/>
        </w:rPr>
        <w:t xml:space="preserve">El </w:t>
      </w:r>
      <w:r w:rsidRPr="00A156F4">
        <w:rPr>
          <w:sz w:val="22"/>
          <w:szCs w:val="22"/>
        </w:rPr>
        <w:t>Órgano Superior</w:t>
      </w:r>
      <w:r w:rsidRPr="00A156F4" w:rsidDel="00053065">
        <w:rPr>
          <w:sz w:val="22"/>
          <w:szCs w:val="22"/>
          <w:lang w:val="es-ES"/>
        </w:rPr>
        <w:t xml:space="preserve"> </w:t>
      </w:r>
      <w:r w:rsidRPr="00A156F4">
        <w:rPr>
          <w:sz w:val="22"/>
          <w:szCs w:val="22"/>
          <w:lang w:val="es-ES"/>
        </w:rPr>
        <w:t xml:space="preserve">de la autoridad de competencia correspondiente vigilará la ejecución y el cumplimiento de los compromisos previstos en este capítulo, pudiendo requerir del agente económico involucrado, y de cualquier otro agente, los reportes y documentación adicional necesaria para tal efecto, en el momento que lo estime conveniente. </w:t>
      </w:r>
    </w:p>
    <w:p w14:paraId="3D67EB53" w14:textId="6D05A8E4" w:rsidR="00D554F4" w:rsidRPr="00A156F4" w:rsidRDefault="00D554F4" w:rsidP="004B2F8B">
      <w:pPr>
        <w:jc w:val="both"/>
        <w:rPr>
          <w:sz w:val="22"/>
          <w:szCs w:val="22"/>
        </w:rPr>
      </w:pPr>
      <w:r w:rsidRPr="00A156F4">
        <w:rPr>
          <w:sz w:val="22"/>
          <w:szCs w:val="22"/>
          <w:lang w:val="es-ES"/>
        </w:rPr>
        <w:t xml:space="preserve"> </w:t>
      </w:r>
    </w:p>
    <w:p w14:paraId="56BBA386" w14:textId="77777777" w:rsidR="0041139E" w:rsidRPr="00A156F4" w:rsidRDefault="0041139E" w:rsidP="004B2F8B">
      <w:pPr>
        <w:widowControl w:val="0"/>
        <w:jc w:val="both"/>
        <w:textAlignment w:val="center"/>
        <w:rPr>
          <w:sz w:val="22"/>
          <w:szCs w:val="22"/>
        </w:rPr>
      </w:pPr>
    </w:p>
    <w:p w14:paraId="777D2A63" w14:textId="77777777" w:rsidR="0095617B" w:rsidRPr="00A156F4" w:rsidRDefault="001E5948" w:rsidP="004B2F8B">
      <w:pPr>
        <w:jc w:val="center"/>
        <w:rPr>
          <w:rFonts w:eastAsia="Times New Roman"/>
          <w:b/>
          <w:sz w:val="22"/>
          <w:szCs w:val="22"/>
          <w:lang w:val="es-ES" w:eastAsia="es-CR"/>
        </w:rPr>
      </w:pPr>
      <w:bookmarkStart w:id="35" w:name="_Hlk536805212"/>
      <w:r w:rsidRPr="00A156F4">
        <w:rPr>
          <w:rFonts w:eastAsia="Times New Roman"/>
          <w:b/>
          <w:sz w:val="22"/>
          <w:szCs w:val="22"/>
          <w:lang w:val="es-ES" w:eastAsia="es-CR"/>
        </w:rPr>
        <w:t>CAPÍTULO</w:t>
      </w:r>
      <w:r w:rsidR="0095617B" w:rsidRPr="00A156F4">
        <w:rPr>
          <w:rFonts w:eastAsia="Times New Roman"/>
          <w:b/>
          <w:sz w:val="22"/>
          <w:szCs w:val="22"/>
          <w:lang w:val="es-ES" w:eastAsia="es-CR"/>
        </w:rPr>
        <w:t xml:space="preserve"> </w:t>
      </w:r>
      <w:r w:rsidR="00896AD6" w:rsidRPr="00A156F4">
        <w:rPr>
          <w:rFonts w:eastAsia="Times New Roman"/>
          <w:b/>
          <w:sz w:val="22"/>
          <w:szCs w:val="22"/>
          <w:lang w:val="es-ES" w:eastAsia="es-CR"/>
        </w:rPr>
        <w:t>IV</w:t>
      </w:r>
    </w:p>
    <w:p w14:paraId="17D00896" w14:textId="2556C53E" w:rsidR="0095617B" w:rsidRPr="00A156F4" w:rsidRDefault="0095617B" w:rsidP="004B2F8B">
      <w:pPr>
        <w:jc w:val="center"/>
        <w:rPr>
          <w:rFonts w:eastAsia="Times New Roman"/>
          <w:b/>
          <w:sz w:val="22"/>
          <w:szCs w:val="22"/>
          <w:lang w:val="es-ES" w:eastAsia="es-CR"/>
        </w:rPr>
      </w:pPr>
      <w:r w:rsidRPr="00A156F4">
        <w:rPr>
          <w:rFonts w:eastAsia="Times New Roman"/>
          <w:b/>
          <w:sz w:val="22"/>
          <w:szCs w:val="22"/>
          <w:lang w:val="es-ES" w:eastAsia="es-CR"/>
        </w:rPr>
        <w:t>De la inspección</w:t>
      </w:r>
    </w:p>
    <w:p w14:paraId="0CD994C6" w14:textId="77777777" w:rsidR="005F7DB9" w:rsidRPr="00A156F4" w:rsidRDefault="005F7DB9" w:rsidP="004B2F8B">
      <w:pPr>
        <w:jc w:val="center"/>
        <w:rPr>
          <w:rFonts w:eastAsia="Times New Roman"/>
          <w:b/>
          <w:sz w:val="22"/>
          <w:szCs w:val="22"/>
          <w:lang w:val="es-ES" w:eastAsia="es-CR"/>
        </w:rPr>
      </w:pPr>
    </w:p>
    <w:bookmarkEnd w:id="35"/>
    <w:p w14:paraId="22E61645" w14:textId="77777777" w:rsidR="00E850EA" w:rsidRPr="00A156F4" w:rsidRDefault="00E850EA" w:rsidP="004B2F8B">
      <w:pPr>
        <w:rPr>
          <w:sz w:val="22"/>
          <w:szCs w:val="22"/>
          <w:lang w:val="es-CR" w:eastAsia="en-US"/>
        </w:rPr>
      </w:pPr>
    </w:p>
    <w:p w14:paraId="6FF11C3F" w14:textId="4F672B50" w:rsidR="00E850EA" w:rsidRPr="00A156F4" w:rsidRDefault="00E850EA" w:rsidP="004B2F8B">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F0431A" w:rsidRPr="00A156F4">
        <w:rPr>
          <w:rFonts w:ascii="Times New Roman" w:hAnsi="Times New Roman" w:cs="Times New Roman"/>
          <w:b/>
          <w:bCs/>
          <w:i w:val="0"/>
          <w:color w:val="auto"/>
          <w:sz w:val="22"/>
          <w:szCs w:val="22"/>
        </w:rPr>
        <w:t>8</w:t>
      </w:r>
      <w:r w:rsidR="00701AF7" w:rsidRPr="00A156F4">
        <w:rPr>
          <w:rFonts w:ascii="Times New Roman" w:hAnsi="Times New Roman" w:cs="Times New Roman"/>
          <w:b/>
          <w:bCs/>
          <w:i w:val="0"/>
          <w:color w:val="auto"/>
          <w:sz w:val="22"/>
          <w:szCs w:val="22"/>
        </w:rPr>
        <w:t>2</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Inspección</w:t>
      </w:r>
    </w:p>
    <w:p w14:paraId="0FD58C29" w14:textId="77777777" w:rsidR="00E850EA" w:rsidRPr="00A156F4" w:rsidRDefault="00E850EA" w:rsidP="004B2F8B">
      <w:pPr>
        <w:rPr>
          <w:sz w:val="22"/>
          <w:szCs w:val="22"/>
          <w:lang w:val="es-CR" w:eastAsia="en-US"/>
        </w:rPr>
      </w:pPr>
    </w:p>
    <w:p w14:paraId="0E6EAA55" w14:textId="6D74AD29" w:rsidR="00E850EA" w:rsidRPr="00A156F4" w:rsidRDefault="00E850EA" w:rsidP="004B2F8B">
      <w:pPr>
        <w:jc w:val="both"/>
        <w:rPr>
          <w:rFonts w:eastAsia="Times New Roman"/>
          <w:sz w:val="22"/>
          <w:szCs w:val="22"/>
          <w:lang w:val="es-ES" w:eastAsia="es-CR"/>
        </w:rPr>
      </w:pPr>
      <w:r w:rsidRPr="00A156F4">
        <w:rPr>
          <w:rFonts w:eastAsia="Times New Roman"/>
          <w:sz w:val="22"/>
          <w:szCs w:val="22"/>
          <w:lang w:val="es-ES" w:eastAsia="es-CR"/>
        </w:rPr>
        <w:t>El Órgano Superior</w:t>
      </w:r>
      <w:r w:rsidR="007457FA" w:rsidRPr="00A156F4">
        <w:rPr>
          <w:rFonts w:eastAsia="Times New Roman"/>
          <w:sz w:val="22"/>
          <w:szCs w:val="22"/>
          <w:lang w:val="es-ES" w:eastAsia="es-CR"/>
        </w:rPr>
        <w:t xml:space="preserve"> </w:t>
      </w:r>
      <w:r w:rsidR="007457FA" w:rsidRPr="00A156F4">
        <w:rPr>
          <w:sz w:val="22"/>
          <w:szCs w:val="22"/>
          <w:lang w:val="es-ES"/>
        </w:rPr>
        <w:t>de la autoridad de competencia correspondiente</w:t>
      </w:r>
      <w:r w:rsidRPr="00A156F4">
        <w:rPr>
          <w:rFonts w:eastAsia="Times New Roman"/>
          <w:sz w:val="22"/>
          <w:szCs w:val="22"/>
          <w:lang w:val="es-ES" w:eastAsia="es-CR"/>
        </w:rPr>
        <w:t>, de oficio o a petición del Órgano Técnico</w:t>
      </w:r>
      <w:r w:rsidR="007457FA" w:rsidRPr="00A156F4">
        <w:rPr>
          <w:rFonts w:eastAsia="Times New Roman"/>
          <w:sz w:val="22"/>
          <w:szCs w:val="22"/>
          <w:lang w:val="es-ES" w:eastAsia="es-CR"/>
        </w:rPr>
        <w:t xml:space="preserve"> respectivo</w:t>
      </w:r>
      <w:r w:rsidRPr="00A156F4">
        <w:rPr>
          <w:rFonts w:eastAsia="Times New Roman"/>
          <w:sz w:val="22"/>
          <w:szCs w:val="22"/>
          <w:lang w:val="es-ES" w:eastAsia="es-CR"/>
        </w:rPr>
        <w:t>, podrá solicitar autorización</w:t>
      </w:r>
      <w:r w:rsidR="00BF1201" w:rsidRPr="00A156F4">
        <w:rPr>
          <w:rFonts w:eastAsia="Times New Roman"/>
          <w:sz w:val="22"/>
          <w:szCs w:val="22"/>
          <w:lang w:val="es-ES" w:eastAsia="es-CR"/>
        </w:rPr>
        <w:t>, mediante resolución fundada,</w:t>
      </w:r>
      <w:r w:rsidRPr="00A156F4">
        <w:rPr>
          <w:rFonts w:eastAsia="Times New Roman"/>
          <w:sz w:val="22"/>
          <w:szCs w:val="22"/>
          <w:lang w:val="es-ES" w:eastAsia="es-CR"/>
        </w:rPr>
        <w:t xml:space="preserve"> </w:t>
      </w:r>
      <w:r w:rsidRPr="00A156F4">
        <w:rPr>
          <w:rFonts w:eastAsia="Calibri"/>
          <w:sz w:val="22"/>
          <w:szCs w:val="22"/>
        </w:rPr>
        <w:t xml:space="preserve">al </w:t>
      </w:r>
      <w:r w:rsidR="00A732B1" w:rsidRPr="00A156F4">
        <w:rPr>
          <w:rFonts w:eastAsia="Calibri"/>
          <w:sz w:val="22"/>
          <w:szCs w:val="22"/>
        </w:rPr>
        <w:t xml:space="preserve">Juzgado </w:t>
      </w:r>
      <w:r w:rsidR="00A01538" w:rsidRPr="00A156F4">
        <w:rPr>
          <w:rFonts w:eastAsia="Calibri"/>
          <w:sz w:val="22"/>
          <w:szCs w:val="22"/>
        </w:rPr>
        <w:t>C</w:t>
      </w:r>
      <w:r w:rsidRPr="00A156F4">
        <w:rPr>
          <w:rFonts w:eastAsia="Calibri"/>
          <w:sz w:val="22"/>
          <w:szCs w:val="22"/>
        </w:rPr>
        <w:t xml:space="preserve">ontencioso Administrativo para que se inspeccione </w:t>
      </w:r>
      <w:r w:rsidRPr="00A156F4">
        <w:rPr>
          <w:rFonts w:eastAsia="Times New Roman"/>
          <w:sz w:val="22"/>
          <w:szCs w:val="22"/>
          <w:lang w:val="es-ES" w:eastAsia="es-CR"/>
        </w:rPr>
        <w:t xml:space="preserve">uno o más establecimientos industriales y comerciales </w:t>
      </w:r>
      <w:r w:rsidR="003904FE" w:rsidRPr="00A156F4">
        <w:rPr>
          <w:sz w:val="22"/>
          <w:szCs w:val="22"/>
        </w:rPr>
        <w:t xml:space="preserve">y demás propiedades muebles e inmuebles </w:t>
      </w:r>
      <w:r w:rsidRPr="00A156F4">
        <w:rPr>
          <w:rFonts w:eastAsia="Times New Roman"/>
          <w:sz w:val="22"/>
          <w:szCs w:val="22"/>
          <w:lang w:val="es-ES" w:eastAsia="es-CR"/>
        </w:rPr>
        <w:t xml:space="preserve">cuando esto sea indispensable para recabar, evitar que se pierda o destruya evidencia para la investigación de prácticas monopolísticas absolutas o relativas, </w:t>
      </w:r>
      <w:r w:rsidR="00D65E0F" w:rsidRPr="00A156F4">
        <w:rPr>
          <w:rFonts w:eastAsia="Times New Roman"/>
          <w:sz w:val="22"/>
          <w:szCs w:val="22"/>
          <w:lang w:val="es-ES" w:eastAsia="es-CR"/>
        </w:rPr>
        <w:t>tipificadas</w:t>
      </w:r>
      <w:r w:rsidRPr="00A156F4">
        <w:rPr>
          <w:rFonts w:eastAsia="Times New Roman"/>
          <w:sz w:val="22"/>
          <w:szCs w:val="22"/>
          <w:lang w:val="es-ES" w:eastAsia="es-CR"/>
        </w:rPr>
        <w:t xml:space="preserve"> en la </w:t>
      </w:r>
      <w:r w:rsidRPr="00A156F4">
        <w:rPr>
          <w:sz w:val="22"/>
          <w:szCs w:val="22"/>
          <w:lang w:val="es-ES"/>
        </w:rPr>
        <w:t xml:space="preserve">Ley de Promoción de la Competencia y Defensa Efectiva del Consumidor, Ley </w:t>
      </w:r>
      <w:proofErr w:type="spellStart"/>
      <w:r w:rsidRPr="00A156F4">
        <w:rPr>
          <w:sz w:val="22"/>
          <w:szCs w:val="22"/>
          <w:lang w:val="es-ES"/>
        </w:rPr>
        <w:t>N°</w:t>
      </w:r>
      <w:proofErr w:type="spellEnd"/>
      <w:r w:rsidR="00AA04A5" w:rsidRPr="00A156F4">
        <w:rPr>
          <w:sz w:val="22"/>
          <w:szCs w:val="22"/>
          <w:lang w:val="es-ES"/>
        </w:rPr>
        <w:t>.</w:t>
      </w:r>
      <w:r w:rsidRPr="00A156F4">
        <w:rPr>
          <w:sz w:val="22"/>
          <w:szCs w:val="22"/>
          <w:lang w:val="es-ES"/>
        </w:rPr>
        <w:t xml:space="preserve"> 7472, de</w:t>
      </w:r>
      <w:r w:rsidR="00633E7F" w:rsidRPr="00A156F4">
        <w:rPr>
          <w:sz w:val="22"/>
          <w:szCs w:val="22"/>
          <w:lang w:val="es-ES"/>
        </w:rPr>
        <w:t>l</w:t>
      </w:r>
      <w:r w:rsidRPr="00A156F4">
        <w:rPr>
          <w:sz w:val="22"/>
          <w:szCs w:val="22"/>
          <w:lang w:val="es-ES"/>
        </w:rPr>
        <w:t xml:space="preserve"> 20 de diciembre de 1994</w:t>
      </w:r>
      <w:r w:rsidR="00F03532" w:rsidRPr="00A156F4">
        <w:rPr>
          <w:sz w:val="22"/>
          <w:szCs w:val="22"/>
          <w:lang w:val="es-ES"/>
        </w:rPr>
        <w:t>,</w:t>
      </w:r>
      <w:r w:rsidRPr="00A156F4">
        <w:rPr>
          <w:sz w:val="22"/>
          <w:szCs w:val="22"/>
          <w:lang w:val="es-ES"/>
        </w:rPr>
        <w:t xml:space="preserve"> sus reformas</w:t>
      </w:r>
      <w:r w:rsidR="00F03532" w:rsidRPr="00A156F4">
        <w:rPr>
          <w:sz w:val="22"/>
          <w:szCs w:val="22"/>
          <w:lang w:val="es-ES"/>
        </w:rPr>
        <w:t xml:space="preserve"> y sus reglamentos</w:t>
      </w:r>
      <w:r w:rsidR="00A578BF" w:rsidRPr="00A156F4">
        <w:rPr>
          <w:sz w:val="22"/>
          <w:szCs w:val="22"/>
          <w:lang w:val="es-ES"/>
        </w:rPr>
        <w:t xml:space="preserve">, y en los artículos 53 y 54 de la Ley General de Telecomunicaciones, Ley </w:t>
      </w:r>
      <w:proofErr w:type="spellStart"/>
      <w:r w:rsidR="00A578BF" w:rsidRPr="00A156F4">
        <w:rPr>
          <w:sz w:val="22"/>
          <w:szCs w:val="22"/>
          <w:lang w:val="es-ES"/>
        </w:rPr>
        <w:t>N°</w:t>
      </w:r>
      <w:proofErr w:type="spellEnd"/>
      <w:r w:rsidR="00A578BF" w:rsidRPr="00A156F4">
        <w:rPr>
          <w:sz w:val="22"/>
          <w:szCs w:val="22"/>
          <w:lang w:val="es-ES"/>
        </w:rPr>
        <w:t>. 8642 del 04 de junio de 2008, sus reformas y sus reglamentos</w:t>
      </w:r>
    </w:p>
    <w:p w14:paraId="46894383" w14:textId="77777777" w:rsidR="00E850EA" w:rsidRPr="00A156F4" w:rsidRDefault="00E850EA" w:rsidP="004B2F8B">
      <w:pPr>
        <w:jc w:val="both"/>
        <w:rPr>
          <w:rFonts w:eastAsia="Times New Roman"/>
          <w:sz w:val="22"/>
          <w:szCs w:val="22"/>
          <w:lang w:val="es-ES" w:eastAsia="es-CR"/>
        </w:rPr>
      </w:pPr>
    </w:p>
    <w:p w14:paraId="7F9BFE48" w14:textId="178849EF" w:rsidR="00E57CB2" w:rsidRPr="00A156F4" w:rsidRDefault="00A578BF" w:rsidP="00D13AD7">
      <w:pPr>
        <w:jc w:val="both"/>
        <w:rPr>
          <w:rFonts w:eastAsia="Calibri"/>
          <w:sz w:val="22"/>
          <w:szCs w:val="22"/>
        </w:rPr>
      </w:pPr>
      <w:r w:rsidRPr="00A156F4">
        <w:rPr>
          <w:rFonts w:eastAsia="Times New Roman"/>
          <w:sz w:val="22"/>
          <w:szCs w:val="22"/>
          <w:lang w:val="es-ES" w:eastAsia="es-CR"/>
        </w:rPr>
        <w:t xml:space="preserve">El </w:t>
      </w:r>
      <w:r w:rsidR="00A732B1" w:rsidRPr="00A156F4">
        <w:rPr>
          <w:rFonts w:eastAsia="Times New Roman"/>
          <w:sz w:val="22"/>
          <w:szCs w:val="22"/>
          <w:lang w:val="es-ES" w:eastAsia="es-CR"/>
        </w:rPr>
        <w:t xml:space="preserve">Juzgado </w:t>
      </w:r>
      <w:r w:rsidRPr="00A156F4">
        <w:rPr>
          <w:rFonts w:eastAsia="Times New Roman"/>
          <w:sz w:val="22"/>
          <w:szCs w:val="22"/>
          <w:lang w:val="es-ES" w:eastAsia="es-CR"/>
        </w:rPr>
        <w:t>Contencioso Administrativo revisará que la solicitud cumpla con todos los requisitos establecidos y, de ser procedente, autorizará la realización de la inspección</w:t>
      </w:r>
      <w:r w:rsidR="00D13AD7" w:rsidRPr="00A156F4">
        <w:rPr>
          <w:rFonts w:eastAsia="Times New Roman"/>
          <w:sz w:val="22"/>
          <w:szCs w:val="22"/>
          <w:lang w:val="es-ES" w:eastAsia="es-CR"/>
        </w:rPr>
        <w:t xml:space="preserve"> y podrá ajustar en lo que estime los alcances de esta.</w:t>
      </w:r>
      <w:r w:rsidR="00BA0885" w:rsidRPr="00A156F4">
        <w:rPr>
          <w:rFonts w:eastAsia="Times New Roman"/>
          <w:sz w:val="22"/>
          <w:szCs w:val="22"/>
          <w:lang w:val="es-ES" w:eastAsia="es-CR"/>
        </w:rPr>
        <w:t xml:space="preserve"> </w:t>
      </w:r>
      <w:r w:rsidR="00D13AD7" w:rsidRPr="00A156F4">
        <w:rPr>
          <w:rFonts w:eastAsia="Times New Roman"/>
          <w:sz w:val="22"/>
          <w:szCs w:val="22"/>
          <w:lang w:val="es-ES" w:eastAsia="es-CR"/>
        </w:rPr>
        <w:t>En la autorización que al efecto dicte</w:t>
      </w:r>
      <w:r w:rsidR="00BF1201" w:rsidRPr="00A156F4">
        <w:rPr>
          <w:rFonts w:eastAsia="Times New Roman"/>
          <w:sz w:val="22"/>
          <w:szCs w:val="22"/>
          <w:lang w:val="es-ES" w:eastAsia="es-CR"/>
        </w:rPr>
        <w:t>,</w:t>
      </w:r>
      <w:r w:rsidR="00D13AD7" w:rsidRPr="00A156F4">
        <w:rPr>
          <w:rFonts w:eastAsia="Times New Roman"/>
          <w:sz w:val="22"/>
          <w:szCs w:val="22"/>
          <w:lang w:val="es-ES" w:eastAsia="es-CR"/>
        </w:rPr>
        <w:t xml:space="preserve"> se señalará </w:t>
      </w:r>
      <w:r w:rsidR="00D13AD7" w:rsidRPr="00A156F4">
        <w:rPr>
          <w:rFonts w:eastAsia="Calibri"/>
          <w:sz w:val="22"/>
          <w:szCs w:val="22"/>
        </w:rPr>
        <w:t>su finalidad</w:t>
      </w:r>
      <w:r w:rsidR="00A732B1" w:rsidRPr="00A156F4">
        <w:rPr>
          <w:rFonts w:eastAsia="Calibri"/>
          <w:sz w:val="22"/>
          <w:szCs w:val="22"/>
        </w:rPr>
        <w:t xml:space="preserve"> y</w:t>
      </w:r>
      <w:r w:rsidR="00BF1201" w:rsidRPr="00A156F4">
        <w:rPr>
          <w:rFonts w:eastAsia="Calibri"/>
          <w:sz w:val="22"/>
          <w:szCs w:val="22"/>
        </w:rPr>
        <w:t xml:space="preserve"> </w:t>
      </w:r>
      <w:r w:rsidR="00D13AD7" w:rsidRPr="00A156F4">
        <w:rPr>
          <w:rFonts w:eastAsia="Calibri"/>
          <w:sz w:val="22"/>
          <w:szCs w:val="22"/>
        </w:rPr>
        <w:t xml:space="preserve">los lugares </w:t>
      </w:r>
      <w:r w:rsidR="00BF1201" w:rsidRPr="00A156F4">
        <w:rPr>
          <w:rFonts w:eastAsia="Calibri"/>
          <w:sz w:val="22"/>
          <w:szCs w:val="22"/>
        </w:rPr>
        <w:t xml:space="preserve">que serán </w:t>
      </w:r>
      <w:r w:rsidR="00D13AD7" w:rsidRPr="00A156F4">
        <w:rPr>
          <w:rFonts w:eastAsia="Calibri"/>
          <w:sz w:val="22"/>
          <w:szCs w:val="22"/>
        </w:rPr>
        <w:t xml:space="preserve">objeto de la diligencia. </w:t>
      </w:r>
    </w:p>
    <w:p w14:paraId="3D403065" w14:textId="77777777" w:rsidR="00D13AD7" w:rsidRPr="00A156F4" w:rsidRDefault="00D13AD7" w:rsidP="004B2F8B">
      <w:pPr>
        <w:jc w:val="both"/>
        <w:rPr>
          <w:rFonts w:eastAsia="Times New Roman"/>
          <w:sz w:val="22"/>
          <w:szCs w:val="22"/>
          <w:lang w:val="es-ES" w:eastAsia="es-CR"/>
        </w:rPr>
      </w:pPr>
    </w:p>
    <w:p w14:paraId="628D6376" w14:textId="43F581BE" w:rsidR="00E850EA" w:rsidRPr="00A156F4" w:rsidRDefault="00E850EA" w:rsidP="004B2F8B">
      <w:pPr>
        <w:pStyle w:val="Ttulo4"/>
        <w:keepNext w:val="0"/>
        <w:keepLines w:val="0"/>
        <w:spacing w:before="0"/>
        <w:contextualSpacing/>
        <w:jc w:val="both"/>
        <w:rPr>
          <w:rFonts w:ascii="Times New Roman" w:hAnsi="Times New Roman" w:cs="Times New Roman"/>
          <w:sz w:val="22"/>
          <w:szCs w:val="22"/>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val="es-CR" w:eastAsia="en-US"/>
        </w:rPr>
        <w:t>83</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Procedencia</w:t>
      </w:r>
      <w:r w:rsidR="00925F81" w:rsidRPr="00A156F4">
        <w:rPr>
          <w:rFonts w:ascii="Times New Roman" w:eastAsia="Times New Roman" w:hAnsi="Times New Roman" w:cs="Times New Roman"/>
          <w:b/>
          <w:i w:val="0"/>
          <w:iCs w:val="0"/>
          <w:color w:val="auto"/>
          <w:sz w:val="22"/>
          <w:szCs w:val="22"/>
          <w:lang w:val="es-CR" w:eastAsia="en-US"/>
        </w:rPr>
        <w:t xml:space="preserve"> de la inspección</w:t>
      </w:r>
    </w:p>
    <w:p w14:paraId="652D9EB9" w14:textId="77777777" w:rsidR="00E850EA" w:rsidRPr="00A156F4" w:rsidRDefault="00E850EA" w:rsidP="004B2F8B">
      <w:pPr>
        <w:jc w:val="both"/>
        <w:rPr>
          <w:rFonts w:eastAsia="Times New Roman"/>
          <w:sz w:val="22"/>
          <w:szCs w:val="22"/>
          <w:lang w:val="es-ES" w:eastAsia="es-CR"/>
        </w:rPr>
      </w:pPr>
    </w:p>
    <w:p w14:paraId="222F1EE3" w14:textId="77777777" w:rsidR="00E850EA" w:rsidRPr="00A156F4" w:rsidRDefault="00E850EA" w:rsidP="004B2F8B">
      <w:pPr>
        <w:jc w:val="both"/>
        <w:rPr>
          <w:rFonts w:eastAsia="Times New Roman"/>
          <w:sz w:val="22"/>
          <w:szCs w:val="22"/>
          <w:lang w:val="es-ES" w:eastAsia="es-CR"/>
        </w:rPr>
      </w:pPr>
      <w:r w:rsidRPr="00A156F4">
        <w:rPr>
          <w:rFonts w:eastAsia="Times New Roman"/>
          <w:sz w:val="22"/>
          <w:szCs w:val="22"/>
          <w:lang w:val="es-ES" w:eastAsia="es-CR"/>
        </w:rPr>
        <w:t>La inspección procederá cuando concurran los siguientes supuestos:</w:t>
      </w:r>
    </w:p>
    <w:p w14:paraId="04C0B1BA" w14:textId="77777777" w:rsidR="00E850EA" w:rsidRPr="00A156F4" w:rsidRDefault="00E850EA" w:rsidP="004B2F8B">
      <w:pPr>
        <w:jc w:val="both"/>
        <w:rPr>
          <w:rFonts w:eastAsia="Times New Roman"/>
          <w:sz w:val="22"/>
          <w:szCs w:val="22"/>
          <w:lang w:val="es-ES" w:eastAsia="es-CR"/>
        </w:rPr>
      </w:pPr>
    </w:p>
    <w:p w14:paraId="6F6ED614" w14:textId="77777777" w:rsidR="00E850EA" w:rsidRPr="00A156F4" w:rsidRDefault="00E850EA" w:rsidP="005B1F1F">
      <w:pPr>
        <w:pStyle w:val="Prrafodelista"/>
        <w:numPr>
          <w:ilvl w:val="0"/>
          <w:numId w:val="6"/>
        </w:numPr>
        <w:spacing w:after="0" w:line="240" w:lineRule="auto"/>
        <w:contextualSpacing/>
        <w:jc w:val="both"/>
        <w:rPr>
          <w:rFonts w:ascii="Times New Roman" w:hAnsi="Times New Roman"/>
          <w:lang w:val="es-ES" w:eastAsia="es-CR"/>
        </w:rPr>
      </w:pPr>
      <w:r w:rsidRPr="00A156F4">
        <w:rPr>
          <w:rFonts w:ascii="Times New Roman" w:hAnsi="Times New Roman"/>
          <w:lang w:val="es-ES" w:eastAsia="es-CR"/>
        </w:rPr>
        <w:t>Un procedimiento en curso para determinar la existencia de una práctica monopolística absoluta o relativa, ya sea en fase de investigación preliminar o de instrucción del procedimiento.</w:t>
      </w:r>
    </w:p>
    <w:p w14:paraId="0A17AF3C" w14:textId="77777777" w:rsidR="00E850EA" w:rsidRPr="00A156F4" w:rsidRDefault="00E850EA" w:rsidP="004B2F8B">
      <w:pPr>
        <w:pStyle w:val="Prrafodelista"/>
        <w:spacing w:after="0" w:line="240" w:lineRule="auto"/>
        <w:jc w:val="both"/>
        <w:rPr>
          <w:rFonts w:ascii="Times New Roman" w:hAnsi="Times New Roman"/>
          <w:lang w:val="es-ES" w:eastAsia="es-CR"/>
        </w:rPr>
      </w:pPr>
      <w:r w:rsidRPr="00A156F4">
        <w:rPr>
          <w:rFonts w:ascii="Times New Roman" w:hAnsi="Times New Roman"/>
          <w:lang w:val="es-ES" w:eastAsia="es-CR"/>
        </w:rPr>
        <w:t xml:space="preserve"> </w:t>
      </w:r>
    </w:p>
    <w:p w14:paraId="49AA4EEA" w14:textId="62890F71" w:rsidR="00E850EA" w:rsidRPr="00A156F4" w:rsidRDefault="00E850EA" w:rsidP="005B1F1F">
      <w:pPr>
        <w:pStyle w:val="Prrafodelista"/>
        <w:numPr>
          <w:ilvl w:val="0"/>
          <w:numId w:val="6"/>
        </w:numPr>
        <w:spacing w:after="0" w:line="240" w:lineRule="auto"/>
        <w:contextualSpacing/>
        <w:jc w:val="both"/>
        <w:rPr>
          <w:rFonts w:ascii="Times New Roman" w:hAnsi="Times New Roman"/>
          <w:lang w:val="es-ES" w:eastAsia="es-CR"/>
        </w:rPr>
      </w:pPr>
      <w:r w:rsidRPr="00A156F4">
        <w:rPr>
          <w:rFonts w:ascii="Times New Roman" w:hAnsi="Times New Roman"/>
          <w:lang w:val="es-ES" w:eastAsia="es-CR"/>
        </w:rPr>
        <w:t>Indicios sobre la existencia de evidencia relevante para dicha investigación</w:t>
      </w:r>
      <w:r w:rsidR="00BF1201" w:rsidRPr="00A156F4">
        <w:rPr>
          <w:rFonts w:ascii="Times New Roman" w:hAnsi="Times New Roman"/>
          <w:lang w:val="es-ES" w:eastAsia="es-CR"/>
        </w:rPr>
        <w:t>,</w:t>
      </w:r>
      <w:r w:rsidRPr="00A156F4">
        <w:rPr>
          <w:rFonts w:ascii="Times New Roman" w:hAnsi="Times New Roman"/>
          <w:lang w:val="es-ES" w:eastAsia="es-CR"/>
        </w:rPr>
        <w:t xml:space="preserve"> que esté en poder de uno o más agentes económicos, sean </w:t>
      </w:r>
      <w:proofErr w:type="gramStart"/>
      <w:r w:rsidRPr="00A156F4">
        <w:rPr>
          <w:rFonts w:ascii="Times New Roman" w:hAnsi="Times New Roman"/>
          <w:lang w:val="es-ES" w:eastAsia="es-CR"/>
        </w:rPr>
        <w:t>estos objeto</w:t>
      </w:r>
      <w:proofErr w:type="gramEnd"/>
      <w:r w:rsidRPr="00A156F4">
        <w:rPr>
          <w:rFonts w:ascii="Times New Roman" w:hAnsi="Times New Roman"/>
          <w:lang w:val="es-ES" w:eastAsia="es-CR"/>
        </w:rPr>
        <w:t xml:space="preserve"> o no de la investigación.</w:t>
      </w:r>
    </w:p>
    <w:p w14:paraId="25A230BD" w14:textId="77777777" w:rsidR="00E850EA" w:rsidRPr="00A156F4" w:rsidRDefault="00E850EA" w:rsidP="004B2F8B">
      <w:pPr>
        <w:pStyle w:val="Prrafodelista"/>
        <w:spacing w:after="0" w:line="240" w:lineRule="auto"/>
        <w:rPr>
          <w:rFonts w:ascii="Times New Roman" w:hAnsi="Times New Roman"/>
          <w:lang w:val="es-ES" w:eastAsia="es-CR"/>
        </w:rPr>
      </w:pPr>
    </w:p>
    <w:p w14:paraId="5A34924F" w14:textId="6D3CF4D4" w:rsidR="00E850EA" w:rsidRPr="00A156F4" w:rsidRDefault="00E850EA" w:rsidP="005B1F1F">
      <w:pPr>
        <w:pStyle w:val="Prrafodelista"/>
        <w:numPr>
          <w:ilvl w:val="0"/>
          <w:numId w:val="6"/>
        </w:numPr>
        <w:spacing w:after="0" w:line="240" w:lineRule="auto"/>
        <w:contextualSpacing/>
        <w:jc w:val="both"/>
        <w:rPr>
          <w:rFonts w:ascii="Times New Roman" w:hAnsi="Times New Roman"/>
          <w:lang w:val="es-ES" w:eastAsia="es-CR"/>
        </w:rPr>
      </w:pPr>
      <w:r w:rsidRPr="00A156F4">
        <w:rPr>
          <w:rFonts w:ascii="Times New Roman" w:hAnsi="Times New Roman"/>
          <w:lang w:val="es-ES" w:eastAsia="es-CR"/>
        </w:rPr>
        <w:t>Peligro de que</w:t>
      </w:r>
      <w:r w:rsidR="00B34641" w:rsidRPr="00A156F4">
        <w:rPr>
          <w:rFonts w:ascii="Times New Roman" w:hAnsi="Times New Roman"/>
          <w:lang w:val="es-ES" w:eastAsia="es-CR"/>
        </w:rPr>
        <w:t>,</w:t>
      </w:r>
      <w:r w:rsidRPr="00A156F4">
        <w:rPr>
          <w:rFonts w:ascii="Times New Roman" w:hAnsi="Times New Roman"/>
          <w:lang w:val="es-ES" w:eastAsia="es-CR"/>
        </w:rPr>
        <w:t xml:space="preserve"> en ausencia de la inspección, </w:t>
      </w:r>
      <w:r w:rsidR="00BF1201" w:rsidRPr="00A156F4">
        <w:rPr>
          <w:rFonts w:ascii="Times New Roman" w:hAnsi="Times New Roman"/>
          <w:lang w:val="es-ES" w:eastAsia="es-CR"/>
        </w:rPr>
        <w:t>dicha</w:t>
      </w:r>
      <w:r w:rsidRPr="00A156F4">
        <w:rPr>
          <w:rFonts w:ascii="Times New Roman" w:hAnsi="Times New Roman"/>
          <w:lang w:val="es-ES" w:eastAsia="es-CR"/>
        </w:rPr>
        <w:t xml:space="preserve"> evidencia no pueda ser incorporada a la investigación, incluyendo la posibilidad de su pérdida o destrucción. </w:t>
      </w:r>
    </w:p>
    <w:p w14:paraId="2DDDBDC3" w14:textId="77777777" w:rsidR="00E850EA" w:rsidRPr="00A156F4" w:rsidRDefault="00E850EA" w:rsidP="004B2F8B">
      <w:pPr>
        <w:jc w:val="both"/>
        <w:rPr>
          <w:rFonts w:eastAsia="Calibri"/>
          <w:sz w:val="22"/>
          <w:szCs w:val="22"/>
        </w:rPr>
      </w:pPr>
    </w:p>
    <w:p w14:paraId="2EC5AC3F" w14:textId="1221B273" w:rsidR="00E850EA" w:rsidRPr="00A156F4" w:rsidRDefault="00E850EA" w:rsidP="004B2F8B">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eastAsia="en-US"/>
        </w:rPr>
        <w:t>84</w:t>
      </w:r>
      <w:r w:rsidRPr="00A156F4">
        <w:rPr>
          <w:rFonts w:ascii="Times New Roman" w:eastAsia="Times New Roman" w:hAnsi="Times New Roman" w:cs="Times New Roman"/>
          <w:b/>
          <w:i w:val="0"/>
          <w:iCs w:val="0"/>
          <w:color w:val="auto"/>
          <w:sz w:val="22"/>
          <w:szCs w:val="22"/>
          <w:lang w:val="es-CR" w:eastAsia="en-US"/>
        </w:rPr>
        <w:t>.- Confidencialidad</w:t>
      </w:r>
      <w:r w:rsidR="003468AC" w:rsidRPr="00A156F4">
        <w:rPr>
          <w:rFonts w:ascii="Times New Roman" w:eastAsia="Times New Roman" w:hAnsi="Times New Roman" w:cs="Times New Roman"/>
          <w:b/>
          <w:i w:val="0"/>
          <w:iCs w:val="0"/>
          <w:color w:val="auto"/>
          <w:sz w:val="22"/>
          <w:szCs w:val="22"/>
          <w:lang w:val="es-CR" w:eastAsia="en-US"/>
        </w:rPr>
        <w:t xml:space="preserve"> de la inspección</w:t>
      </w:r>
    </w:p>
    <w:p w14:paraId="706DAE85" w14:textId="77777777" w:rsidR="00E850EA" w:rsidRPr="00A156F4" w:rsidRDefault="00E850EA" w:rsidP="004B2F8B">
      <w:pPr>
        <w:jc w:val="both"/>
        <w:rPr>
          <w:rFonts w:eastAsia="Calibri"/>
          <w:sz w:val="22"/>
          <w:szCs w:val="22"/>
        </w:rPr>
      </w:pPr>
    </w:p>
    <w:p w14:paraId="3ACD2904" w14:textId="62993145" w:rsidR="00E850EA" w:rsidRPr="00A156F4" w:rsidRDefault="00E850EA" w:rsidP="004B2F8B">
      <w:pPr>
        <w:jc w:val="both"/>
        <w:rPr>
          <w:rFonts w:eastAsia="Calibri"/>
          <w:sz w:val="22"/>
          <w:szCs w:val="22"/>
        </w:rPr>
      </w:pPr>
      <w:r w:rsidRPr="00A156F4">
        <w:rPr>
          <w:rFonts w:eastAsia="Calibri"/>
          <w:sz w:val="22"/>
          <w:szCs w:val="22"/>
        </w:rPr>
        <w:t>La existencia y el contenido de todas las actuaciones, documentación y acuerdos que se tomen con relación a la diligencia de inspección serán confidenciales</w:t>
      </w:r>
      <w:r w:rsidR="00BF1201" w:rsidRPr="00A156F4">
        <w:rPr>
          <w:rFonts w:eastAsia="Calibri"/>
          <w:sz w:val="22"/>
          <w:szCs w:val="22"/>
        </w:rPr>
        <w:t>,</w:t>
      </w:r>
      <w:r w:rsidRPr="00A156F4">
        <w:rPr>
          <w:rFonts w:eastAsia="Calibri"/>
          <w:sz w:val="22"/>
          <w:szCs w:val="22"/>
        </w:rPr>
        <w:t xml:space="preserve"> al menos hasta el momento de su realización. Una vez finalizada la diligencia, la información será clasificada</w:t>
      </w:r>
      <w:r w:rsidR="00E96F7A" w:rsidRPr="00A156F4">
        <w:rPr>
          <w:rFonts w:eastAsia="Calibri"/>
          <w:sz w:val="22"/>
          <w:szCs w:val="22"/>
        </w:rPr>
        <w:t xml:space="preserve"> por el Órgano correspondiente,</w:t>
      </w:r>
      <w:r w:rsidRPr="00A156F4">
        <w:rPr>
          <w:rFonts w:eastAsia="Calibri"/>
          <w:sz w:val="22"/>
          <w:szCs w:val="22"/>
        </w:rPr>
        <w:t xml:space="preserve"> </w:t>
      </w:r>
      <w:r w:rsidR="00E96F7A" w:rsidRPr="00A156F4">
        <w:rPr>
          <w:rFonts w:eastAsia="Calibri"/>
          <w:sz w:val="22"/>
          <w:szCs w:val="22"/>
        </w:rPr>
        <w:t xml:space="preserve">según la etapa del procedimiento en la que se realice. </w:t>
      </w:r>
    </w:p>
    <w:p w14:paraId="6BAB4C4D" w14:textId="77777777" w:rsidR="00E850EA" w:rsidRPr="00A156F4" w:rsidRDefault="00E850EA" w:rsidP="004B2F8B">
      <w:pPr>
        <w:jc w:val="both"/>
        <w:rPr>
          <w:rFonts w:eastAsia="Calibri"/>
          <w:sz w:val="22"/>
          <w:szCs w:val="22"/>
        </w:rPr>
      </w:pPr>
    </w:p>
    <w:p w14:paraId="259B1B9D" w14:textId="77777777" w:rsidR="00E850EA" w:rsidRPr="00A156F4" w:rsidRDefault="00E850EA" w:rsidP="004B2F8B">
      <w:pPr>
        <w:jc w:val="both"/>
        <w:rPr>
          <w:rFonts w:eastAsia="Times New Roman"/>
          <w:sz w:val="22"/>
          <w:szCs w:val="22"/>
          <w:lang w:val="es-ES" w:eastAsia="es-CR"/>
        </w:rPr>
      </w:pPr>
      <w:r w:rsidRPr="00A156F4">
        <w:rPr>
          <w:rFonts w:eastAsia="Calibri"/>
          <w:sz w:val="22"/>
          <w:szCs w:val="22"/>
        </w:rPr>
        <w:t>Todos los funcionarios que participen en la diligencia deberán resguardar la</w:t>
      </w:r>
      <w:r w:rsidRPr="00A156F4">
        <w:rPr>
          <w:rFonts w:eastAsia="Times New Roman"/>
          <w:sz w:val="22"/>
          <w:szCs w:val="22"/>
          <w:lang w:val="es-ES" w:eastAsia="es-CR"/>
        </w:rPr>
        <w:t xml:space="preserve"> confidencialidad sobre toda información que conozcan antes y en el transcurso de la diligencia.</w:t>
      </w:r>
    </w:p>
    <w:p w14:paraId="4A7F1067" w14:textId="77777777" w:rsidR="00E850EA" w:rsidRPr="00A156F4" w:rsidRDefault="00E850EA" w:rsidP="004B2F8B">
      <w:pPr>
        <w:jc w:val="both"/>
        <w:rPr>
          <w:rFonts w:eastAsia="Times New Roman"/>
          <w:sz w:val="22"/>
          <w:szCs w:val="22"/>
          <w:lang w:val="es-ES" w:eastAsia="es-CR"/>
        </w:rPr>
      </w:pPr>
    </w:p>
    <w:p w14:paraId="07A52C5E" w14:textId="6825D73D" w:rsidR="00E850EA" w:rsidRPr="00A156F4" w:rsidRDefault="00E850EA" w:rsidP="004B2F8B">
      <w:pPr>
        <w:pStyle w:val="Ttulo4"/>
        <w:keepNext w:val="0"/>
        <w:keepLines w:val="0"/>
        <w:spacing w:before="0"/>
        <w:contextualSpacing/>
        <w:jc w:val="both"/>
        <w:rPr>
          <w:rFonts w:ascii="Times New Roman" w:eastAsia="Times New Roman" w:hAnsi="Times New Roman" w:cs="Times New Roman"/>
          <w:sz w:val="22"/>
          <w:szCs w:val="22"/>
          <w:lang w:val="es-ES" w:eastAsia="es-CR"/>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heme="minorHAnsi" w:hAnsi="Times New Roman" w:cs="Times New Roman"/>
          <w:b/>
          <w:i w:val="0"/>
          <w:color w:val="auto"/>
          <w:sz w:val="22"/>
          <w:szCs w:val="22"/>
        </w:rPr>
        <w:t>85</w:t>
      </w:r>
      <w:r w:rsidRPr="00A156F4">
        <w:rPr>
          <w:rFonts w:ascii="Times New Roman" w:eastAsiaTheme="minorHAnsi" w:hAnsi="Times New Roman" w:cs="Times New Roman"/>
          <w:b/>
          <w:i w:val="0"/>
          <w:color w:val="auto"/>
          <w:sz w:val="22"/>
          <w:szCs w:val="22"/>
        </w:rPr>
        <w:t>.-</w:t>
      </w:r>
      <w:r w:rsidR="000A167C" w:rsidRPr="00A156F4">
        <w:rPr>
          <w:rFonts w:ascii="Times New Roman" w:eastAsiaTheme="minorHAnsi" w:hAnsi="Times New Roman" w:cs="Times New Roman"/>
          <w:b/>
          <w:i w:val="0"/>
          <w:color w:val="auto"/>
          <w:sz w:val="22"/>
          <w:szCs w:val="22"/>
        </w:rPr>
        <w:t xml:space="preserve"> Alcances </w:t>
      </w:r>
      <w:r w:rsidR="003468AC" w:rsidRPr="00A156F4">
        <w:rPr>
          <w:rFonts w:ascii="Times New Roman" w:eastAsia="Times New Roman" w:hAnsi="Times New Roman" w:cs="Times New Roman"/>
          <w:b/>
          <w:i w:val="0"/>
          <w:iCs w:val="0"/>
          <w:color w:val="auto"/>
          <w:sz w:val="22"/>
          <w:szCs w:val="22"/>
          <w:lang w:val="es-CR" w:eastAsia="en-US"/>
        </w:rPr>
        <w:t>de</w:t>
      </w:r>
      <w:r w:rsidR="000A167C" w:rsidRPr="00A156F4">
        <w:rPr>
          <w:rFonts w:ascii="Times New Roman" w:eastAsia="Times New Roman" w:hAnsi="Times New Roman" w:cs="Times New Roman"/>
          <w:b/>
          <w:i w:val="0"/>
          <w:iCs w:val="0"/>
          <w:color w:val="auto"/>
          <w:sz w:val="22"/>
          <w:szCs w:val="22"/>
          <w:lang w:val="es-CR" w:eastAsia="en-US"/>
        </w:rPr>
        <w:t xml:space="preserve"> la</w:t>
      </w:r>
      <w:r w:rsidR="003468AC" w:rsidRPr="00A156F4">
        <w:rPr>
          <w:rFonts w:ascii="Times New Roman" w:eastAsia="Times New Roman" w:hAnsi="Times New Roman" w:cs="Times New Roman"/>
          <w:b/>
          <w:i w:val="0"/>
          <w:iCs w:val="0"/>
          <w:color w:val="auto"/>
          <w:sz w:val="22"/>
          <w:szCs w:val="22"/>
          <w:lang w:val="es-CR" w:eastAsia="en-US"/>
        </w:rPr>
        <w:t xml:space="preserve"> inspección</w:t>
      </w:r>
    </w:p>
    <w:p w14:paraId="66A3C9AB" w14:textId="77777777" w:rsidR="00E850EA" w:rsidRPr="00A156F4" w:rsidRDefault="00E850EA" w:rsidP="004B2F8B">
      <w:pPr>
        <w:rPr>
          <w:rFonts w:eastAsia="Times New Roman"/>
          <w:sz w:val="22"/>
          <w:szCs w:val="22"/>
          <w:lang w:val="es-ES" w:eastAsia="es-CR"/>
        </w:rPr>
      </w:pPr>
    </w:p>
    <w:p w14:paraId="347C95D0" w14:textId="4207038A" w:rsidR="00E850EA" w:rsidRPr="00A156F4" w:rsidRDefault="00E850EA" w:rsidP="000A167C">
      <w:pPr>
        <w:contextualSpacing/>
        <w:jc w:val="both"/>
        <w:rPr>
          <w:sz w:val="22"/>
          <w:szCs w:val="22"/>
          <w:lang w:val="es-ES" w:eastAsia="es-CR"/>
        </w:rPr>
      </w:pPr>
      <w:r w:rsidRPr="00A156F4">
        <w:rPr>
          <w:sz w:val="22"/>
          <w:szCs w:val="22"/>
          <w:lang w:val="es-ES" w:eastAsia="es-CR"/>
        </w:rPr>
        <w:t>Durante la dili</w:t>
      </w:r>
      <w:r w:rsidR="002148B2" w:rsidRPr="00A156F4">
        <w:rPr>
          <w:sz w:val="22"/>
          <w:szCs w:val="22"/>
          <w:lang w:val="es-ES" w:eastAsia="es-CR"/>
        </w:rPr>
        <w:t>gencia, el personal autorizado</w:t>
      </w:r>
      <w:r w:rsidRPr="00A156F4">
        <w:rPr>
          <w:sz w:val="22"/>
          <w:szCs w:val="22"/>
          <w:lang w:val="es-ES" w:eastAsia="es-CR"/>
        </w:rPr>
        <w:t xml:space="preserve"> podrá exigir el acceso a libros de contabilidad, documentos, contratos, correspondencia, archivos, registros de visitas, agendas de trabajadores, correos electrónicos</w:t>
      </w:r>
      <w:r w:rsidR="000A167C" w:rsidRPr="00A156F4">
        <w:rPr>
          <w:sz w:val="22"/>
          <w:szCs w:val="22"/>
          <w:lang w:val="es-ES" w:eastAsia="es-CR"/>
        </w:rPr>
        <w:t>, respaldos digitales de almacenamiento externo</w:t>
      </w:r>
      <w:r w:rsidRPr="00A156F4">
        <w:rPr>
          <w:sz w:val="22"/>
          <w:szCs w:val="22"/>
          <w:lang w:val="es-ES" w:eastAsia="es-CR"/>
        </w:rPr>
        <w:t xml:space="preserve"> y cual</w:t>
      </w:r>
      <w:r w:rsidR="00B34641" w:rsidRPr="00A156F4">
        <w:rPr>
          <w:sz w:val="22"/>
          <w:szCs w:val="22"/>
          <w:lang w:val="es-ES" w:eastAsia="es-CR"/>
        </w:rPr>
        <w:t>quier</w:t>
      </w:r>
      <w:r w:rsidRPr="00A156F4">
        <w:rPr>
          <w:sz w:val="22"/>
          <w:szCs w:val="22"/>
          <w:lang w:val="es-ES" w:eastAsia="es-CR"/>
        </w:rPr>
        <w:t xml:space="preserve"> otra información que conste en documentos físicos o archivos electrónicos, independientemente del formato, tipo de archivo o dispositivo en el que esté almacenada.</w:t>
      </w:r>
      <w:r w:rsidR="00BA0885" w:rsidRPr="00A156F4">
        <w:rPr>
          <w:sz w:val="22"/>
          <w:szCs w:val="22"/>
          <w:lang w:val="es-ES" w:eastAsia="es-CR"/>
        </w:rPr>
        <w:t xml:space="preserve"> </w:t>
      </w:r>
      <w:r w:rsidRPr="00A156F4">
        <w:rPr>
          <w:sz w:val="22"/>
          <w:szCs w:val="22"/>
          <w:lang w:val="es-ES" w:eastAsia="es-CR"/>
        </w:rPr>
        <w:t xml:space="preserve">Lo anterior en la medida en que se relacionen con el objeto de la investigación, y </w:t>
      </w:r>
      <w:r w:rsidR="00305B2B" w:rsidRPr="00A156F4">
        <w:rPr>
          <w:sz w:val="22"/>
          <w:szCs w:val="22"/>
          <w:lang w:val="es-ES" w:eastAsia="es-CR"/>
        </w:rPr>
        <w:t xml:space="preserve">estén </w:t>
      </w:r>
      <w:r w:rsidRPr="00A156F4">
        <w:rPr>
          <w:sz w:val="22"/>
          <w:szCs w:val="22"/>
          <w:lang w:val="es-ES" w:eastAsia="es-CR"/>
        </w:rPr>
        <w:t xml:space="preserve">comprendidos dentro de la autorización judicial de la inspección. </w:t>
      </w:r>
    </w:p>
    <w:p w14:paraId="3FD80FC0" w14:textId="5EE1028E" w:rsidR="003E6388" w:rsidRPr="00A156F4" w:rsidRDefault="003E6388" w:rsidP="000A167C">
      <w:pPr>
        <w:contextualSpacing/>
        <w:jc w:val="both"/>
        <w:rPr>
          <w:sz w:val="22"/>
          <w:szCs w:val="22"/>
          <w:lang w:eastAsia="es-CR"/>
        </w:rPr>
      </w:pPr>
    </w:p>
    <w:p w14:paraId="2A8C2D99" w14:textId="1A8730A1" w:rsidR="00E850EA" w:rsidRPr="00A156F4" w:rsidRDefault="003E6388" w:rsidP="003E6388">
      <w:pPr>
        <w:rPr>
          <w:rFonts w:eastAsia="Calibri"/>
          <w:sz w:val="22"/>
          <w:szCs w:val="22"/>
        </w:rPr>
      </w:pPr>
      <w:r w:rsidRPr="00A156F4">
        <w:rPr>
          <w:rFonts w:eastAsia="Calibri"/>
          <w:sz w:val="22"/>
          <w:szCs w:val="22"/>
        </w:rPr>
        <w:t>La autoridad de competencia correspondiente podrá autorizar la participación de otros funcionarios cuya asistencia sea necesaria</w:t>
      </w:r>
      <w:r w:rsidR="00D53B96" w:rsidRPr="00A156F4">
        <w:rPr>
          <w:rFonts w:eastAsia="Calibri"/>
          <w:sz w:val="22"/>
          <w:szCs w:val="22"/>
        </w:rPr>
        <w:t>,</w:t>
      </w:r>
      <w:r w:rsidRPr="00A156F4">
        <w:rPr>
          <w:rFonts w:eastAsia="Calibri"/>
          <w:sz w:val="22"/>
          <w:szCs w:val="22"/>
        </w:rPr>
        <w:t xml:space="preserve"> </w:t>
      </w:r>
      <w:proofErr w:type="gramStart"/>
      <w:r w:rsidRPr="00A156F4">
        <w:rPr>
          <w:rFonts w:eastAsia="Calibri"/>
          <w:sz w:val="22"/>
          <w:szCs w:val="22"/>
        </w:rPr>
        <w:t>en razón de</w:t>
      </w:r>
      <w:proofErr w:type="gramEnd"/>
      <w:r w:rsidRPr="00A156F4">
        <w:rPr>
          <w:rFonts w:eastAsia="Calibri"/>
          <w:sz w:val="22"/>
          <w:szCs w:val="22"/>
        </w:rPr>
        <w:t xml:space="preserve"> sus conocimientos técnicos. </w:t>
      </w:r>
    </w:p>
    <w:p w14:paraId="008B77CE" w14:textId="77777777" w:rsidR="005F7DB9" w:rsidRPr="00A156F4" w:rsidRDefault="005F7DB9" w:rsidP="003E6388">
      <w:pPr>
        <w:rPr>
          <w:sz w:val="22"/>
          <w:szCs w:val="22"/>
          <w:lang w:val="es-ES" w:eastAsia="es-CR"/>
        </w:rPr>
      </w:pPr>
    </w:p>
    <w:p w14:paraId="5EBE02AC" w14:textId="02CDF713" w:rsidR="00E850EA" w:rsidRPr="00A156F4" w:rsidRDefault="00E850EA" w:rsidP="004B2F8B">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eastAsia="en-US"/>
        </w:rPr>
        <w:t>86</w:t>
      </w:r>
      <w:r w:rsidR="00B52F42" w:rsidRPr="00A156F4">
        <w:rPr>
          <w:rFonts w:ascii="Times New Roman" w:eastAsia="Times New Roman" w:hAnsi="Times New Roman" w:cs="Times New Roman"/>
          <w:b/>
          <w:i w:val="0"/>
          <w:iCs w:val="0"/>
          <w:color w:val="auto"/>
          <w:sz w:val="22"/>
          <w:szCs w:val="22"/>
          <w:lang w:val="es-CR" w:eastAsia="en-US"/>
        </w:rPr>
        <w:t>.</w:t>
      </w:r>
      <w:r w:rsidRPr="00A156F4">
        <w:rPr>
          <w:rFonts w:ascii="Times New Roman" w:eastAsia="Times New Roman" w:hAnsi="Times New Roman" w:cs="Times New Roman"/>
          <w:b/>
          <w:i w:val="0"/>
          <w:iCs w:val="0"/>
          <w:color w:val="auto"/>
          <w:sz w:val="22"/>
          <w:szCs w:val="22"/>
          <w:lang w:val="es-CR" w:eastAsia="en-US"/>
        </w:rPr>
        <w:t xml:space="preserve">- Participación del </w:t>
      </w:r>
      <w:r w:rsidR="00720D4B" w:rsidRPr="00A156F4">
        <w:rPr>
          <w:rFonts w:ascii="Times New Roman" w:eastAsia="Times New Roman" w:hAnsi="Times New Roman" w:cs="Times New Roman"/>
          <w:b/>
          <w:i w:val="0"/>
          <w:iCs w:val="0"/>
          <w:color w:val="auto"/>
          <w:sz w:val="22"/>
          <w:szCs w:val="22"/>
          <w:lang w:val="es-CR" w:eastAsia="en-US"/>
        </w:rPr>
        <w:t>agente económico</w:t>
      </w:r>
      <w:r w:rsidR="00BD52CC" w:rsidRPr="00A156F4">
        <w:rPr>
          <w:rFonts w:ascii="Times New Roman" w:eastAsia="Times New Roman" w:hAnsi="Times New Roman" w:cs="Times New Roman"/>
          <w:b/>
          <w:i w:val="0"/>
          <w:iCs w:val="0"/>
          <w:color w:val="auto"/>
          <w:sz w:val="22"/>
          <w:szCs w:val="22"/>
          <w:lang w:val="es-CR" w:eastAsia="en-US"/>
        </w:rPr>
        <w:t xml:space="preserve"> en la inspección</w:t>
      </w:r>
      <w:r w:rsidR="00BD4C4C" w:rsidRPr="00A156F4">
        <w:rPr>
          <w:rFonts w:ascii="Times New Roman" w:eastAsia="Times New Roman" w:hAnsi="Times New Roman" w:cs="Times New Roman"/>
          <w:b/>
          <w:i w:val="0"/>
          <w:iCs w:val="0"/>
          <w:color w:val="auto"/>
          <w:sz w:val="22"/>
          <w:szCs w:val="22"/>
          <w:lang w:val="es-CR" w:eastAsia="en-US"/>
        </w:rPr>
        <w:t xml:space="preserve"> y entrevistas</w:t>
      </w:r>
    </w:p>
    <w:p w14:paraId="3A797440" w14:textId="77777777" w:rsidR="00E850EA" w:rsidRPr="00A156F4" w:rsidRDefault="00E850EA" w:rsidP="004B2F8B">
      <w:pPr>
        <w:pStyle w:val="Ttulo4"/>
        <w:spacing w:before="0"/>
        <w:jc w:val="both"/>
        <w:rPr>
          <w:rFonts w:ascii="Times New Roman" w:eastAsia="Times New Roman" w:hAnsi="Times New Roman" w:cs="Times New Roman"/>
          <w:i w:val="0"/>
          <w:iCs w:val="0"/>
          <w:color w:val="auto"/>
          <w:sz w:val="22"/>
          <w:szCs w:val="22"/>
          <w:lang w:val="es-ES" w:eastAsia="es-CR"/>
        </w:rPr>
      </w:pPr>
    </w:p>
    <w:p w14:paraId="4D542F15" w14:textId="77777777" w:rsidR="00EA2CB8" w:rsidRPr="00A156F4" w:rsidRDefault="00E850EA" w:rsidP="004B2F8B">
      <w:pPr>
        <w:jc w:val="both"/>
        <w:rPr>
          <w:rFonts w:eastAsia="Times New Roman"/>
          <w:iCs/>
          <w:sz w:val="22"/>
          <w:szCs w:val="22"/>
          <w:lang w:val="es-ES" w:eastAsia="es-CR"/>
        </w:rPr>
      </w:pPr>
      <w:r w:rsidRPr="00A156F4">
        <w:rPr>
          <w:rFonts w:eastAsia="Times New Roman"/>
          <w:iCs/>
          <w:sz w:val="22"/>
          <w:szCs w:val="22"/>
          <w:lang w:val="es-ES" w:eastAsia="es-CR"/>
        </w:rPr>
        <w:t xml:space="preserve">Los encargados y personal de los </w:t>
      </w:r>
      <w:r w:rsidR="000A167C" w:rsidRPr="00A156F4">
        <w:rPr>
          <w:rFonts w:eastAsia="Times New Roman"/>
          <w:iCs/>
          <w:sz w:val="22"/>
          <w:szCs w:val="22"/>
          <w:lang w:val="es-ES" w:eastAsia="es-CR"/>
        </w:rPr>
        <w:t>lugares</w:t>
      </w:r>
      <w:r w:rsidR="00BA0885" w:rsidRPr="00A156F4">
        <w:rPr>
          <w:rFonts w:eastAsia="Times New Roman"/>
          <w:iCs/>
          <w:sz w:val="22"/>
          <w:szCs w:val="22"/>
          <w:lang w:val="es-ES" w:eastAsia="es-CR"/>
        </w:rPr>
        <w:t xml:space="preserve"> </w:t>
      </w:r>
      <w:r w:rsidRPr="00A156F4">
        <w:rPr>
          <w:rFonts w:eastAsia="Times New Roman"/>
          <w:iCs/>
          <w:sz w:val="22"/>
          <w:szCs w:val="22"/>
          <w:lang w:val="es-ES" w:eastAsia="es-CR"/>
        </w:rPr>
        <w:t xml:space="preserve">que sean objeto de una </w:t>
      </w:r>
      <w:r w:rsidR="00EA2CB8" w:rsidRPr="00A156F4">
        <w:rPr>
          <w:rFonts w:eastAsia="Times New Roman"/>
          <w:iCs/>
          <w:sz w:val="22"/>
          <w:szCs w:val="22"/>
          <w:lang w:val="es-ES" w:eastAsia="es-CR"/>
        </w:rPr>
        <w:t>inspección</w:t>
      </w:r>
      <w:r w:rsidRPr="00A156F4">
        <w:rPr>
          <w:rFonts w:eastAsia="Times New Roman"/>
          <w:iCs/>
          <w:sz w:val="22"/>
          <w:szCs w:val="22"/>
          <w:lang w:val="es-ES" w:eastAsia="es-CR"/>
        </w:rPr>
        <w:t xml:space="preserve"> est</w:t>
      </w:r>
      <w:r w:rsidR="00C5152D" w:rsidRPr="00A156F4">
        <w:rPr>
          <w:rFonts w:eastAsia="Times New Roman"/>
          <w:iCs/>
          <w:sz w:val="22"/>
          <w:szCs w:val="22"/>
          <w:lang w:val="es-ES" w:eastAsia="es-CR"/>
        </w:rPr>
        <w:t>arán</w:t>
      </w:r>
      <w:r w:rsidRPr="00A156F4">
        <w:rPr>
          <w:rFonts w:eastAsia="Times New Roman"/>
          <w:iCs/>
          <w:sz w:val="22"/>
          <w:szCs w:val="22"/>
          <w:lang w:val="es-ES" w:eastAsia="es-CR"/>
        </w:rPr>
        <w:t xml:space="preserve"> obligados a someterse a la diligencia y a colaborar razonablemente, absteniéndose de realizar cualquier acción que injustificadamente interfiera o retrase la diligencia.</w:t>
      </w:r>
    </w:p>
    <w:p w14:paraId="3F26F0AC" w14:textId="77777777" w:rsidR="00EA2CB8" w:rsidRPr="00A156F4" w:rsidRDefault="00EA2CB8" w:rsidP="004B2F8B">
      <w:pPr>
        <w:jc w:val="both"/>
        <w:rPr>
          <w:rFonts w:eastAsia="Times New Roman"/>
          <w:i/>
          <w:iCs/>
          <w:sz w:val="22"/>
          <w:szCs w:val="22"/>
          <w:lang w:val="es-ES" w:eastAsia="es-CR"/>
        </w:rPr>
      </w:pPr>
    </w:p>
    <w:p w14:paraId="14AA3D62" w14:textId="40AB927C" w:rsidR="00E850EA" w:rsidRPr="00A156F4" w:rsidRDefault="00C5152D" w:rsidP="004B2F8B">
      <w:pPr>
        <w:jc w:val="both"/>
        <w:rPr>
          <w:rFonts w:eastAsia="Times New Roman"/>
          <w:sz w:val="22"/>
          <w:szCs w:val="22"/>
          <w:lang w:val="es-ES" w:eastAsia="es-CR"/>
        </w:rPr>
      </w:pPr>
      <w:r w:rsidRPr="00A156F4">
        <w:rPr>
          <w:rFonts w:eastAsia="Times New Roman"/>
          <w:sz w:val="22"/>
          <w:szCs w:val="22"/>
          <w:lang w:val="es-ES" w:eastAsia="es-CR"/>
        </w:rPr>
        <w:t>Asimismo, d</w:t>
      </w:r>
      <w:r w:rsidR="00E850EA" w:rsidRPr="00A156F4">
        <w:rPr>
          <w:rFonts w:eastAsia="Times New Roman"/>
          <w:sz w:val="22"/>
          <w:szCs w:val="22"/>
          <w:lang w:val="es-ES" w:eastAsia="es-CR"/>
        </w:rPr>
        <w:t>eberán proporcionar la información y documentos que le sean solicitados y que se relacionen con el objeto de la investigación, tal y como se describe en la documentación respectiva</w:t>
      </w:r>
      <w:r w:rsidRPr="00A156F4">
        <w:rPr>
          <w:rFonts w:eastAsia="Times New Roman"/>
          <w:sz w:val="22"/>
          <w:szCs w:val="22"/>
          <w:lang w:val="es-ES" w:eastAsia="es-CR"/>
        </w:rPr>
        <w:t>. Para ello,</w:t>
      </w:r>
      <w:r w:rsidR="00E850EA" w:rsidRPr="00A156F4">
        <w:rPr>
          <w:rFonts w:eastAsia="Times New Roman"/>
          <w:sz w:val="22"/>
          <w:szCs w:val="22"/>
          <w:lang w:val="es-ES" w:eastAsia="es-CR"/>
        </w:rPr>
        <w:t xml:space="preserve"> deberán permitir el acceso a oficinas, computadoras, libros, documentos, dispositivos de almacenamiento, archiveros o cualquier otro bien y/o medio </w:t>
      </w:r>
      <w:r w:rsidR="008514DA" w:rsidRPr="00A156F4">
        <w:rPr>
          <w:rFonts w:eastAsia="Times New Roman"/>
          <w:sz w:val="22"/>
          <w:szCs w:val="22"/>
          <w:lang w:val="es-ES" w:eastAsia="es-CR"/>
        </w:rPr>
        <w:t xml:space="preserve">físico o digital </w:t>
      </w:r>
      <w:r w:rsidR="00E850EA" w:rsidRPr="00A156F4">
        <w:rPr>
          <w:rFonts w:eastAsia="Times New Roman"/>
          <w:sz w:val="22"/>
          <w:szCs w:val="22"/>
          <w:lang w:val="es-ES" w:eastAsia="es-CR"/>
        </w:rPr>
        <w:t xml:space="preserve">que pueda contener tal información. </w:t>
      </w:r>
    </w:p>
    <w:p w14:paraId="62018721" w14:textId="77777777" w:rsidR="008514DA" w:rsidRPr="00A156F4" w:rsidRDefault="008514DA" w:rsidP="008514DA">
      <w:pPr>
        <w:pStyle w:val="Ttulo4"/>
        <w:spacing w:before="0"/>
        <w:jc w:val="both"/>
        <w:rPr>
          <w:rFonts w:ascii="Times New Roman" w:eastAsia="Times New Roman" w:hAnsi="Times New Roman" w:cs="Times New Roman"/>
          <w:i w:val="0"/>
          <w:iCs w:val="0"/>
          <w:color w:val="auto"/>
          <w:sz w:val="22"/>
          <w:szCs w:val="22"/>
          <w:lang w:val="es-ES" w:eastAsia="es-CR"/>
        </w:rPr>
      </w:pPr>
    </w:p>
    <w:p w14:paraId="6FA9F578" w14:textId="11D39FEB" w:rsidR="008514DA" w:rsidRPr="00A156F4" w:rsidRDefault="008514DA" w:rsidP="008514DA">
      <w:pPr>
        <w:pStyle w:val="Ttulo4"/>
        <w:spacing w:before="0"/>
        <w:jc w:val="both"/>
        <w:rPr>
          <w:rFonts w:ascii="Times New Roman" w:eastAsia="Times New Roman" w:hAnsi="Times New Roman" w:cs="Times New Roman"/>
          <w:i w:val="0"/>
          <w:iCs w:val="0"/>
          <w:color w:val="auto"/>
          <w:sz w:val="22"/>
          <w:szCs w:val="22"/>
          <w:lang w:val="es-ES" w:eastAsia="es-CR"/>
        </w:rPr>
      </w:pPr>
      <w:r w:rsidRPr="00A156F4">
        <w:rPr>
          <w:rFonts w:ascii="Times New Roman" w:eastAsia="Times New Roman" w:hAnsi="Times New Roman" w:cs="Times New Roman"/>
          <w:i w:val="0"/>
          <w:iCs w:val="0"/>
          <w:color w:val="auto"/>
          <w:sz w:val="22"/>
          <w:szCs w:val="22"/>
          <w:lang w:val="es-ES" w:eastAsia="es-CR"/>
        </w:rPr>
        <w:t>Los funcionarios a cargo de la inspección estarán autorizados para entrevistar y requerir en el acto información a cualquier trabajador, representante, director y accionista que se encuentre presente durante la visita</w:t>
      </w:r>
      <w:r w:rsidR="003E6388" w:rsidRPr="00A156F4">
        <w:rPr>
          <w:rFonts w:ascii="Times New Roman" w:eastAsia="Times New Roman" w:hAnsi="Times New Roman" w:cs="Times New Roman"/>
          <w:i w:val="0"/>
          <w:iCs w:val="0"/>
          <w:color w:val="auto"/>
          <w:sz w:val="22"/>
          <w:szCs w:val="22"/>
          <w:lang w:val="es-ES" w:eastAsia="es-CR"/>
        </w:rPr>
        <w:t>, con el objeto de indagar sobre la existencia y ubicación de la información y documentos que sean pertinentes para la investigación</w:t>
      </w:r>
      <w:r w:rsidRPr="00A156F4">
        <w:rPr>
          <w:rFonts w:ascii="Times New Roman" w:eastAsia="Times New Roman" w:hAnsi="Times New Roman" w:cs="Times New Roman"/>
          <w:i w:val="0"/>
          <w:iCs w:val="0"/>
          <w:color w:val="auto"/>
          <w:sz w:val="22"/>
          <w:szCs w:val="22"/>
          <w:lang w:val="es-ES" w:eastAsia="es-CR"/>
        </w:rPr>
        <w:t>. Todos ellos deberán proporcionar cualquier información que sea útil para localizar, revisar y copiar la información</w:t>
      </w:r>
      <w:r w:rsidR="00F23F3A" w:rsidRPr="00A156F4">
        <w:rPr>
          <w:rFonts w:ascii="Times New Roman" w:eastAsia="Times New Roman" w:hAnsi="Times New Roman" w:cs="Times New Roman"/>
          <w:i w:val="0"/>
          <w:iCs w:val="0"/>
          <w:color w:val="auto"/>
          <w:sz w:val="22"/>
          <w:szCs w:val="22"/>
          <w:lang w:val="es-ES" w:eastAsia="es-CR"/>
        </w:rPr>
        <w:t>.</w:t>
      </w:r>
    </w:p>
    <w:p w14:paraId="663AFFCB" w14:textId="77777777" w:rsidR="008514DA" w:rsidRPr="00A156F4" w:rsidRDefault="008514DA" w:rsidP="004B2F8B">
      <w:pPr>
        <w:jc w:val="both"/>
        <w:rPr>
          <w:rFonts w:eastAsia="Times New Roman"/>
          <w:sz w:val="22"/>
          <w:szCs w:val="22"/>
          <w:lang w:val="es-ES" w:eastAsia="es-CR"/>
        </w:rPr>
      </w:pPr>
    </w:p>
    <w:p w14:paraId="0073EAB0" w14:textId="49A5A258" w:rsidR="008514DA" w:rsidRPr="00A156F4" w:rsidRDefault="00E850EA" w:rsidP="008514DA">
      <w:pPr>
        <w:jc w:val="both"/>
        <w:rPr>
          <w:rFonts w:eastAsia="Times New Roman"/>
          <w:sz w:val="22"/>
          <w:szCs w:val="22"/>
          <w:lang w:val="es-ES" w:eastAsia="es-CR"/>
        </w:rPr>
      </w:pPr>
      <w:r w:rsidRPr="00A156F4">
        <w:rPr>
          <w:rFonts w:eastAsia="Times New Roman"/>
          <w:sz w:val="22"/>
          <w:szCs w:val="22"/>
          <w:lang w:val="es-ES" w:eastAsia="es-CR"/>
        </w:rPr>
        <w:t xml:space="preserve">El </w:t>
      </w:r>
      <w:r w:rsidR="00720D4B" w:rsidRPr="00A156F4">
        <w:rPr>
          <w:rFonts w:eastAsia="Times New Roman"/>
          <w:sz w:val="22"/>
          <w:szCs w:val="22"/>
          <w:lang w:val="es-ES" w:eastAsia="es-CR"/>
        </w:rPr>
        <w:t>agente económico</w:t>
      </w:r>
      <w:r w:rsidRPr="00A156F4">
        <w:rPr>
          <w:rFonts w:eastAsia="Times New Roman"/>
          <w:sz w:val="22"/>
          <w:szCs w:val="22"/>
          <w:lang w:val="es-ES" w:eastAsia="es-CR"/>
        </w:rPr>
        <w:t xml:space="preserve"> tendrá derecho a estar presente durante la diligencia de inspección, y formular en el acto las observaciones que considere pertinentes sobre las actuaciones de la autoridad, que deberán consta</w:t>
      </w:r>
      <w:r w:rsidR="00C5152D" w:rsidRPr="00A156F4">
        <w:rPr>
          <w:rFonts w:eastAsia="Times New Roman"/>
          <w:sz w:val="22"/>
          <w:szCs w:val="22"/>
          <w:lang w:val="es-ES" w:eastAsia="es-CR"/>
        </w:rPr>
        <w:t>r</w:t>
      </w:r>
      <w:r w:rsidRPr="00A156F4">
        <w:rPr>
          <w:rFonts w:eastAsia="Times New Roman"/>
          <w:sz w:val="22"/>
          <w:szCs w:val="22"/>
          <w:lang w:val="es-ES" w:eastAsia="es-CR"/>
        </w:rPr>
        <w:t xml:space="preserve"> en el acta respectiva. </w:t>
      </w:r>
      <w:r w:rsidR="00C5152D" w:rsidRPr="00A156F4">
        <w:rPr>
          <w:rFonts w:eastAsia="Times New Roman"/>
          <w:sz w:val="22"/>
          <w:szCs w:val="22"/>
          <w:lang w:val="es-ES" w:eastAsia="es-CR"/>
        </w:rPr>
        <w:t xml:space="preserve">Asimismo, </w:t>
      </w:r>
      <w:r w:rsidRPr="00A156F4">
        <w:rPr>
          <w:rFonts w:eastAsia="Times New Roman"/>
          <w:sz w:val="22"/>
          <w:szCs w:val="22"/>
          <w:lang w:val="es-ES" w:eastAsia="es-CR"/>
        </w:rPr>
        <w:t xml:space="preserve">tendrá derecho a contar con asesoría legal durante la diligencia, sin que la ausencia del asesor </w:t>
      </w:r>
      <w:r w:rsidR="00E51339" w:rsidRPr="00A156F4">
        <w:rPr>
          <w:rFonts w:eastAsia="Times New Roman"/>
          <w:sz w:val="22"/>
          <w:szCs w:val="22"/>
          <w:lang w:val="es-ES" w:eastAsia="es-CR"/>
        </w:rPr>
        <w:t>implique</w:t>
      </w:r>
      <w:r w:rsidRPr="00A156F4">
        <w:rPr>
          <w:rFonts w:eastAsia="Times New Roman"/>
          <w:sz w:val="22"/>
          <w:szCs w:val="22"/>
          <w:lang w:val="es-ES" w:eastAsia="es-CR"/>
        </w:rPr>
        <w:t xml:space="preserve"> </w:t>
      </w:r>
      <w:r w:rsidR="00E51339" w:rsidRPr="00A156F4">
        <w:rPr>
          <w:rFonts w:eastAsia="Times New Roman"/>
          <w:sz w:val="22"/>
          <w:szCs w:val="22"/>
          <w:lang w:val="es-ES" w:eastAsia="es-CR"/>
        </w:rPr>
        <w:t>la</w:t>
      </w:r>
      <w:r w:rsidRPr="00A156F4">
        <w:rPr>
          <w:rFonts w:eastAsia="Times New Roman"/>
          <w:sz w:val="22"/>
          <w:szCs w:val="22"/>
          <w:lang w:val="es-ES" w:eastAsia="es-CR"/>
        </w:rPr>
        <w:t xml:space="preserve"> suspensión</w:t>
      </w:r>
      <w:r w:rsidR="00E51339" w:rsidRPr="00A156F4">
        <w:rPr>
          <w:rFonts w:eastAsia="Times New Roman"/>
          <w:sz w:val="22"/>
          <w:szCs w:val="22"/>
          <w:lang w:val="es-ES" w:eastAsia="es-CR"/>
        </w:rPr>
        <w:t xml:space="preserve"> de esta</w:t>
      </w:r>
      <w:r w:rsidRPr="00A156F4">
        <w:rPr>
          <w:rFonts w:eastAsia="Times New Roman"/>
          <w:sz w:val="22"/>
          <w:szCs w:val="22"/>
          <w:lang w:val="es-ES" w:eastAsia="es-CR"/>
        </w:rPr>
        <w:t xml:space="preserve">. </w:t>
      </w:r>
      <w:r w:rsidR="008514DA" w:rsidRPr="00A156F4">
        <w:rPr>
          <w:rFonts w:eastAsia="Times New Roman"/>
          <w:sz w:val="22"/>
          <w:szCs w:val="22"/>
          <w:lang w:val="es-ES" w:eastAsia="es-CR"/>
        </w:rPr>
        <w:t>La no presencia de los representantes legales del agente económico durante la inspección no impedirá la realización de esta.</w:t>
      </w:r>
    </w:p>
    <w:p w14:paraId="79FF108A" w14:textId="77777777" w:rsidR="00A9719A" w:rsidRPr="00A156F4" w:rsidRDefault="00A9719A" w:rsidP="008514DA">
      <w:pPr>
        <w:jc w:val="both"/>
        <w:rPr>
          <w:rFonts w:eastAsia="Times New Roman"/>
          <w:sz w:val="22"/>
          <w:szCs w:val="22"/>
          <w:lang w:val="es-ES" w:eastAsia="es-CR"/>
        </w:rPr>
      </w:pPr>
    </w:p>
    <w:p w14:paraId="492A7D96" w14:textId="3C7F1C28" w:rsidR="00E850EA" w:rsidRPr="00A156F4" w:rsidRDefault="00E850EA" w:rsidP="004B2F8B">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hAnsi="Times New Roman" w:cs="Times New Roman"/>
          <w:b/>
          <w:bCs/>
          <w:i w:val="0"/>
          <w:color w:val="auto"/>
          <w:sz w:val="22"/>
          <w:szCs w:val="22"/>
        </w:rPr>
        <w:t>8</w:t>
      </w:r>
      <w:r w:rsidR="00D76ADC" w:rsidRPr="00A156F4">
        <w:rPr>
          <w:rFonts w:ascii="Times New Roman" w:eastAsia="Times New Roman" w:hAnsi="Times New Roman" w:cs="Times New Roman"/>
          <w:b/>
          <w:i w:val="0"/>
          <w:iCs w:val="0"/>
          <w:color w:val="auto"/>
          <w:sz w:val="22"/>
          <w:szCs w:val="22"/>
          <w:lang w:val="es-CR" w:eastAsia="en-US"/>
        </w:rPr>
        <w:t>7</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Ampliación</w:t>
      </w:r>
      <w:r w:rsidR="00FA31C3" w:rsidRPr="00A156F4">
        <w:rPr>
          <w:rFonts w:ascii="Times New Roman" w:eastAsia="Times New Roman" w:hAnsi="Times New Roman" w:cs="Times New Roman"/>
          <w:b/>
          <w:i w:val="0"/>
          <w:iCs w:val="0"/>
          <w:color w:val="auto"/>
          <w:sz w:val="22"/>
          <w:szCs w:val="22"/>
          <w:lang w:val="es-CR" w:eastAsia="en-US"/>
        </w:rPr>
        <w:t xml:space="preserve"> de la inspección</w:t>
      </w:r>
    </w:p>
    <w:p w14:paraId="7E20C7D1" w14:textId="77777777" w:rsidR="00E850EA" w:rsidRPr="00A156F4" w:rsidRDefault="00E850EA" w:rsidP="004B2F8B">
      <w:pPr>
        <w:jc w:val="both"/>
        <w:rPr>
          <w:rFonts w:eastAsia="Times New Roman"/>
          <w:sz w:val="22"/>
          <w:szCs w:val="22"/>
          <w:lang w:eastAsia="es-CR"/>
        </w:rPr>
      </w:pPr>
    </w:p>
    <w:p w14:paraId="4A9EA572" w14:textId="7251DE69" w:rsidR="00E850EA" w:rsidRPr="00A156F4" w:rsidRDefault="00E850EA" w:rsidP="004B2F8B">
      <w:pPr>
        <w:jc w:val="both"/>
        <w:rPr>
          <w:rFonts w:eastAsia="Times New Roman"/>
          <w:sz w:val="22"/>
          <w:szCs w:val="22"/>
          <w:lang w:eastAsia="es-CR"/>
        </w:rPr>
      </w:pPr>
      <w:r w:rsidRPr="00A156F4">
        <w:rPr>
          <w:rFonts w:eastAsia="Times New Roman"/>
          <w:sz w:val="22"/>
          <w:szCs w:val="22"/>
          <w:lang w:eastAsia="es-CR"/>
        </w:rPr>
        <w:t>Si durante la inspección surge sospecha razonable de que en cualesquiera otros locales o establecimientos se hallan libros u otra documentación relevante para el objeto de la inspección</w:t>
      </w:r>
      <w:r w:rsidR="00E51339" w:rsidRPr="00A156F4">
        <w:rPr>
          <w:rFonts w:eastAsia="Times New Roman"/>
          <w:sz w:val="22"/>
          <w:szCs w:val="22"/>
          <w:lang w:eastAsia="es-CR"/>
        </w:rPr>
        <w:t>,</w:t>
      </w:r>
      <w:r w:rsidRPr="00A156F4">
        <w:rPr>
          <w:rFonts w:eastAsia="Times New Roman"/>
          <w:sz w:val="22"/>
          <w:szCs w:val="22"/>
          <w:lang w:eastAsia="es-CR"/>
        </w:rPr>
        <w:t xml:space="preserve"> que puedan servir para demostrar una práctica monopolística, el Órgano Superior </w:t>
      </w:r>
      <w:r w:rsidR="007F79CD" w:rsidRPr="00A156F4">
        <w:rPr>
          <w:sz w:val="22"/>
          <w:szCs w:val="22"/>
          <w:lang w:val="es-ES"/>
        </w:rPr>
        <w:t xml:space="preserve">de la autoridad de competencia correspondiente </w:t>
      </w:r>
      <w:r w:rsidRPr="00A156F4">
        <w:rPr>
          <w:rFonts w:eastAsia="Times New Roman"/>
          <w:sz w:val="22"/>
          <w:szCs w:val="22"/>
          <w:lang w:eastAsia="es-CR"/>
        </w:rPr>
        <w:t xml:space="preserve">podrá solicitar a la autoridad judicial competente una ampliación de la autorización concedida, para que se realice una inspección en </w:t>
      </w:r>
      <w:r w:rsidR="00935253" w:rsidRPr="00A156F4">
        <w:rPr>
          <w:rFonts w:eastAsia="Times New Roman"/>
          <w:sz w:val="22"/>
          <w:szCs w:val="22"/>
          <w:lang w:eastAsia="es-CR"/>
        </w:rPr>
        <w:t xml:space="preserve">dichos </w:t>
      </w:r>
      <w:r w:rsidRPr="00A156F4">
        <w:rPr>
          <w:rFonts w:eastAsia="Times New Roman"/>
          <w:sz w:val="22"/>
          <w:szCs w:val="22"/>
          <w:lang w:eastAsia="es-CR"/>
        </w:rPr>
        <w:t xml:space="preserve">locales o </w:t>
      </w:r>
      <w:r w:rsidR="00347987" w:rsidRPr="00A156F4">
        <w:rPr>
          <w:rFonts w:eastAsia="Times New Roman"/>
          <w:sz w:val="22"/>
          <w:szCs w:val="22"/>
          <w:lang w:eastAsia="es-CR"/>
        </w:rPr>
        <w:t>sitios</w:t>
      </w:r>
      <w:r w:rsidRPr="00A156F4">
        <w:rPr>
          <w:rFonts w:eastAsia="Times New Roman"/>
          <w:sz w:val="22"/>
          <w:szCs w:val="22"/>
          <w:lang w:eastAsia="es-CR"/>
        </w:rPr>
        <w:t xml:space="preserve">. </w:t>
      </w:r>
    </w:p>
    <w:p w14:paraId="433DDE74" w14:textId="017FCB25" w:rsidR="00E850EA" w:rsidRPr="00A156F4" w:rsidRDefault="00E850EA" w:rsidP="004B2F8B">
      <w:pPr>
        <w:jc w:val="both"/>
        <w:rPr>
          <w:rFonts w:eastAsia="Times New Roman"/>
          <w:strike/>
          <w:sz w:val="22"/>
          <w:szCs w:val="22"/>
          <w:lang w:val="es-ES" w:eastAsia="es-CR"/>
        </w:rPr>
      </w:pPr>
    </w:p>
    <w:p w14:paraId="1EA0EB7D" w14:textId="77777777" w:rsidR="005F7DB9" w:rsidRPr="00A156F4" w:rsidRDefault="005F7DB9" w:rsidP="004B2F8B">
      <w:pPr>
        <w:jc w:val="both"/>
        <w:rPr>
          <w:rFonts w:eastAsia="Times New Roman"/>
          <w:strike/>
          <w:sz w:val="22"/>
          <w:szCs w:val="22"/>
          <w:lang w:val="es-ES" w:eastAsia="es-CR"/>
        </w:rPr>
      </w:pPr>
    </w:p>
    <w:p w14:paraId="378BF264" w14:textId="77777777" w:rsidR="00D839B4" w:rsidRPr="00A156F4" w:rsidRDefault="00D839B4" w:rsidP="004B2F8B">
      <w:pPr>
        <w:pStyle w:val="Ttulo2"/>
        <w:spacing w:before="0"/>
        <w:jc w:val="center"/>
        <w:rPr>
          <w:rFonts w:ascii="Times New Roman" w:eastAsia="Times New Roman" w:hAnsi="Times New Roman" w:cs="Times New Roman"/>
          <w:b/>
          <w:color w:val="auto"/>
          <w:sz w:val="22"/>
          <w:szCs w:val="22"/>
          <w:lang w:val="es-CR" w:eastAsia="en-US"/>
        </w:rPr>
      </w:pPr>
      <w:bookmarkStart w:id="36" w:name="_Hlk536805211"/>
      <w:bookmarkStart w:id="37" w:name="_Hlk523045559"/>
      <w:r w:rsidRPr="00A156F4">
        <w:rPr>
          <w:rFonts w:ascii="Times New Roman" w:eastAsia="Times New Roman" w:hAnsi="Times New Roman" w:cs="Times New Roman"/>
          <w:b/>
          <w:color w:val="auto"/>
          <w:sz w:val="22"/>
          <w:szCs w:val="22"/>
          <w:lang w:val="es-CR" w:eastAsia="en-US"/>
        </w:rPr>
        <w:t>CAPÍTULO</w:t>
      </w:r>
      <w:r w:rsidR="00896AD6" w:rsidRPr="00A156F4">
        <w:rPr>
          <w:rFonts w:ascii="Times New Roman" w:eastAsia="Times New Roman" w:hAnsi="Times New Roman" w:cs="Times New Roman"/>
          <w:b/>
          <w:color w:val="auto"/>
          <w:sz w:val="22"/>
          <w:szCs w:val="22"/>
          <w:lang w:val="es-CR" w:eastAsia="en-US"/>
        </w:rPr>
        <w:t xml:space="preserve"> V</w:t>
      </w:r>
    </w:p>
    <w:p w14:paraId="0EDEAF89" w14:textId="77777777" w:rsidR="00D839B4" w:rsidRPr="00A156F4" w:rsidRDefault="00D839B4" w:rsidP="004B2F8B">
      <w:pPr>
        <w:pStyle w:val="Ttulo2"/>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Control de concentraciones</w:t>
      </w:r>
    </w:p>
    <w:p w14:paraId="1000E002" w14:textId="77777777" w:rsidR="00D839B4" w:rsidRPr="00A156F4" w:rsidRDefault="00D839B4" w:rsidP="004B2F8B">
      <w:pPr>
        <w:pStyle w:val="Ttulo4"/>
        <w:spacing w:before="0"/>
        <w:jc w:val="center"/>
        <w:rPr>
          <w:rFonts w:ascii="Times New Roman" w:eastAsia="Times New Roman" w:hAnsi="Times New Roman" w:cs="Times New Roman"/>
          <w:b/>
          <w:i w:val="0"/>
          <w:iCs w:val="0"/>
          <w:color w:val="auto"/>
          <w:sz w:val="22"/>
          <w:szCs w:val="22"/>
          <w:lang w:val="es-CR" w:eastAsia="en-US"/>
        </w:rPr>
      </w:pPr>
    </w:p>
    <w:p w14:paraId="0C9E59E9" w14:textId="77777777" w:rsidR="00D839B4" w:rsidRPr="00A156F4" w:rsidRDefault="00D839B4" w:rsidP="004B2F8B">
      <w:pPr>
        <w:pStyle w:val="Ttulo3"/>
        <w:keepNext w:val="0"/>
        <w:keepLines w:val="0"/>
        <w:spacing w:before="0"/>
        <w:contextualSpacing/>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SECCIÓN</w:t>
      </w:r>
      <w:r w:rsidR="00896AD6" w:rsidRPr="00A156F4">
        <w:rPr>
          <w:rFonts w:ascii="Times New Roman" w:eastAsia="Times New Roman" w:hAnsi="Times New Roman" w:cs="Times New Roman"/>
          <w:b/>
          <w:color w:val="auto"/>
          <w:sz w:val="22"/>
          <w:szCs w:val="22"/>
          <w:lang w:val="es-CR" w:eastAsia="en-US"/>
        </w:rPr>
        <w:t xml:space="preserve"> I</w:t>
      </w:r>
    </w:p>
    <w:p w14:paraId="31EC076D" w14:textId="1E76DD5C" w:rsidR="00D839B4" w:rsidRPr="00A156F4" w:rsidRDefault="00485BB7" w:rsidP="004B2F8B">
      <w:pPr>
        <w:pStyle w:val="Ttulo2"/>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Análisis de Concentraciones</w:t>
      </w:r>
    </w:p>
    <w:bookmarkEnd w:id="36"/>
    <w:p w14:paraId="5116CD6D" w14:textId="77777777" w:rsidR="005F7DB9" w:rsidRPr="00A156F4" w:rsidRDefault="005F7DB9" w:rsidP="005F7DB9">
      <w:pPr>
        <w:rPr>
          <w:sz w:val="22"/>
          <w:szCs w:val="22"/>
          <w:lang w:val="es-CR" w:eastAsia="en-US"/>
        </w:rPr>
      </w:pPr>
    </w:p>
    <w:bookmarkEnd w:id="37"/>
    <w:p w14:paraId="46E5BAE3" w14:textId="77777777" w:rsidR="00DE38A8" w:rsidRPr="00A156F4" w:rsidRDefault="00DE38A8" w:rsidP="004B2F8B">
      <w:pPr>
        <w:rPr>
          <w:sz w:val="22"/>
          <w:szCs w:val="22"/>
          <w:lang w:val="es-ES" w:eastAsia="es-CR"/>
        </w:rPr>
      </w:pPr>
    </w:p>
    <w:p w14:paraId="16B8AD48" w14:textId="736804F8" w:rsidR="00AE70AD" w:rsidRPr="00A156F4" w:rsidRDefault="003D2C71" w:rsidP="004B2F8B">
      <w:pPr>
        <w:jc w:val="both"/>
        <w:rPr>
          <w:rFonts w:eastAsia="Times New Roman"/>
          <w:b/>
          <w:iCs/>
          <w:sz w:val="22"/>
          <w:szCs w:val="22"/>
          <w:lang w:val="es-CR" w:eastAsia="en-US"/>
        </w:rPr>
      </w:pPr>
      <w:r w:rsidRPr="00A156F4">
        <w:rPr>
          <w:b/>
          <w:sz w:val="22"/>
          <w:szCs w:val="22"/>
        </w:rPr>
        <w:t>Artículo</w:t>
      </w:r>
      <w:r w:rsidRPr="00A156F4">
        <w:rPr>
          <w:b/>
          <w:bCs/>
          <w:sz w:val="22"/>
          <w:szCs w:val="22"/>
        </w:rPr>
        <w:t xml:space="preserve"> </w:t>
      </w:r>
      <w:r w:rsidR="00701AF7" w:rsidRPr="00A156F4">
        <w:rPr>
          <w:rFonts w:eastAsia="Times New Roman"/>
          <w:b/>
          <w:iCs/>
          <w:sz w:val="22"/>
          <w:szCs w:val="22"/>
          <w:lang w:val="es-CR" w:eastAsia="en-US"/>
        </w:rPr>
        <w:t>88</w:t>
      </w:r>
      <w:r w:rsidR="006929FF" w:rsidRPr="00A156F4">
        <w:rPr>
          <w:rFonts w:eastAsia="Times New Roman"/>
          <w:b/>
          <w:iCs/>
          <w:sz w:val="22"/>
          <w:szCs w:val="22"/>
          <w:lang w:val="es-CR" w:eastAsia="en-US"/>
        </w:rPr>
        <w:t>.-</w:t>
      </w:r>
      <w:r w:rsidR="00F153AC" w:rsidRPr="00A156F4">
        <w:rPr>
          <w:rFonts w:eastAsia="Times New Roman"/>
          <w:b/>
          <w:iCs/>
          <w:sz w:val="22"/>
          <w:szCs w:val="22"/>
          <w:lang w:val="es-CR" w:eastAsia="en-US"/>
        </w:rPr>
        <w:t xml:space="preserve"> </w:t>
      </w:r>
      <w:r w:rsidR="00D839B4" w:rsidRPr="00A156F4">
        <w:rPr>
          <w:rFonts w:eastAsia="Times New Roman"/>
          <w:b/>
          <w:iCs/>
          <w:sz w:val="22"/>
          <w:szCs w:val="22"/>
          <w:lang w:val="es-CR" w:eastAsia="en-US"/>
        </w:rPr>
        <w:t>Concentración</w:t>
      </w:r>
    </w:p>
    <w:p w14:paraId="25BF3489" w14:textId="6AA56347" w:rsidR="009B79B6" w:rsidRPr="00A156F4" w:rsidRDefault="009B79B6" w:rsidP="004B2F8B">
      <w:pPr>
        <w:jc w:val="both"/>
        <w:rPr>
          <w:rFonts w:eastAsia="Times New Roman"/>
          <w:sz w:val="22"/>
          <w:szCs w:val="22"/>
          <w:lang w:val="es-ES" w:eastAsia="es-ES"/>
        </w:rPr>
      </w:pPr>
    </w:p>
    <w:p w14:paraId="5085A453" w14:textId="77777777" w:rsidR="009B79B6" w:rsidRPr="00A156F4" w:rsidRDefault="009B79B6" w:rsidP="009B79B6">
      <w:pPr>
        <w:jc w:val="both"/>
        <w:rPr>
          <w:sz w:val="22"/>
          <w:szCs w:val="22"/>
          <w:lang w:val="es-ES" w:eastAsia="es-ES"/>
        </w:rPr>
      </w:pPr>
      <w:bookmarkStart w:id="38" w:name="_Hlk536707834"/>
      <w:r w:rsidRPr="00A156F4">
        <w:rPr>
          <w:color w:val="000000"/>
          <w:sz w:val="22"/>
          <w:szCs w:val="22"/>
        </w:rPr>
        <w:t>Se entiende por concentración la fusión, la adquisición, la compraventa del establecimiento mercantil, la alianza estratégica, o cualquier otro acto o contrato, en virtud del cual se concentren las sociedades, las asociaciones, las acciones, el capital social, los fideicomisos, los poderes de dirección o los activos en general; que se realicen entre competidores, proveedores, clientes u otros agentes económicos, que han sido independientes entre sí y que resulten en la adquisición duradera del control económico por parte de uno de ellos sobre el otro u otros, o en la formación de un nuevo agente económico bajo el control conjunto de dos o más agentes económicos; así como cualquier transacción mediante la cual cualquier persona física o jurídica, pública o privada, adquiera el control de dos o más agentes económicos independientes entre sí.</w:t>
      </w:r>
      <w:bookmarkEnd w:id="38"/>
    </w:p>
    <w:p w14:paraId="09E76941" w14:textId="77777777" w:rsidR="00E90E85" w:rsidRPr="00A156F4" w:rsidRDefault="00E90E85" w:rsidP="00E90E85">
      <w:pPr>
        <w:jc w:val="both"/>
        <w:rPr>
          <w:rFonts w:eastAsia="Times New Roman"/>
          <w:sz w:val="22"/>
          <w:szCs w:val="22"/>
          <w:lang w:val="es-ES" w:eastAsia="es-ES"/>
        </w:rPr>
      </w:pPr>
      <w:bookmarkStart w:id="39" w:name="_Hlk523045594"/>
    </w:p>
    <w:p w14:paraId="0DBD88C1" w14:textId="78938125"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89</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Concentraciones sujetas a notificación previa</w:t>
      </w:r>
    </w:p>
    <w:p w14:paraId="3B34190C" w14:textId="77777777" w:rsidR="00E90E85" w:rsidRPr="00A156F4" w:rsidRDefault="00E90E85" w:rsidP="00E90E85">
      <w:pPr>
        <w:jc w:val="both"/>
        <w:rPr>
          <w:rFonts w:eastAsia="Calibri"/>
          <w:sz w:val="22"/>
          <w:szCs w:val="22"/>
        </w:rPr>
      </w:pPr>
    </w:p>
    <w:p w14:paraId="58B1BF65" w14:textId="2C4E6C67" w:rsidR="00E90E85" w:rsidRPr="00A156F4" w:rsidRDefault="00E90E85" w:rsidP="00E90E85">
      <w:pPr>
        <w:jc w:val="both"/>
        <w:rPr>
          <w:sz w:val="22"/>
          <w:szCs w:val="22"/>
        </w:rPr>
      </w:pPr>
      <w:r w:rsidRPr="00A156F4">
        <w:rPr>
          <w:rFonts w:eastAsia="Calibri"/>
          <w:sz w:val="22"/>
          <w:szCs w:val="22"/>
        </w:rPr>
        <w:t xml:space="preserve">Deberán notificarse previamente a la </w:t>
      </w:r>
      <w:proofErr w:type="spellStart"/>
      <w:r w:rsidRPr="00A156F4">
        <w:rPr>
          <w:rFonts w:eastAsia="Calibri"/>
          <w:sz w:val="22"/>
          <w:szCs w:val="22"/>
        </w:rPr>
        <w:t>Coprocom</w:t>
      </w:r>
      <w:proofErr w:type="spellEnd"/>
      <w:r w:rsidRPr="00A156F4">
        <w:rPr>
          <w:rFonts w:eastAsia="Calibri"/>
          <w:sz w:val="22"/>
          <w:szCs w:val="22"/>
        </w:rPr>
        <w:t xml:space="preserve"> aquellas </w:t>
      </w:r>
      <w:r w:rsidRPr="00A156F4">
        <w:rPr>
          <w:sz w:val="22"/>
          <w:szCs w:val="22"/>
        </w:rPr>
        <w:t>concentraciones en las que se cumplan con los siguientes criterios de manera concurrente:</w:t>
      </w:r>
    </w:p>
    <w:p w14:paraId="36085DF5" w14:textId="77777777" w:rsidR="00E90E85" w:rsidRPr="00A156F4" w:rsidRDefault="00E90E85" w:rsidP="00E90E85">
      <w:pPr>
        <w:jc w:val="both"/>
        <w:rPr>
          <w:sz w:val="22"/>
          <w:szCs w:val="22"/>
        </w:rPr>
      </w:pPr>
    </w:p>
    <w:p w14:paraId="7A0958CA" w14:textId="7F206010" w:rsidR="00E90E85" w:rsidRPr="00A156F4" w:rsidRDefault="00E90E85" w:rsidP="00E90E85">
      <w:pPr>
        <w:numPr>
          <w:ilvl w:val="0"/>
          <w:numId w:val="12"/>
        </w:numPr>
        <w:ind w:left="788"/>
        <w:contextualSpacing/>
        <w:jc w:val="both"/>
        <w:rPr>
          <w:rFonts w:eastAsia="Calibri"/>
          <w:sz w:val="22"/>
          <w:szCs w:val="22"/>
        </w:rPr>
      </w:pPr>
      <w:r w:rsidRPr="00A156F4">
        <w:rPr>
          <w:rFonts w:eastAsia="Calibri"/>
          <w:sz w:val="22"/>
          <w:szCs w:val="22"/>
        </w:rPr>
        <w:t>Que participen al menos dos agentes económicos que realicen o hayan realizado actividades</w:t>
      </w:r>
      <w:r w:rsidR="009B79B6" w:rsidRPr="00A156F4">
        <w:rPr>
          <w:rFonts w:eastAsia="Calibri"/>
          <w:sz w:val="22"/>
          <w:szCs w:val="22"/>
        </w:rPr>
        <w:t xml:space="preserve"> </w:t>
      </w:r>
      <w:r w:rsidRPr="00A156F4">
        <w:rPr>
          <w:rFonts w:eastAsia="Calibri"/>
          <w:sz w:val="22"/>
          <w:szCs w:val="22"/>
        </w:rPr>
        <w:t>con incidencia en Costa Rica en cualquier momento durante los dos períodos fiscales previos a la transacción</w:t>
      </w:r>
      <w:r w:rsidR="001D79BA" w:rsidRPr="00A156F4">
        <w:rPr>
          <w:rFonts w:eastAsia="Calibri"/>
          <w:sz w:val="22"/>
          <w:szCs w:val="22"/>
        </w:rPr>
        <w:t>.</w:t>
      </w:r>
    </w:p>
    <w:p w14:paraId="53A046F3" w14:textId="77777777" w:rsidR="00E90E85" w:rsidRPr="00A156F4" w:rsidRDefault="00E90E85" w:rsidP="00E90E85">
      <w:pPr>
        <w:ind w:left="708"/>
        <w:jc w:val="both"/>
        <w:rPr>
          <w:rFonts w:eastAsia="Calibri"/>
          <w:sz w:val="22"/>
          <w:szCs w:val="22"/>
        </w:rPr>
      </w:pPr>
    </w:p>
    <w:p w14:paraId="46CEC500" w14:textId="1812433F" w:rsidR="00E90E85" w:rsidRPr="00A156F4" w:rsidRDefault="00E90E85" w:rsidP="00E90E85">
      <w:pPr>
        <w:numPr>
          <w:ilvl w:val="0"/>
          <w:numId w:val="12"/>
        </w:numPr>
        <w:ind w:left="788"/>
        <w:contextualSpacing/>
        <w:jc w:val="both"/>
        <w:rPr>
          <w:sz w:val="22"/>
          <w:szCs w:val="22"/>
        </w:rPr>
      </w:pPr>
      <w:r w:rsidRPr="00A156F4">
        <w:rPr>
          <w:rFonts w:eastAsia="Calibri"/>
          <w:sz w:val="22"/>
          <w:szCs w:val="22"/>
        </w:rPr>
        <w:t>Que ya sea la</w:t>
      </w:r>
      <w:r w:rsidRPr="00A156F4">
        <w:rPr>
          <w:sz w:val="22"/>
          <w:szCs w:val="22"/>
        </w:rPr>
        <w:t xml:space="preserve"> suma </w:t>
      </w:r>
      <w:r w:rsidRPr="00A156F4">
        <w:rPr>
          <w:rFonts w:eastAsia="Calibri"/>
          <w:sz w:val="22"/>
          <w:szCs w:val="22"/>
        </w:rPr>
        <w:t>de las ventas</w:t>
      </w:r>
      <w:r w:rsidR="009B79B6" w:rsidRPr="00A156F4">
        <w:rPr>
          <w:rFonts w:eastAsia="Calibri"/>
          <w:sz w:val="22"/>
          <w:szCs w:val="22"/>
        </w:rPr>
        <w:t xml:space="preserve"> brutas</w:t>
      </w:r>
      <w:r w:rsidRPr="00A156F4">
        <w:rPr>
          <w:rFonts w:eastAsia="Calibri"/>
          <w:sz w:val="22"/>
          <w:szCs w:val="22"/>
        </w:rPr>
        <w:t xml:space="preserve"> o</w:t>
      </w:r>
      <w:r w:rsidRPr="00A156F4">
        <w:rPr>
          <w:sz w:val="22"/>
          <w:szCs w:val="22"/>
        </w:rPr>
        <w:t xml:space="preserve"> la suma de los activos productivos en </w:t>
      </w:r>
      <w:r w:rsidRPr="00A156F4">
        <w:rPr>
          <w:rFonts w:eastAsia="Calibri"/>
          <w:sz w:val="22"/>
          <w:szCs w:val="22"/>
        </w:rPr>
        <w:t>Costa Rica del conjunto</w:t>
      </w:r>
      <w:r w:rsidRPr="00A156F4" w:rsidDel="00017883">
        <w:rPr>
          <w:sz w:val="22"/>
          <w:szCs w:val="22"/>
        </w:rPr>
        <w:t xml:space="preserve"> </w:t>
      </w:r>
      <w:r w:rsidRPr="00A156F4">
        <w:rPr>
          <w:sz w:val="22"/>
          <w:szCs w:val="22"/>
        </w:rPr>
        <w:t>de los agentes económicos</w:t>
      </w:r>
      <w:r w:rsidRPr="00A156F4">
        <w:rPr>
          <w:rFonts w:eastAsia="Calibri"/>
          <w:sz w:val="22"/>
          <w:szCs w:val="22"/>
        </w:rPr>
        <w:t xml:space="preserve"> involucrados en la transacción hayan alcanzado durante el periodo fiscal </w:t>
      </w:r>
      <w:r w:rsidRPr="00A156F4">
        <w:rPr>
          <w:sz w:val="22"/>
          <w:szCs w:val="22"/>
        </w:rPr>
        <w:t>anterior</w:t>
      </w:r>
      <w:r w:rsidRPr="00A156F4">
        <w:rPr>
          <w:rFonts w:eastAsia="Calibri"/>
          <w:sz w:val="22"/>
          <w:szCs w:val="22"/>
        </w:rPr>
        <w:t xml:space="preserve">, montos iguales o superiores al umbral establecido por la </w:t>
      </w:r>
      <w:proofErr w:type="spellStart"/>
      <w:r w:rsidRPr="00A156F4">
        <w:rPr>
          <w:rFonts w:eastAsia="Calibri"/>
          <w:sz w:val="22"/>
          <w:szCs w:val="22"/>
        </w:rPr>
        <w:t>Coprocom</w:t>
      </w:r>
      <w:proofErr w:type="spellEnd"/>
      <w:r w:rsidRPr="00A156F4">
        <w:rPr>
          <w:rFonts w:eastAsia="Calibri"/>
          <w:sz w:val="22"/>
          <w:szCs w:val="22"/>
        </w:rPr>
        <w:t>, dentro del rango de treinta mil a sesenta mil salarios base</w:t>
      </w:r>
      <w:r w:rsidR="001D79BA" w:rsidRPr="00A156F4">
        <w:rPr>
          <w:rFonts w:eastAsia="Calibri"/>
          <w:sz w:val="22"/>
          <w:szCs w:val="22"/>
        </w:rPr>
        <w:t>.</w:t>
      </w:r>
    </w:p>
    <w:p w14:paraId="056859FC" w14:textId="77777777" w:rsidR="00E90E85" w:rsidRPr="00A156F4" w:rsidRDefault="00E90E85" w:rsidP="00E90E85">
      <w:pPr>
        <w:rPr>
          <w:sz w:val="22"/>
          <w:szCs w:val="22"/>
        </w:rPr>
      </w:pPr>
    </w:p>
    <w:p w14:paraId="0F50C8E1" w14:textId="5D877B22" w:rsidR="00E90E85" w:rsidRPr="00A156F4" w:rsidRDefault="00E90E85" w:rsidP="00E90E85">
      <w:pPr>
        <w:numPr>
          <w:ilvl w:val="0"/>
          <w:numId w:val="12"/>
        </w:numPr>
        <w:tabs>
          <w:tab w:val="left" w:pos="851"/>
        </w:tabs>
        <w:ind w:left="788"/>
        <w:contextualSpacing/>
        <w:jc w:val="both"/>
        <w:rPr>
          <w:sz w:val="22"/>
          <w:szCs w:val="22"/>
        </w:rPr>
      </w:pPr>
      <w:r w:rsidRPr="00A156F4">
        <w:rPr>
          <w:sz w:val="22"/>
          <w:szCs w:val="22"/>
        </w:rPr>
        <w:t>Que individualmente</w:t>
      </w:r>
      <w:r w:rsidR="009B79B6" w:rsidRPr="00A156F4">
        <w:rPr>
          <w:sz w:val="22"/>
          <w:szCs w:val="22"/>
        </w:rPr>
        <w:t>, cada uno de</w:t>
      </w:r>
      <w:r w:rsidRPr="00A156F4">
        <w:rPr>
          <w:sz w:val="22"/>
          <w:szCs w:val="22"/>
        </w:rPr>
        <w:t xml:space="preserve"> los agentes económicos involucrados en la transacción hayan generado ventas </w:t>
      </w:r>
      <w:r w:rsidR="009B79B6" w:rsidRPr="00A156F4">
        <w:rPr>
          <w:sz w:val="22"/>
          <w:szCs w:val="22"/>
        </w:rPr>
        <w:t xml:space="preserve">brutas </w:t>
      </w:r>
      <w:r w:rsidRPr="00A156F4">
        <w:rPr>
          <w:sz w:val="22"/>
          <w:szCs w:val="22"/>
        </w:rPr>
        <w:t xml:space="preserve">en Costa Rica durante el ejercicio fiscal anterior, por montos iguales o superiores al umbral establecido por la </w:t>
      </w:r>
      <w:proofErr w:type="spellStart"/>
      <w:r w:rsidRPr="00A156F4">
        <w:rPr>
          <w:sz w:val="22"/>
          <w:szCs w:val="22"/>
        </w:rPr>
        <w:t>Coprocom</w:t>
      </w:r>
      <w:proofErr w:type="spellEnd"/>
      <w:r w:rsidRPr="00A156F4">
        <w:rPr>
          <w:sz w:val="22"/>
          <w:szCs w:val="22"/>
        </w:rPr>
        <w:t>,</w:t>
      </w:r>
      <w:r w:rsidRPr="00A156F4">
        <w:rPr>
          <w:rFonts w:eastAsia="Calibri"/>
          <w:sz w:val="22"/>
          <w:szCs w:val="22"/>
        </w:rPr>
        <w:t xml:space="preserve"> dentro del rango de tres mil a nueve mil salarios base.</w:t>
      </w:r>
    </w:p>
    <w:p w14:paraId="29371949" w14:textId="77777777" w:rsidR="00E90E85" w:rsidRPr="00A156F4" w:rsidRDefault="00E90E85" w:rsidP="00E90E85">
      <w:pPr>
        <w:jc w:val="both"/>
        <w:rPr>
          <w:rFonts w:eastAsia="Calibri"/>
          <w:sz w:val="22"/>
          <w:szCs w:val="22"/>
        </w:rPr>
      </w:pPr>
    </w:p>
    <w:p w14:paraId="41D1CC2D" w14:textId="77777777" w:rsidR="00E90E85" w:rsidRPr="00A156F4" w:rsidRDefault="00E90E85" w:rsidP="001D79BA">
      <w:pPr>
        <w:autoSpaceDE w:val="0"/>
        <w:autoSpaceDN w:val="0"/>
        <w:jc w:val="both"/>
        <w:rPr>
          <w:rFonts w:eastAsia="Calibri"/>
          <w:sz w:val="22"/>
          <w:szCs w:val="22"/>
        </w:rPr>
      </w:pPr>
      <w:r w:rsidRPr="00A156F4">
        <w:rPr>
          <w:rFonts w:eastAsia="Calibri"/>
          <w:sz w:val="22"/>
          <w:szCs w:val="22"/>
        </w:rPr>
        <w:t>Lo anterior aplica para transacciones sucesivas que se perfeccionen dentro de un plazo de dos años y que en total superen los umbrales establecidos en los incisos b) y c).</w:t>
      </w:r>
    </w:p>
    <w:p w14:paraId="2892BF34" w14:textId="77777777" w:rsidR="00E90E85" w:rsidRPr="00A156F4" w:rsidRDefault="00E90E85" w:rsidP="001D79BA">
      <w:pPr>
        <w:autoSpaceDE w:val="0"/>
        <w:autoSpaceDN w:val="0"/>
        <w:jc w:val="both"/>
        <w:rPr>
          <w:sz w:val="22"/>
          <w:szCs w:val="22"/>
        </w:rPr>
      </w:pPr>
    </w:p>
    <w:p w14:paraId="20BDF41A" w14:textId="554493B7" w:rsidR="00E90E85" w:rsidRPr="00A156F4" w:rsidRDefault="00E90E85" w:rsidP="00E90E85">
      <w:pPr>
        <w:contextualSpacing/>
        <w:jc w:val="both"/>
        <w:rPr>
          <w:rFonts w:eastAsia="Times New Roman"/>
          <w:sz w:val="22"/>
          <w:szCs w:val="22"/>
          <w:lang w:eastAsia="es-CR"/>
        </w:rPr>
      </w:pPr>
      <w:r w:rsidRPr="00A156F4">
        <w:rPr>
          <w:sz w:val="22"/>
          <w:szCs w:val="22"/>
        </w:rPr>
        <w:t xml:space="preserve">En los casos que se cumplan los supuestos señalados en este artículo, todos los agentes económicos </w:t>
      </w:r>
      <w:r w:rsidR="009B79B6" w:rsidRPr="00A156F4">
        <w:rPr>
          <w:sz w:val="22"/>
          <w:szCs w:val="22"/>
        </w:rPr>
        <w:t>participantes</w:t>
      </w:r>
      <w:r w:rsidRPr="00A156F4">
        <w:rPr>
          <w:sz w:val="22"/>
          <w:szCs w:val="22"/>
        </w:rPr>
        <w:t xml:space="preserve"> en la concentración </w:t>
      </w:r>
      <w:r w:rsidR="001D79BA" w:rsidRPr="00A156F4">
        <w:rPr>
          <w:sz w:val="22"/>
          <w:szCs w:val="22"/>
        </w:rPr>
        <w:t xml:space="preserve">tendrán </w:t>
      </w:r>
      <w:r w:rsidRPr="00A156F4">
        <w:rPr>
          <w:sz w:val="22"/>
          <w:szCs w:val="22"/>
        </w:rPr>
        <w:t>la obligación de notificar</w:t>
      </w:r>
      <w:r w:rsidR="009B79B6" w:rsidRPr="00A156F4">
        <w:rPr>
          <w:sz w:val="22"/>
          <w:szCs w:val="22"/>
        </w:rPr>
        <w:t>la</w:t>
      </w:r>
      <w:r w:rsidRPr="00A156F4">
        <w:rPr>
          <w:sz w:val="22"/>
          <w:szCs w:val="22"/>
        </w:rPr>
        <w:t xml:space="preserve"> ante la autoridad de competencia correspondiente</w:t>
      </w:r>
      <w:r w:rsidR="009B79B6" w:rsidRPr="00A156F4">
        <w:rPr>
          <w:sz w:val="22"/>
          <w:szCs w:val="22"/>
        </w:rPr>
        <w:t>.</w:t>
      </w:r>
      <w:r w:rsidRPr="00A156F4">
        <w:rPr>
          <w:sz w:val="22"/>
          <w:szCs w:val="22"/>
        </w:rPr>
        <w:t xml:space="preserve"> </w:t>
      </w:r>
      <w:r w:rsidR="00CC5A34" w:rsidRPr="00A156F4">
        <w:rPr>
          <w:sz w:val="22"/>
          <w:szCs w:val="22"/>
        </w:rPr>
        <w:t>No obstante</w:t>
      </w:r>
      <w:r w:rsidRPr="00A156F4">
        <w:rPr>
          <w:sz w:val="22"/>
          <w:szCs w:val="22"/>
        </w:rPr>
        <w:t xml:space="preserve">, bastará con la notificación realizada por cualquiera de ellos para liberarlos a todos de </w:t>
      </w:r>
      <w:r w:rsidR="00F4751A" w:rsidRPr="00A156F4">
        <w:rPr>
          <w:sz w:val="22"/>
          <w:szCs w:val="22"/>
        </w:rPr>
        <w:t>esta</w:t>
      </w:r>
      <w:r w:rsidRPr="00A156F4">
        <w:rPr>
          <w:sz w:val="22"/>
          <w:szCs w:val="22"/>
        </w:rPr>
        <w:t xml:space="preserve"> obligación. Dicha notificación la deberán realizar </w:t>
      </w:r>
      <w:r w:rsidRPr="00A156F4">
        <w:rPr>
          <w:rFonts w:eastAsia="Times New Roman"/>
          <w:sz w:val="22"/>
          <w:szCs w:val="22"/>
          <w:lang w:eastAsia="es-CR"/>
        </w:rPr>
        <w:t xml:space="preserve">en cualquier momento a partir de que exista algún acto tendiente a concretar la concentración y antes de que la transacción surta efectos en Costa Rica. </w:t>
      </w:r>
    </w:p>
    <w:p w14:paraId="324A447D" w14:textId="77777777" w:rsidR="00E90E85" w:rsidRPr="00A156F4" w:rsidRDefault="00E90E85" w:rsidP="00E90E85">
      <w:pPr>
        <w:contextualSpacing/>
        <w:jc w:val="both"/>
        <w:rPr>
          <w:sz w:val="22"/>
          <w:szCs w:val="22"/>
        </w:rPr>
      </w:pPr>
    </w:p>
    <w:p w14:paraId="1B7252EB" w14:textId="17231920" w:rsidR="005F7DB9" w:rsidRPr="00A156F4" w:rsidRDefault="00E90E85" w:rsidP="00E90E85">
      <w:pPr>
        <w:jc w:val="both"/>
        <w:rPr>
          <w:rFonts w:eastAsia="Calibri"/>
          <w:sz w:val="22"/>
          <w:szCs w:val="22"/>
        </w:rPr>
      </w:pPr>
      <w:r w:rsidRPr="00A156F4">
        <w:rPr>
          <w:sz w:val="22"/>
          <w:szCs w:val="22"/>
        </w:rPr>
        <w:t xml:space="preserve">La </w:t>
      </w:r>
      <w:proofErr w:type="spellStart"/>
      <w:r w:rsidRPr="00A156F4">
        <w:rPr>
          <w:sz w:val="22"/>
          <w:szCs w:val="22"/>
        </w:rPr>
        <w:t>Coprocom</w:t>
      </w:r>
      <w:proofErr w:type="spellEnd"/>
      <w:r w:rsidRPr="00A156F4">
        <w:rPr>
          <w:sz w:val="22"/>
          <w:szCs w:val="22"/>
        </w:rPr>
        <w:t xml:space="preserve"> definirá el umbral a aplicar mediante resolución razonada, basado en los rangos establecidos en el inciso b) y c), la cantidad de gestiones realizadas, el porcentaje de aprobación de concentraciones, y la adecuación a la</w:t>
      </w:r>
      <w:r w:rsidR="00754668" w:rsidRPr="00A156F4">
        <w:rPr>
          <w:sz w:val="22"/>
          <w:szCs w:val="22"/>
        </w:rPr>
        <w:t>s directrices emitidas sobre este particular</w:t>
      </w:r>
      <w:r w:rsidRPr="00A156F4">
        <w:rPr>
          <w:sz w:val="22"/>
          <w:szCs w:val="22"/>
        </w:rPr>
        <w:t xml:space="preserve">. En el caso de la </w:t>
      </w:r>
      <w:proofErr w:type="spellStart"/>
      <w:r w:rsidRPr="00A156F4">
        <w:rPr>
          <w:sz w:val="22"/>
          <w:szCs w:val="22"/>
        </w:rPr>
        <w:t>Sutel</w:t>
      </w:r>
      <w:proofErr w:type="spellEnd"/>
      <w:r w:rsidRPr="00A156F4">
        <w:rPr>
          <w:sz w:val="22"/>
          <w:szCs w:val="22"/>
        </w:rPr>
        <w:t>, requerirán notificación previa todas las concentraciones del mercado de las telecomunicaciones de conformidad con lo dispuesto en el artículo 56 de la Ley</w:t>
      </w:r>
      <w:r w:rsidRPr="00A156F4">
        <w:rPr>
          <w:rFonts w:eastAsia="Calibri"/>
          <w:sz w:val="22"/>
          <w:szCs w:val="22"/>
        </w:rPr>
        <w:t xml:space="preserve"> General de Telecomunic</w:t>
      </w:r>
      <w:r w:rsidR="00A614C5" w:rsidRPr="00A156F4">
        <w:rPr>
          <w:rFonts w:eastAsia="Calibri"/>
          <w:sz w:val="22"/>
          <w:szCs w:val="22"/>
        </w:rPr>
        <w:t>ac</w:t>
      </w:r>
      <w:r w:rsidRPr="00A156F4">
        <w:rPr>
          <w:rFonts w:eastAsia="Calibri"/>
          <w:sz w:val="22"/>
          <w:szCs w:val="22"/>
        </w:rPr>
        <w:t xml:space="preserve">iones, Ley </w:t>
      </w:r>
      <w:proofErr w:type="spellStart"/>
      <w:r w:rsidRPr="00A156F4">
        <w:rPr>
          <w:rFonts w:eastAsia="Calibri"/>
          <w:sz w:val="22"/>
          <w:szCs w:val="22"/>
        </w:rPr>
        <w:t>N°</w:t>
      </w:r>
      <w:proofErr w:type="spellEnd"/>
      <w:r w:rsidRPr="00A156F4">
        <w:rPr>
          <w:rFonts w:eastAsia="Calibri"/>
          <w:sz w:val="22"/>
          <w:szCs w:val="22"/>
        </w:rPr>
        <w:t>. 8642 del 4 de junio de 2008, sus reformas y sus reglamentos</w:t>
      </w:r>
      <w:r w:rsidR="00A614C5" w:rsidRPr="00A156F4">
        <w:rPr>
          <w:rFonts w:eastAsia="Calibri"/>
          <w:sz w:val="22"/>
          <w:szCs w:val="22"/>
        </w:rPr>
        <w:t>.</w:t>
      </w:r>
    </w:p>
    <w:p w14:paraId="51EE5C50" w14:textId="77777777" w:rsidR="00D51269" w:rsidRPr="00A156F4" w:rsidRDefault="00D51269" w:rsidP="00E90E85">
      <w:pPr>
        <w:jc w:val="both"/>
        <w:rPr>
          <w:rFonts w:eastAsia="Calibri"/>
          <w:sz w:val="22"/>
          <w:szCs w:val="22"/>
        </w:rPr>
      </w:pPr>
    </w:p>
    <w:p w14:paraId="762DA027" w14:textId="616BE078" w:rsidR="00E861AC" w:rsidRPr="00A156F4" w:rsidRDefault="00E861AC" w:rsidP="00E90E85">
      <w:pPr>
        <w:jc w:val="both"/>
        <w:rPr>
          <w:rFonts w:eastAsia="Calibri"/>
          <w:sz w:val="22"/>
          <w:szCs w:val="22"/>
        </w:rPr>
      </w:pPr>
      <w:r w:rsidRPr="00A156F4">
        <w:rPr>
          <w:b/>
          <w:sz w:val="22"/>
          <w:szCs w:val="22"/>
        </w:rPr>
        <w:t xml:space="preserve">Artículo </w:t>
      </w:r>
      <w:r w:rsidR="00701AF7" w:rsidRPr="00A156F4">
        <w:rPr>
          <w:b/>
          <w:sz w:val="22"/>
          <w:szCs w:val="22"/>
        </w:rPr>
        <w:t>90</w:t>
      </w:r>
      <w:r w:rsidRPr="00A156F4">
        <w:rPr>
          <w:b/>
          <w:sz w:val="22"/>
          <w:szCs w:val="22"/>
        </w:rPr>
        <w:t>.-</w:t>
      </w:r>
      <w:r w:rsidR="00550F0D" w:rsidRPr="00A156F4">
        <w:rPr>
          <w:b/>
          <w:sz w:val="22"/>
          <w:szCs w:val="22"/>
        </w:rPr>
        <w:t xml:space="preserve"> Necesidad e independencia del análisis de competencia</w:t>
      </w:r>
    </w:p>
    <w:p w14:paraId="12E569A4" w14:textId="77777777" w:rsidR="00E861AC" w:rsidRPr="00A156F4" w:rsidRDefault="00E861AC" w:rsidP="00E90E85">
      <w:pPr>
        <w:jc w:val="both"/>
        <w:rPr>
          <w:b/>
          <w:sz w:val="22"/>
          <w:szCs w:val="22"/>
        </w:rPr>
      </w:pPr>
    </w:p>
    <w:p w14:paraId="41AF1DB4" w14:textId="2CC96D8D" w:rsidR="00E861AC" w:rsidRPr="00A156F4" w:rsidRDefault="00E861AC" w:rsidP="00E90E85">
      <w:pPr>
        <w:jc w:val="both"/>
        <w:rPr>
          <w:b/>
          <w:sz w:val="22"/>
          <w:szCs w:val="22"/>
        </w:rPr>
      </w:pPr>
      <w:r w:rsidRPr="00A156F4">
        <w:rPr>
          <w:sz w:val="22"/>
          <w:szCs w:val="22"/>
          <w:lang w:eastAsia="es-CR"/>
        </w:rPr>
        <w:t>La autoridad de competencia correspondiente analizará la transacción respecto a las posibles consecuencias sobre la competencia y libre concurrencia en el mercado</w:t>
      </w:r>
      <w:r w:rsidR="00EA28D6" w:rsidRPr="00A156F4">
        <w:rPr>
          <w:sz w:val="22"/>
          <w:szCs w:val="22"/>
          <w:lang w:eastAsia="es-CR"/>
        </w:rPr>
        <w:t>. El control de concentraciones en materia de competencia será independiente de las potestades que pueda tener otra entidad pública, en virtud de las leyes que sean aplicables a la transacción</w:t>
      </w:r>
      <w:r w:rsidR="00846D10" w:rsidRPr="00A156F4">
        <w:rPr>
          <w:sz w:val="22"/>
          <w:szCs w:val="22"/>
          <w:lang w:eastAsia="es-CR"/>
        </w:rPr>
        <w:t>. Lo anterior</w:t>
      </w:r>
      <w:r w:rsidRPr="00A156F4">
        <w:rPr>
          <w:sz w:val="22"/>
          <w:szCs w:val="22"/>
          <w:lang w:eastAsia="es-CR"/>
        </w:rPr>
        <w:t xml:space="preserve"> cuando los agentes económicos involucrados cumplan con los </w:t>
      </w:r>
      <w:r w:rsidR="00F4751A" w:rsidRPr="00A156F4">
        <w:rPr>
          <w:sz w:val="22"/>
          <w:szCs w:val="22"/>
          <w:lang w:eastAsia="es-CR"/>
        </w:rPr>
        <w:t xml:space="preserve">criterios </w:t>
      </w:r>
      <w:r w:rsidRPr="00A156F4">
        <w:rPr>
          <w:sz w:val="22"/>
          <w:szCs w:val="22"/>
          <w:lang w:eastAsia="es-CR"/>
        </w:rPr>
        <w:t>establecidos en este capítulo.</w:t>
      </w:r>
    </w:p>
    <w:p w14:paraId="32F46521" w14:textId="77777777" w:rsidR="00E90E85" w:rsidRPr="00A156F4" w:rsidRDefault="00E90E85" w:rsidP="00E90E85">
      <w:pPr>
        <w:pStyle w:val="Prrafodelista"/>
        <w:spacing w:after="0" w:line="240" w:lineRule="auto"/>
        <w:ind w:left="0"/>
        <w:contextualSpacing/>
        <w:jc w:val="both"/>
        <w:rPr>
          <w:rFonts w:ascii="Times New Roman" w:eastAsiaTheme="minorHAnsi" w:hAnsi="Times New Roman"/>
          <w:lang w:val="es-ES_tradnl" w:eastAsia="es-ES_tradnl"/>
        </w:rPr>
      </w:pPr>
    </w:p>
    <w:p w14:paraId="64D870B0" w14:textId="4DCE6DBD"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91</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00D40187" w:rsidRPr="00A156F4">
        <w:rPr>
          <w:rFonts w:ascii="Times New Roman" w:eastAsia="Times New Roman" w:hAnsi="Times New Roman" w:cs="Times New Roman"/>
          <w:b/>
          <w:i w:val="0"/>
          <w:iCs w:val="0"/>
          <w:color w:val="auto"/>
          <w:sz w:val="22"/>
          <w:szCs w:val="22"/>
          <w:lang w:val="es-CR" w:eastAsia="en-US"/>
        </w:rPr>
        <w:t xml:space="preserve">Excepción </w:t>
      </w:r>
      <w:r w:rsidRPr="00A156F4">
        <w:rPr>
          <w:rFonts w:ascii="Times New Roman" w:eastAsia="Times New Roman" w:hAnsi="Times New Roman" w:cs="Times New Roman"/>
          <w:b/>
          <w:i w:val="0"/>
          <w:iCs w:val="0"/>
          <w:color w:val="auto"/>
          <w:sz w:val="22"/>
          <w:szCs w:val="22"/>
          <w:lang w:val="es-CR" w:eastAsia="en-US"/>
        </w:rPr>
        <w:t>del deber de notificación previa de concentraciones</w:t>
      </w:r>
    </w:p>
    <w:p w14:paraId="5E67F7A3" w14:textId="77777777" w:rsidR="00E90E85" w:rsidRPr="00A156F4" w:rsidRDefault="00E90E85" w:rsidP="00E90E85">
      <w:pPr>
        <w:pStyle w:val="Ttulo4"/>
        <w:spacing w:before="0"/>
        <w:rPr>
          <w:rFonts w:ascii="Times New Roman" w:hAnsi="Times New Roman" w:cs="Times New Roman"/>
          <w:i w:val="0"/>
          <w:sz w:val="22"/>
          <w:szCs w:val="22"/>
        </w:rPr>
      </w:pPr>
    </w:p>
    <w:p w14:paraId="5594110A" w14:textId="467C81DB" w:rsidR="00E90E85" w:rsidRPr="00A156F4" w:rsidRDefault="00E90E85" w:rsidP="00E90E85">
      <w:pPr>
        <w:pStyle w:val="Ttulo4"/>
        <w:spacing w:before="0"/>
        <w:jc w:val="both"/>
        <w:rPr>
          <w:rFonts w:ascii="Times New Roman" w:eastAsiaTheme="minorHAnsi" w:hAnsi="Times New Roman" w:cs="Times New Roman"/>
          <w:i w:val="0"/>
          <w:iCs w:val="0"/>
          <w:color w:val="auto"/>
          <w:sz w:val="22"/>
          <w:szCs w:val="22"/>
          <w:lang w:eastAsia="es-CR"/>
        </w:rPr>
      </w:pPr>
      <w:r w:rsidRPr="00A156F4">
        <w:rPr>
          <w:rFonts w:ascii="Times New Roman" w:eastAsiaTheme="minorHAnsi" w:hAnsi="Times New Roman" w:cs="Times New Roman"/>
          <w:i w:val="0"/>
          <w:iCs w:val="0"/>
          <w:color w:val="auto"/>
          <w:sz w:val="22"/>
          <w:szCs w:val="22"/>
          <w:lang w:eastAsia="es-CR"/>
        </w:rPr>
        <w:t>Estarán exentas del deber de notificación previa las siguientes operaciones:</w:t>
      </w:r>
    </w:p>
    <w:p w14:paraId="2C5E8AE5" w14:textId="77777777" w:rsidR="00E90E85" w:rsidRPr="00A156F4" w:rsidRDefault="00E90E85" w:rsidP="00E90E85">
      <w:pPr>
        <w:rPr>
          <w:sz w:val="22"/>
          <w:szCs w:val="22"/>
        </w:rPr>
      </w:pPr>
    </w:p>
    <w:p w14:paraId="42033A00" w14:textId="4FFF4F89" w:rsidR="00E90E85" w:rsidRPr="00A156F4" w:rsidRDefault="00E90E85" w:rsidP="00E90E85">
      <w:pPr>
        <w:pStyle w:val="Prrafodelista"/>
        <w:widowControl w:val="0"/>
        <w:numPr>
          <w:ilvl w:val="0"/>
          <w:numId w:val="10"/>
        </w:numPr>
        <w:spacing w:after="0" w:line="240" w:lineRule="auto"/>
        <w:contextualSpacing/>
        <w:jc w:val="both"/>
        <w:outlineLvl w:val="0"/>
        <w:rPr>
          <w:rFonts w:ascii="Times New Roman" w:hAnsi="Times New Roman"/>
          <w:lang w:val="es-ES"/>
        </w:rPr>
      </w:pPr>
      <w:r w:rsidRPr="00A156F4">
        <w:rPr>
          <w:rFonts w:ascii="Times New Roman" w:hAnsi="Times New Roman"/>
          <w:lang w:val="es-ES"/>
        </w:rPr>
        <w:t>Adquisiciones de bienes y servicios realizadas dentro del giro habitual de negocios del comprador, sin que tenga</w:t>
      </w:r>
      <w:r w:rsidR="00B578C8" w:rsidRPr="00A156F4">
        <w:rPr>
          <w:rFonts w:ascii="Times New Roman" w:hAnsi="Times New Roman"/>
          <w:lang w:val="es-ES"/>
        </w:rPr>
        <w:t>n</w:t>
      </w:r>
      <w:r w:rsidRPr="00A156F4">
        <w:rPr>
          <w:rFonts w:ascii="Times New Roman" w:hAnsi="Times New Roman"/>
          <w:lang w:val="es-ES"/>
        </w:rPr>
        <w:t xml:space="preserve"> el objeto o </w:t>
      </w:r>
      <w:r w:rsidR="009B79B6" w:rsidRPr="00A156F4">
        <w:rPr>
          <w:rFonts w:ascii="Times New Roman" w:hAnsi="Times New Roman"/>
          <w:lang w:val="es-ES"/>
        </w:rPr>
        <w:t xml:space="preserve">efecto </w:t>
      </w:r>
      <w:r w:rsidRPr="00A156F4">
        <w:rPr>
          <w:rFonts w:ascii="Times New Roman" w:hAnsi="Times New Roman"/>
          <w:lang w:val="es-ES"/>
        </w:rPr>
        <w:t xml:space="preserve">de concentrar las operaciones de agentes económicos independientes entre sí. </w:t>
      </w:r>
    </w:p>
    <w:p w14:paraId="10D4DE6E" w14:textId="77777777" w:rsidR="00E90E85" w:rsidRPr="00A156F4" w:rsidRDefault="00E90E85" w:rsidP="00E90E85">
      <w:pPr>
        <w:pStyle w:val="Prrafodelista"/>
        <w:widowControl w:val="0"/>
        <w:spacing w:after="0" w:line="240" w:lineRule="auto"/>
        <w:jc w:val="both"/>
        <w:outlineLvl w:val="0"/>
        <w:rPr>
          <w:rFonts w:ascii="Times New Roman" w:hAnsi="Times New Roman"/>
          <w:lang w:val="es-ES"/>
        </w:rPr>
      </w:pPr>
    </w:p>
    <w:p w14:paraId="5165DFED" w14:textId="24027671" w:rsidR="00E90E85" w:rsidRPr="00A156F4" w:rsidRDefault="00E90E85" w:rsidP="00E90E85">
      <w:pPr>
        <w:pStyle w:val="Prrafodelista"/>
        <w:widowControl w:val="0"/>
        <w:numPr>
          <w:ilvl w:val="0"/>
          <w:numId w:val="10"/>
        </w:numPr>
        <w:spacing w:after="0" w:line="240" w:lineRule="auto"/>
        <w:contextualSpacing/>
        <w:jc w:val="both"/>
        <w:outlineLvl w:val="0"/>
        <w:rPr>
          <w:rFonts w:ascii="Times New Roman" w:hAnsi="Times New Roman"/>
          <w:lang w:val="es-ES"/>
        </w:rPr>
      </w:pPr>
      <w:r w:rsidRPr="00A156F4">
        <w:rPr>
          <w:rFonts w:ascii="Times New Roman" w:hAnsi="Times New Roman"/>
          <w:lang w:val="es-ES"/>
        </w:rPr>
        <w:t xml:space="preserve">Compras de activos, acciones o participaciones realizadas en forma transitoria y con fines de revenderlas, siempre que la reventa se realice dentro del plazo de un año contado desde su adquisición, </w:t>
      </w:r>
      <w:r w:rsidR="009E2800" w:rsidRPr="00A156F4">
        <w:rPr>
          <w:rFonts w:ascii="Times New Roman" w:hAnsi="Times New Roman"/>
          <w:lang w:val="es-ES"/>
        </w:rPr>
        <w:t xml:space="preserve">que </w:t>
      </w:r>
      <w:r w:rsidRPr="00A156F4">
        <w:rPr>
          <w:rFonts w:ascii="Times New Roman" w:hAnsi="Times New Roman"/>
          <w:lang w:val="es-ES"/>
        </w:rPr>
        <w:t xml:space="preserve">el comprador no participe en la toma de decisiones relacionadas con estrategias comerciales del agente económico adquirido y, </w:t>
      </w:r>
      <w:r w:rsidR="009E2800" w:rsidRPr="00A156F4">
        <w:rPr>
          <w:rFonts w:ascii="Times New Roman" w:hAnsi="Times New Roman"/>
          <w:lang w:val="es-ES"/>
        </w:rPr>
        <w:t xml:space="preserve">que </w:t>
      </w:r>
      <w:r w:rsidRPr="00A156F4">
        <w:rPr>
          <w:rFonts w:ascii="Times New Roman" w:hAnsi="Times New Roman"/>
          <w:lang w:val="es-ES"/>
        </w:rPr>
        <w:t xml:space="preserve">previo a su reventa, los activos, acciones o participaciones no sean objeto de una nueva concentración que deba ser notificada de conformidad con la presente ley. </w:t>
      </w:r>
    </w:p>
    <w:p w14:paraId="4C4C6941" w14:textId="77777777" w:rsidR="00E90E85" w:rsidRPr="00A156F4" w:rsidRDefault="00E90E85" w:rsidP="00E90E85">
      <w:pPr>
        <w:contextualSpacing/>
        <w:jc w:val="both"/>
        <w:rPr>
          <w:sz w:val="22"/>
          <w:szCs w:val="22"/>
        </w:rPr>
      </w:pPr>
    </w:p>
    <w:p w14:paraId="2A6EBA81" w14:textId="32087EA4" w:rsidR="00E90E85" w:rsidRPr="00A156F4" w:rsidRDefault="00E90E85" w:rsidP="00E90E85">
      <w:pPr>
        <w:contextualSpacing/>
        <w:jc w:val="both"/>
        <w:rPr>
          <w:sz w:val="22"/>
          <w:szCs w:val="22"/>
        </w:rPr>
      </w:pPr>
      <w:r w:rsidRPr="00A156F4">
        <w:rPr>
          <w:sz w:val="22"/>
          <w:szCs w:val="22"/>
        </w:rPr>
        <w:t xml:space="preserve">En caso de </w:t>
      </w:r>
      <w:r w:rsidR="009E2800" w:rsidRPr="00A156F4">
        <w:rPr>
          <w:sz w:val="22"/>
          <w:szCs w:val="22"/>
        </w:rPr>
        <w:t xml:space="preserve">que </w:t>
      </w:r>
      <w:r w:rsidRPr="00A156F4">
        <w:rPr>
          <w:sz w:val="22"/>
          <w:szCs w:val="22"/>
        </w:rPr>
        <w:t>cualquiera de las circunstancias anteriores</w:t>
      </w:r>
      <w:r w:rsidR="009E2800" w:rsidRPr="00A156F4">
        <w:rPr>
          <w:sz w:val="22"/>
          <w:szCs w:val="22"/>
        </w:rPr>
        <w:t xml:space="preserve"> cambie</w:t>
      </w:r>
      <w:r w:rsidRPr="00A156F4">
        <w:rPr>
          <w:sz w:val="22"/>
          <w:szCs w:val="22"/>
        </w:rPr>
        <w:t xml:space="preserve">, o bien vencido el año al que se refiere el inciso b) anterior, el comprador deberá notificar la transacción dentro de los 10 días siguientes al hecho que originó dicho cambio, </w:t>
      </w:r>
      <w:r w:rsidRPr="00A156F4">
        <w:rPr>
          <w:rFonts w:eastAsia="Times New Roman"/>
          <w:sz w:val="22"/>
          <w:szCs w:val="22"/>
          <w:lang w:eastAsia="es-CR"/>
        </w:rPr>
        <w:t>pudiendo ser prorrogado</w:t>
      </w:r>
      <w:r w:rsidR="009E2800" w:rsidRPr="00A156F4">
        <w:rPr>
          <w:rFonts w:eastAsia="Times New Roman"/>
          <w:sz w:val="22"/>
          <w:szCs w:val="22"/>
          <w:lang w:eastAsia="es-CR"/>
        </w:rPr>
        <w:t xml:space="preserve"> por un plazo igual,</w:t>
      </w:r>
      <w:r w:rsidRPr="00A156F4">
        <w:rPr>
          <w:rFonts w:eastAsia="Times New Roman"/>
          <w:sz w:val="22"/>
          <w:szCs w:val="22"/>
          <w:lang w:eastAsia="es-CR"/>
        </w:rPr>
        <w:t xml:space="preserve"> a solicitud de parte debidamente justificada</w:t>
      </w:r>
      <w:r w:rsidRPr="00A156F4">
        <w:rPr>
          <w:sz w:val="22"/>
          <w:szCs w:val="22"/>
        </w:rPr>
        <w:t>.</w:t>
      </w:r>
    </w:p>
    <w:p w14:paraId="74F5C32C" w14:textId="77777777"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p w14:paraId="134D66CC" w14:textId="28526019"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92</w:t>
      </w:r>
      <w:r w:rsidRPr="00A156F4">
        <w:rPr>
          <w:rFonts w:ascii="Times New Roman" w:eastAsia="Times New Roman" w:hAnsi="Times New Roman" w:cs="Times New Roman"/>
          <w:b/>
          <w:i w:val="0"/>
          <w:iCs w:val="0"/>
          <w:color w:val="auto"/>
          <w:sz w:val="22"/>
          <w:szCs w:val="22"/>
          <w:lang w:val="es-CR" w:eastAsia="en-US"/>
        </w:rPr>
        <w:t>.- Información que deberá contener la notificación previa de concentraciones</w:t>
      </w:r>
    </w:p>
    <w:p w14:paraId="1B6D64AC" w14:textId="77777777" w:rsidR="00E90E85" w:rsidRPr="00A156F4" w:rsidRDefault="00E90E85" w:rsidP="00E90E85">
      <w:pPr>
        <w:jc w:val="both"/>
        <w:rPr>
          <w:sz w:val="22"/>
          <w:szCs w:val="22"/>
        </w:rPr>
      </w:pPr>
    </w:p>
    <w:p w14:paraId="4EBBD5AD" w14:textId="0F913313" w:rsidR="00E90E85" w:rsidRPr="00A156F4" w:rsidRDefault="00E90E85" w:rsidP="00E90E85">
      <w:pPr>
        <w:jc w:val="both"/>
        <w:rPr>
          <w:sz w:val="22"/>
          <w:szCs w:val="22"/>
        </w:rPr>
      </w:pPr>
      <w:r w:rsidRPr="00A156F4">
        <w:rPr>
          <w:sz w:val="22"/>
          <w:szCs w:val="22"/>
        </w:rPr>
        <w:t xml:space="preserve">La notificación de la concentración deberá </w:t>
      </w:r>
      <w:r w:rsidR="00293226" w:rsidRPr="00A156F4">
        <w:rPr>
          <w:sz w:val="22"/>
          <w:szCs w:val="22"/>
        </w:rPr>
        <w:t>ser presentada</w:t>
      </w:r>
      <w:r w:rsidR="00846D10" w:rsidRPr="00A156F4">
        <w:rPr>
          <w:sz w:val="22"/>
          <w:szCs w:val="22"/>
        </w:rPr>
        <w:t xml:space="preserve"> ante la autoridad de competencia correspondiente,</w:t>
      </w:r>
      <w:r w:rsidR="00293226" w:rsidRPr="00A156F4">
        <w:rPr>
          <w:sz w:val="22"/>
          <w:szCs w:val="22"/>
        </w:rPr>
        <w:t xml:space="preserve"> </w:t>
      </w:r>
      <w:r w:rsidRPr="00A156F4">
        <w:rPr>
          <w:sz w:val="22"/>
          <w:szCs w:val="22"/>
        </w:rPr>
        <w:t>por cualquiera de los agentes económicos involucrados en la concentración, por escrito</w:t>
      </w:r>
      <w:r w:rsidR="00293226" w:rsidRPr="00A156F4">
        <w:rPr>
          <w:sz w:val="22"/>
          <w:szCs w:val="22"/>
        </w:rPr>
        <w:t xml:space="preserve"> y</w:t>
      </w:r>
      <w:r w:rsidRPr="00A156F4">
        <w:rPr>
          <w:sz w:val="22"/>
          <w:szCs w:val="22"/>
        </w:rPr>
        <w:t xml:space="preserve"> en idioma español</w:t>
      </w:r>
      <w:r w:rsidR="00293226" w:rsidRPr="00A156F4">
        <w:rPr>
          <w:sz w:val="22"/>
          <w:szCs w:val="22"/>
        </w:rPr>
        <w:t xml:space="preserve">, </w:t>
      </w:r>
      <w:r w:rsidRPr="00A156F4">
        <w:rPr>
          <w:sz w:val="22"/>
          <w:szCs w:val="22"/>
        </w:rPr>
        <w:t>y deberá contener al menos lo siguiente:</w:t>
      </w:r>
    </w:p>
    <w:p w14:paraId="17013AB9" w14:textId="77777777" w:rsidR="00E90E85" w:rsidRPr="00A156F4" w:rsidRDefault="00E90E85" w:rsidP="00E90E85">
      <w:pPr>
        <w:jc w:val="both"/>
        <w:rPr>
          <w:sz w:val="22"/>
          <w:szCs w:val="22"/>
        </w:rPr>
      </w:pPr>
    </w:p>
    <w:p w14:paraId="25367BC3" w14:textId="77777777" w:rsidR="00E90E85" w:rsidRPr="00A156F4" w:rsidRDefault="00E90E85" w:rsidP="00E90E85">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Descripción detallada de la concentración: resumen de la concentración, especificando al menos los agentes económicos involucrados, el tipo de transacción, los sectores de actividad de las partes y sus empresas relacionadas, los mercados en los que la concentración tendrá efectos, identificación expresa de los mercados en los que las actividades de las partes se superponen o se relacionan verticalmente, la forma y plazos proyectados para ejecutar la transacción, y los motivos estratégicos y económicos de la concentración.</w:t>
      </w:r>
    </w:p>
    <w:p w14:paraId="3636B64A" w14:textId="77777777" w:rsidR="00E90E85" w:rsidRPr="00A156F4" w:rsidRDefault="00E90E85" w:rsidP="00E90E85">
      <w:pPr>
        <w:pStyle w:val="Prrafodelista"/>
        <w:spacing w:after="0" w:line="240" w:lineRule="auto"/>
        <w:ind w:left="993"/>
        <w:jc w:val="both"/>
        <w:rPr>
          <w:rFonts w:ascii="Times New Roman" w:hAnsi="Times New Roman"/>
        </w:rPr>
      </w:pPr>
    </w:p>
    <w:p w14:paraId="6BFC158A" w14:textId="36904927" w:rsidR="00E90E85" w:rsidRPr="00A156F4" w:rsidRDefault="00E90E85" w:rsidP="00E90E85">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 xml:space="preserve">Identificación de los agentes económicos involucrados: individualización completa de los agentes económicos que participan en la concentración, así como </w:t>
      </w:r>
      <w:r w:rsidR="00164B43" w:rsidRPr="00A156F4">
        <w:rPr>
          <w:rFonts w:ascii="Times New Roman" w:hAnsi="Times New Roman"/>
        </w:rPr>
        <w:t xml:space="preserve">de </w:t>
      </w:r>
      <w:r w:rsidRPr="00A156F4">
        <w:rPr>
          <w:rFonts w:ascii="Times New Roman" w:hAnsi="Times New Roman"/>
        </w:rPr>
        <w:t>las personas físicas o jurídicas que pertenezcan a su mismo grupo económico y que realicen actividades comerciales en Costa Rica.</w:t>
      </w:r>
    </w:p>
    <w:p w14:paraId="40D3351C" w14:textId="77777777" w:rsidR="00E90E85" w:rsidRPr="00A156F4" w:rsidRDefault="00E90E85" w:rsidP="00E90E85">
      <w:pPr>
        <w:pStyle w:val="Prrafodelista"/>
        <w:spacing w:after="0"/>
        <w:rPr>
          <w:rFonts w:ascii="Times New Roman" w:hAnsi="Times New Roman"/>
        </w:rPr>
      </w:pPr>
    </w:p>
    <w:p w14:paraId="01A95542" w14:textId="3AD28E05" w:rsidR="00E90E85" w:rsidRPr="00A156F4" w:rsidRDefault="00E90E85" w:rsidP="00E90E85">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Estructura del capital social: descripción de la estructura del capital social de las empresas involucradas y aquellas que pertenezcan a su mismo grupo económico, identificando la</w:t>
      </w:r>
      <w:r w:rsidR="00AC4C7C" w:rsidRPr="00A156F4">
        <w:rPr>
          <w:rFonts w:ascii="Times New Roman" w:hAnsi="Times New Roman"/>
        </w:rPr>
        <w:t>s persona</w:t>
      </w:r>
      <w:r w:rsidR="00DA7F10" w:rsidRPr="00A156F4">
        <w:rPr>
          <w:rFonts w:ascii="Times New Roman" w:hAnsi="Times New Roman"/>
        </w:rPr>
        <w:t>s que tienen y tendrán el control</w:t>
      </w:r>
      <w:r w:rsidRPr="00A156F4">
        <w:rPr>
          <w:rFonts w:ascii="Times New Roman" w:hAnsi="Times New Roman"/>
        </w:rPr>
        <w:t xml:space="preserve"> directo e indirecto, antes y después de la concentración</w:t>
      </w:r>
      <w:r w:rsidR="00DA7F10" w:rsidRPr="00A156F4">
        <w:rPr>
          <w:rFonts w:ascii="Times New Roman" w:hAnsi="Times New Roman"/>
        </w:rPr>
        <w:t>.</w:t>
      </w:r>
    </w:p>
    <w:p w14:paraId="58386F89" w14:textId="77777777" w:rsidR="00E90E85" w:rsidRPr="00A156F4" w:rsidRDefault="00E90E85" w:rsidP="00E90E85">
      <w:pPr>
        <w:jc w:val="both"/>
        <w:rPr>
          <w:sz w:val="22"/>
          <w:szCs w:val="22"/>
        </w:rPr>
      </w:pPr>
      <w:r w:rsidRPr="00A156F4">
        <w:rPr>
          <w:sz w:val="22"/>
          <w:szCs w:val="22"/>
        </w:rPr>
        <w:t xml:space="preserve"> </w:t>
      </w:r>
    </w:p>
    <w:p w14:paraId="2AE9966E" w14:textId="0245EF47" w:rsidR="00E90E85" w:rsidRPr="00A156F4" w:rsidRDefault="00E90E85" w:rsidP="00794AAE">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Actividades de los agentes económicos involucrados: naturaleza y descripción de las actividades que realizan los agentes económicos involucrados de la concentración y las demás personas físicas y jurídicas mencionadas en el inciso anterior</w:t>
      </w:r>
      <w:r w:rsidR="00164B43" w:rsidRPr="00A156F4">
        <w:rPr>
          <w:rFonts w:ascii="Times New Roman" w:hAnsi="Times New Roman"/>
        </w:rPr>
        <w:t>, tanto en Costa Rica como en otros países</w:t>
      </w:r>
      <w:r w:rsidRPr="00A156F4">
        <w:rPr>
          <w:rFonts w:ascii="Times New Roman" w:hAnsi="Times New Roman"/>
        </w:rPr>
        <w:t xml:space="preserve">. </w:t>
      </w:r>
    </w:p>
    <w:p w14:paraId="4FF932A9" w14:textId="77777777" w:rsidR="00846D10" w:rsidRPr="00A156F4" w:rsidRDefault="00846D10" w:rsidP="00846D10">
      <w:pPr>
        <w:jc w:val="both"/>
        <w:rPr>
          <w:sz w:val="22"/>
          <w:szCs w:val="22"/>
        </w:rPr>
      </w:pPr>
    </w:p>
    <w:p w14:paraId="5E3CB9F3" w14:textId="77777777" w:rsidR="00E90E85" w:rsidRPr="00A156F4" w:rsidRDefault="00E90E85" w:rsidP="00E90E85">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Mercados afectados: descripción de los mercados afectados por la transacción, sus barreras de entrada, sus principales participantes y sus participaciones de mercado, incluyendo las participaciones de mercado de las partes de la concentración.</w:t>
      </w:r>
    </w:p>
    <w:p w14:paraId="5AB67DC3" w14:textId="77777777" w:rsidR="00E90E85" w:rsidRPr="00A156F4" w:rsidRDefault="00E90E85" w:rsidP="00B21028">
      <w:pPr>
        <w:pStyle w:val="Prrafodelista"/>
        <w:spacing w:after="0" w:line="240" w:lineRule="auto"/>
        <w:rPr>
          <w:rFonts w:ascii="Times New Roman" w:hAnsi="Times New Roman"/>
        </w:rPr>
      </w:pPr>
    </w:p>
    <w:p w14:paraId="26037D8E" w14:textId="1B33003B" w:rsidR="00E90E85" w:rsidRPr="00A156F4" w:rsidRDefault="00E90E85" w:rsidP="00E90E85">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 xml:space="preserve">Información sobre cumplimiento de los umbrales de notificación: indicación del volumen </w:t>
      </w:r>
      <w:r w:rsidR="004A53A4" w:rsidRPr="00A156F4">
        <w:rPr>
          <w:rFonts w:ascii="Times New Roman" w:hAnsi="Times New Roman"/>
        </w:rPr>
        <w:t>individual</w:t>
      </w:r>
      <w:r w:rsidR="00BB24FD" w:rsidRPr="00A156F4">
        <w:rPr>
          <w:rFonts w:ascii="Times New Roman" w:hAnsi="Times New Roman"/>
        </w:rPr>
        <w:t xml:space="preserve"> </w:t>
      </w:r>
      <w:r w:rsidRPr="00A156F4">
        <w:rPr>
          <w:rFonts w:ascii="Times New Roman" w:hAnsi="Times New Roman"/>
        </w:rPr>
        <w:t>de ventas</w:t>
      </w:r>
      <w:r w:rsidR="004A53A4" w:rsidRPr="00A156F4">
        <w:rPr>
          <w:rFonts w:ascii="Times New Roman" w:hAnsi="Times New Roman"/>
        </w:rPr>
        <w:t xml:space="preserve"> brutas</w:t>
      </w:r>
      <w:r w:rsidRPr="00A156F4">
        <w:rPr>
          <w:rFonts w:ascii="Times New Roman" w:hAnsi="Times New Roman"/>
        </w:rPr>
        <w:t xml:space="preserve"> o de activos </w:t>
      </w:r>
      <w:r w:rsidR="004A53A4" w:rsidRPr="00A156F4">
        <w:rPr>
          <w:rFonts w:ascii="Times New Roman" w:hAnsi="Times New Roman"/>
        </w:rPr>
        <w:t xml:space="preserve">productivos </w:t>
      </w:r>
      <w:r w:rsidRPr="00A156F4">
        <w:rPr>
          <w:rFonts w:ascii="Times New Roman" w:hAnsi="Times New Roman"/>
        </w:rPr>
        <w:t xml:space="preserve">de las partes, según corresponda, de acuerdo </w:t>
      </w:r>
      <w:r w:rsidR="00846D10" w:rsidRPr="00A156F4">
        <w:rPr>
          <w:rFonts w:ascii="Times New Roman" w:hAnsi="Times New Roman"/>
        </w:rPr>
        <w:t>con el</w:t>
      </w:r>
      <w:r w:rsidRPr="00A156F4">
        <w:rPr>
          <w:rFonts w:ascii="Times New Roman" w:hAnsi="Times New Roman"/>
        </w:rPr>
        <w:t xml:space="preserve"> umbral de notificación que cumpla la transacción</w:t>
      </w:r>
      <w:r w:rsidR="004A53A4" w:rsidRPr="00A156F4">
        <w:rPr>
          <w:rFonts w:ascii="Times New Roman" w:hAnsi="Times New Roman"/>
        </w:rPr>
        <w:t xml:space="preserve"> y del volumen individual de ventas de cada una de ellas</w:t>
      </w:r>
      <w:r w:rsidR="00BB24FD" w:rsidRPr="00A156F4">
        <w:rPr>
          <w:rFonts w:ascii="Times New Roman" w:hAnsi="Times New Roman"/>
        </w:rPr>
        <w:t>,</w:t>
      </w:r>
      <w:r w:rsidRPr="00A156F4">
        <w:rPr>
          <w:rFonts w:ascii="Times New Roman" w:hAnsi="Times New Roman"/>
        </w:rPr>
        <w:t xml:space="preserve"> conforme a lo establecido en la presente ley y su reglamento.</w:t>
      </w:r>
    </w:p>
    <w:p w14:paraId="6EF470A6" w14:textId="77777777" w:rsidR="00E90E85" w:rsidRPr="00A156F4" w:rsidRDefault="00E90E85" w:rsidP="00E90E85">
      <w:pPr>
        <w:jc w:val="both"/>
        <w:rPr>
          <w:sz w:val="22"/>
          <w:szCs w:val="22"/>
        </w:rPr>
      </w:pPr>
    </w:p>
    <w:p w14:paraId="329275C2" w14:textId="13367E31" w:rsidR="00E90E85" w:rsidRPr="00A156F4" w:rsidRDefault="00E90E85" w:rsidP="00E90E85">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 xml:space="preserve">Efectos de la concentración: el solicitante podrá incluir un análisis de los posibles </w:t>
      </w:r>
      <w:r w:rsidR="00846D10" w:rsidRPr="00A156F4">
        <w:rPr>
          <w:rFonts w:ascii="Times New Roman" w:hAnsi="Times New Roman"/>
        </w:rPr>
        <w:t>efectos anticompetitivos</w:t>
      </w:r>
      <w:r w:rsidR="00D824A2" w:rsidRPr="00A156F4">
        <w:rPr>
          <w:rFonts w:ascii="Times New Roman" w:hAnsi="Times New Roman"/>
        </w:rPr>
        <w:t xml:space="preserve"> y </w:t>
      </w:r>
      <w:proofErr w:type="spellStart"/>
      <w:r w:rsidR="00D824A2" w:rsidRPr="00A156F4">
        <w:rPr>
          <w:rFonts w:ascii="Times New Roman" w:hAnsi="Times New Roman"/>
        </w:rPr>
        <w:t>procompetitivos</w:t>
      </w:r>
      <w:proofErr w:type="spellEnd"/>
      <w:r w:rsidRPr="00A156F4">
        <w:rPr>
          <w:rFonts w:ascii="Times New Roman" w:hAnsi="Times New Roman"/>
        </w:rPr>
        <w:t xml:space="preserve"> de la concentración, si los hubiera. En este último caso, se podrá incluir una propuesta para contrarrestarlos.</w:t>
      </w:r>
    </w:p>
    <w:p w14:paraId="37BC6B38" w14:textId="77777777" w:rsidR="00E90E85" w:rsidRPr="00A156F4" w:rsidRDefault="00E90E85" w:rsidP="00E90E85">
      <w:pPr>
        <w:jc w:val="both"/>
        <w:rPr>
          <w:sz w:val="22"/>
          <w:szCs w:val="22"/>
        </w:rPr>
      </w:pPr>
    </w:p>
    <w:p w14:paraId="526A11B8" w14:textId="77777777" w:rsidR="00E90E85" w:rsidRPr="00A156F4" w:rsidRDefault="00E90E85" w:rsidP="00E90E85">
      <w:pPr>
        <w:pStyle w:val="Prrafodelista"/>
        <w:numPr>
          <w:ilvl w:val="0"/>
          <w:numId w:val="11"/>
        </w:numPr>
        <w:spacing w:after="0" w:line="240" w:lineRule="auto"/>
        <w:ind w:left="993"/>
        <w:jc w:val="both"/>
        <w:rPr>
          <w:rFonts w:ascii="Times New Roman" w:hAnsi="Times New Roman"/>
        </w:rPr>
      </w:pPr>
      <w:r w:rsidRPr="00A156F4">
        <w:rPr>
          <w:rFonts w:ascii="Times New Roman" w:hAnsi="Times New Roman"/>
        </w:rPr>
        <w:t>Otros: cualquier información adicional que los solicitantes consideren relevante para la valoración de la solicitud.</w:t>
      </w:r>
    </w:p>
    <w:p w14:paraId="4A369988" w14:textId="77777777" w:rsidR="00E90E85" w:rsidRPr="00A156F4" w:rsidRDefault="00E90E85" w:rsidP="00E90E85">
      <w:pPr>
        <w:jc w:val="both"/>
        <w:rPr>
          <w:sz w:val="22"/>
          <w:szCs w:val="22"/>
        </w:rPr>
      </w:pPr>
    </w:p>
    <w:p w14:paraId="2BACE082" w14:textId="18A0B5C0" w:rsidR="00E90E85" w:rsidRPr="00A156F4" w:rsidRDefault="00E90E85" w:rsidP="00E90E85">
      <w:pPr>
        <w:jc w:val="both"/>
        <w:rPr>
          <w:sz w:val="22"/>
          <w:szCs w:val="22"/>
        </w:rPr>
      </w:pPr>
      <w:r w:rsidRPr="00A156F4">
        <w:rPr>
          <w:sz w:val="22"/>
          <w:szCs w:val="22"/>
        </w:rPr>
        <w:t xml:space="preserve">En el caso de la </w:t>
      </w:r>
      <w:proofErr w:type="spellStart"/>
      <w:r w:rsidRPr="00A156F4">
        <w:rPr>
          <w:sz w:val="22"/>
          <w:szCs w:val="22"/>
        </w:rPr>
        <w:t>Coprocom</w:t>
      </w:r>
      <w:proofErr w:type="spellEnd"/>
      <w:r w:rsidR="00BB24FD" w:rsidRPr="00A156F4">
        <w:rPr>
          <w:sz w:val="22"/>
          <w:szCs w:val="22"/>
        </w:rPr>
        <w:t>,</w:t>
      </w:r>
      <w:r w:rsidRPr="00A156F4">
        <w:rPr>
          <w:sz w:val="22"/>
          <w:szCs w:val="22"/>
        </w:rPr>
        <w:t xml:space="preserve"> la solicitud deberá acompañarse del comprobante de pago de la tasa correspondiente al trámite, de conformidad con el artículo 1</w:t>
      </w:r>
      <w:r w:rsidR="00BB24FD" w:rsidRPr="00A156F4">
        <w:rPr>
          <w:sz w:val="22"/>
          <w:szCs w:val="22"/>
        </w:rPr>
        <w:t>7</w:t>
      </w:r>
      <w:r w:rsidRPr="00A156F4">
        <w:rPr>
          <w:sz w:val="22"/>
          <w:szCs w:val="22"/>
        </w:rPr>
        <w:t xml:space="preserve"> inciso d) de </w:t>
      </w:r>
      <w:r w:rsidR="00700641">
        <w:rPr>
          <w:sz w:val="22"/>
          <w:szCs w:val="22"/>
        </w:rPr>
        <w:t>la presente</w:t>
      </w:r>
      <w:r w:rsidRPr="00A156F4">
        <w:rPr>
          <w:sz w:val="22"/>
          <w:szCs w:val="22"/>
        </w:rPr>
        <w:t xml:space="preserve"> Ley. </w:t>
      </w:r>
    </w:p>
    <w:p w14:paraId="222D967F" w14:textId="77777777" w:rsidR="00E90E85" w:rsidRPr="00A156F4" w:rsidRDefault="00E90E85" w:rsidP="00E90E85">
      <w:pPr>
        <w:jc w:val="both"/>
        <w:rPr>
          <w:sz w:val="22"/>
          <w:szCs w:val="22"/>
        </w:rPr>
      </w:pPr>
    </w:p>
    <w:p w14:paraId="49F3539D" w14:textId="213B0B5F" w:rsidR="00E90E85" w:rsidRPr="00A156F4" w:rsidRDefault="00E90E85" w:rsidP="00E90E85">
      <w:pPr>
        <w:jc w:val="both"/>
        <w:rPr>
          <w:sz w:val="22"/>
          <w:szCs w:val="22"/>
        </w:rPr>
      </w:pPr>
      <w:r w:rsidRPr="00A156F4">
        <w:rPr>
          <w:sz w:val="22"/>
          <w:szCs w:val="22"/>
        </w:rPr>
        <w:t xml:space="preserve">La información contenida en la solicitud tendrá el carácter de declaración jurada. El reglamento a la presente ley especificará la forma y los documentos que deberán ser aportados por los notificantes de la concentración para cumplir con los anteriores requisitos. </w:t>
      </w:r>
    </w:p>
    <w:p w14:paraId="16DB80D5" w14:textId="77777777" w:rsidR="00E90E85" w:rsidRPr="00A156F4" w:rsidRDefault="00E90E85" w:rsidP="00E90E85">
      <w:pPr>
        <w:pStyle w:val="Ttulo4"/>
        <w:keepNext w:val="0"/>
        <w:keepLines w:val="0"/>
        <w:spacing w:before="0"/>
        <w:contextualSpacing/>
        <w:jc w:val="both"/>
        <w:rPr>
          <w:rFonts w:ascii="Times New Roman" w:eastAsiaTheme="minorHAnsi" w:hAnsi="Times New Roman" w:cs="Times New Roman"/>
          <w:b/>
          <w:i w:val="0"/>
          <w:color w:val="auto"/>
          <w:sz w:val="22"/>
          <w:szCs w:val="22"/>
        </w:rPr>
      </w:pPr>
    </w:p>
    <w:p w14:paraId="7DEA3A33" w14:textId="0354CAE6"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eastAsia="en-US"/>
        </w:rPr>
        <w:t>93</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Prevención de notificaciones previas de concentración incompletas </w:t>
      </w:r>
    </w:p>
    <w:p w14:paraId="1DC7BA07" w14:textId="77777777" w:rsidR="00E90E85" w:rsidRPr="00A156F4" w:rsidRDefault="00E90E85" w:rsidP="00E90E85">
      <w:pPr>
        <w:jc w:val="both"/>
        <w:rPr>
          <w:sz w:val="22"/>
          <w:szCs w:val="22"/>
        </w:rPr>
      </w:pPr>
    </w:p>
    <w:p w14:paraId="12386FFE" w14:textId="6F649970" w:rsidR="00E90E85" w:rsidRPr="00A156F4" w:rsidRDefault="00E90E85" w:rsidP="00E90E85">
      <w:pPr>
        <w:jc w:val="both"/>
        <w:rPr>
          <w:sz w:val="22"/>
          <w:szCs w:val="22"/>
          <w:lang w:val="es-CR"/>
        </w:rPr>
      </w:pPr>
      <w:r w:rsidRPr="00A156F4">
        <w:rPr>
          <w:sz w:val="22"/>
          <w:szCs w:val="22"/>
        </w:rPr>
        <w:t xml:space="preserve">Dentro de los primeros 15 días </w:t>
      </w:r>
      <w:r w:rsidR="005638AC" w:rsidRPr="00A156F4">
        <w:rPr>
          <w:sz w:val="22"/>
          <w:szCs w:val="22"/>
        </w:rPr>
        <w:t xml:space="preserve">hábiles </w:t>
      </w:r>
      <w:r w:rsidRPr="00A156F4">
        <w:rPr>
          <w:sz w:val="22"/>
          <w:szCs w:val="22"/>
        </w:rPr>
        <w:t xml:space="preserve">desde la presentación de la solicitud, el Órgano Técnico </w:t>
      </w:r>
      <w:r w:rsidRPr="00A156F4">
        <w:rPr>
          <w:sz w:val="22"/>
          <w:szCs w:val="22"/>
          <w:lang w:val="es-ES"/>
        </w:rPr>
        <w:t xml:space="preserve">de la autoridad de competencia correspondiente </w:t>
      </w:r>
      <w:r w:rsidRPr="00A156F4">
        <w:rPr>
          <w:sz w:val="22"/>
          <w:szCs w:val="22"/>
        </w:rPr>
        <w:t>verificará el cumplimiento de los requisitos formales y prevendrá al solicitante la presentación de la información que esté incompleta</w:t>
      </w:r>
      <w:r w:rsidR="00146DC3" w:rsidRPr="00A156F4">
        <w:rPr>
          <w:sz w:val="22"/>
          <w:szCs w:val="22"/>
        </w:rPr>
        <w:t xml:space="preserve"> o que requiera aclaración</w:t>
      </w:r>
      <w:r w:rsidRPr="00A156F4">
        <w:rPr>
          <w:sz w:val="22"/>
          <w:szCs w:val="22"/>
        </w:rPr>
        <w:t xml:space="preserve">. </w:t>
      </w:r>
    </w:p>
    <w:p w14:paraId="1A2D27C3" w14:textId="77777777" w:rsidR="00E90E85" w:rsidRPr="00A156F4" w:rsidRDefault="00E90E85" w:rsidP="00E90E85">
      <w:pPr>
        <w:jc w:val="both"/>
        <w:rPr>
          <w:sz w:val="22"/>
          <w:szCs w:val="22"/>
        </w:rPr>
      </w:pPr>
    </w:p>
    <w:p w14:paraId="515B1810" w14:textId="3A5F80F3" w:rsidR="00E90E85" w:rsidRPr="00A156F4" w:rsidRDefault="00E90E85" w:rsidP="00E90E85">
      <w:pPr>
        <w:jc w:val="both"/>
        <w:rPr>
          <w:sz w:val="22"/>
          <w:szCs w:val="22"/>
        </w:rPr>
      </w:pPr>
      <w:r w:rsidRPr="00A156F4">
        <w:rPr>
          <w:sz w:val="22"/>
          <w:szCs w:val="22"/>
        </w:rPr>
        <w:t>En el caso de que la información prevenida se presente incompleta, se prevendrá por una única vez al solicitante</w:t>
      </w:r>
      <w:r w:rsidR="00BC2069" w:rsidRPr="00A156F4">
        <w:rPr>
          <w:sz w:val="22"/>
          <w:szCs w:val="22"/>
        </w:rPr>
        <w:t>,</w:t>
      </w:r>
      <w:r w:rsidRPr="00A156F4">
        <w:rPr>
          <w:sz w:val="22"/>
          <w:szCs w:val="22"/>
        </w:rPr>
        <w:t xml:space="preserve"> para que la presente </w:t>
      </w:r>
      <w:r w:rsidR="000C6112" w:rsidRPr="00A156F4">
        <w:rPr>
          <w:sz w:val="22"/>
          <w:szCs w:val="22"/>
        </w:rPr>
        <w:t>dentro de</w:t>
      </w:r>
      <w:r w:rsidRPr="00A156F4">
        <w:rPr>
          <w:sz w:val="22"/>
          <w:szCs w:val="22"/>
        </w:rPr>
        <w:t xml:space="preserve"> un plazo de 10 días hábiles. Transcurrido ese plazo, si no se presenta la información completa, el Órgano Técnico correspondiente ordenará el archivo del expediente y se tendrá por no presentada la gestión. </w:t>
      </w:r>
    </w:p>
    <w:p w14:paraId="2EB70ECE" w14:textId="77777777" w:rsidR="00E90E85" w:rsidRPr="00A156F4" w:rsidRDefault="00E90E85" w:rsidP="00E90E85">
      <w:pPr>
        <w:jc w:val="both"/>
        <w:rPr>
          <w:sz w:val="22"/>
          <w:szCs w:val="22"/>
        </w:rPr>
      </w:pPr>
    </w:p>
    <w:p w14:paraId="3FBFCB61" w14:textId="64BC6100" w:rsidR="00E90E85" w:rsidRPr="00A156F4" w:rsidRDefault="00E90E85" w:rsidP="00E90E85">
      <w:pPr>
        <w:jc w:val="both"/>
        <w:rPr>
          <w:sz w:val="22"/>
          <w:szCs w:val="22"/>
        </w:rPr>
      </w:pPr>
      <w:r w:rsidRPr="00A156F4">
        <w:rPr>
          <w:sz w:val="22"/>
          <w:szCs w:val="22"/>
          <w:lang w:val="es-CR"/>
        </w:rPr>
        <w:t xml:space="preserve">Contra la resolución de archivo cabrán los recursos de revocatoria y de apelación ante el Órgano Superior correspondiente, </w:t>
      </w:r>
      <w:r w:rsidR="000C6112" w:rsidRPr="00A156F4">
        <w:rPr>
          <w:sz w:val="22"/>
          <w:szCs w:val="22"/>
          <w:lang w:val="es-CR"/>
        </w:rPr>
        <w:t>que</w:t>
      </w:r>
      <w:r w:rsidRPr="00A156F4">
        <w:rPr>
          <w:sz w:val="22"/>
          <w:szCs w:val="22"/>
          <w:lang w:val="es-CR"/>
        </w:rPr>
        <w:t xml:space="preserve"> se deberán interponer dentro de</w:t>
      </w:r>
      <w:r w:rsidR="000C6112" w:rsidRPr="00A156F4">
        <w:rPr>
          <w:sz w:val="22"/>
          <w:szCs w:val="22"/>
          <w:lang w:val="es-CR"/>
        </w:rPr>
        <w:t xml:space="preserve"> un</w:t>
      </w:r>
      <w:r w:rsidRPr="00A156F4">
        <w:rPr>
          <w:sz w:val="22"/>
          <w:szCs w:val="22"/>
          <w:lang w:val="es-CR"/>
        </w:rPr>
        <w:t xml:space="preserve"> plazo de cinco días hábiles</w:t>
      </w:r>
      <w:r w:rsidR="002F5069" w:rsidRPr="00A156F4">
        <w:rPr>
          <w:sz w:val="22"/>
          <w:szCs w:val="22"/>
          <w:lang w:val="es-CR"/>
        </w:rPr>
        <w:t>.</w:t>
      </w:r>
    </w:p>
    <w:p w14:paraId="3BEA1A36" w14:textId="4AFE3C9E" w:rsidR="00E90E85" w:rsidRPr="00A156F4" w:rsidRDefault="00E90E85" w:rsidP="00E90E85">
      <w:pPr>
        <w:jc w:val="both"/>
        <w:rPr>
          <w:sz w:val="22"/>
          <w:szCs w:val="22"/>
        </w:rPr>
      </w:pPr>
    </w:p>
    <w:p w14:paraId="16685F14" w14:textId="77777777" w:rsidR="00117EE5" w:rsidRPr="00A156F4" w:rsidRDefault="00117EE5" w:rsidP="00E90E85">
      <w:pPr>
        <w:jc w:val="both"/>
        <w:rPr>
          <w:sz w:val="22"/>
          <w:szCs w:val="22"/>
        </w:rPr>
      </w:pPr>
    </w:p>
    <w:p w14:paraId="1EFC5885" w14:textId="77777777" w:rsidR="00E90E85" w:rsidRPr="00A156F4" w:rsidRDefault="00E90E85" w:rsidP="00E90E85">
      <w:pPr>
        <w:jc w:val="center"/>
        <w:rPr>
          <w:rFonts w:eastAsia="Times New Roman"/>
          <w:sz w:val="22"/>
          <w:szCs w:val="22"/>
          <w:lang w:val="es-ES" w:eastAsia="es-ES"/>
        </w:rPr>
      </w:pPr>
      <w:r w:rsidRPr="00A156F4">
        <w:rPr>
          <w:rFonts w:eastAsia="Times New Roman"/>
          <w:b/>
          <w:sz w:val="22"/>
          <w:szCs w:val="22"/>
          <w:lang w:val="es-CR" w:eastAsia="en-US"/>
        </w:rPr>
        <w:t>SECCIÓN II</w:t>
      </w:r>
    </w:p>
    <w:p w14:paraId="51DCA40E" w14:textId="77777777" w:rsidR="00E90E85" w:rsidRPr="00A156F4" w:rsidRDefault="00E90E85" w:rsidP="00E90E85">
      <w:pPr>
        <w:pStyle w:val="Ttulo2"/>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Procedimiento de Análisis de Concentraciones</w:t>
      </w:r>
    </w:p>
    <w:p w14:paraId="188EA0B4" w14:textId="3D144866" w:rsidR="00E90E85" w:rsidRPr="00A156F4" w:rsidRDefault="00E90E85" w:rsidP="00E90E85">
      <w:pPr>
        <w:rPr>
          <w:sz w:val="22"/>
          <w:szCs w:val="22"/>
          <w:lang w:val="es-CR" w:eastAsia="en-US"/>
        </w:rPr>
      </w:pPr>
    </w:p>
    <w:p w14:paraId="4E2A4B7E" w14:textId="77777777" w:rsidR="00117EE5" w:rsidRPr="00A156F4" w:rsidRDefault="00117EE5" w:rsidP="00E90E85">
      <w:pPr>
        <w:rPr>
          <w:sz w:val="22"/>
          <w:szCs w:val="22"/>
          <w:lang w:val="es-CR" w:eastAsia="en-US"/>
        </w:rPr>
      </w:pPr>
    </w:p>
    <w:p w14:paraId="32B7D748" w14:textId="437236A0"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eastAsia="en-US"/>
        </w:rPr>
        <w:t>9</w:t>
      </w:r>
      <w:r w:rsidR="00701AF7" w:rsidRPr="00A156F4">
        <w:rPr>
          <w:rFonts w:ascii="Times New Roman" w:eastAsia="Times New Roman" w:hAnsi="Times New Roman" w:cs="Times New Roman"/>
          <w:b/>
          <w:i w:val="0"/>
          <w:iCs w:val="0"/>
          <w:color w:val="auto"/>
          <w:sz w:val="22"/>
          <w:szCs w:val="22"/>
          <w:lang w:eastAsia="en-US"/>
        </w:rPr>
        <w:t>4</w:t>
      </w:r>
      <w:r w:rsidRPr="00A156F4">
        <w:rPr>
          <w:rFonts w:ascii="Times New Roman" w:eastAsia="Times New Roman" w:hAnsi="Times New Roman" w:cs="Times New Roman"/>
          <w:b/>
          <w:i w:val="0"/>
          <w:iCs w:val="0"/>
          <w:color w:val="auto"/>
          <w:sz w:val="22"/>
          <w:szCs w:val="22"/>
          <w:lang w:val="es-CR" w:eastAsia="en-US"/>
        </w:rPr>
        <w:t>.-</w:t>
      </w:r>
      <w:r w:rsidRPr="00A156F4">
        <w:rPr>
          <w:rFonts w:ascii="Times New Roman" w:eastAsia="Times New Roman" w:hAnsi="Times New Roman" w:cs="Times New Roman"/>
          <w:b/>
          <w:i w:val="0"/>
          <w:iCs w:val="0"/>
          <w:color w:val="auto"/>
          <w:sz w:val="22"/>
          <w:szCs w:val="22"/>
          <w:lang w:val="es-ES" w:eastAsia="en-US"/>
        </w:rPr>
        <w:t xml:space="preserve"> Objeto del procedimiento y plazo para resolver</w:t>
      </w:r>
      <w:r w:rsidRPr="00A156F4" w:rsidDel="00580BA4">
        <w:rPr>
          <w:rFonts w:ascii="Times New Roman" w:eastAsia="Times New Roman" w:hAnsi="Times New Roman" w:cs="Times New Roman"/>
          <w:b/>
          <w:i w:val="0"/>
          <w:iCs w:val="0"/>
          <w:color w:val="auto"/>
          <w:sz w:val="22"/>
          <w:szCs w:val="22"/>
          <w:lang w:val="es-CR" w:eastAsia="en-US"/>
        </w:rPr>
        <w:t xml:space="preserve"> </w:t>
      </w:r>
    </w:p>
    <w:p w14:paraId="51CAC058" w14:textId="77777777" w:rsidR="00E90E85" w:rsidRPr="00A156F4" w:rsidRDefault="00E90E85" w:rsidP="00E90E85">
      <w:pPr>
        <w:rPr>
          <w:sz w:val="22"/>
          <w:szCs w:val="22"/>
          <w:lang w:val="es-CR" w:eastAsia="en-US"/>
        </w:rPr>
      </w:pPr>
    </w:p>
    <w:p w14:paraId="6A41CBFA" w14:textId="161D4A37" w:rsidR="00E90E85" w:rsidRPr="00A156F4" w:rsidRDefault="00E90E85" w:rsidP="00E90E85">
      <w:pPr>
        <w:pStyle w:val="Ttulo4"/>
        <w:contextualSpacing/>
        <w:jc w:val="both"/>
        <w:rPr>
          <w:rFonts w:ascii="Times New Roman" w:eastAsiaTheme="minorHAnsi" w:hAnsi="Times New Roman" w:cs="Times New Roman"/>
          <w:i w:val="0"/>
          <w:iCs w:val="0"/>
          <w:color w:val="auto"/>
          <w:sz w:val="22"/>
          <w:szCs w:val="22"/>
          <w:lang w:val="es-CR"/>
        </w:rPr>
      </w:pPr>
      <w:r w:rsidRPr="00A156F4">
        <w:rPr>
          <w:rFonts w:ascii="Times New Roman" w:eastAsiaTheme="minorHAnsi" w:hAnsi="Times New Roman" w:cs="Times New Roman"/>
          <w:i w:val="0"/>
          <w:iCs w:val="0"/>
          <w:color w:val="auto"/>
          <w:sz w:val="22"/>
          <w:szCs w:val="22"/>
          <w:lang w:val="es-CR"/>
        </w:rPr>
        <w:t xml:space="preserve">El procedimiento para el control de concentraciones podrá constar de dos fases: la primera </w:t>
      </w:r>
      <w:r w:rsidR="005638AC" w:rsidRPr="00A156F4">
        <w:rPr>
          <w:rFonts w:ascii="Times New Roman" w:eastAsiaTheme="minorHAnsi" w:hAnsi="Times New Roman" w:cs="Times New Roman"/>
          <w:i w:val="0"/>
          <w:iCs w:val="0"/>
          <w:color w:val="auto"/>
          <w:sz w:val="22"/>
          <w:szCs w:val="22"/>
          <w:lang w:val="es-CR"/>
        </w:rPr>
        <w:t>que</w:t>
      </w:r>
      <w:r w:rsidRPr="00A156F4">
        <w:rPr>
          <w:rFonts w:ascii="Times New Roman" w:eastAsiaTheme="minorHAnsi" w:hAnsi="Times New Roman" w:cs="Times New Roman"/>
          <w:i w:val="0"/>
          <w:iCs w:val="0"/>
          <w:color w:val="auto"/>
          <w:sz w:val="22"/>
          <w:szCs w:val="22"/>
          <w:lang w:val="es-CR"/>
        </w:rPr>
        <w:t xml:space="preserve"> tendrá como propósito identificar si la concentración genera riesgos al proceso de competencia</w:t>
      </w:r>
      <w:r w:rsidR="005638AC" w:rsidRPr="00A156F4">
        <w:rPr>
          <w:rFonts w:ascii="Times New Roman" w:eastAsiaTheme="minorHAnsi" w:hAnsi="Times New Roman" w:cs="Times New Roman"/>
          <w:i w:val="0"/>
          <w:iCs w:val="0"/>
          <w:color w:val="auto"/>
          <w:sz w:val="22"/>
          <w:szCs w:val="22"/>
          <w:lang w:val="es-CR"/>
        </w:rPr>
        <w:t>,</w:t>
      </w:r>
      <w:r w:rsidR="002F5069" w:rsidRPr="00A156F4">
        <w:rPr>
          <w:rFonts w:ascii="Times New Roman" w:eastAsiaTheme="minorHAnsi" w:hAnsi="Times New Roman" w:cs="Times New Roman"/>
          <w:i w:val="0"/>
          <w:iCs w:val="0"/>
          <w:color w:val="auto"/>
          <w:sz w:val="22"/>
          <w:szCs w:val="22"/>
          <w:lang w:val="es-CR"/>
        </w:rPr>
        <w:t xml:space="preserve"> </w:t>
      </w:r>
      <w:proofErr w:type="gramStart"/>
      <w:r w:rsidRPr="00A156F4">
        <w:rPr>
          <w:rFonts w:ascii="Times New Roman" w:eastAsiaTheme="minorHAnsi" w:hAnsi="Times New Roman" w:cs="Times New Roman"/>
          <w:i w:val="0"/>
          <w:iCs w:val="0"/>
          <w:color w:val="auto"/>
          <w:sz w:val="22"/>
          <w:szCs w:val="22"/>
          <w:lang w:val="es-CR"/>
        </w:rPr>
        <w:t>en razón de</w:t>
      </w:r>
      <w:proofErr w:type="gramEnd"/>
      <w:r w:rsidRPr="00A156F4">
        <w:rPr>
          <w:rFonts w:ascii="Times New Roman" w:eastAsiaTheme="minorHAnsi" w:hAnsi="Times New Roman" w:cs="Times New Roman"/>
          <w:i w:val="0"/>
          <w:iCs w:val="0"/>
          <w:color w:val="auto"/>
          <w:sz w:val="22"/>
          <w:szCs w:val="22"/>
          <w:lang w:val="es-CR"/>
        </w:rPr>
        <w:t xml:space="preserve"> sus posibles efectos en el mercado</w:t>
      </w:r>
      <w:r w:rsidR="005638AC" w:rsidRPr="00A156F4">
        <w:rPr>
          <w:rFonts w:ascii="Times New Roman" w:eastAsiaTheme="minorHAnsi" w:hAnsi="Times New Roman" w:cs="Times New Roman"/>
          <w:i w:val="0"/>
          <w:iCs w:val="0"/>
          <w:color w:val="auto"/>
          <w:sz w:val="22"/>
          <w:szCs w:val="22"/>
          <w:lang w:val="es-CR"/>
        </w:rPr>
        <w:t>; y de darse esta circunstancia,</w:t>
      </w:r>
      <w:r w:rsidRPr="00A156F4">
        <w:rPr>
          <w:rFonts w:ascii="Times New Roman" w:eastAsiaTheme="minorHAnsi" w:hAnsi="Times New Roman" w:cs="Times New Roman"/>
          <w:i w:val="0"/>
          <w:iCs w:val="0"/>
          <w:color w:val="auto"/>
          <w:sz w:val="22"/>
          <w:szCs w:val="22"/>
          <w:lang w:val="es-CR"/>
        </w:rPr>
        <w:t xml:space="preserve"> </w:t>
      </w:r>
      <w:r w:rsidR="005638AC" w:rsidRPr="00A156F4">
        <w:rPr>
          <w:rFonts w:ascii="Times New Roman" w:eastAsiaTheme="minorHAnsi" w:hAnsi="Times New Roman" w:cs="Times New Roman"/>
          <w:i w:val="0"/>
          <w:iCs w:val="0"/>
          <w:color w:val="auto"/>
          <w:sz w:val="22"/>
          <w:szCs w:val="22"/>
          <w:lang w:val="es-CR"/>
        </w:rPr>
        <w:t>se dará inicio</w:t>
      </w:r>
      <w:r w:rsidRPr="00A156F4">
        <w:rPr>
          <w:rFonts w:ascii="Times New Roman" w:eastAsiaTheme="minorHAnsi" w:hAnsi="Times New Roman" w:cs="Times New Roman"/>
          <w:i w:val="0"/>
          <w:iCs w:val="0"/>
          <w:color w:val="auto"/>
          <w:sz w:val="22"/>
          <w:szCs w:val="22"/>
          <w:lang w:val="es-CR"/>
        </w:rPr>
        <w:t xml:space="preserve"> a la segunda fase, en la que se valorará</w:t>
      </w:r>
      <w:r w:rsidR="005638AC" w:rsidRPr="00A156F4">
        <w:rPr>
          <w:rFonts w:ascii="Times New Roman" w:eastAsiaTheme="minorHAnsi" w:hAnsi="Times New Roman" w:cs="Times New Roman"/>
          <w:i w:val="0"/>
          <w:iCs w:val="0"/>
          <w:color w:val="auto"/>
          <w:sz w:val="22"/>
          <w:szCs w:val="22"/>
          <w:lang w:val="es-CR"/>
        </w:rPr>
        <w:t>n</w:t>
      </w:r>
      <w:r w:rsidRPr="00A156F4">
        <w:rPr>
          <w:rFonts w:ascii="Times New Roman" w:eastAsiaTheme="minorHAnsi" w:hAnsi="Times New Roman" w:cs="Times New Roman"/>
          <w:i w:val="0"/>
          <w:iCs w:val="0"/>
          <w:color w:val="auto"/>
          <w:sz w:val="22"/>
          <w:szCs w:val="22"/>
          <w:lang w:val="es-CR"/>
        </w:rPr>
        <w:t xml:space="preserve"> los</w:t>
      </w:r>
      <w:r w:rsidR="004B5C9E" w:rsidRPr="00A156F4">
        <w:rPr>
          <w:rFonts w:ascii="Times New Roman" w:eastAsiaTheme="minorHAnsi" w:hAnsi="Times New Roman" w:cs="Times New Roman"/>
          <w:i w:val="0"/>
          <w:iCs w:val="0"/>
          <w:color w:val="auto"/>
          <w:sz w:val="22"/>
          <w:szCs w:val="22"/>
          <w:lang w:val="es-CR"/>
        </w:rPr>
        <w:t xml:space="preserve"> posibles</w:t>
      </w:r>
      <w:r w:rsidRPr="00A156F4">
        <w:rPr>
          <w:rFonts w:ascii="Times New Roman" w:eastAsiaTheme="minorHAnsi" w:hAnsi="Times New Roman" w:cs="Times New Roman"/>
          <w:i w:val="0"/>
          <w:iCs w:val="0"/>
          <w:color w:val="auto"/>
          <w:sz w:val="22"/>
          <w:szCs w:val="22"/>
          <w:lang w:val="es-CR"/>
        </w:rPr>
        <w:t xml:space="preserve"> efectos de la transacción en los mercados potencialmente afectados por esta.</w:t>
      </w:r>
    </w:p>
    <w:p w14:paraId="793B381E" w14:textId="77777777" w:rsidR="00E90E85" w:rsidRPr="00A156F4" w:rsidRDefault="00E90E85" w:rsidP="00E90E85">
      <w:pPr>
        <w:jc w:val="both"/>
        <w:rPr>
          <w:sz w:val="22"/>
          <w:szCs w:val="22"/>
          <w:lang w:val="es-CR"/>
        </w:rPr>
      </w:pPr>
    </w:p>
    <w:p w14:paraId="6FE4D23A" w14:textId="7CB4E06A" w:rsidR="00E90E85" w:rsidRPr="00A156F4" w:rsidRDefault="00E90E85" w:rsidP="00E90E85">
      <w:pPr>
        <w:jc w:val="both"/>
        <w:rPr>
          <w:sz w:val="22"/>
          <w:szCs w:val="22"/>
        </w:rPr>
      </w:pPr>
      <w:r w:rsidRPr="00A156F4">
        <w:rPr>
          <w:sz w:val="22"/>
          <w:szCs w:val="22"/>
        </w:rPr>
        <w:t xml:space="preserve">El Órgano Superior </w:t>
      </w:r>
      <w:r w:rsidRPr="00A156F4">
        <w:rPr>
          <w:sz w:val="22"/>
          <w:szCs w:val="22"/>
          <w:lang w:val="es-ES"/>
        </w:rPr>
        <w:t xml:space="preserve">de la autoridad de competencia correspondiente </w:t>
      </w:r>
      <w:r w:rsidRPr="00A156F4">
        <w:rPr>
          <w:sz w:val="22"/>
          <w:szCs w:val="22"/>
        </w:rPr>
        <w:t xml:space="preserve">tendrá un plazo de 30 días naturales para emitir su resolución de primera fase, contado a partir de la comunicación de la concentración, que contenga toda la información requerida por la presente ley o, en su defecto, de la fecha de presentación de la información prevenida en su oportunidad. En el caso de la </w:t>
      </w:r>
      <w:proofErr w:type="spellStart"/>
      <w:r w:rsidRPr="00A156F4">
        <w:rPr>
          <w:sz w:val="22"/>
          <w:szCs w:val="22"/>
        </w:rPr>
        <w:t>Sutel</w:t>
      </w:r>
      <w:proofErr w:type="spellEnd"/>
      <w:r w:rsidRPr="00A156F4">
        <w:rPr>
          <w:sz w:val="22"/>
          <w:szCs w:val="22"/>
        </w:rPr>
        <w:t xml:space="preserve"> se estará ante lo dispuesto en el artículo 56 de la Ley General de Telecomunic</w:t>
      </w:r>
      <w:r w:rsidR="00A614C5" w:rsidRPr="00A156F4">
        <w:rPr>
          <w:sz w:val="22"/>
          <w:szCs w:val="22"/>
        </w:rPr>
        <w:t>ac</w:t>
      </w:r>
      <w:r w:rsidRPr="00A156F4">
        <w:rPr>
          <w:sz w:val="22"/>
          <w:szCs w:val="22"/>
        </w:rPr>
        <w:t xml:space="preserve">iones, Ley </w:t>
      </w:r>
      <w:proofErr w:type="spellStart"/>
      <w:r w:rsidRPr="00A156F4">
        <w:rPr>
          <w:sz w:val="22"/>
          <w:szCs w:val="22"/>
        </w:rPr>
        <w:t>N°</w:t>
      </w:r>
      <w:proofErr w:type="spellEnd"/>
      <w:r w:rsidRPr="00A156F4">
        <w:rPr>
          <w:sz w:val="22"/>
          <w:szCs w:val="22"/>
        </w:rPr>
        <w:t>. 8642, del 4 de junio de 2008, sus reformas y sus reglamentos.</w:t>
      </w:r>
    </w:p>
    <w:p w14:paraId="3861FAAD" w14:textId="77777777" w:rsidR="00E90E85" w:rsidRPr="00A156F4" w:rsidRDefault="00E90E85" w:rsidP="00E90E85">
      <w:pPr>
        <w:jc w:val="both"/>
        <w:rPr>
          <w:sz w:val="22"/>
          <w:szCs w:val="22"/>
        </w:rPr>
      </w:pPr>
    </w:p>
    <w:p w14:paraId="21DA7F37" w14:textId="297E92E0" w:rsidR="00E90E85" w:rsidRPr="00A156F4" w:rsidRDefault="00E90E85" w:rsidP="00E90E85">
      <w:pPr>
        <w:tabs>
          <w:tab w:val="left" w:pos="1691"/>
        </w:tabs>
        <w:jc w:val="both"/>
        <w:rPr>
          <w:sz w:val="22"/>
          <w:szCs w:val="22"/>
          <w:lang w:val="es-CR"/>
        </w:rPr>
      </w:pPr>
      <w:r w:rsidRPr="00A156F4">
        <w:rPr>
          <w:sz w:val="22"/>
          <w:szCs w:val="22"/>
          <w:lang w:val="es-CR"/>
        </w:rPr>
        <w:t>En caso de ordenarse una segunda fase del procedimiento, esta tendrá una duración máxima de hasta 90 días naturales adicionales.</w:t>
      </w:r>
      <w:r w:rsidR="005638AC" w:rsidRPr="00A156F4">
        <w:rPr>
          <w:sz w:val="22"/>
          <w:szCs w:val="22"/>
          <w:lang w:val="es-CR"/>
        </w:rPr>
        <w:t xml:space="preserve"> </w:t>
      </w:r>
      <w:r w:rsidRPr="00A156F4">
        <w:rPr>
          <w:sz w:val="22"/>
          <w:szCs w:val="22"/>
          <w:lang w:val="es-CR"/>
        </w:rPr>
        <w:t>Este plazo empezará a correr</w:t>
      </w:r>
      <w:r w:rsidR="00301FFD" w:rsidRPr="00A156F4">
        <w:rPr>
          <w:sz w:val="22"/>
          <w:szCs w:val="22"/>
          <w:lang w:val="es-CR"/>
        </w:rPr>
        <w:t xml:space="preserve"> </w:t>
      </w:r>
      <w:r w:rsidRPr="00A156F4">
        <w:rPr>
          <w:sz w:val="22"/>
          <w:szCs w:val="22"/>
          <w:lang w:val="es-CR"/>
        </w:rPr>
        <w:t>a partir del día en que el solicitante aporte de manera completa la información y documentación requerida al momento de iniciar esta fase.</w:t>
      </w:r>
    </w:p>
    <w:p w14:paraId="564F1594" w14:textId="10CE5E8C" w:rsidR="00E90E85" w:rsidRPr="00A156F4" w:rsidRDefault="00E90E85" w:rsidP="00E90E85">
      <w:pPr>
        <w:tabs>
          <w:tab w:val="left" w:pos="1691"/>
        </w:tabs>
        <w:jc w:val="both"/>
        <w:rPr>
          <w:sz w:val="22"/>
          <w:szCs w:val="22"/>
        </w:rPr>
      </w:pPr>
    </w:p>
    <w:p w14:paraId="580DCC18" w14:textId="18BF9ACA" w:rsidR="001F1536" w:rsidRPr="00A156F4" w:rsidRDefault="001F1536" w:rsidP="00E90E85">
      <w:pPr>
        <w:tabs>
          <w:tab w:val="left" w:pos="1691"/>
        </w:tabs>
        <w:jc w:val="both"/>
        <w:rPr>
          <w:sz w:val="22"/>
          <w:szCs w:val="22"/>
        </w:rPr>
      </w:pPr>
      <w:r w:rsidRPr="00A156F4">
        <w:rPr>
          <w:sz w:val="22"/>
          <w:szCs w:val="22"/>
        </w:rPr>
        <w:t>Tanto en la primera como en la segunda fase, el plazo para resolver no se contabilizará mientras la información y documentación que deban aportar los solicitantes no esté completa.</w:t>
      </w:r>
    </w:p>
    <w:p w14:paraId="79A38265" w14:textId="77777777" w:rsidR="001F1536" w:rsidRPr="00A156F4" w:rsidRDefault="001F1536" w:rsidP="00E90E85">
      <w:pPr>
        <w:tabs>
          <w:tab w:val="left" w:pos="1691"/>
        </w:tabs>
        <w:jc w:val="both"/>
        <w:rPr>
          <w:sz w:val="22"/>
          <w:szCs w:val="22"/>
        </w:rPr>
      </w:pPr>
    </w:p>
    <w:p w14:paraId="32FBBC3D" w14:textId="42124ACD" w:rsidR="00E90E85" w:rsidRPr="00A156F4" w:rsidRDefault="00E90E85" w:rsidP="00E90E85">
      <w:pPr>
        <w:adjustRightInd w:val="0"/>
        <w:jc w:val="both"/>
        <w:rPr>
          <w:sz w:val="22"/>
          <w:szCs w:val="22"/>
        </w:rPr>
      </w:pPr>
      <w:r w:rsidRPr="00A156F4">
        <w:rPr>
          <w:sz w:val="22"/>
          <w:szCs w:val="22"/>
        </w:rPr>
        <w:t xml:space="preserve">Concluidos los plazos para resolver antes indicados, sin que la autoridad de competencia correspondiente haya emitido su resolución, la concentración se tendrá por autorizada sin condiciones y sin necesidad de ningún trámite adicional o de pronunciamiento de la autoridad de competencia respectiva. </w:t>
      </w:r>
    </w:p>
    <w:p w14:paraId="7E713218" w14:textId="77777777" w:rsidR="00E90E85" w:rsidRPr="00A156F4" w:rsidRDefault="00E90E85" w:rsidP="00E90E85">
      <w:pPr>
        <w:adjustRightInd w:val="0"/>
        <w:jc w:val="both"/>
        <w:rPr>
          <w:rFonts w:eastAsia="Times New Roman"/>
          <w:sz w:val="22"/>
          <w:szCs w:val="22"/>
          <w:lang w:eastAsia="es-CR"/>
        </w:rPr>
      </w:pPr>
    </w:p>
    <w:p w14:paraId="579BBCED" w14:textId="39E39F40" w:rsidR="00E90E85" w:rsidRPr="00A156F4" w:rsidRDefault="00E90E85" w:rsidP="00E74E94">
      <w:pPr>
        <w:autoSpaceDE w:val="0"/>
        <w:autoSpaceDN w:val="0"/>
        <w:jc w:val="both"/>
        <w:rPr>
          <w:b/>
          <w:bCs/>
          <w:sz w:val="22"/>
          <w:szCs w:val="22"/>
        </w:rPr>
      </w:pPr>
      <w:r w:rsidRPr="00A156F4">
        <w:rPr>
          <w:b/>
          <w:bCs/>
          <w:sz w:val="22"/>
          <w:szCs w:val="22"/>
        </w:rPr>
        <w:t xml:space="preserve">Artículo </w:t>
      </w:r>
      <w:r w:rsidR="00701AF7" w:rsidRPr="00A156F4">
        <w:rPr>
          <w:b/>
          <w:bCs/>
          <w:sz w:val="22"/>
          <w:szCs w:val="22"/>
        </w:rPr>
        <w:t>95</w:t>
      </w:r>
      <w:r w:rsidRPr="00A156F4">
        <w:rPr>
          <w:b/>
          <w:bCs/>
          <w:sz w:val="22"/>
          <w:szCs w:val="22"/>
        </w:rPr>
        <w:t>.- Suspensión de la transacción</w:t>
      </w:r>
    </w:p>
    <w:p w14:paraId="0CABB3D5" w14:textId="77777777" w:rsidR="00E90E85" w:rsidRPr="00A156F4" w:rsidRDefault="00E90E85" w:rsidP="00E74E94">
      <w:pPr>
        <w:autoSpaceDE w:val="0"/>
        <w:autoSpaceDN w:val="0"/>
        <w:jc w:val="both"/>
        <w:rPr>
          <w:sz w:val="22"/>
          <w:szCs w:val="22"/>
          <w:lang w:eastAsia="es-CR"/>
        </w:rPr>
      </w:pPr>
    </w:p>
    <w:p w14:paraId="321E9CCA" w14:textId="77777777" w:rsidR="00E90E85" w:rsidRPr="00A156F4" w:rsidRDefault="00E90E85" w:rsidP="005638AC">
      <w:pPr>
        <w:autoSpaceDE w:val="0"/>
        <w:autoSpaceDN w:val="0"/>
        <w:jc w:val="both"/>
        <w:rPr>
          <w:sz w:val="22"/>
          <w:szCs w:val="22"/>
        </w:rPr>
      </w:pPr>
      <w:r w:rsidRPr="00A156F4">
        <w:rPr>
          <w:sz w:val="22"/>
          <w:szCs w:val="22"/>
        </w:rPr>
        <w:t>Una concentración que deba ser notificada no podrá ejecutarse antes de ser autorizada conforme a las reglas de este Capítulo.</w:t>
      </w:r>
    </w:p>
    <w:p w14:paraId="5B71C3E1" w14:textId="77777777" w:rsidR="00E90E85" w:rsidRPr="00A156F4" w:rsidRDefault="00E90E85" w:rsidP="005638AC">
      <w:pPr>
        <w:autoSpaceDE w:val="0"/>
        <w:autoSpaceDN w:val="0"/>
        <w:jc w:val="both"/>
        <w:rPr>
          <w:sz w:val="22"/>
          <w:szCs w:val="22"/>
        </w:rPr>
      </w:pPr>
    </w:p>
    <w:p w14:paraId="3674680E" w14:textId="10EEE747" w:rsidR="00E90E85" w:rsidRPr="00A156F4" w:rsidRDefault="00E90E85" w:rsidP="00E90E85">
      <w:pPr>
        <w:jc w:val="both"/>
        <w:rPr>
          <w:sz w:val="22"/>
          <w:szCs w:val="22"/>
        </w:rPr>
      </w:pPr>
      <w:r w:rsidRPr="00A156F4">
        <w:rPr>
          <w:sz w:val="22"/>
          <w:szCs w:val="22"/>
        </w:rPr>
        <w:t>En casos excepcionales, la autoridad de competencia correspondiente podrá dispensar la suspensión establecida en el párrafo anterior, previa solicitud motivada del interesado. La resolución se dictará previa ponderación, entre otros factores, del perjuicio que causaría la suspensión de la ejecución a las empresas part</w:t>
      </w:r>
      <w:r w:rsidR="005638AC" w:rsidRPr="00A156F4">
        <w:rPr>
          <w:sz w:val="22"/>
          <w:szCs w:val="22"/>
        </w:rPr>
        <w:t>icipantes</w:t>
      </w:r>
      <w:r w:rsidRPr="00A156F4">
        <w:rPr>
          <w:sz w:val="22"/>
          <w:szCs w:val="22"/>
        </w:rPr>
        <w:t xml:space="preserve"> en la concentración y del que la ejecución de la operación causaría a la libre competencia.</w:t>
      </w:r>
    </w:p>
    <w:p w14:paraId="2AC8A858" w14:textId="77777777" w:rsidR="00E90E85" w:rsidRPr="00A156F4" w:rsidRDefault="00E90E85" w:rsidP="00E90E85">
      <w:pPr>
        <w:jc w:val="both"/>
        <w:rPr>
          <w:sz w:val="22"/>
          <w:szCs w:val="22"/>
        </w:rPr>
      </w:pPr>
    </w:p>
    <w:p w14:paraId="6EEF07D7" w14:textId="77777777" w:rsidR="00E90E85" w:rsidRPr="00A156F4" w:rsidRDefault="00E90E85" w:rsidP="00E90E85">
      <w:pPr>
        <w:jc w:val="both"/>
        <w:rPr>
          <w:sz w:val="22"/>
          <w:szCs w:val="22"/>
        </w:rPr>
      </w:pPr>
      <w:r w:rsidRPr="00A156F4">
        <w:rPr>
          <w:sz w:val="22"/>
          <w:szCs w:val="22"/>
        </w:rPr>
        <w:t>El levantamiento de la suspensión de la ejecución podrá estar subordinado al cumplimiento de condiciones y obligaciones que garanticen la eficacia de la decisión que finalmente se adopte.</w:t>
      </w:r>
    </w:p>
    <w:p w14:paraId="630CB512" w14:textId="77777777" w:rsidR="00E90E85" w:rsidRPr="00A156F4" w:rsidRDefault="00E90E85" w:rsidP="00E90E85">
      <w:pPr>
        <w:autoSpaceDE w:val="0"/>
        <w:autoSpaceDN w:val="0"/>
        <w:jc w:val="both"/>
        <w:rPr>
          <w:sz w:val="22"/>
          <w:szCs w:val="22"/>
        </w:rPr>
      </w:pPr>
    </w:p>
    <w:p w14:paraId="798B5804" w14:textId="66F887DC" w:rsidR="00E90E85" w:rsidRPr="00A156F4" w:rsidRDefault="00E90E85" w:rsidP="00E90E85">
      <w:pPr>
        <w:adjustRightInd w:val="0"/>
        <w:jc w:val="both"/>
        <w:rPr>
          <w:b/>
          <w:sz w:val="22"/>
          <w:szCs w:val="22"/>
          <w:lang w:eastAsia="es-CR"/>
        </w:rPr>
      </w:pPr>
      <w:r w:rsidRPr="00A156F4">
        <w:rPr>
          <w:b/>
          <w:sz w:val="22"/>
          <w:szCs w:val="22"/>
          <w:lang w:eastAsia="es-CR"/>
        </w:rPr>
        <w:t xml:space="preserve">Artículo </w:t>
      </w:r>
      <w:r w:rsidR="00701AF7" w:rsidRPr="00A156F4">
        <w:rPr>
          <w:b/>
          <w:sz w:val="22"/>
          <w:szCs w:val="22"/>
          <w:lang w:eastAsia="es-CR"/>
        </w:rPr>
        <w:t>96</w:t>
      </w:r>
      <w:r w:rsidRPr="00A156F4">
        <w:rPr>
          <w:b/>
          <w:sz w:val="22"/>
          <w:szCs w:val="22"/>
          <w:lang w:eastAsia="es-CR"/>
        </w:rPr>
        <w:t>.-</w:t>
      </w:r>
      <w:r w:rsidR="00F153AC" w:rsidRPr="00A156F4">
        <w:rPr>
          <w:b/>
          <w:sz w:val="22"/>
          <w:szCs w:val="22"/>
          <w:lang w:eastAsia="es-CR"/>
        </w:rPr>
        <w:t xml:space="preserve"> </w:t>
      </w:r>
      <w:r w:rsidRPr="00A156F4">
        <w:rPr>
          <w:b/>
          <w:sz w:val="22"/>
          <w:szCs w:val="22"/>
          <w:lang w:eastAsia="es-CR"/>
        </w:rPr>
        <w:t>Publicidad a terceros interesados sobre las notificaciones presentadas</w:t>
      </w:r>
    </w:p>
    <w:p w14:paraId="71BC818B" w14:textId="77777777" w:rsidR="00E90E85" w:rsidRPr="00A156F4" w:rsidRDefault="00E90E85" w:rsidP="00E90E85">
      <w:pPr>
        <w:pStyle w:val="Prrafodelista"/>
        <w:spacing w:after="0" w:line="240" w:lineRule="auto"/>
        <w:ind w:left="0"/>
        <w:contextualSpacing/>
        <w:jc w:val="both"/>
        <w:rPr>
          <w:rFonts w:ascii="Times New Roman" w:hAnsi="Times New Roman"/>
          <w:lang w:eastAsia="es-CR"/>
        </w:rPr>
      </w:pPr>
    </w:p>
    <w:p w14:paraId="67C2A782" w14:textId="715A70E3" w:rsidR="00E90E85" w:rsidRPr="00A156F4" w:rsidRDefault="00E90E85" w:rsidP="00E90E85">
      <w:pPr>
        <w:pStyle w:val="Prrafodelista"/>
        <w:spacing w:after="0" w:line="240" w:lineRule="auto"/>
        <w:ind w:left="0"/>
        <w:contextualSpacing/>
        <w:jc w:val="both"/>
        <w:rPr>
          <w:rFonts w:ascii="Times New Roman" w:hAnsi="Times New Roman"/>
          <w:lang w:val="es-ES_tradnl" w:eastAsia="es-CR"/>
        </w:rPr>
      </w:pPr>
      <w:r w:rsidRPr="00A156F4">
        <w:rPr>
          <w:rFonts w:ascii="Times New Roman" w:hAnsi="Times New Roman"/>
          <w:lang w:val="es-ES_tradnl" w:eastAsia="es-CR"/>
        </w:rPr>
        <w:t xml:space="preserve">Una vez que se reciba la notificación previa de concentración con todos los requisitos indicados en la presente ley, sus reformas y sus reglamentos, la autoridad de competencia correspondiente utilizará los medios que considere pertinentes para informar a cualquier interesado sobre las operaciones que se están analizando. Dicha información contendrá, entre otros, una breve descripción de la concentración; identificación de las partes involucradas y de los mercados afectados por la concentración; así como la indicación expresa a terceros interesados que dentro del plazo de 10 días </w:t>
      </w:r>
      <w:r w:rsidR="0035446F" w:rsidRPr="00A156F4">
        <w:rPr>
          <w:rFonts w:ascii="Times New Roman" w:hAnsi="Times New Roman"/>
          <w:lang w:val="es-ES_tradnl" w:eastAsia="es-CR"/>
        </w:rPr>
        <w:t>hábiles</w:t>
      </w:r>
      <w:r w:rsidRPr="00A156F4">
        <w:rPr>
          <w:rFonts w:ascii="Times New Roman" w:hAnsi="Times New Roman"/>
          <w:lang w:val="es-ES_tradnl" w:eastAsia="es-CR"/>
        </w:rPr>
        <w:t xml:space="preserve"> </w:t>
      </w:r>
      <w:r w:rsidR="004F4B83" w:rsidRPr="00A156F4">
        <w:rPr>
          <w:rFonts w:ascii="Times New Roman" w:hAnsi="Times New Roman"/>
          <w:lang w:val="es-ES_tradnl" w:eastAsia="es-CR"/>
        </w:rPr>
        <w:t xml:space="preserve">podrán </w:t>
      </w:r>
      <w:r w:rsidRPr="00A156F4">
        <w:rPr>
          <w:rFonts w:ascii="Times New Roman" w:hAnsi="Times New Roman"/>
          <w:lang w:val="es-ES_tradnl" w:eastAsia="es-CR"/>
        </w:rPr>
        <w:t xml:space="preserve">presentar la información y prueba relevante para efectos del análisis de la concentración. </w:t>
      </w:r>
    </w:p>
    <w:p w14:paraId="31A1035D" w14:textId="77777777" w:rsidR="00E90E85" w:rsidRPr="00A156F4" w:rsidRDefault="00E90E85" w:rsidP="00E90E85">
      <w:pPr>
        <w:adjustRightInd w:val="0"/>
        <w:jc w:val="both"/>
        <w:rPr>
          <w:sz w:val="22"/>
          <w:szCs w:val="22"/>
        </w:rPr>
      </w:pPr>
    </w:p>
    <w:p w14:paraId="090AD829" w14:textId="6780E680"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eastAsia="en-US"/>
        </w:rPr>
        <w:t>97</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Resolución en primera fase</w:t>
      </w:r>
    </w:p>
    <w:p w14:paraId="00135A6A" w14:textId="77777777" w:rsidR="00E90E85" w:rsidRPr="00A156F4" w:rsidRDefault="00E90E85" w:rsidP="00E90E85">
      <w:pPr>
        <w:jc w:val="both"/>
        <w:rPr>
          <w:rFonts w:eastAsia="Times New Roman"/>
          <w:sz w:val="22"/>
          <w:szCs w:val="22"/>
          <w:lang w:eastAsia="es-CR"/>
        </w:rPr>
      </w:pPr>
    </w:p>
    <w:p w14:paraId="01804CDC" w14:textId="1F5C7381" w:rsidR="00E90E85" w:rsidRPr="00A156F4" w:rsidRDefault="00E90E85" w:rsidP="00E90E85">
      <w:pPr>
        <w:jc w:val="both"/>
        <w:rPr>
          <w:rFonts w:eastAsia="Times New Roman"/>
          <w:sz w:val="22"/>
          <w:szCs w:val="22"/>
          <w:lang w:eastAsia="es-CR"/>
        </w:rPr>
      </w:pPr>
      <w:r w:rsidRPr="00A156F4">
        <w:rPr>
          <w:rFonts w:eastAsia="Times New Roman"/>
          <w:sz w:val="22"/>
          <w:szCs w:val="22"/>
          <w:lang w:eastAsia="es-CR"/>
        </w:rPr>
        <w:t xml:space="preserve">El </w:t>
      </w:r>
      <w:r w:rsidRPr="00A156F4">
        <w:rPr>
          <w:sz w:val="22"/>
          <w:szCs w:val="22"/>
        </w:rPr>
        <w:t>Órgano Superior</w:t>
      </w:r>
      <w:r w:rsidRPr="00A156F4" w:rsidDel="009A2988">
        <w:rPr>
          <w:rFonts w:eastAsia="Times New Roman"/>
          <w:sz w:val="22"/>
          <w:szCs w:val="22"/>
          <w:lang w:eastAsia="es-CR"/>
        </w:rPr>
        <w:t xml:space="preserve"> </w:t>
      </w:r>
      <w:r w:rsidRPr="00A156F4">
        <w:rPr>
          <w:sz w:val="22"/>
          <w:szCs w:val="22"/>
          <w:lang w:val="es-ES"/>
        </w:rPr>
        <w:t xml:space="preserve">de la autoridad de competencia correspondiente </w:t>
      </w:r>
      <w:r w:rsidRPr="00A156F4">
        <w:rPr>
          <w:rFonts w:eastAsia="Times New Roman"/>
          <w:sz w:val="22"/>
          <w:szCs w:val="22"/>
          <w:lang w:eastAsia="es-CR"/>
        </w:rPr>
        <w:t>dictará resolución en primera fase</w:t>
      </w:r>
      <w:r w:rsidR="005C7244" w:rsidRPr="00A156F4">
        <w:rPr>
          <w:rFonts w:eastAsia="Times New Roman"/>
          <w:sz w:val="22"/>
          <w:szCs w:val="22"/>
          <w:lang w:eastAsia="es-CR"/>
        </w:rPr>
        <w:t>,</w:t>
      </w:r>
      <w:r w:rsidRPr="00A156F4">
        <w:rPr>
          <w:rFonts w:eastAsia="Times New Roman"/>
          <w:sz w:val="22"/>
          <w:szCs w:val="22"/>
          <w:lang w:eastAsia="es-CR"/>
        </w:rPr>
        <w:t xml:space="preserve"> dentro del plazo indicado en el artículo </w:t>
      </w:r>
      <w:r w:rsidR="00962580" w:rsidRPr="00A156F4">
        <w:rPr>
          <w:rFonts w:eastAsia="Times New Roman"/>
          <w:sz w:val="22"/>
          <w:szCs w:val="22"/>
          <w:lang w:eastAsia="es-CR"/>
        </w:rPr>
        <w:t>94</w:t>
      </w:r>
      <w:r w:rsidRPr="00A156F4">
        <w:rPr>
          <w:rFonts w:eastAsia="Times New Roman"/>
          <w:sz w:val="22"/>
          <w:szCs w:val="22"/>
          <w:lang w:eastAsia="es-CR"/>
        </w:rPr>
        <w:t xml:space="preserve"> de la presente ley, una vez recibida la información de forma completa, y previo análisis del expediente por parte d</w:t>
      </w:r>
      <w:r w:rsidRPr="00A156F4">
        <w:rPr>
          <w:sz w:val="22"/>
          <w:szCs w:val="22"/>
        </w:rPr>
        <w:t>el Órgano Técnico respectivo</w:t>
      </w:r>
      <w:r w:rsidRPr="00A156F4">
        <w:rPr>
          <w:rFonts w:eastAsia="Times New Roman"/>
          <w:sz w:val="22"/>
          <w:szCs w:val="22"/>
          <w:lang w:eastAsia="es-CR"/>
        </w:rPr>
        <w:t xml:space="preserve">. En </w:t>
      </w:r>
      <w:r w:rsidR="005C7244" w:rsidRPr="00A156F4">
        <w:rPr>
          <w:rFonts w:eastAsia="Times New Roman"/>
          <w:sz w:val="22"/>
          <w:szCs w:val="22"/>
          <w:lang w:eastAsia="es-CR"/>
        </w:rPr>
        <w:t xml:space="preserve">dicha </w:t>
      </w:r>
      <w:r w:rsidRPr="00A156F4">
        <w:rPr>
          <w:rFonts w:eastAsia="Times New Roman"/>
          <w:sz w:val="22"/>
          <w:szCs w:val="22"/>
          <w:lang w:eastAsia="es-CR"/>
        </w:rPr>
        <w:t>resolución</w:t>
      </w:r>
      <w:r w:rsidR="005C7244" w:rsidRPr="00A156F4">
        <w:rPr>
          <w:rFonts w:eastAsia="Times New Roman"/>
          <w:sz w:val="22"/>
          <w:szCs w:val="22"/>
          <w:lang w:eastAsia="es-CR"/>
        </w:rPr>
        <w:t xml:space="preserve">, el Órgano </w:t>
      </w:r>
      <w:r w:rsidR="00D1070C" w:rsidRPr="00A156F4">
        <w:rPr>
          <w:rFonts w:eastAsia="Times New Roman"/>
          <w:sz w:val="22"/>
          <w:szCs w:val="22"/>
          <w:lang w:eastAsia="es-CR"/>
        </w:rPr>
        <w:t>Superior</w:t>
      </w:r>
      <w:r w:rsidRPr="00A156F4">
        <w:rPr>
          <w:rFonts w:eastAsia="Times New Roman"/>
          <w:sz w:val="22"/>
          <w:szCs w:val="22"/>
          <w:lang w:eastAsia="es-CR"/>
        </w:rPr>
        <w:t xml:space="preserve"> podrá:</w:t>
      </w:r>
    </w:p>
    <w:p w14:paraId="321137D1" w14:textId="77777777" w:rsidR="00E90E85" w:rsidRPr="00A156F4" w:rsidRDefault="00E90E85" w:rsidP="00E90E85">
      <w:pPr>
        <w:jc w:val="both"/>
        <w:rPr>
          <w:rFonts w:eastAsia="Times New Roman"/>
          <w:sz w:val="22"/>
          <w:szCs w:val="22"/>
          <w:lang w:eastAsia="es-CR"/>
        </w:rPr>
      </w:pPr>
    </w:p>
    <w:p w14:paraId="59970E48" w14:textId="77777777" w:rsidR="00E90E85" w:rsidRPr="00A156F4" w:rsidRDefault="00E90E85" w:rsidP="00117EE5">
      <w:pPr>
        <w:pStyle w:val="Prrafodelista"/>
        <w:numPr>
          <w:ilvl w:val="0"/>
          <w:numId w:val="20"/>
        </w:numPr>
        <w:spacing w:after="0" w:line="240" w:lineRule="auto"/>
        <w:ind w:left="709"/>
        <w:jc w:val="both"/>
        <w:rPr>
          <w:rFonts w:ascii="Times New Roman" w:hAnsi="Times New Roman"/>
        </w:rPr>
      </w:pPr>
      <w:r w:rsidRPr="00A156F4">
        <w:rPr>
          <w:rFonts w:ascii="Times New Roman" w:hAnsi="Times New Roman"/>
        </w:rPr>
        <w:t>Autorizar la concentración.</w:t>
      </w:r>
    </w:p>
    <w:p w14:paraId="130BB5A7" w14:textId="77777777" w:rsidR="00E90E85" w:rsidRPr="00A156F4" w:rsidRDefault="00E90E85" w:rsidP="00E90E85">
      <w:pPr>
        <w:ind w:left="709"/>
        <w:jc w:val="both"/>
        <w:rPr>
          <w:sz w:val="22"/>
          <w:szCs w:val="22"/>
        </w:rPr>
      </w:pPr>
    </w:p>
    <w:p w14:paraId="434484CF" w14:textId="47DE2B08" w:rsidR="00E90E85" w:rsidRPr="00A156F4" w:rsidRDefault="00E90E85" w:rsidP="00117EE5">
      <w:pPr>
        <w:pStyle w:val="Prrafodelista"/>
        <w:numPr>
          <w:ilvl w:val="0"/>
          <w:numId w:val="20"/>
        </w:numPr>
        <w:spacing w:after="0" w:line="240" w:lineRule="auto"/>
        <w:ind w:left="709"/>
        <w:jc w:val="both"/>
        <w:rPr>
          <w:rFonts w:ascii="Times New Roman" w:hAnsi="Times New Roman"/>
        </w:rPr>
      </w:pPr>
      <w:r w:rsidRPr="00A156F4">
        <w:rPr>
          <w:rFonts w:ascii="Times New Roman" w:hAnsi="Times New Roman"/>
        </w:rPr>
        <w:t>Subordinar su autorización al cumplimiento de los compromisos propuestos por los notificantes, en caso de haberse presentado dicha propuesta al momento de la notificación</w:t>
      </w:r>
      <w:r w:rsidR="00301FFD" w:rsidRPr="00A156F4">
        <w:rPr>
          <w:rFonts w:ascii="Times New Roman" w:hAnsi="Times New Roman"/>
        </w:rPr>
        <w:t xml:space="preserve"> o en cualquier momento antes de la resolución de primera fase</w:t>
      </w:r>
      <w:r w:rsidRPr="00A156F4">
        <w:rPr>
          <w:rFonts w:ascii="Times New Roman" w:hAnsi="Times New Roman"/>
        </w:rPr>
        <w:t>.</w:t>
      </w:r>
    </w:p>
    <w:p w14:paraId="36A7DB6E" w14:textId="77777777" w:rsidR="00E90E85" w:rsidRPr="00A156F4" w:rsidRDefault="00E90E85" w:rsidP="00E90E85">
      <w:pPr>
        <w:ind w:left="709"/>
        <w:jc w:val="both"/>
        <w:rPr>
          <w:sz w:val="22"/>
          <w:szCs w:val="22"/>
        </w:rPr>
      </w:pPr>
    </w:p>
    <w:p w14:paraId="6099E9D2" w14:textId="0A11393D" w:rsidR="00E90E85" w:rsidRPr="00A156F4" w:rsidRDefault="00E90E85" w:rsidP="00117EE5">
      <w:pPr>
        <w:pStyle w:val="Prrafodelista"/>
        <w:numPr>
          <w:ilvl w:val="0"/>
          <w:numId w:val="20"/>
        </w:numPr>
        <w:spacing w:after="0" w:line="240" w:lineRule="auto"/>
        <w:ind w:left="709"/>
        <w:jc w:val="both"/>
        <w:rPr>
          <w:rFonts w:ascii="Times New Roman" w:hAnsi="Times New Roman"/>
        </w:rPr>
      </w:pPr>
      <w:r w:rsidRPr="00A156F4">
        <w:rPr>
          <w:rFonts w:ascii="Times New Roman" w:hAnsi="Times New Roman"/>
        </w:rPr>
        <w:t xml:space="preserve">Acordar </w:t>
      </w:r>
      <w:r w:rsidR="00232A5F" w:rsidRPr="00A156F4">
        <w:rPr>
          <w:rFonts w:ascii="Times New Roman" w:hAnsi="Times New Roman"/>
        </w:rPr>
        <w:t xml:space="preserve">el inicio de </w:t>
      </w:r>
      <w:r w:rsidRPr="00A156F4">
        <w:rPr>
          <w:rFonts w:ascii="Times New Roman" w:hAnsi="Times New Roman"/>
        </w:rPr>
        <w:t xml:space="preserve">la segunda fase del procedimiento. </w:t>
      </w:r>
    </w:p>
    <w:p w14:paraId="0BABF57C" w14:textId="77777777" w:rsidR="00E90E85" w:rsidRPr="00A156F4" w:rsidRDefault="00E90E85" w:rsidP="00E90E85">
      <w:pPr>
        <w:pStyle w:val="Prrafodelista"/>
        <w:spacing w:after="0" w:line="240" w:lineRule="auto"/>
        <w:ind w:left="0"/>
        <w:rPr>
          <w:rFonts w:ascii="Times New Roman" w:hAnsi="Times New Roman"/>
          <w:lang w:eastAsia="es-CR"/>
        </w:rPr>
      </w:pPr>
    </w:p>
    <w:p w14:paraId="5EF54181" w14:textId="5717BCB4"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imes New Roman" w:hAnsi="Times New Roman" w:cs="Times New Roman"/>
          <w:b/>
          <w:i w:val="0"/>
          <w:iCs w:val="0"/>
          <w:color w:val="auto"/>
          <w:sz w:val="22"/>
          <w:szCs w:val="22"/>
          <w:lang w:val="es-CR" w:eastAsia="en-US"/>
        </w:rPr>
        <w:t xml:space="preserve">Artículo </w:t>
      </w:r>
      <w:r w:rsidR="00701AF7" w:rsidRPr="00A156F4">
        <w:rPr>
          <w:rFonts w:ascii="Times New Roman" w:eastAsia="Times New Roman" w:hAnsi="Times New Roman" w:cs="Times New Roman"/>
          <w:b/>
          <w:i w:val="0"/>
          <w:iCs w:val="0"/>
          <w:color w:val="auto"/>
          <w:sz w:val="22"/>
          <w:szCs w:val="22"/>
          <w:lang w:val="es-CR" w:eastAsia="en-US"/>
        </w:rPr>
        <w:t>9</w:t>
      </w:r>
      <w:r w:rsidRPr="00A156F4">
        <w:rPr>
          <w:rFonts w:ascii="Times New Roman" w:eastAsia="Times New Roman" w:hAnsi="Times New Roman" w:cs="Times New Roman"/>
          <w:b/>
          <w:i w:val="0"/>
          <w:iCs w:val="0"/>
          <w:color w:val="auto"/>
          <w:sz w:val="22"/>
          <w:szCs w:val="22"/>
          <w:lang w:val="es-CR" w:eastAsia="en-US"/>
        </w:rPr>
        <w:t>8.-</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Notificación al solicitante </w:t>
      </w:r>
      <w:r w:rsidR="00AF02BC" w:rsidRPr="00A156F4">
        <w:rPr>
          <w:rFonts w:ascii="Times New Roman" w:eastAsia="Times New Roman" w:hAnsi="Times New Roman" w:cs="Times New Roman"/>
          <w:b/>
          <w:i w:val="0"/>
          <w:iCs w:val="0"/>
          <w:color w:val="auto"/>
          <w:sz w:val="22"/>
          <w:szCs w:val="22"/>
          <w:lang w:val="es-CR" w:eastAsia="en-US"/>
        </w:rPr>
        <w:t>de inicio de</w:t>
      </w:r>
      <w:r w:rsidRPr="00A156F4">
        <w:rPr>
          <w:rFonts w:ascii="Times New Roman" w:eastAsia="Times New Roman" w:hAnsi="Times New Roman" w:cs="Times New Roman"/>
          <w:b/>
          <w:i w:val="0"/>
          <w:iCs w:val="0"/>
          <w:color w:val="auto"/>
          <w:sz w:val="22"/>
          <w:szCs w:val="22"/>
          <w:lang w:val="es-CR" w:eastAsia="en-US"/>
        </w:rPr>
        <w:t xml:space="preserve"> </w:t>
      </w:r>
      <w:r w:rsidR="00AF02BC" w:rsidRPr="00A156F4">
        <w:rPr>
          <w:rFonts w:ascii="Times New Roman" w:eastAsia="Times New Roman" w:hAnsi="Times New Roman" w:cs="Times New Roman"/>
          <w:b/>
          <w:i w:val="0"/>
          <w:iCs w:val="0"/>
          <w:color w:val="auto"/>
          <w:sz w:val="22"/>
          <w:szCs w:val="22"/>
          <w:lang w:val="es-CR" w:eastAsia="en-US"/>
        </w:rPr>
        <w:t>l</w:t>
      </w:r>
      <w:r w:rsidRPr="00A156F4">
        <w:rPr>
          <w:rFonts w:ascii="Times New Roman" w:eastAsia="Times New Roman" w:hAnsi="Times New Roman" w:cs="Times New Roman"/>
          <w:b/>
          <w:i w:val="0"/>
          <w:iCs w:val="0"/>
          <w:color w:val="auto"/>
          <w:sz w:val="22"/>
          <w:szCs w:val="22"/>
          <w:lang w:val="es-CR" w:eastAsia="en-US"/>
        </w:rPr>
        <w:t>a segunda fase</w:t>
      </w:r>
    </w:p>
    <w:p w14:paraId="01DED932" w14:textId="77777777" w:rsidR="00E90E85" w:rsidRPr="00A156F4" w:rsidRDefault="00E90E85" w:rsidP="00E90E85">
      <w:pPr>
        <w:jc w:val="both"/>
        <w:rPr>
          <w:rFonts w:eastAsia="Times New Roman"/>
          <w:sz w:val="22"/>
          <w:szCs w:val="22"/>
          <w:lang w:eastAsia="es-CR"/>
        </w:rPr>
      </w:pPr>
    </w:p>
    <w:p w14:paraId="5D3EF2C8" w14:textId="6E856B10" w:rsidR="00E90E85" w:rsidRPr="00A156F4" w:rsidRDefault="00E90E85" w:rsidP="00E90E85">
      <w:pPr>
        <w:jc w:val="both"/>
        <w:rPr>
          <w:rFonts w:eastAsia="Times New Roman"/>
          <w:sz w:val="22"/>
          <w:szCs w:val="22"/>
          <w:lang w:eastAsia="es-CR"/>
        </w:rPr>
      </w:pPr>
      <w:r w:rsidRPr="00A156F4">
        <w:rPr>
          <w:rFonts w:eastAsia="Times New Roman"/>
          <w:sz w:val="22"/>
          <w:szCs w:val="22"/>
          <w:lang w:eastAsia="es-CR"/>
        </w:rPr>
        <w:t xml:space="preserve">En los casos </w:t>
      </w:r>
      <w:r w:rsidR="00AD15F5" w:rsidRPr="00A156F4">
        <w:rPr>
          <w:rFonts w:eastAsia="Times New Roman"/>
          <w:sz w:val="22"/>
          <w:szCs w:val="22"/>
          <w:lang w:eastAsia="es-CR"/>
        </w:rPr>
        <w:t xml:space="preserve">en </w:t>
      </w:r>
      <w:r w:rsidRPr="00A156F4">
        <w:rPr>
          <w:rFonts w:eastAsia="Times New Roman"/>
          <w:sz w:val="22"/>
          <w:szCs w:val="22"/>
          <w:lang w:eastAsia="es-CR"/>
        </w:rPr>
        <w:t xml:space="preserve">que se inicie la segunda fase conforme al artículo anterior, </w:t>
      </w:r>
      <w:r w:rsidRPr="00A156F4">
        <w:rPr>
          <w:sz w:val="22"/>
          <w:szCs w:val="22"/>
        </w:rPr>
        <w:t>el Órgano Superior</w:t>
      </w:r>
      <w:r w:rsidRPr="00A156F4">
        <w:rPr>
          <w:rFonts w:eastAsia="Times New Roman"/>
          <w:sz w:val="22"/>
          <w:szCs w:val="22"/>
          <w:lang w:eastAsia="es-CR"/>
        </w:rPr>
        <w:t xml:space="preserve"> </w:t>
      </w:r>
      <w:r w:rsidRPr="00A156F4">
        <w:rPr>
          <w:sz w:val="22"/>
          <w:szCs w:val="22"/>
          <w:lang w:val="es-ES"/>
        </w:rPr>
        <w:t xml:space="preserve">de la autoridad de competencia correspondiente </w:t>
      </w:r>
      <w:r w:rsidRPr="00A156F4">
        <w:rPr>
          <w:rFonts w:eastAsia="Times New Roman"/>
          <w:sz w:val="22"/>
          <w:szCs w:val="22"/>
          <w:lang w:eastAsia="es-CR"/>
        </w:rPr>
        <w:t xml:space="preserve">notificará al solicitante una resolución en la </w:t>
      </w:r>
      <w:r w:rsidR="0069606A" w:rsidRPr="00A156F4">
        <w:rPr>
          <w:rFonts w:eastAsia="Times New Roman"/>
          <w:sz w:val="22"/>
          <w:szCs w:val="22"/>
          <w:lang w:eastAsia="es-CR"/>
        </w:rPr>
        <w:t>que</w:t>
      </w:r>
      <w:r w:rsidRPr="00A156F4">
        <w:rPr>
          <w:rFonts w:eastAsia="Times New Roman"/>
          <w:sz w:val="22"/>
          <w:szCs w:val="22"/>
          <w:lang w:eastAsia="es-CR"/>
        </w:rPr>
        <w:t>:</w:t>
      </w:r>
    </w:p>
    <w:p w14:paraId="52F4D586" w14:textId="77777777" w:rsidR="00E90E85" w:rsidRPr="00A156F4" w:rsidRDefault="00E90E85" w:rsidP="00E90E85">
      <w:pPr>
        <w:jc w:val="both"/>
        <w:rPr>
          <w:rFonts w:eastAsia="Times New Roman"/>
          <w:sz w:val="22"/>
          <w:szCs w:val="22"/>
          <w:lang w:eastAsia="es-CR"/>
        </w:rPr>
      </w:pPr>
    </w:p>
    <w:p w14:paraId="15B0519F" w14:textId="7CFF8D78" w:rsidR="00E90E85" w:rsidRPr="00A156F4" w:rsidRDefault="00E90E85" w:rsidP="00E90E85">
      <w:pPr>
        <w:pStyle w:val="Prrafodelista"/>
        <w:numPr>
          <w:ilvl w:val="0"/>
          <w:numId w:val="13"/>
        </w:numPr>
        <w:spacing w:after="0" w:line="240" w:lineRule="auto"/>
        <w:jc w:val="both"/>
        <w:rPr>
          <w:rFonts w:ascii="Times New Roman" w:hAnsi="Times New Roman"/>
        </w:rPr>
      </w:pPr>
      <w:r w:rsidRPr="00A156F4">
        <w:rPr>
          <w:rFonts w:ascii="Times New Roman" w:hAnsi="Times New Roman"/>
        </w:rPr>
        <w:t xml:space="preserve">Se informe sobre los motivos por los </w:t>
      </w:r>
      <w:r w:rsidR="00232A5F" w:rsidRPr="00A156F4">
        <w:rPr>
          <w:rFonts w:ascii="Times New Roman" w:hAnsi="Times New Roman"/>
        </w:rPr>
        <w:t xml:space="preserve">que </w:t>
      </w:r>
      <w:r w:rsidRPr="00A156F4">
        <w:rPr>
          <w:rFonts w:ascii="Times New Roman" w:hAnsi="Times New Roman"/>
        </w:rPr>
        <w:t>la transacción</w:t>
      </w:r>
      <w:r w:rsidR="00130931" w:rsidRPr="00A156F4">
        <w:rPr>
          <w:rFonts w:ascii="Times New Roman" w:hAnsi="Times New Roman"/>
        </w:rPr>
        <w:t xml:space="preserve"> podría potencialmente</w:t>
      </w:r>
      <w:r w:rsidRPr="00A156F4">
        <w:rPr>
          <w:rFonts w:ascii="Times New Roman" w:hAnsi="Times New Roman"/>
        </w:rPr>
        <w:t xml:space="preserve"> genera</w:t>
      </w:r>
      <w:r w:rsidR="00130931" w:rsidRPr="00A156F4">
        <w:rPr>
          <w:rFonts w:ascii="Times New Roman" w:hAnsi="Times New Roman"/>
        </w:rPr>
        <w:t>r</w:t>
      </w:r>
      <w:r w:rsidRPr="00A156F4">
        <w:rPr>
          <w:rFonts w:ascii="Times New Roman" w:hAnsi="Times New Roman"/>
        </w:rPr>
        <w:t xml:space="preserve"> riesgos al proceso </w:t>
      </w:r>
      <w:r w:rsidR="00121BD5" w:rsidRPr="00A156F4">
        <w:rPr>
          <w:rFonts w:ascii="Times New Roman" w:hAnsi="Times New Roman"/>
        </w:rPr>
        <w:t>de competencia</w:t>
      </w:r>
      <w:r w:rsidR="00232A5F" w:rsidRPr="00A156F4">
        <w:rPr>
          <w:rFonts w:ascii="Times New Roman" w:hAnsi="Times New Roman"/>
        </w:rPr>
        <w:t>,</w:t>
      </w:r>
      <w:r w:rsidRPr="00A156F4">
        <w:rPr>
          <w:rFonts w:ascii="Times New Roman" w:hAnsi="Times New Roman"/>
        </w:rPr>
        <w:t xml:space="preserve"> que ameritan la apertura de la segunda </w:t>
      </w:r>
      <w:r w:rsidR="00130931" w:rsidRPr="00A156F4">
        <w:rPr>
          <w:rFonts w:ascii="Times New Roman" w:hAnsi="Times New Roman"/>
        </w:rPr>
        <w:t>fase</w:t>
      </w:r>
      <w:r w:rsidRPr="00A156F4">
        <w:rPr>
          <w:rFonts w:ascii="Times New Roman" w:hAnsi="Times New Roman"/>
        </w:rPr>
        <w:t>, concediendo un plazo de 10 días hábiles para que formulen alegaciones</w:t>
      </w:r>
      <w:r w:rsidR="00121BD5" w:rsidRPr="00A156F4">
        <w:rPr>
          <w:rFonts w:ascii="Times New Roman" w:hAnsi="Times New Roman"/>
        </w:rPr>
        <w:t xml:space="preserve"> que considere convenientes</w:t>
      </w:r>
      <w:r w:rsidRPr="00A156F4">
        <w:rPr>
          <w:rFonts w:ascii="Times New Roman" w:hAnsi="Times New Roman"/>
        </w:rPr>
        <w:t>.</w:t>
      </w:r>
    </w:p>
    <w:p w14:paraId="2837EF5E" w14:textId="77777777" w:rsidR="00E90E85" w:rsidRPr="00A156F4" w:rsidRDefault="00E90E85" w:rsidP="00E90E85">
      <w:pPr>
        <w:pStyle w:val="Prrafodelista"/>
        <w:spacing w:after="0" w:line="240" w:lineRule="auto"/>
        <w:ind w:left="720"/>
        <w:jc w:val="both"/>
        <w:rPr>
          <w:rStyle w:val="apple-tab-span"/>
          <w:rFonts w:ascii="Times New Roman" w:hAnsi="Times New Roman"/>
        </w:rPr>
      </w:pPr>
    </w:p>
    <w:p w14:paraId="04E6C23E" w14:textId="72E32FFF" w:rsidR="00E90E85" w:rsidRPr="00A156F4" w:rsidRDefault="00E90E85" w:rsidP="00E90E85">
      <w:pPr>
        <w:pStyle w:val="Prrafodelista"/>
        <w:numPr>
          <w:ilvl w:val="0"/>
          <w:numId w:val="13"/>
        </w:numPr>
        <w:spacing w:after="0" w:line="240" w:lineRule="auto"/>
        <w:contextualSpacing/>
        <w:jc w:val="both"/>
        <w:rPr>
          <w:rFonts w:ascii="Times New Roman" w:hAnsi="Times New Roman"/>
          <w:lang w:eastAsia="es-CR"/>
        </w:rPr>
      </w:pPr>
      <w:r w:rsidRPr="00A156F4">
        <w:rPr>
          <w:rFonts w:ascii="Times New Roman" w:hAnsi="Times New Roman"/>
        </w:rPr>
        <w:t>Se requiera que dentro del plazo que establezca el Órgano Superior correspondiente, de al menos 10 días hábiles, aporte los documentos e información adicionales</w:t>
      </w:r>
      <w:r w:rsidR="00232A5F" w:rsidRPr="00A156F4">
        <w:rPr>
          <w:rFonts w:ascii="Times New Roman" w:hAnsi="Times New Roman"/>
        </w:rPr>
        <w:t>,</w:t>
      </w:r>
      <w:r w:rsidRPr="00A156F4">
        <w:rPr>
          <w:rFonts w:ascii="Times New Roman" w:hAnsi="Times New Roman"/>
        </w:rPr>
        <w:t xml:space="preserve"> necesarios para analizar</w:t>
      </w:r>
      <w:r w:rsidR="00130931" w:rsidRPr="00A156F4">
        <w:rPr>
          <w:rFonts w:ascii="Times New Roman" w:hAnsi="Times New Roman"/>
        </w:rPr>
        <w:t xml:space="preserve"> detalladamente</w:t>
      </w:r>
      <w:r w:rsidRPr="00A156F4">
        <w:rPr>
          <w:rFonts w:ascii="Times New Roman" w:hAnsi="Times New Roman"/>
        </w:rPr>
        <w:t xml:space="preserve"> la concentración. Esta información y documentación adicional deberá estar relacionada con los aspectos que generan preocupación desde el punto de vista de competencia y que ameritaron la </w:t>
      </w:r>
      <w:r w:rsidR="00130931" w:rsidRPr="00A156F4">
        <w:rPr>
          <w:rFonts w:ascii="Times New Roman" w:hAnsi="Times New Roman"/>
        </w:rPr>
        <w:t>apertura de la segunda fase</w:t>
      </w:r>
      <w:r w:rsidRPr="00A156F4">
        <w:rPr>
          <w:rFonts w:ascii="Times New Roman" w:hAnsi="Times New Roman"/>
        </w:rPr>
        <w:t>, según se expresó en el inciso anterior</w:t>
      </w:r>
      <w:r w:rsidR="00232A5F" w:rsidRPr="00A156F4">
        <w:rPr>
          <w:rFonts w:ascii="Times New Roman" w:hAnsi="Times New Roman"/>
        </w:rPr>
        <w:t>;</w:t>
      </w:r>
      <w:r w:rsidRPr="00A156F4">
        <w:rPr>
          <w:rFonts w:ascii="Times New Roman" w:hAnsi="Times New Roman"/>
        </w:rPr>
        <w:t xml:space="preserve"> así como aquellos elementos necesarios para demostrar las posibles eficiencias de la transacción. Este plazo podrá ser prorrogado a petición del solicitante </w:t>
      </w:r>
      <w:r w:rsidR="00E50714" w:rsidRPr="00A156F4">
        <w:rPr>
          <w:rFonts w:ascii="Times New Roman" w:hAnsi="Times New Roman"/>
        </w:rPr>
        <w:t xml:space="preserve">cuando </w:t>
      </w:r>
      <w:r w:rsidRPr="00A156F4">
        <w:rPr>
          <w:rFonts w:ascii="Times New Roman" w:hAnsi="Times New Roman"/>
        </w:rPr>
        <w:t>demuestr</w:t>
      </w:r>
      <w:r w:rsidR="00E50714" w:rsidRPr="00A156F4">
        <w:rPr>
          <w:rFonts w:ascii="Times New Roman" w:hAnsi="Times New Roman"/>
        </w:rPr>
        <w:t>e</w:t>
      </w:r>
      <w:r w:rsidRPr="00A156F4">
        <w:rPr>
          <w:rFonts w:ascii="Times New Roman" w:hAnsi="Times New Roman"/>
        </w:rPr>
        <w:t xml:space="preserve"> los motivos que justifiquen la conveniencia y necesidad de dicha solicitud. </w:t>
      </w:r>
    </w:p>
    <w:p w14:paraId="28909084" w14:textId="77777777" w:rsidR="00E90E85" w:rsidRPr="00A156F4" w:rsidRDefault="00E90E85" w:rsidP="00E90E85">
      <w:pPr>
        <w:contextualSpacing/>
        <w:jc w:val="both"/>
        <w:rPr>
          <w:sz w:val="22"/>
          <w:szCs w:val="22"/>
          <w:lang w:eastAsia="es-CR"/>
        </w:rPr>
      </w:pPr>
    </w:p>
    <w:p w14:paraId="4D04E08F" w14:textId="44AF1710"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99</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Resolución en segunda fase</w:t>
      </w:r>
    </w:p>
    <w:p w14:paraId="4F27A82A" w14:textId="77777777" w:rsidR="00E90E85" w:rsidRPr="00A156F4" w:rsidRDefault="00E90E85" w:rsidP="00E90E85">
      <w:pPr>
        <w:pStyle w:val="parrafo"/>
        <w:spacing w:before="0" w:beforeAutospacing="0" w:after="0" w:afterAutospacing="0"/>
        <w:rPr>
          <w:sz w:val="22"/>
          <w:szCs w:val="22"/>
        </w:rPr>
      </w:pPr>
    </w:p>
    <w:p w14:paraId="3F6B2169" w14:textId="0B188754" w:rsidR="00E90E85" w:rsidRPr="00A156F4" w:rsidRDefault="00E90E85" w:rsidP="00E90E85">
      <w:pPr>
        <w:pStyle w:val="parrafo"/>
        <w:spacing w:before="0" w:beforeAutospacing="0" w:after="0" w:afterAutospacing="0"/>
        <w:jc w:val="both"/>
        <w:rPr>
          <w:sz w:val="22"/>
          <w:szCs w:val="22"/>
        </w:rPr>
      </w:pPr>
      <w:r w:rsidRPr="00A156F4">
        <w:rPr>
          <w:sz w:val="22"/>
          <w:szCs w:val="22"/>
        </w:rPr>
        <w:t>Una vez finalizado el análisis de la concentración</w:t>
      </w:r>
      <w:r w:rsidR="00D1070C" w:rsidRPr="00A156F4">
        <w:rPr>
          <w:sz w:val="22"/>
          <w:szCs w:val="22"/>
        </w:rPr>
        <w:t xml:space="preserve"> por parte del Órgano Técnico y después de emitido su dictamen</w:t>
      </w:r>
      <w:r w:rsidRPr="00A156F4">
        <w:rPr>
          <w:sz w:val="22"/>
          <w:szCs w:val="22"/>
        </w:rPr>
        <w:t>, el Órgano Superior</w:t>
      </w:r>
      <w:r w:rsidRPr="00A156F4" w:rsidDel="009A2988">
        <w:rPr>
          <w:sz w:val="22"/>
          <w:szCs w:val="22"/>
        </w:rPr>
        <w:t xml:space="preserve"> </w:t>
      </w:r>
      <w:r w:rsidRPr="00A156F4">
        <w:rPr>
          <w:sz w:val="22"/>
          <w:szCs w:val="22"/>
          <w:lang w:val="es-ES"/>
        </w:rPr>
        <w:t xml:space="preserve">de la autoridad de competencia correspondiente </w:t>
      </w:r>
      <w:r w:rsidRPr="00A156F4">
        <w:rPr>
          <w:sz w:val="22"/>
          <w:szCs w:val="22"/>
        </w:rPr>
        <w:t xml:space="preserve">podrá: </w:t>
      </w:r>
    </w:p>
    <w:p w14:paraId="0BED7DEF" w14:textId="77777777" w:rsidR="00E90E85" w:rsidRPr="00A156F4" w:rsidRDefault="00E90E85" w:rsidP="00E90E85">
      <w:pPr>
        <w:pStyle w:val="parrafo"/>
        <w:spacing w:before="0" w:beforeAutospacing="0" w:after="0" w:afterAutospacing="0"/>
        <w:rPr>
          <w:b/>
          <w:sz w:val="22"/>
          <w:szCs w:val="22"/>
        </w:rPr>
      </w:pPr>
    </w:p>
    <w:p w14:paraId="3104E38F" w14:textId="77777777" w:rsidR="00E90E85" w:rsidRPr="00A156F4" w:rsidRDefault="00E90E85" w:rsidP="00E90E85">
      <w:pPr>
        <w:pStyle w:val="Prrafodelista"/>
        <w:numPr>
          <w:ilvl w:val="0"/>
          <w:numId w:val="14"/>
        </w:numPr>
        <w:spacing w:after="0" w:line="240" w:lineRule="auto"/>
        <w:contextualSpacing/>
        <w:jc w:val="both"/>
        <w:rPr>
          <w:rFonts w:ascii="Times New Roman" w:hAnsi="Times New Roman"/>
        </w:rPr>
      </w:pPr>
      <w:r w:rsidRPr="00A156F4">
        <w:rPr>
          <w:rFonts w:ascii="Times New Roman" w:hAnsi="Times New Roman"/>
        </w:rPr>
        <w:t xml:space="preserve">Autorizar la concentración incondicionalmente o sujeta a los compromisos que hubiese ofrecido el solicitante. </w:t>
      </w:r>
    </w:p>
    <w:p w14:paraId="239AC575" w14:textId="77777777" w:rsidR="00E90E85" w:rsidRPr="00A156F4" w:rsidRDefault="00E90E85" w:rsidP="00E90E85">
      <w:pPr>
        <w:pStyle w:val="Prrafodelista"/>
        <w:spacing w:after="0" w:line="240" w:lineRule="auto"/>
        <w:ind w:left="450"/>
        <w:jc w:val="both"/>
        <w:rPr>
          <w:rFonts w:ascii="Times New Roman" w:hAnsi="Times New Roman"/>
          <w:lang w:eastAsia="es-CR"/>
        </w:rPr>
      </w:pPr>
    </w:p>
    <w:p w14:paraId="0395F18C" w14:textId="60479415" w:rsidR="00E90E85" w:rsidRPr="00A156F4" w:rsidRDefault="00E90E85" w:rsidP="00E90E85">
      <w:pPr>
        <w:pStyle w:val="Prrafodelista"/>
        <w:numPr>
          <w:ilvl w:val="0"/>
          <w:numId w:val="14"/>
        </w:numPr>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Comunicar al solicitante que la concentración tiene efectos anticompetitivos previsibles que podrían ser contrarrestados, concediéndole un plazo de hasta </w:t>
      </w:r>
      <w:r w:rsidR="00BF1130" w:rsidRPr="00A156F4">
        <w:rPr>
          <w:rFonts w:ascii="Times New Roman" w:hAnsi="Times New Roman"/>
          <w:lang w:eastAsia="es-CR"/>
        </w:rPr>
        <w:t>30</w:t>
      </w:r>
      <w:r w:rsidRPr="00A156F4">
        <w:rPr>
          <w:rFonts w:ascii="Times New Roman" w:hAnsi="Times New Roman"/>
          <w:lang w:eastAsia="es-CR"/>
        </w:rPr>
        <w:t xml:space="preserve"> días hábiles</w:t>
      </w:r>
      <w:r w:rsidR="00726174" w:rsidRPr="00A156F4">
        <w:rPr>
          <w:rFonts w:ascii="Times New Roman" w:hAnsi="Times New Roman"/>
          <w:lang w:eastAsia="es-CR"/>
        </w:rPr>
        <w:t>,</w:t>
      </w:r>
      <w:r w:rsidR="0090606F" w:rsidRPr="00A156F4">
        <w:rPr>
          <w:rFonts w:ascii="Times New Roman" w:hAnsi="Times New Roman"/>
          <w:lang w:eastAsia="es-CR"/>
        </w:rPr>
        <w:t xml:space="preserve"> contados a partir de la firmeza de la resolución de segunda fase,</w:t>
      </w:r>
      <w:r w:rsidRPr="00A156F4">
        <w:rPr>
          <w:rFonts w:ascii="Times New Roman" w:hAnsi="Times New Roman"/>
          <w:lang w:eastAsia="es-CR"/>
        </w:rPr>
        <w:t xml:space="preserve"> para que presente una propuesta de compromisos a valorar por parte del Órgano Superior respectivo como condición para obtener la aprobación de la solicitud.</w:t>
      </w:r>
    </w:p>
    <w:p w14:paraId="2A604BBF" w14:textId="77777777" w:rsidR="00E90E85" w:rsidRPr="00A156F4" w:rsidRDefault="00E90E85" w:rsidP="00E90E85">
      <w:pPr>
        <w:pStyle w:val="Prrafodelista"/>
        <w:spacing w:after="0" w:line="240" w:lineRule="auto"/>
        <w:ind w:left="450"/>
        <w:jc w:val="both"/>
        <w:rPr>
          <w:rFonts w:ascii="Times New Roman" w:hAnsi="Times New Roman"/>
        </w:rPr>
      </w:pPr>
    </w:p>
    <w:p w14:paraId="4B46A797" w14:textId="77777777" w:rsidR="00E90E85" w:rsidRPr="00A156F4" w:rsidRDefault="00E90E85" w:rsidP="00E90E85">
      <w:pPr>
        <w:pStyle w:val="Prrafodelista"/>
        <w:numPr>
          <w:ilvl w:val="0"/>
          <w:numId w:val="14"/>
        </w:numPr>
        <w:spacing w:after="0" w:line="240" w:lineRule="auto"/>
        <w:contextualSpacing/>
        <w:jc w:val="both"/>
        <w:rPr>
          <w:rFonts w:ascii="Times New Roman" w:hAnsi="Times New Roman"/>
        </w:rPr>
      </w:pPr>
      <w:r w:rsidRPr="00A156F4">
        <w:rPr>
          <w:rFonts w:ascii="Times New Roman" w:hAnsi="Times New Roman"/>
        </w:rPr>
        <w:t>Prohibir la concentración si considera que sus efectos negativos en el mercado no podrán ser contrarrestados con condiciones que pudiese ofrecer el solicitante.</w:t>
      </w:r>
    </w:p>
    <w:p w14:paraId="70983773" w14:textId="77777777" w:rsidR="00E90E85" w:rsidRPr="00A156F4" w:rsidRDefault="00E90E85" w:rsidP="00E90E85">
      <w:pPr>
        <w:jc w:val="both"/>
        <w:rPr>
          <w:sz w:val="22"/>
          <w:szCs w:val="22"/>
          <w:lang w:eastAsia="es-CR"/>
        </w:rPr>
      </w:pPr>
    </w:p>
    <w:p w14:paraId="1A9430B0" w14:textId="086738EB" w:rsidR="00E90E85" w:rsidRPr="00A156F4" w:rsidRDefault="00E90E85" w:rsidP="00E90E85">
      <w:pPr>
        <w:jc w:val="both"/>
        <w:rPr>
          <w:sz w:val="22"/>
          <w:szCs w:val="22"/>
          <w:lang w:eastAsia="es-CR"/>
        </w:rPr>
      </w:pPr>
      <w:r w:rsidRPr="00A156F4">
        <w:rPr>
          <w:sz w:val="22"/>
          <w:szCs w:val="22"/>
          <w:lang w:eastAsia="es-CR"/>
        </w:rPr>
        <w:t xml:space="preserve">Contra la resolución en segunda fase cabrá recurso de reposición, </w:t>
      </w:r>
      <w:r w:rsidR="0090606F" w:rsidRPr="00A156F4">
        <w:rPr>
          <w:sz w:val="22"/>
          <w:szCs w:val="22"/>
          <w:lang w:eastAsia="es-CR"/>
        </w:rPr>
        <w:t>que</w:t>
      </w:r>
      <w:r w:rsidRPr="00A156F4">
        <w:rPr>
          <w:sz w:val="22"/>
          <w:szCs w:val="22"/>
          <w:lang w:eastAsia="es-CR"/>
        </w:rPr>
        <w:t xml:space="preserve"> deberá interponerse dentro de</w:t>
      </w:r>
      <w:r w:rsidR="00726174" w:rsidRPr="00A156F4">
        <w:rPr>
          <w:sz w:val="22"/>
          <w:szCs w:val="22"/>
          <w:lang w:eastAsia="es-CR"/>
        </w:rPr>
        <w:t xml:space="preserve"> un</w:t>
      </w:r>
      <w:r w:rsidRPr="00A156F4">
        <w:rPr>
          <w:sz w:val="22"/>
          <w:szCs w:val="22"/>
          <w:lang w:eastAsia="es-CR"/>
        </w:rPr>
        <w:t xml:space="preserve"> plazo de </w:t>
      </w:r>
      <w:r w:rsidR="00E27765" w:rsidRPr="00A156F4">
        <w:rPr>
          <w:sz w:val="22"/>
          <w:szCs w:val="22"/>
          <w:lang w:eastAsia="es-CR"/>
        </w:rPr>
        <w:t>15</w:t>
      </w:r>
      <w:r w:rsidRPr="00A156F4">
        <w:rPr>
          <w:sz w:val="22"/>
          <w:szCs w:val="22"/>
          <w:lang w:eastAsia="es-CR"/>
        </w:rPr>
        <w:t xml:space="preserve"> días hábiles. </w:t>
      </w:r>
      <w:r w:rsidR="00EF4681" w:rsidRPr="00A156F4">
        <w:rPr>
          <w:sz w:val="22"/>
          <w:szCs w:val="22"/>
          <w:lang w:eastAsia="es-CR"/>
        </w:rPr>
        <w:t xml:space="preserve">La autoridad deberá resolver dicho recurso dentro de un plazo de 15 días hábiles. </w:t>
      </w:r>
    </w:p>
    <w:p w14:paraId="421C97CB" w14:textId="77777777" w:rsidR="00E90E85" w:rsidRPr="00A156F4" w:rsidRDefault="00E90E85" w:rsidP="00E90E85">
      <w:pPr>
        <w:jc w:val="both"/>
        <w:rPr>
          <w:sz w:val="22"/>
          <w:szCs w:val="22"/>
          <w:lang w:eastAsia="es-CR"/>
        </w:rPr>
      </w:pPr>
    </w:p>
    <w:p w14:paraId="5DF82800" w14:textId="0C149A35"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imes New Roman" w:hAnsi="Times New Roman" w:cs="Times New Roman"/>
          <w:b/>
          <w:i w:val="0"/>
          <w:iCs w:val="0"/>
          <w:color w:val="auto"/>
          <w:sz w:val="22"/>
          <w:szCs w:val="22"/>
          <w:lang w:val="es-CR" w:eastAsia="en-US"/>
        </w:rPr>
        <w:t xml:space="preserve">Artículo </w:t>
      </w:r>
      <w:r w:rsidR="00701AF7" w:rsidRPr="00A156F4">
        <w:rPr>
          <w:rFonts w:ascii="Times New Roman" w:eastAsia="Times New Roman" w:hAnsi="Times New Roman" w:cs="Times New Roman"/>
          <w:b/>
          <w:i w:val="0"/>
          <w:iCs w:val="0"/>
          <w:color w:val="auto"/>
          <w:sz w:val="22"/>
          <w:szCs w:val="22"/>
          <w:lang w:val="es-CR" w:eastAsia="en-US"/>
        </w:rPr>
        <w:t>100</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Aprobación condicionada </w:t>
      </w:r>
      <w:r w:rsidR="007C40A0" w:rsidRPr="00A156F4">
        <w:rPr>
          <w:rFonts w:ascii="Times New Roman" w:eastAsia="Times New Roman" w:hAnsi="Times New Roman" w:cs="Times New Roman"/>
          <w:b/>
          <w:i w:val="0"/>
          <w:iCs w:val="0"/>
          <w:color w:val="auto"/>
          <w:sz w:val="22"/>
          <w:szCs w:val="22"/>
          <w:lang w:val="es-CR" w:eastAsia="en-US"/>
        </w:rPr>
        <w:t>o denegatoria de la concentración</w:t>
      </w:r>
    </w:p>
    <w:p w14:paraId="14237F5D" w14:textId="77777777" w:rsidR="00E90E85" w:rsidRPr="00A156F4" w:rsidRDefault="00E90E85" w:rsidP="00E90E85">
      <w:pPr>
        <w:rPr>
          <w:sz w:val="22"/>
          <w:szCs w:val="22"/>
          <w:lang w:val="es-CR" w:eastAsia="en-US"/>
        </w:rPr>
      </w:pPr>
    </w:p>
    <w:p w14:paraId="3FB020F6" w14:textId="07420E78" w:rsidR="007C40A0" w:rsidRPr="00A156F4" w:rsidRDefault="00E90E85" w:rsidP="00E90E85">
      <w:pPr>
        <w:jc w:val="both"/>
        <w:rPr>
          <w:sz w:val="22"/>
          <w:szCs w:val="22"/>
        </w:rPr>
      </w:pPr>
      <w:r w:rsidRPr="00A156F4">
        <w:rPr>
          <w:sz w:val="22"/>
          <w:szCs w:val="22"/>
        </w:rPr>
        <w:t>Recibida la propuesta de compromisos a que se refiere el inciso b) anterior, el Órgano Superior</w:t>
      </w:r>
      <w:r w:rsidRPr="00A156F4" w:rsidDel="009A2988">
        <w:rPr>
          <w:sz w:val="22"/>
          <w:szCs w:val="22"/>
        </w:rPr>
        <w:t xml:space="preserve"> </w:t>
      </w:r>
      <w:r w:rsidRPr="00A156F4">
        <w:rPr>
          <w:sz w:val="22"/>
          <w:szCs w:val="22"/>
          <w:lang w:val="es-ES"/>
        </w:rPr>
        <w:t xml:space="preserve">de la autoridad de competencia correspondiente </w:t>
      </w:r>
      <w:r w:rsidRPr="00A156F4">
        <w:rPr>
          <w:sz w:val="22"/>
          <w:szCs w:val="22"/>
        </w:rPr>
        <w:t>determinará si autoriza o no la concentración sujeta a las condiciones ofrecidas</w:t>
      </w:r>
      <w:r w:rsidR="00551184" w:rsidRPr="00A156F4">
        <w:rPr>
          <w:sz w:val="22"/>
          <w:szCs w:val="22"/>
        </w:rPr>
        <w:t>,</w:t>
      </w:r>
      <w:r w:rsidR="00726174" w:rsidRPr="00A156F4">
        <w:rPr>
          <w:sz w:val="22"/>
          <w:szCs w:val="22"/>
        </w:rPr>
        <w:t xml:space="preserve"> </w:t>
      </w:r>
      <w:r w:rsidRPr="00A156F4">
        <w:rPr>
          <w:sz w:val="22"/>
          <w:szCs w:val="22"/>
        </w:rPr>
        <w:t>si la autoriza imponiendo condiciones distintas de las contenidas en dicha propuesta</w:t>
      </w:r>
      <w:r w:rsidR="007C40A0" w:rsidRPr="00A156F4">
        <w:rPr>
          <w:sz w:val="22"/>
          <w:szCs w:val="22"/>
        </w:rPr>
        <w:t>, o si la prohíbe por considerar que los efectos negativos de la concentración no pueden ser contrarrestados con las condiciones propuestas, ni con condiciones adicionales que establezca la autoridad</w:t>
      </w:r>
      <w:r w:rsidRPr="00A156F4">
        <w:rPr>
          <w:sz w:val="22"/>
          <w:szCs w:val="22"/>
        </w:rPr>
        <w:t>.</w:t>
      </w:r>
    </w:p>
    <w:p w14:paraId="43D31979" w14:textId="77777777" w:rsidR="007C40A0" w:rsidRPr="00A156F4" w:rsidRDefault="007C40A0" w:rsidP="00E90E85">
      <w:pPr>
        <w:jc w:val="both"/>
        <w:rPr>
          <w:sz w:val="22"/>
          <w:szCs w:val="22"/>
        </w:rPr>
      </w:pPr>
    </w:p>
    <w:p w14:paraId="30D9D3D3" w14:textId="04910723" w:rsidR="00E90E85" w:rsidRPr="00A156F4" w:rsidRDefault="00E90E85" w:rsidP="00E90E85">
      <w:pPr>
        <w:jc w:val="both"/>
        <w:rPr>
          <w:sz w:val="22"/>
          <w:szCs w:val="22"/>
        </w:rPr>
      </w:pPr>
      <w:r w:rsidRPr="00A156F4">
        <w:rPr>
          <w:sz w:val="22"/>
          <w:szCs w:val="22"/>
        </w:rPr>
        <w:t>Esta resolución deberá dictarse dentro de los 30 días naturales siguientes a la presentación de la propuesta de compromisos, teniéndose por aprobada en caso de silencio de la autoridad, sin necesidad de resolución o actuación alguna, siempre que el solicitante haya presentado todos los documentos e información adicionales solicitados por el Órgano Superior respectivo</w:t>
      </w:r>
      <w:r w:rsidR="0099620D" w:rsidRPr="00A156F4">
        <w:rPr>
          <w:sz w:val="22"/>
          <w:szCs w:val="22"/>
        </w:rPr>
        <w:t xml:space="preserve">, </w:t>
      </w:r>
      <w:r w:rsidRPr="00A156F4">
        <w:rPr>
          <w:sz w:val="22"/>
          <w:szCs w:val="22"/>
        </w:rPr>
        <w:t>para analizar la concentración en segunda fase.</w:t>
      </w:r>
    </w:p>
    <w:p w14:paraId="4ACB86C8" w14:textId="77777777" w:rsidR="00C47E03" w:rsidRPr="00A156F4" w:rsidRDefault="00C47E03" w:rsidP="00E90E85">
      <w:pPr>
        <w:jc w:val="both"/>
        <w:rPr>
          <w:sz w:val="22"/>
          <w:szCs w:val="22"/>
        </w:rPr>
      </w:pPr>
    </w:p>
    <w:p w14:paraId="2FA0129B" w14:textId="2BC5E6C0" w:rsidR="00E90E85" w:rsidRPr="00A156F4" w:rsidRDefault="0012293A" w:rsidP="00E90E85">
      <w:pPr>
        <w:jc w:val="both"/>
        <w:rPr>
          <w:sz w:val="22"/>
          <w:szCs w:val="22"/>
        </w:rPr>
      </w:pPr>
      <w:r w:rsidRPr="00A156F4">
        <w:rPr>
          <w:sz w:val="22"/>
          <w:szCs w:val="22"/>
        </w:rPr>
        <w:t>La resolución del Órgano Superior</w:t>
      </w:r>
      <w:r w:rsidRPr="00A156F4" w:rsidDel="009A2988">
        <w:rPr>
          <w:sz w:val="22"/>
          <w:szCs w:val="22"/>
        </w:rPr>
        <w:t xml:space="preserve"> </w:t>
      </w:r>
      <w:r w:rsidRPr="00A156F4">
        <w:rPr>
          <w:sz w:val="22"/>
          <w:szCs w:val="22"/>
        </w:rPr>
        <w:t xml:space="preserve">deberá ser debidamente fundamentada y motivada. </w:t>
      </w:r>
      <w:r w:rsidR="00C47E03" w:rsidRPr="00A156F4">
        <w:rPr>
          <w:sz w:val="22"/>
          <w:szCs w:val="22"/>
        </w:rPr>
        <w:t xml:space="preserve">En caso de que </w:t>
      </w:r>
      <w:r w:rsidRPr="00A156F4">
        <w:rPr>
          <w:sz w:val="22"/>
          <w:szCs w:val="22"/>
        </w:rPr>
        <w:t>autori</w:t>
      </w:r>
      <w:r w:rsidR="00C47E03" w:rsidRPr="00A156F4">
        <w:rPr>
          <w:sz w:val="22"/>
          <w:szCs w:val="22"/>
        </w:rPr>
        <w:t>ce</w:t>
      </w:r>
      <w:r w:rsidRPr="00A156F4">
        <w:rPr>
          <w:sz w:val="22"/>
          <w:szCs w:val="22"/>
        </w:rPr>
        <w:t xml:space="preserve"> la concentración sujeta a condiciones de cualquier tipo, deberá especificar el contenido y los plazos de cumplimiento de esas condiciones.</w:t>
      </w:r>
    </w:p>
    <w:p w14:paraId="25D18101" w14:textId="0544D476" w:rsidR="0012293A" w:rsidRPr="00A156F4" w:rsidRDefault="0012293A" w:rsidP="00E90E85">
      <w:pPr>
        <w:jc w:val="both"/>
        <w:rPr>
          <w:sz w:val="22"/>
          <w:szCs w:val="22"/>
        </w:rPr>
      </w:pPr>
    </w:p>
    <w:p w14:paraId="791BAA79" w14:textId="46BB512C" w:rsidR="0012293A" w:rsidRPr="00A156F4" w:rsidRDefault="0012293A" w:rsidP="00E90E85">
      <w:pPr>
        <w:jc w:val="both"/>
        <w:rPr>
          <w:sz w:val="22"/>
          <w:szCs w:val="22"/>
          <w:lang w:eastAsia="es-CR"/>
        </w:rPr>
      </w:pPr>
      <w:r w:rsidRPr="00A156F4">
        <w:rPr>
          <w:sz w:val="22"/>
          <w:szCs w:val="22"/>
        </w:rPr>
        <w:t xml:space="preserve">Contra la resolución </w:t>
      </w:r>
      <w:r w:rsidR="0099620D" w:rsidRPr="00A156F4">
        <w:rPr>
          <w:sz w:val="22"/>
          <w:szCs w:val="22"/>
        </w:rPr>
        <w:t xml:space="preserve">del Órgano Superior </w:t>
      </w:r>
      <w:r w:rsidRPr="00A156F4">
        <w:rPr>
          <w:sz w:val="22"/>
          <w:szCs w:val="22"/>
        </w:rPr>
        <w:t>cabrá recurso de reposición</w:t>
      </w:r>
      <w:r w:rsidR="00C47E03" w:rsidRPr="00A156F4">
        <w:rPr>
          <w:sz w:val="22"/>
          <w:szCs w:val="22"/>
        </w:rPr>
        <w:t>,</w:t>
      </w:r>
      <w:r w:rsidRPr="00A156F4">
        <w:rPr>
          <w:sz w:val="22"/>
          <w:szCs w:val="22"/>
        </w:rPr>
        <w:t xml:space="preserve"> que deberá interponerse dentro de los 15 días hábiles siguientes.</w:t>
      </w:r>
      <w:r w:rsidRPr="00A156F4">
        <w:rPr>
          <w:sz w:val="22"/>
          <w:szCs w:val="22"/>
          <w:lang w:eastAsia="es-CR"/>
        </w:rPr>
        <w:t xml:space="preserve"> La autoridad deberá resolver dicho recurso dentro de un plazo de 15 días hábiles.</w:t>
      </w:r>
    </w:p>
    <w:p w14:paraId="41B7D6F8" w14:textId="44BECD40" w:rsidR="0012293A" w:rsidRPr="00A156F4" w:rsidRDefault="0012293A" w:rsidP="00E90E85">
      <w:pPr>
        <w:jc w:val="both"/>
        <w:rPr>
          <w:sz w:val="22"/>
          <w:szCs w:val="22"/>
        </w:rPr>
      </w:pPr>
    </w:p>
    <w:p w14:paraId="66D4E2F8" w14:textId="1B25E066" w:rsidR="0012293A" w:rsidRPr="00A156F4" w:rsidRDefault="0012293A" w:rsidP="00E90E85">
      <w:pPr>
        <w:jc w:val="both"/>
        <w:rPr>
          <w:sz w:val="22"/>
          <w:szCs w:val="22"/>
        </w:rPr>
      </w:pPr>
      <w:r w:rsidRPr="00A156F4">
        <w:rPr>
          <w:sz w:val="22"/>
          <w:szCs w:val="22"/>
        </w:rPr>
        <w:t>En caso de que el Órgano Superior imponga condiciones distintas a las contenidas en la propuesta de compromisos, este</w:t>
      </w:r>
      <w:r w:rsidRPr="00A156F4" w:rsidDel="009A2988">
        <w:rPr>
          <w:sz w:val="22"/>
          <w:szCs w:val="22"/>
        </w:rPr>
        <w:t xml:space="preserve"> </w:t>
      </w:r>
      <w:r w:rsidRPr="00A156F4">
        <w:rPr>
          <w:sz w:val="22"/>
          <w:szCs w:val="22"/>
        </w:rPr>
        <w:t xml:space="preserve">otorgará al solicitante un plazo de 20 días hábiles a partir de la firmeza de </w:t>
      </w:r>
      <w:r w:rsidR="0099620D" w:rsidRPr="00A156F4">
        <w:rPr>
          <w:sz w:val="22"/>
          <w:szCs w:val="22"/>
        </w:rPr>
        <w:t>dicha</w:t>
      </w:r>
      <w:r w:rsidRPr="00A156F4">
        <w:rPr>
          <w:sz w:val="22"/>
          <w:szCs w:val="22"/>
        </w:rPr>
        <w:t xml:space="preserve"> resolución</w:t>
      </w:r>
      <w:r w:rsidR="0099620D" w:rsidRPr="00A156F4">
        <w:rPr>
          <w:sz w:val="22"/>
          <w:szCs w:val="22"/>
        </w:rPr>
        <w:t>,</w:t>
      </w:r>
      <w:r w:rsidR="00B60D8C" w:rsidRPr="00A156F4">
        <w:rPr>
          <w:sz w:val="22"/>
          <w:szCs w:val="22"/>
        </w:rPr>
        <w:t xml:space="preserve"> </w:t>
      </w:r>
      <w:r w:rsidRPr="00A156F4">
        <w:rPr>
          <w:sz w:val="22"/>
          <w:szCs w:val="22"/>
        </w:rPr>
        <w:t xml:space="preserve">para manifestar su conformidad o no con las condiciones, entendiéndose el silencio del administrado como un rechazo de estas. Esto equivaldrá a la denegatoria de la concentración. </w:t>
      </w:r>
      <w:r w:rsidR="0099620D" w:rsidRPr="00A156F4">
        <w:rPr>
          <w:sz w:val="22"/>
          <w:szCs w:val="22"/>
        </w:rPr>
        <w:t xml:space="preserve">En caso de que el solicitante manifiesta su conformidad, se tendrá por aprobada la concentración con las condiciones impuestas. </w:t>
      </w:r>
    </w:p>
    <w:p w14:paraId="7E91780F" w14:textId="2A1C66A5" w:rsidR="00E90E85" w:rsidRPr="00A156F4" w:rsidRDefault="00E90E85" w:rsidP="00E90E85">
      <w:pPr>
        <w:jc w:val="both"/>
        <w:rPr>
          <w:sz w:val="22"/>
          <w:szCs w:val="22"/>
        </w:rPr>
      </w:pPr>
    </w:p>
    <w:p w14:paraId="1E9AA288" w14:textId="77777777" w:rsidR="005F7DB9" w:rsidRPr="00A156F4" w:rsidRDefault="005F7DB9" w:rsidP="00E90E85">
      <w:pPr>
        <w:jc w:val="both"/>
        <w:rPr>
          <w:sz w:val="22"/>
          <w:szCs w:val="22"/>
        </w:rPr>
      </w:pPr>
    </w:p>
    <w:p w14:paraId="2DB7CE23" w14:textId="77777777" w:rsidR="00E90E85" w:rsidRPr="00A156F4" w:rsidRDefault="00E90E85" w:rsidP="00E90E85">
      <w:pPr>
        <w:jc w:val="center"/>
        <w:rPr>
          <w:b/>
          <w:sz w:val="22"/>
          <w:szCs w:val="22"/>
          <w:lang w:val="es-CR"/>
        </w:rPr>
      </w:pPr>
      <w:r w:rsidRPr="00A156F4">
        <w:rPr>
          <w:b/>
          <w:sz w:val="22"/>
          <w:szCs w:val="22"/>
          <w:lang w:val="es-CR"/>
        </w:rPr>
        <w:t>SECCIÓN III</w:t>
      </w:r>
    </w:p>
    <w:p w14:paraId="7F6BE3C3" w14:textId="77777777" w:rsidR="00E90E85" w:rsidRPr="00A156F4" w:rsidRDefault="00E90E85" w:rsidP="00E90E85">
      <w:pPr>
        <w:jc w:val="center"/>
        <w:rPr>
          <w:b/>
          <w:sz w:val="22"/>
          <w:szCs w:val="22"/>
          <w:lang w:val="es-CR"/>
        </w:rPr>
      </w:pPr>
      <w:r w:rsidRPr="00A156F4">
        <w:rPr>
          <w:b/>
          <w:sz w:val="22"/>
          <w:szCs w:val="22"/>
          <w:lang w:val="es-CR"/>
        </w:rPr>
        <w:t>Análisis de Concentraciones y Condiciones</w:t>
      </w:r>
    </w:p>
    <w:p w14:paraId="690DA1E1" w14:textId="2D5A0609" w:rsidR="00E90E85" w:rsidRPr="00A156F4" w:rsidRDefault="00E90E85" w:rsidP="00E90E85">
      <w:pPr>
        <w:rPr>
          <w:b/>
          <w:sz w:val="22"/>
          <w:szCs w:val="22"/>
          <w:lang w:val="es-CR"/>
        </w:rPr>
      </w:pPr>
    </w:p>
    <w:p w14:paraId="71A65DCF" w14:textId="77777777" w:rsidR="005F7DB9" w:rsidRPr="00A156F4" w:rsidRDefault="005F7DB9" w:rsidP="00E90E85">
      <w:pPr>
        <w:rPr>
          <w:b/>
          <w:sz w:val="22"/>
          <w:szCs w:val="22"/>
          <w:lang w:val="es-CR"/>
        </w:rPr>
      </w:pPr>
    </w:p>
    <w:p w14:paraId="4B082043" w14:textId="0D6C8B1F"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101</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Análisis de Concentraciones</w:t>
      </w:r>
    </w:p>
    <w:p w14:paraId="11CA76EB" w14:textId="53EBD57B" w:rsidR="00E90E85" w:rsidRPr="00A156F4" w:rsidRDefault="00E90E85" w:rsidP="00E90E85">
      <w:pPr>
        <w:jc w:val="both"/>
        <w:rPr>
          <w:rFonts w:eastAsia="Times New Roman"/>
          <w:sz w:val="22"/>
          <w:szCs w:val="22"/>
          <w:lang w:val="es-ES" w:eastAsia="es-ES"/>
        </w:rPr>
      </w:pPr>
    </w:p>
    <w:p w14:paraId="7C764C60" w14:textId="77777777" w:rsidR="00D60942" w:rsidRPr="00A156F4" w:rsidRDefault="00D80091" w:rsidP="00D80091">
      <w:pPr>
        <w:jc w:val="both"/>
        <w:rPr>
          <w:sz w:val="22"/>
          <w:szCs w:val="22"/>
          <w:lang w:eastAsia="es-ES"/>
        </w:rPr>
      </w:pPr>
      <w:r w:rsidRPr="00A156F4">
        <w:rPr>
          <w:sz w:val="22"/>
          <w:szCs w:val="22"/>
          <w:lang w:eastAsia="es-ES"/>
        </w:rPr>
        <w:t xml:space="preserve">Serán aprobadas por el Órgano Superior de la autoridad de competencia correspondiente las concentraciones que no tengan como objeto o efecto previsible la obstaculización significativa de la competencia en el mercado relevante afectado por la transacción, o en otros similares o sustancialmente relacionados. </w:t>
      </w:r>
    </w:p>
    <w:p w14:paraId="496D2019" w14:textId="77777777" w:rsidR="00D60942" w:rsidRPr="00A156F4" w:rsidRDefault="00D60942" w:rsidP="00D80091">
      <w:pPr>
        <w:jc w:val="both"/>
        <w:rPr>
          <w:sz w:val="22"/>
          <w:szCs w:val="22"/>
          <w:lang w:eastAsia="es-ES"/>
        </w:rPr>
      </w:pPr>
    </w:p>
    <w:p w14:paraId="05852C43" w14:textId="615D0A9D" w:rsidR="00D80091" w:rsidRPr="00A156F4" w:rsidRDefault="00D80091" w:rsidP="00D80091">
      <w:pPr>
        <w:jc w:val="both"/>
        <w:rPr>
          <w:sz w:val="22"/>
          <w:szCs w:val="22"/>
          <w:lang w:eastAsia="es-ES"/>
        </w:rPr>
      </w:pPr>
      <w:r w:rsidRPr="00A156F4">
        <w:rPr>
          <w:sz w:val="22"/>
          <w:szCs w:val="22"/>
          <w:lang w:eastAsia="es-ES"/>
        </w:rPr>
        <w:t xml:space="preserve">La valoración considerará la creación o refuerzo del poder sustancial en el mercado relevante, así como la posibilidad de coordinación expresa o tácita entre agentes económicos, y posibles resultados adversos para los consumidores. </w:t>
      </w:r>
    </w:p>
    <w:p w14:paraId="60FFAFD9" w14:textId="77777777" w:rsidR="00D80091" w:rsidRPr="00A156F4" w:rsidRDefault="00D80091" w:rsidP="00D80091">
      <w:pPr>
        <w:jc w:val="both"/>
        <w:rPr>
          <w:sz w:val="22"/>
          <w:szCs w:val="22"/>
          <w:lang w:eastAsia="es-ES"/>
        </w:rPr>
      </w:pPr>
    </w:p>
    <w:p w14:paraId="4C0A09CC" w14:textId="1236D910" w:rsidR="00D80091" w:rsidRPr="00A156F4" w:rsidRDefault="00D80091" w:rsidP="00D80091">
      <w:pPr>
        <w:jc w:val="both"/>
        <w:rPr>
          <w:sz w:val="22"/>
          <w:szCs w:val="22"/>
          <w:lang w:eastAsia="es-ES"/>
        </w:rPr>
      </w:pPr>
      <w:r w:rsidRPr="00A156F4">
        <w:rPr>
          <w:sz w:val="22"/>
          <w:szCs w:val="22"/>
          <w:lang w:eastAsia="es-ES"/>
        </w:rPr>
        <w:t xml:space="preserve">Al analizar los efectos previsibles de una concentración, la autoridad de competencia correspondiente utilizará los criterios establecidos en la Ley de Promoción de la Competencia y Defensa Efectiva del Consumidor, Ley </w:t>
      </w:r>
      <w:proofErr w:type="spellStart"/>
      <w:r w:rsidRPr="00A156F4">
        <w:rPr>
          <w:sz w:val="22"/>
          <w:szCs w:val="22"/>
          <w:lang w:eastAsia="es-ES"/>
        </w:rPr>
        <w:t>N°</w:t>
      </w:r>
      <w:proofErr w:type="spellEnd"/>
      <w:r w:rsidRPr="00A156F4">
        <w:rPr>
          <w:sz w:val="22"/>
          <w:szCs w:val="22"/>
          <w:lang w:eastAsia="es-ES"/>
        </w:rPr>
        <w:t xml:space="preserve"> 7472, del 20 de diciembre de 1994, sus reformas y sus reglamentos, relacionados con la determinación del mercado relevante y </w:t>
      </w:r>
      <w:r w:rsidR="00B61701" w:rsidRPr="00A156F4">
        <w:rPr>
          <w:sz w:val="22"/>
          <w:szCs w:val="22"/>
          <w:lang w:eastAsia="es-ES"/>
        </w:rPr>
        <w:t xml:space="preserve">con </w:t>
      </w:r>
      <w:r w:rsidRPr="00A156F4">
        <w:rPr>
          <w:sz w:val="22"/>
          <w:szCs w:val="22"/>
          <w:lang w:eastAsia="es-ES"/>
        </w:rPr>
        <w:t>la existencia del poder sustancial en este.</w:t>
      </w:r>
    </w:p>
    <w:p w14:paraId="13708DC4" w14:textId="5FFB55DE" w:rsidR="00121BD5" w:rsidRPr="00A156F4" w:rsidRDefault="00121BD5" w:rsidP="00D80091">
      <w:pPr>
        <w:jc w:val="both"/>
        <w:rPr>
          <w:sz w:val="22"/>
          <w:szCs w:val="22"/>
        </w:rPr>
      </w:pPr>
    </w:p>
    <w:p w14:paraId="2B3CAF9F" w14:textId="77777777" w:rsidR="00121BD5" w:rsidRPr="00A156F4" w:rsidRDefault="00121BD5" w:rsidP="00121BD5">
      <w:pPr>
        <w:autoSpaceDE w:val="0"/>
        <w:autoSpaceDN w:val="0"/>
        <w:adjustRightInd w:val="0"/>
        <w:jc w:val="both"/>
        <w:rPr>
          <w:color w:val="000000"/>
          <w:sz w:val="22"/>
          <w:szCs w:val="22"/>
          <w:lang w:val="es-CR" w:eastAsia="en-US"/>
        </w:rPr>
      </w:pPr>
      <w:r w:rsidRPr="00A156F4">
        <w:rPr>
          <w:color w:val="000000"/>
          <w:sz w:val="22"/>
          <w:szCs w:val="22"/>
          <w:lang w:val="es-CR" w:eastAsia="en-US"/>
        </w:rPr>
        <w:t xml:space="preserve">Una concentración con alguno de los objetos o efectos anteriores será, no obstante, aprobada si: </w:t>
      </w:r>
    </w:p>
    <w:p w14:paraId="522A4193" w14:textId="77777777" w:rsidR="00121BD5" w:rsidRPr="00A156F4" w:rsidRDefault="00121BD5" w:rsidP="00121BD5">
      <w:pPr>
        <w:autoSpaceDE w:val="0"/>
        <w:autoSpaceDN w:val="0"/>
        <w:adjustRightInd w:val="0"/>
        <w:jc w:val="both"/>
        <w:rPr>
          <w:color w:val="000000"/>
          <w:sz w:val="22"/>
          <w:szCs w:val="22"/>
          <w:lang w:val="es-CR" w:eastAsia="en-US"/>
        </w:rPr>
      </w:pPr>
    </w:p>
    <w:p w14:paraId="3A2283F0" w14:textId="77777777" w:rsidR="00121BD5" w:rsidRPr="00A156F4" w:rsidRDefault="00121BD5" w:rsidP="00117EE5">
      <w:pPr>
        <w:pStyle w:val="Prrafodelista"/>
        <w:numPr>
          <w:ilvl w:val="0"/>
          <w:numId w:val="35"/>
        </w:numPr>
        <w:autoSpaceDE w:val="0"/>
        <w:autoSpaceDN w:val="0"/>
        <w:adjustRightInd w:val="0"/>
        <w:spacing w:line="240" w:lineRule="auto"/>
        <w:jc w:val="both"/>
        <w:rPr>
          <w:rFonts w:ascii="Times New Roman" w:hAnsi="Times New Roman"/>
          <w:color w:val="000000"/>
        </w:rPr>
      </w:pPr>
      <w:r w:rsidRPr="00A156F4">
        <w:rPr>
          <w:rFonts w:ascii="Times New Roman" w:hAnsi="Times New Roman"/>
          <w:color w:val="000000"/>
        </w:rPr>
        <w:t xml:space="preserve">Los solicitantes demuestran que la concentración es necesaria para alcanzar economías de escala o desarrollar ganancias de eficiencia, cuyos beneficios sean superiores a los efectos anticompetitivos. </w:t>
      </w:r>
    </w:p>
    <w:p w14:paraId="592C585E" w14:textId="77777777" w:rsidR="00121BD5" w:rsidRPr="00A156F4" w:rsidRDefault="00121BD5" w:rsidP="00117EE5">
      <w:pPr>
        <w:pStyle w:val="Prrafodelista"/>
        <w:numPr>
          <w:ilvl w:val="0"/>
          <w:numId w:val="35"/>
        </w:numPr>
        <w:autoSpaceDE w:val="0"/>
        <w:autoSpaceDN w:val="0"/>
        <w:adjustRightInd w:val="0"/>
        <w:spacing w:line="240" w:lineRule="auto"/>
        <w:jc w:val="both"/>
        <w:rPr>
          <w:rFonts w:ascii="Times New Roman" w:hAnsi="Times New Roman"/>
          <w:color w:val="000000"/>
        </w:rPr>
      </w:pPr>
      <w:r w:rsidRPr="00A156F4">
        <w:rPr>
          <w:rFonts w:ascii="Times New Roman" w:hAnsi="Times New Roman"/>
          <w:color w:val="000000"/>
        </w:rPr>
        <w:t xml:space="preserve">La concentración es necesaria para evitar la salida del mercado de activos productivos de uno de los agentes económicos participantes en la concentración, como sería el caso de una situación financiera insostenible. </w:t>
      </w:r>
    </w:p>
    <w:p w14:paraId="55F10E68" w14:textId="77777777" w:rsidR="00D078B2" w:rsidRPr="00A156F4" w:rsidRDefault="00121BD5" w:rsidP="00117EE5">
      <w:pPr>
        <w:pStyle w:val="Prrafodelista"/>
        <w:numPr>
          <w:ilvl w:val="0"/>
          <w:numId w:val="35"/>
        </w:numPr>
        <w:autoSpaceDE w:val="0"/>
        <w:autoSpaceDN w:val="0"/>
        <w:adjustRightInd w:val="0"/>
        <w:spacing w:line="240" w:lineRule="auto"/>
        <w:jc w:val="both"/>
        <w:rPr>
          <w:rFonts w:ascii="Times New Roman" w:hAnsi="Times New Roman"/>
          <w:color w:val="000000"/>
        </w:rPr>
      </w:pPr>
      <w:r w:rsidRPr="00A156F4">
        <w:rPr>
          <w:rFonts w:ascii="Times New Roman" w:hAnsi="Times New Roman"/>
          <w:color w:val="000000"/>
        </w:rPr>
        <w:t xml:space="preserve">Sus efectos anticompetitivos pueden ser contrarrestados por los compromisos ofrecidos por las partes o por las condiciones impuestas por el Órgano Superior correspondiente. </w:t>
      </w:r>
    </w:p>
    <w:p w14:paraId="481A124B" w14:textId="6A017BA3" w:rsidR="00121BD5" w:rsidRPr="00A156F4" w:rsidRDefault="00121BD5" w:rsidP="00117EE5">
      <w:pPr>
        <w:pStyle w:val="Prrafodelista"/>
        <w:numPr>
          <w:ilvl w:val="0"/>
          <w:numId w:val="35"/>
        </w:numPr>
        <w:autoSpaceDE w:val="0"/>
        <w:autoSpaceDN w:val="0"/>
        <w:adjustRightInd w:val="0"/>
        <w:spacing w:after="0" w:line="240" w:lineRule="auto"/>
        <w:jc w:val="both"/>
        <w:rPr>
          <w:rFonts w:ascii="Times New Roman" w:hAnsi="Times New Roman"/>
          <w:color w:val="000000"/>
        </w:rPr>
      </w:pPr>
      <w:r w:rsidRPr="00A156F4">
        <w:rPr>
          <w:rFonts w:ascii="Times New Roman" w:hAnsi="Times New Roman"/>
          <w:color w:val="000000"/>
        </w:rPr>
        <w:t>Se presenta cualquier otra circunstancia que a juicio del Órgano Superior respectivo proteja los intereses de los consumidores nacionales.</w:t>
      </w:r>
    </w:p>
    <w:p w14:paraId="35498FD7" w14:textId="77777777" w:rsidR="00E90E85" w:rsidRPr="00A156F4" w:rsidRDefault="00E90E85" w:rsidP="00D80091">
      <w:pPr>
        <w:contextualSpacing/>
        <w:jc w:val="both"/>
        <w:rPr>
          <w:rFonts w:eastAsia="Times New Roman"/>
          <w:color w:val="000000"/>
          <w:sz w:val="22"/>
          <w:szCs w:val="22"/>
          <w:lang w:val="es-CR" w:eastAsia="en-US"/>
        </w:rPr>
      </w:pPr>
    </w:p>
    <w:p w14:paraId="2D6C90E2" w14:textId="10B9FE71" w:rsidR="00E90E85" w:rsidRPr="00A156F4" w:rsidRDefault="00E90E85" w:rsidP="00E90E85">
      <w:pPr>
        <w:contextualSpacing/>
        <w:jc w:val="both"/>
        <w:rPr>
          <w:b/>
          <w:sz w:val="22"/>
          <w:szCs w:val="22"/>
        </w:rPr>
      </w:pPr>
      <w:r w:rsidRPr="00A156F4">
        <w:rPr>
          <w:b/>
          <w:sz w:val="22"/>
          <w:szCs w:val="22"/>
        </w:rPr>
        <w:t xml:space="preserve">Artículo </w:t>
      </w:r>
      <w:r w:rsidR="00701AF7" w:rsidRPr="00A156F4">
        <w:rPr>
          <w:b/>
          <w:sz w:val="22"/>
          <w:szCs w:val="22"/>
        </w:rPr>
        <w:t>10</w:t>
      </w:r>
      <w:r w:rsidR="00D80091" w:rsidRPr="00A156F4">
        <w:rPr>
          <w:b/>
          <w:sz w:val="22"/>
          <w:szCs w:val="22"/>
        </w:rPr>
        <w:t>2</w:t>
      </w:r>
      <w:r w:rsidRPr="00A156F4">
        <w:rPr>
          <w:b/>
          <w:sz w:val="22"/>
          <w:szCs w:val="22"/>
        </w:rPr>
        <w:t>.-</w:t>
      </w:r>
      <w:r w:rsidR="00F153AC" w:rsidRPr="00A156F4">
        <w:rPr>
          <w:b/>
          <w:sz w:val="22"/>
          <w:szCs w:val="22"/>
        </w:rPr>
        <w:t xml:space="preserve"> </w:t>
      </w:r>
      <w:r w:rsidRPr="00A156F4">
        <w:rPr>
          <w:b/>
          <w:sz w:val="22"/>
          <w:szCs w:val="22"/>
        </w:rPr>
        <w:t>Supuestos de presunción favorable de las concentraciones</w:t>
      </w:r>
    </w:p>
    <w:p w14:paraId="38FF0AFA" w14:textId="77777777" w:rsidR="00E90E85" w:rsidRPr="00A156F4" w:rsidRDefault="00E90E85" w:rsidP="00E90E85">
      <w:pPr>
        <w:pStyle w:val="Prrafodelista"/>
        <w:spacing w:after="0" w:line="240" w:lineRule="auto"/>
        <w:ind w:left="720"/>
        <w:contextualSpacing/>
        <w:jc w:val="both"/>
        <w:rPr>
          <w:rFonts w:ascii="Times New Roman" w:eastAsiaTheme="minorHAnsi" w:hAnsi="Times New Roman"/>
          <w:lang w:val="es-ES_tradnl" w:eastAsia="es-ES_tradnl"/>
        </w:rPr>
      </w:pPr>
    </w:p>
    <w:p w14:paraId="2B54E4FD" w14:textId="1E506F09" w:rsidR="00E90E85" w:rsidRPr="00A156F4" w:rsidRDefault="00121BD5" w:rsidP="00E90E85">
      <w:pPr>
        <w:pStyle w:val="Prrafodelista"/>
        <w:ind w:left="0"/>
        <w:jc w:val="both"/>
        <w:rPr>
          <w:rFonts w:ascii="Times New Roman" w:hAnsi="Times New Roman"/>
        </w:rPr>
      </w:pPr>
      <w:r w:rsidRPr="00A156F4">
        <w:rPr>
          <w:rFonts w:ascii="Times New Roman" w:eastAsiaTheme="minorHAnsi" w:hAnsi="Times New Roman"/>
          <w:lang w:val="es-ES_tradnl" w:eastAsia="es-ES_tradnl"/>
        </w:rPr>
        <w:t>Se establecerá vía reglamento los casos en los que, salvo prueba en contrario, se presumirá que una concentración no tiene como objeto o efecto previsible la obstaculización significativa de la competencia.</w:t>
      </w:r>
    </w:p>
    <w:p w14:paraId="72E176B4" w14:textId="0FCADB96"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imes New Roman" w:hAnsi="Times New Roman" w:cs="Times New Roman"/>
          <w:b/>
          <w:i w:val="0"/>
          <w:iCs w:val="0"/>
          <w:color w:val="auto"/>
          <w:sz w:val="22"/>
          <w:szCs w:val="22"/>
          <w:lang w:val="es-CR" w:eastAsia="en-US"/>
        </w:rPr>
        <w:t xml:space="preserve">Artículo </w:t>
      </w:r>
      <w:r w:rsidR="00701AF7" w:rsidRPr="00A156F4">
        <w:rPr>
          <w:rFonts w:ascii="Times New Roman" w:eastAsia="Times New Roman" w:hAnsi="Times New Roman" w:cs="Times New Roman"/>
          <w:b/>
          <w:i w:val="0"/>
          <w:iCs w:val="0"/>
          <w:color w:val="auto"/>
          <w:sz w:val="22"/>
          <w:szCs w:val="22"/>
          <w:lang w:val="es-CR" w:eastAsia="en-US"/>
        </w:rPr>
        <w:t>10</w:t>
      </w:r>
      <w:r w:rsidR="00D80091" w:rsidRPr="00A156F4">
        <w:rPr>
          <w:rFonts w:ascii="Times New Roman" w:eastAsia="Times New Roman" w:hAnsi="Times New Roman" w:cs="Times New Roman"/>
          <w:b/>
          <w:i w:val="0"/>
          <w:iCs w:val="0"/>
          <w:color w:val="auto"/>
          <w:sz w:val="22"/>
          <w:szCs w:val="22"/>
          <w:lang w:val="es-CR" w:eastAsia="en-US"/>
        </w:rPr>
        <w:t>3</w:t>
      </w:r>
      <w:r w:rsidRPr="00A156F4">
        <w:rPr>
          <w:rFonts w:ascii="Times New Roman" w:eastAsia="Times New Roman" w:hAnsi="Times New Roman" w:cs="Times New Roman"/>
          <w:b/>
          <w:i w:val="0"/>
          <w:iCs w:val="0"/>
          <w:color w:val="auto"/>
          <w:sz w:val="22"/>
          <w:szCs w:val="22"/>
          <w:lang w:val="es-CR" w:eastAsia="en-US"/>
        </w:rPr>
        <w:t>.- Condiciones</w:t>
      </w:r>
    </w:p>
    <w:p w14:paraId="4E93CB74" w14:textId="77777777" w:rsidR="00E90E85" w:rsidRPr="00A156F4" w:rsidRDefault="00E90E85" w:rsidP="00E90E85">
      <w:pPr>
        <w:rPr>
          <w:sz w:val="22"/>
          <w:szCs w:val="22"/>
          <w:lang w:val="es-CR" w:eastAsia="en-US"/>
        </w:rPr>
      </w:pPr>
    </w:p>
    <w:p w14:paraId="16F108EB" w14:textId="0EC06C43" w:rsidR="00E90E85" w:rsidRPr="00A156F4" w:rsidRDefault="00E90E85" w:rsidP="00E90E85">
      <w:pPr>
        <w:jc w:val="both"/>
        <w:rPr>
          <w:sz w:val="22"/>
          <w:szCs w:val="22"/>
        </w:rPr>
      </w:pPr>
      <w:r w:rsidRPr="00A156F4">
        <w:rPr>
          <w:sz w:val="22"/>
          <w:szCs w:val="22"/>
        </w:rPr>
        <w:t>El Órgano Superior</w:t>
      </w:r>
      <w:r w:rsidRPr="00A156F4" w:rsidDel="009A2988">
        <w:rPr>
          <w:sz w:val="22"/>
          <w:szCs w:val="22"/>
        </w:rPr>
        <w:t xml:space="preserve"> </w:t>
      </w:r>
      <w:r w:rsidRPr="00A156F4">
        <w:rPr>
          <w:sz w:val="22"/>
          <w:szCs w:val="22"/>
          <w:lang w:val="es-ES"/>
        </w:rPr>
        <w:t xml:space="preserve">de la autoridad de competencia correspondiente </w:t>
      </w:r>
      <w:r w:rsidR="005D2F65" w:rsidRPr="00A156F4">
        <w:rPr>
          <w:sz w:val="22"/>
          <w:szCs w:val="22"/>
        </w:rPr>
        <w:t xml:space="preserve">podrá </w:t>
      </w:r>
      <w:r w:rsidRPr="00A156F4">
        <w:rPr>
          <w:sz w:val="22"/>
          <w:szCs w:val="22"/>
        </w:rPr>
        <w:t>imponer una o varias de las siguientes condiciones para la autorización de una concentración, con el fin de reducir o contrarrestar los posibles efectos anticompetitivos:</w:t>
      </w:r>
    </w:p>
    <w:p w14:paraId="37EFE8CD" w14:textId="77777777" w:rsidR="00E90E85" w:rsidRPr="00A156F4" w:rsidRDefault="00E90E85" w:rsidP="00E90E85">
      <w:pPr>
        <w:jc w:val="both"/>
        <w:rPr>
          <w:b/>
          <w:sz w:val="22"/>
          <w:szCs w:val="22"/>
        </w:rPr>
      </w:pPr>
    </w:p>
    <w:p w14:paraId="09C2DA9D" w14:textId="3F6FD189" w:rsidR="00E90E85" w:rsidRPr="00A156F4" w:rsidRDefault="00E90E85" w:rsidP="00E90E85">
      <w:pPr>
        <w:pStyle w:val="Prrafodelista"/>
        <w:numPr>
          <w:ilvl w:val="0"/>
          <w:numId w:val="15"/>
        </w:numPr>
        <w:spacing w:after="0" w:line="240" w:lineRule="auto"/>
        <w:contextualSpacing/>
        <w:jc w:val="both"/>
        <w:rPr>
          <w:rFonts w:ascii="Times New Roman" w:hAnsi="Times New Roman"/>
          <w:lang w:eastAsia="es-CR"/>
        </w:rPr>
      </w:pPr>
      <w:r w:rsidRPr="00A156F4">
        <w:rPr>
          <w:rFonts w:ascii="Times New Roman" w:hAnsi="Times New Roman"/>
          <w:lang w:eastAsia="es-CR"/>
        </w:rPr>
        <w:t>La cesión, el traspaso, la licencia o la venta de uno o más de los activos, derechos, acciones, sistema de distribución o servicios</w:t>
      </w:r>
      <w:r w:rsidR="007E01B8" w:rsidRPr="00A156F4">
        <w:rPr>
          <w:rFonts w:ascii="Times New Roman" w:hAnsi="Times New Roman"/>
          <w:lang w:eastAsia="es-CR"/>
        </w:rPr>
        <w:t>,</w:t>
      </w:r>
      <w:r w:rsidRPr="00A156F4">
        <w:rPr>
          <w:rFonts w:ascii="Times New Roman" w:hAnsi="Times New Roman"/>
          <w:lang w:eastAsia="es-CR"/>
        </w:rPr>
        <w:t xml:space="preserve"> a un tercero autorizado por el Órgano Superior respectivo.</w:t>
      </w:r>
    </w:p>
    <w:p w14:paraId="13498038" w14:textId="77777777" w:rsidR="00E90E85" w:rsidRPr="00A156F4" w:rsidRDefault="00E90E85" w:rsidP="00E90E85">
      <w:pPr>
        <w:pStyle w:val="Prrafodelista"/>
        <w:spacing w:after="0" w:line="240" w:lineRule="auto"/>
        <w:ind w:left="0" w:firstLine="60"/>
        <w:jc w:val="both"/>
        <w:rPr>
          <w:rFonts w:ascii="Times New Roman" w:hAnsi="Times New Roman"/>
          <w:lang w:eastAsia="es-CR"/>
        </w:rPr>
      </w:pPr>
    </w:p>
    <w:p w14:paraId="05C8AD41" w14:textId="77777777" w:rsidR="00E90E85" w:rsidRPr="00A156F4" w:rsidRDefault="00E90E85" w:rsidP="00E90E85">
      <w:pPr>
        <w:pStyle w:val="Prrafodelista"/>
        <w:numPr>
          <w:ilvl w:val="0"/>
          <w:numId w:val="15"/>
        </w:numPr>
        <w:spacing w:after="0" w:line="240" w:lineRule="auto"/>
        <w:contextualSpacing/>
        <w:jc w:val="both"/>
        <w:rPr>
          <w:rFonts w:ascii="Times New Roman" w:hAnsi="Times New Roman"/>
          <w:lang w:eastAsia="es-CR"/>
        </w:rPr>
      </w:pPr>
      <w:r w:rsidRPr="00A156F4">
        <w:rPr>
          <w:rFonts w:ascii="Times New Roman" w:hAnsi="Times New Roman"/>
          <w:lang w:eastAsia="es-CR"/>
        </w:rPr>
        <w:t>La limitación o la restricción de prestar determinados servicios o vender determinados bienes, o la delimitación del ámbito geográfico en que estos pueden ser prestados, o del tipo de clientes al que pueden ser ofrecidos.</w:t>
      </w:r>
    </w:p>
    <w:p w14:paraId="7EAB3FF8" w14:textId="77777777" w:rsidR="00E90E85" w:rsidRPr="00A156F4" w:rsidRDefault="00E90E85" w:rsidP="00E90E85">
      <w:pPr>
        <w:pStyle w:val="Prrafodelista"/>
        <w:spacing w:after="0" w:line="240" w:lineRule="auto"/>
        <w:ind w:left="0"/>
        <w:jc w:val="both"/>
        <w:rPr>
          <w:rFonts w:ascii="Times New Roman" w:hAnsi="Times New Roman"/>
          <w:lang w:eastAsia="es-CR"/>
        </w:rPr>
      </w:pPr>
    </w:p>
    <w:p w14:paraId="0AC2177D" w14:textId="77777777" w:rsidR="00E90E85" w:rsidRPr="00A156F4" w:rsidRDefault="00E90E85" w:rsidP="00E90E85">
      <w:pPr>
        <w:pStyle w:val="Prrafodelista"/>
        <w:numPr>
          <w:ilvl w:val="0"/>
          <w:numId w:val="15"/>
        </w:numPr>
        <w:spacing w:after="0" w:line="240" w:lineRule="auto"/>
        <w:contextualSpacing/>
        <w:jc w:val="both"/>
        <w:rPr>
          <w:rFonts w:ascii="Times New Roman" w:hAnsi="Times New Roman"/>
          <w:lang w:eastAsia="es-CR"/>
        </w:rPr>
      </w:pPr>
      <w:r w:rsidRPr="00A156F4">
        <w:rPr>
          <w:rFonts w:ascii="Times New Roman" w:hAnsi="Times New Roman"/>
          <w:lang w:eastAsia="es-CR"/>
        </w:rPr>
        <w:t>La obligación de suplir determinados productos o prestar determinados servicios, en términos y condiciones no discriminatorios, a clientes específicos o a otros competidores.</w:t>
      </w:r>
    </w:p>
    <w:p w14:paraId="530BDCC4" w14:textId="77777777" w:rsidR="00E90E85" w:rsidRPr="00A156F4" w:rsidRDefault="00E90E85" w:rsidP="00E90E85">
      <w:pPr>
        <w:pStyle w:val="Prrafodelista"/>
        <w:spacing w:after="0" w:line="240" w:lineRule="auto"/>
        <w:ind w:left="0"/>
        <w:jc w:val="both"/>
        <w:rPr>
          <w:rFonts w:ascii="Times New Roman" w:hAnsi="Times New Roman"/>
          <w:lang w:eastAsia="es-CR"/>
        </w:rPr>
      </w:pPr>
    </w:p>
    <w:p w14:paraId="09213A8D" w14:textId="77777777" w:rsidR="00E90E85" w:rsidRPr="00A156F4" w:rsidRDefault="00E90E85" w:rsidP="00E90E85">
      <w:pPr>
        <w:pStyle w:val="Prrafodelista"/>
        <w:numPr>
          <w:ilvl w:val="0"/>
          <w:numId w:val="15"/>
        </w:numPr>
        <w:spacing w:after="0" w:line="240" w:lineRule="auto"/>
        <w:contextualSpacing/>
        <w:jc w:val="both"/>
        <w:rPr>
          <w:rFonts w:ascii="Times New Roman" w:hAnsi="Times New Roman"/>
          <w:lang w:eastAsia="es-CR"/>
        </w:rPr>
      </w:pPr>
      <w:r w:rsidRPr="00A156F4">
        <w:rPr>
          <w:rFonts w:ascii="Times New Roman" w:hAnsi="Times New Roman"/>
          <w:lang w:eastAsia="es-CR"/>
        </w:rPr>
        <w:t>La introducción, eliminación o modificación de cláusulas contenidas en los contratos escritos o verbales, y en sus relaciones comerciales con clientes o proveedores.</w:t>
      </w:r>
    </w:p>
    <w:p w14:paraId="5ACFE38D" w14:textId="77777777" w:rsidR="00E90E85" w:rsidRPr="00A156F4" w:rsidRDefault="00E90E85" w:rsidP="00E90E85">
      <w:pPr>
        <w:pStyle w:val="Prrafodelista"/>
        <w:spacing w:after="0" w:line="240" w:lineRule="auto"/>
        <w:rPr>
          <w:rFonts w:ascii="Times New Roman" w:hAnsi="Times New Roman"/>
          <w:lang w:eastAsia="es-CR"/>
        </w:rPr>
      </w:pPr>
    </w:p>
    <w:p w14:paraId="74597821" w14:textId="77777777" w:rsidR="00E90E85" w:rsidRPr="00A156F4" w:rsidRDefault="00E90E85" w:rsidP="00E90E85">
      <w:pPr>
        <w:pStyle w:val="Prrafodelista"/>
        <w:numPr>
          <w:ilvl w:val="0"/>
          <w:numId w:val="15"/>
        </w:numPr>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 La separación o escisión del agente económico. </w:t>
      </w:r>
    </w:p>
    <w:p w14:paraId="27627703" w14:textId="77777777" w:rsidR="00E90E85" w:rsidRPr="00A156F4" w:rsidRDefault="00E90E85" w:rsidP="00E90E85">
      <w:pPr>
        <w:pStyle w:val="Prrafodelista"/>
        <w:spacing w:after="0" w:line="240" w:lineRule="auto"/>
        <w:ind w:left="720"/>
        <w:contextualSpacing/>
        <w:jc w:val="both"/>
        <w:rPr>
          <w:rFonts w:ascii="Times New Roman" w:hAnsi="Times New Roman"/>
          <w:lang w:eastAsia="es-CR"/>
        </w:rPr>
      </w:pPr>
    </w:p>
    <w:p w14:paraId="077C6CA9" w14:textId="77777777" w:rsidR="00E90E85" w:rsidRPr="00A156F4" w:rsidRDefault="00E90E85" w:rsidP="00E90E85">
      <w:pPr>
        <w:pStyle w:val="Prrafodelista"/>
        <w:numPr>
          <w:ilvl w:val="0"/>
          <w:numId w:val="15"/>
        </w:numPr>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La limitación o la restricción para adquirir nuevas concesiones o autorizaciones. </w:t>
      </w:r>
    </w:p>
    <w:p w14:paraId="4B613635" w14:textId="77777777" w:rsidR="00E90E85" w:rsidRPr="00A156F4" w:rsidRDefault="00E90E85" w:rsidP="00E90E85">
      <w:pPr>
        <w:pStyle w:val="Prrafodelista"/>
        <w:spacing w:after="0" w:line="240" w:lineRule="auto"/>
        <w:ind w:left="0"/>
        <w:jc w:val="both"/>
        <w:rPr>
          <w:rFonts w:ascii="Times New Roman" w:hAnsi="Times New Roman"/>
          <w:lang w:eastAsia="es-CR"/>
        </w:rPr>
      </w:pPr>
    </w:p>
    <w:p w14:paraId="6B696C8A" w14:textId="77777777" w:rsidR="00E90E85" w:rsidRPr="00A156F4" w:rsidRDefault="00E90E85" w:rsidP="00E90E85">
      <w:pPr>
        <w:pStyle w:val="Prrafodelista"/>
        <w:numPr>
          <w:ilvl w:val="0"/>
          <w:numId w:val="15"/>
        </w:numPr>
        <w:spacing w:after="0" w:line="240" w:lineRule="auto"/>
        <w:contextualSpacing/>
        <w:jc w:val="both"/>
        <w:rPr>
          <w:rFonts w:ascii="Times New Roman" w:hAnsi="Times New Roman"/>
          <w:lang w:eastAsia="es-CR"/>
        </w:rPr>
      </w:pPr>
      <w:r w:rsidRPr="00A156F4">
        <w:rPr>
          <w:rFonts w:ascii="Times New Roman" w:hAnsi="Times New Roman"/>
          <w:lang w:eastAsia="es-CR"/>
        </w:rPr>
        <w:t>Cualquier otra condición estructural, de conducta, o combinación de ellas, que sea necesaria para impedir, disminuir o contrarrestar los efectos anticompetitivos de la concentración.</w:t>
      </w:r>
    </w:p>
    <w:p w14:paraId="4675C971" w14:textId="77777777" w:rsidR="00E90E85" w:rsidRPr="00A156F4" w:rsidRDefault="00E90E85" w:rsidP="00E90E85">
      <w:pPr>
        <w:adjustRightInd w:val="0"/>
        <w:jc w:val="both"/>
        <w:rPr>
          <w:sz w:val="22"/>
          <w:szCs w:val="22"/>
        </w:rPr>
      </w:pPr>
    </w:p>
    <w:p w14:paraId="2FBDCFB0" w14:textId="77777777" w:rsidR="00E90E85" w:rsidRPr="00A156F4" w:rsidRDefault="00E90E85" w:rsidP="00E90E85">
      <w:pPr>
        <w:adjustRightInd w:val="0"/>
        <w:jc w:val="both"/>
        <w:rPr>
          <w:sz w:val="22"/>
          <w:szCs w:val="22"/>
        </w:rPr>
      </w:pPr>
      <w:r w:rsidRPr="00A156F4">
        <w:rPr>
          <w:sz w:val="22"/>
          <w:szCs w:val="22"/>
        </w:rPr>
        <w:t>Las condiciones impuestas deberán cumplirse en los plazos que establezca el Órgano Superior correspondiente, que no podrán ser mayores a 10 años. Sin embargo, al vencerse el plazo, este órgano</w:t>
      </w:r>
      <w:r w:rsidRPr="00A156F4" w:rsidDel="009A2988">
        <w:rPr>
          <w:sz w:val="22"/>
          <w:szCs w:val="22"/>
        </w:rPr>
        <w:t xml:space="preserve"> </w:t>
      </w:r>
      <w:r w:rsidRPr="00A156F4">
        <w:rPr>
          <w:sz w:val="22"/>
          <w:szCs w:val="22"/>
        </w:rPr>
        <w:t xml:space="preserve">podrá ordenar la extensión del plazo por cinco años más, si el agente económico aún presenta condiciones de operación que generen efectos anticompetitivos. Asimismo, las condiciones podrán ser revisadas, a solicitud de parte, por la autoridad de competencia correspondiente, cuando las condiciones en el mercado varíen de tal manera que estas ya no sean necesarias para eliminar los efectos perjudiciales previstos en la resolución que las impone. </w:t>
      </w:r>
    </w:p>
    <w:p w14:paraId="1FD57266" w14:textId="77777777" w:rsidR="00E90E85" w:rsidRPr="00A156F4" w:rsidRDefault="00E90E85" w:rsidP="00E90E85">
      <w:pPr>
        <w:adjustRightInd w:val="0"/>
        <w:jc w:val="both"/>
        <w:rPr>
          <w:sz w:val="22"/>
          <w:szCs w:val="22"/>
        </w:rPr>
      </w:pPr>
    </w:p>
    <w:p w14:paraId="5A927644" w14:textId="77777777" w:rsidR="00E90E85" w:rsidRPr="00A156F4" w:rsidRDefault="00E90E85" w:rsidP="00E90E85">
      <w:pPr>
        <w:adjustRightInd w:val="0"/>
        <w:jc w:val="both"/>
        <w:rPr>
          <w:sz w:val="22"/>
          <w:szCs w:val="22"/>
        </w:rPr>
      </w:pPr>
      <w:r w:rsidRPr="00A156F4">
        <w:rPr>
          <w:sz w:val="22"/>
          <w:szCs w:val="22"/>
        </w:rPr>
        <w:t>Cada agente económico será responsable del costo de implementación de las condiciones que se le impongan.</w:t>
      </w:r>
    </w:p>
    <w:p w14:paraId="3FCFE5EC" w14:textId="77777777" w:rsidR="00E90E85" w:rsidRPr="00A156F4" w:rsidRDefault="00E90E85" w:rsidP="00E90E85">
      <w:pPr>
        <w:adjustRightInd w:val="0"/>
        <w:jc w:val="both"/>
        <w:rPr>
          <w:sz w:val="22"/>
          <w:szCs w:val="22"/>
        </w:rPr>
      </w:pPr>
    </w:p>
    <w:p w14:paraId="25B452B2" w14:textId="41FD80D7"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eastAsia="en-US"/>
        </w:rPr>
        <w:t>10</w:t>
      </w:r>
      <w:r w:rsidR="00D80091" w:rsidRPr="00A156F4">
        <w:rPr>
          <w:rFonts w:ascii="Times New Roman" w:eastAsia="Times New Roman" w:hAnsi="Times New Roman" w:cs="Times New Roman"/>
          <w:b/>
          <w:i w:val="0"/>
          <w:iCs w:val="0"/>
          <w:color w:val="auto"/>
          <w:sz w:val="22"/>
          <w:szCs w:val="22"/>
          <w:lang w:eastAsia="en-US"/>
        </w:rPr>
        <w:t>4</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Valoración de propuesta de compromisos y establecimiento de condiciones</w:t>
      </w:r>
    </w:p>
    <w:p w14:paraId="11D546D7" w14:textId="77777777" w:rsidR="00E90E85" w:rsidRPr="00A156F4" w:rsidRDefault="00E90E85" w:rsidP="00E90E85">
      <w:pPr>
        <w:adjustRightInd w:val="0"/>
        <w:jc w:val="both"/>
        <w:rPr>
          <w:sz w:val="22"/>
          <w:szCs w:val="22"/>
        </w:rPr>
      </w:pPr>
    </w:p>
    <w:p w14:paraId="3E0B6738" w14:textId="77777777" w:rsidR="00E90E85" w:rsidRPr="00A156F4" w:rsidRDefault="00E90E85" w:rsidP="00E90E85">
      <w:pPr>
        <w:adjustRightInd w:val="0"/>
        <w:jc w:val="both"/>
        <w:rPr>
          <w:sz w:val="22"/>
          <w:szCs w:val="22"/>
        </w:rPr>
      </w:pPr>
      <w:r w:rsidRPr="00A156F4">
        <w:rPr>
          <w:sz w:val="22"/>
          <w:szCs w:val="22"/>
        </w:rPr>
        <w:t>Al valorar las propuestas de compromisos que formulen los agentes económicos y determinar cuáles son las condiciones idóneas para el caso específico, el Órgano Superior</w:t>
      </w:r>
      <w:r w:rsidRPr="00A156F4" w:rsidDel="009A2988">
        <w:rPr>
          <w:sz w:val="22"/>
          <w:szCs w:val="22"/>
        </w:rPr>
        <w:t xml:space="preserve"> </w:t>
      </w:r>
      <w:r w:rsidRPr="00A156F4">
        <w:rPr>
          <w:sz w:val="22"/>
          <w:szCs w:val="22"/>
          <w:lang w:val="es-ES"/>
        </w:rPr>
        <w:t xml:space="preserve">de la autoridad de competencia correspondiente </w:t>
      </w:r>
      <w:r w:rsidRPr="00A156F4">
        <w:rPr>
          <w:sz w:val="22"/>
          <w:szCs w:val="22"/>
        </w:rPr>
        <w:t>deberá considerar lo siguiente:</w:t>
      </w:r>
    </w:p>
    <w:p w14:paraId="5683A343" w14:textId="77777777" w:rsidR="00E90E85" w:rsidRPr="00A156F4" w:rsidRDefault="00E90E85" w:rsidP="00E90E85">
      <w:pPr>
        <w:adjustRightInd w:val="0"/>
        <w:ind w:left="993"/>
        <w:jc w:val="both"/>
        <w:rPr>
          <w:sz w:val="22"/>
          <w:szCs w:val="22"/>
        </w:rPr>
      </w:pPr>
    </w:p>
    <w:p w14:paraId="131B2BF7" w14:textId="37C7F111" w:rsidR="00E90E85" w:rsidRPr="00A156F4" w:rsidRDefault="00E90E85" w:rsidP="00E90E85">
      <w:pPr>
        <w:pStyle w:val="Prrafodelista"/>
        <w:numPr>
          <w:ilvl w:val="1"/>
          <w:numId w:val="4"/>
        </w:numPr>
        <w:adjustRightInd w:val="0"/>
        <w:spacing w:line="240" w:lineRule="auto"/>
        <w:ind w:left="993"/>
        <w:jc w:val="both"/>
        <w:rPr>
          <w:rFonts w:ascii="Times New Roman" w:hAnsi="Times New Roman"/>
        </w:rPr>
      </w:pPr>
      <w:r w:rsidRPr="00A156F4">
        <w:rPr>
          <w:rFonts w:ascii="Times New Roman" w:hAnsi="Times New Roman"/>
        </w:rPr>
        <w:t xml:space="preserve">El objetivo de la imposición de condiciones es mantener el estado de la competencia en el mercado ante los efectos previsibles de la concentración, </w:t>
      </w:r>
      <w:r w:rsidR="007E01B8" w:rsidRPr="00A156F4">
        <w:rPr>
          <w:rFonts w:ascii="Times New Roman" w:hAnsi="Times New Roman"/>
        </w:rPr>
        <w:t xml:space="preserve">y </w:t>
      </w:r>
      <w:r w:rsidRPr="00A156F4">
        <w:rPr>
          <w:rFonts w:ascii="Times New Roman" w:hAnsi="Times New Roman"/>
        </w:rPr>
        <w:t>no mejorar las condiciones de competencia de un mercado previas a la concentración.</w:t>
      </w:r>
    </w:p>
    <w:p w14:paraId="1472686B" w14:textId="77777777" w:rsidR="00E90E85" w:rsidRPr="00A156F4" w:rsidRDefault="00E90E85" w:rsidP="00E90E85">
      <w:pPr>
        <w:pStyle w:val="Prrafodelista"/>
        <w:numPr>
          <w:ilvl w:val="1"/>
          <w:numId w:val="4"/>
        </w:numPr>
        <w:adjustRightInd w:val="0"/>
        <w:spacing w:after="0" w:line="240" w:lineRule="auto"/>
        <w:ind w:left="993"/>
        <w:contextualSpacing/>
        <w:jc w:val="both"/>
        <w:rPr>
          <w:rFonts w:ascii="Times New Roman" w:hAnsi="Times New Roman"/>
        </w:rPr>
      </w:pPr>
      <w:r w:rsidRPr="00A156F4">
        <w:rPr>
          <w:rFonts w:ascii="Times New Roman" w:hAnsi="Times New Roman"/>
        </w:rPr>
        <w:t>Las condiciones deberán estar directamente relacionadas con los efectos anticompetitivos identificados por el Órgano Superior</w:t>
      </w:r>
      <w:r w:rsidRPr="00A156F4" w:rsidDel="009A2988">
        <w:rPr>
          <w:rFonts w:ascii="Times New Roman" w:hAnsi="Times New Roman"/>
        </w:rPr>
        <w:t xml:space="preserve"> </w:t>
      </w:r>
      <w:r w:rsidRPr="00A156F4">
        <w:rPr>
          <w:rFonts w:ascii="Times New Roman" w:hAnsi="Times New Roman"/>
        </w:rPr>
        <w:t>respectivo para la concentración específica.</w:t>
      </w:r>
    </w:p>
    <w:p w14:paraId="041C8181" w14:textId="77777777" w:rsidR="00E90E85" w:rsidRPr="00A156F4" w:rsidRDefault="00E90E85" w:rsidP="00E90E85">
      <w:pPr>
        <w:pStyle w:val="Prrafodelista"/>
        <w:spacing w:after="0" w:line="240" w:lineRule="auto"/>
        <w:rPr>
          <w:rFonts w:ascii="Times New Roman" w:hAnsi="Times New Roman"/>
        </w:rPr>
      </w:pPr>
    </w:p>
    <w:p w14:paraId="54A0E0EB" w14:textId="66F2585B" w:rsidR="00E90E85" w:rsidRPr="00A156F4" w:rsidRDefault="00E90E85" w:rsidP="00E90E85">
      <w:pPr>
        <w:pStyle w:val="Prrafodelista"/>
        <w:numPr>
          <w:ilvl w:val="1"/>
          <w:numId w:val="4"/>
        </w:numPr>
        <w:adjustRightInd w:val="0"/>
        <w:spacing w:after="0" w:line="240" w:lineRule="auto"/>
        <w:ind w:left="993"/>
        <w:contextualSpacing/>
        <w:jc w:val="both"/>
        <w:rPr>
          <w:rFonts w:ascii="Times New Roman" w:hAnsi="Times New Roman"/>
        </w:rPr>
      </w:pPr>
      <w:r w:rsidRPr="00A156F4">
        <w:rPr>
          <w:rFonts w:ascii="Times New Roman" w:hAnsi="Times New Roman"/>
        </w:rPr>
        <w:t>De haber más de una alternativa para alcanzar fines similares, deberá elegirse aquella menos lesiva para los agentes económicos que deba cumplirla.</w:t>
      </w:r>
    </w:p>
    <w:p w14:paraId="3AE173E8" w14:textId="77777777" w:rsidR="00E90E85" w:rsidRPr="00A156F4" w:rsidRDefault="00E90E85" w:rsidP="00E90E85">
      <w:pPr>
        <w:pStyle w:val="Prrafodelista"/>
        <w:adjustRightInd w:val="0"/>
        <w:spacing w:after="0" w:line="240" w:lineRule="auto"/>
        <w:ind w:left="993"/>
        <w:jc w:val="both"/>
        <w:rPr>
          <w:rFonts w:ascii="Times New Roman" w:hAnsi="Times New Roman"/>
        </w:rPr>
      </w:pPr>
    </w:p>
    <w:p w14:paraId="762871A1" w14:textId="77777777" w:rsidR="00E90E85" w:rsidRPr="00A156F4" w:rsidRDefault="00E90E85" w:rsidP="00E90E85">
      <w:pPr>
        <w:pStyle w:val="Prrafodelista"/>
        <w:numPr>
          <w:ilvl w:val="1"/>
          <w:numId w:val="4"/>
        </w:numPr>
        <w:adjustRightInd w:val="0"/>
        <w:spacing w:after="0" w:line="240" w:lineRule="auto"/>
        <w:ind w:left="993"/>
        <w:contextualSpacing/>
        <w:jc w:val="both"/>
        <w:rPr>
          <w:rFonts w:ascii="Times New Roman" w:hAnsi="Times New Roman"/>
        </w:rPr>
      </w:pPr>
      <w:r w:rsidRPr="00A156F4">
        <w:rPr>
          <w:rFonts w:ascii="Times New Roman" w:hAnsi="Times New Roman"/>
        </w:rPr>
        <w:t xml:space="preserve">Las condiciones deben de ser implementadas de manera rápida, y la verificación de su cumplimiento debe ser viable y eficaz. </w:t>
      </w:r>
    </w:p>
    <w:p w14:paraId="089C3257" w14:textId="77777777" w:rsidR="00E90E85" w:rsidRPr="00A156F4" w:rsidRDefault="00E90E85" w:rsidP="00E90E85">
      <w:pPr>
        <w:pStyle w:val="Prrafodelista"/>
        <w:spacing w:after="0" w:line="240" w:lineRule="auto"/>
        <w:rPr>
          <w:rFonts w:ascii="Times New Roman" w:hAnsi="Times New Roman"/>
        </w:rPr>
      </w:pPr>
    </w:p>
    <w:p w14:paraId="6B43E907" w14:textId="77777777" w:rsidR="00E90E85" w:rsidRPr="00A156F4" w:rsidRDefault="00E90E85" w:rsidP="00E90E85">
      <w:pPr>
        <w:pStyle w:val="Prrafodelista"/>
        <w:numPr>
          <w:ilvl w:val="1"/>
          <w:numId w:val="4"/>
        </w:numPr>
        <w:adjustRightInd w:val="0"/>
        <w:spacing w:after="0" w:line="240" w:lineRule="auto"/>
        <w:ind w:left="993"/>
        <w:contextualSpacing/>
        <w:jc w:val="both"/>
        <w:rPr>
          <w:rFonts w:ascii="Times New Roman" w:hAnsi="Times New Roman"/>
        </w:rPr>
      </w:pPr>
      <w:r w:rsidRPr="00A156F4">
        <w:rPr>
          <w:rFonts w:ascii="Times New Roman" w:hAnsi="Times New Roman"/>
        </w:rPr>
        <w:t>Las condiciones deben ser efectivas, tomando en cuenta su impacto competitivo, duración y riesgos en su implementación.</w:t>
      </w:r>
    </w:p>
    <w:p w14:paraId="274F9EF1" w14:textId="77777777" w:rsidR="00E90E85" w:rsidRPr="00A156F4" w:rsidRDefault="00E90E85" w:rsidP="00E90E85">
      <w:pPr>
        <w:pStyle w:val="Ttulo4"/>
        <w:keepNext w:val="0"/>
        <w:keepLines w:val="0"/>
        <w:spacing w:before="0"/>
        <w:contextualSpacing/>
        <w:jc w:val="both"/>
        <w:rPr>
          <w:rFonts w:ascii="Times New Roman" w:hAnsi="Times New Roman" w:cs="Times New Roman"/>
          <w:color w:val="auto"/>
          <w:sz w:val="22"/>
          <w:szCs w:val="22"/>
        </w:rPr>
      </w:pPr>
    </w:p>
    <w:p w14:paraId="34913E85" w14:textId="20A5D959"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i w:val="0"/>
          <w:iCs w:val="0"/>
          <w:color w:val="auto"/>
          <w:sz w:val="22"/>
          <w:szCs w:val="22"/>
          <w:lang w:val="es-CR" w:eastAsia="en-US"/>
        </w:rPr>
        <w:t>10</w:t>
      </w:r>
      <w:r w:rsidR="00D80091" w:rsidRPr="00A156F4">
        <w:rPr>
          <w:rFonts w:ascii="Times New Roman" w:eastAsia="Times New Roman" w:hAnsi="Times New Roman" w:cs="Times New Roman"/>
          <w:b/>
          <w:i w:val="0"/>
          <w:iCs w:val="0"/>
          <w:color w:val="auto"/>
          <w:sz w:val="22"/>
          <w:szCs w:val="22"/>
          <w:lang w:val="es-CR" w:eastAsia="en-US"/>
        </w:rPr>
        <w:t>5</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Archivo de las notificaciones </w:t>
      </w:r>
    </w:p>
    <w:p w14:paraId="43184C48" w14:textId="77777777" w:rsidR="00E90E85" w:rsidRPr="00A156F4" w:rsidRDefault="00E90E85" w:rsidP="00E90E85">
      <w:pPr>
        <w:adjustRightInd w:val="0"/>
        <w:jc w:val="both"/>
        <w:rPr>
          <w:sz w:val="22"/>
          <w:szCs w:val="22"/>
          <w:lang w:val="es-ES"/>
        </w:rPr>
      </w:pPr>
    </w:p>
    <w:p w14:paraId="16334970" w14:textId="0C77E5AE" w:rsidR="00E90E85" w:rsidRPr="00A156F4" w:rsidRDefault="00E90E85" w:rsidP="00E90E85">
      <w:pPr>
        <w:adjustRightInd w:val="0"/>
        <w:jc w:val="both"/>
        <w:rPr>
          <w:rFonts w:eastAsia="Times New Roman"/>
          <w:sz w:val="22"/>
          <w:szCs w:val="22"/>
          <w:lang w:eastAsia="es-CR"/>
        </w:rPr>
      </w:pPr>
      <w:r w:rsidRPr="00A156F4">
        <w:rPr>
          <w:sz w:val="22"/>
          <w:szCs w:val="22"/>
          <w:lang w:val="es-ES"/>
        </w:rPr>
        <w:t xml:space="preserve">Cada autoridad de competencia </w:t>
      </w:r>
      <w:r w:rsidRPr="00A156F4">
        <w:rPr>
          <w:rFonts w:eastAsia="Times New Roman"/>
          <w:sz w:val="22"/>
          <w:szCs w:val="22"/>
          <w:lang w:eastAsia="es-CR"/>
        </w:rPr>
        <w:t>podrá no iniciar un procedimiento de control de concentraciones, o acordar el archivo de las actuaciones, en cualquier estado del proceso</w:t>
      </w:r>
      <w:r w:rsidR="007E01B8" w:rsidRPr="00A156F4">
        <w:rPr>
          <w:rFonts w:eastAsia="Times New Roman"/>
          <w:sz w:val="22"/>
          <w:szCs w:val="22"/>
          <w:lang w:eastAsia="es-CR"/>
        </w:rPr>
        <w:t>,</w:t>
      </w:r>
      <w:r w:rsidRPr="00A156F4">
        <w:rPr>
          <w:rFonts w:eastAsia="Times New Roman"/>
          <w:sz w:val="22"/>
          <w:szCs w:val="22"/>
          <w:lang w:eastAsia="es-CR"/>
        </w:rPr>
        <w:t xml:space="preserve"> en los siguientes casos:</w:t>
      </w:r>
    </w:p>
    <w:p w14:paraId="48951B03" w14:textId="77777777" w:rsidR="00E90E85" w:rsidRPr="00A156F4" w:rsidRDefault="00E90E85" w:rsidP="00E90E85">
      <w:pPr>
        <w:adjustRightInd w:val="0"/>
        <w:jc w:val="both"/>
        <w:rPr>
          <w:rFonts w:eastAsia="Times New Roman"/>
          <w:sz w:val="22"/>
          <w:szCs w:val="22"/>
          <w:lang w:eastAsia="es-CR"/>
        </w:rPr>
      </w:pPr>
    </w:p>
    <w:p w14:paraId="1B3A2D51" w14:textId="6EB30924" w:rsidR="00E90E85" w:rsidRPr="00A156F4" w:rsidRDefault="00E90E85" w:rsidP="00E90E85">
      <w:pPr>
        <w:pStyle w:val="Prrafodelista"/>
        <w:numPr>
          <w:ilvl w:val="0"/>
          <w:numId w:val="16"/>
        </w:numPr>
        <w:adjustRightInd w:val="0"/>
        <w:spacing w:after="0" w:line="240" w:lineRule="auto"/>
        <w:contextualSpacing/>
        <w:jc w:val="both"/>
        <w:rPr>
          <w:rFonts w:ascii="Times New Roman" w:hAnsi="Times New Roman"/>
        </w:rPr>
      </w:pPr>
      <w:r w:rsidRPr="00A156F4">
        <w:rPr>
          <w:rFonts w:ascii="Times New Roman" w:hAnsi="Times New Roman"/>
          <w:lang w:eastAsia="es-CR"/>
        </w:rPr>
        <w:t xml:space="preserve">Cuando la operación notificada no sea una </w:t>
      </w:r>
      <w:r w:rsidRPr="00A156F4">
        <w:rPr>
          <w:rFonts w:ascii="Times New Roman" w:hAnsi="Times New Roman"/>
        </w:rPr>
        <w:t xml:space="preserve">concentración sujeta </w:t>
      </w:r>
      <w:r w:rsidRPr="00A156F4">
        <w:rPr>
          <w:rFonts w:ascii="Times New Roman" w:hAnsi="Times New Roman"/>
          <w:lang w:eastAsia="es-CR"/>
        </w:rPr>
        <w:t>al procedimiento de notificación previa</w:t>
      </w:r>
      <w:r w:rsidR="007E01B8" w:rsidRPr="00A156F4">
        <w:rPr>
          <w:rFonts w:ascii="Times New Roman" w:hAnsi="Times New Roman"/>
          <w:lang w:eastAsia="es-CR"/>
        </w:rPr>
        <w:t>,</w:t>
      </w:r>
      <w:r w:rsidRPr="00A156F4">
        <w:rPr>
          <w:rFonts w:ascii="Times New Roman" w:hAnsi="Times New Roman"/>
          <w:lang w:eastAsia="es-CR"/>
        </w:rPr>
        <w:t xml:space="preserve"> previsto en la presente ley</w:t>
      </w:r>
      <w:r w:rsidRPr="00A156F4">
        <w:rPr>
          <w:rFonts w:ascii="Times New Roman" w:hAnsi="Times New Roman"/>
        </w:rPr>
        <w:t>.</w:t>
      </w:r>
    </w:p>
    <w:p w14:paraId="21E92D22" w14:textId="77777777" w:rsidR="00E90E85" w:rsidRPr="00A156F4" w:rsidRDefault="00E90E85" w:rsidP="00E90E85">
      <w:pPr>
        <w:pStyle w:val="Prrafodelista"/>
        <w:adjustRightInd w:val="0"/>
        <w:spacing w:after="0" w:line="240" w:lineRule="auto"/>
        <w:ind w:left="0" w:firstLine="60"/>
        <w:jc w:val="both"/>
        <w:rPr>
          <w:rFonts w:ascii="Times New Roman" w:hAnsi="Times New Roman"/>
          <w:lang w:eastAsia="es-CR"/>
        </w:rPr>
      </w:pPr>
    </w:p>
    <w:p w14:paraId="09752761" w14:textId="77777777" w:rsidR="00E90E85" w:rsidRPr="00A156F4" w:rsidRDefault="00E90E85" w:rsidP="00E90E85">
      <w:pPr>
        <w:pStyle w:val="Prrafodelista"/>
        <w:numPr>
          <w:ilvl w:val="0"/>
          <w:numId w:val="16"/>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Cuando las partes de una concentración desistan de su solicitud de autorización, o la autoridad de competencia</w:t>
      </w:r>
      <w:r w:rsidRPr="00A156F4" w:rsidDel="009A2988">
        <w:rPr>
          <w:rFonts w:ascii="Times New Roman" w:hAnsi="Times New Roman"/>
          <w:lang w:eastAsia="es-CR"/>
        </w:rPr>
        <w:t xml:space="preserve"> </w:t>
      </w:r>
      <w:r w:rsidRPr="00A156F4">
        <w:rPr>
          <w:rFonts w:ascii="Times New Roman" w:hAnsi="Times New Roman"/>
          <w:lang w:eastAsia="es-CR"/>
        </w:rPr>
        <w:t>correspondiente tenga información fehaciente de que no tienen intención de realizarla.</w:t>
      </w:r>
    </w:p>
    <w:p w14:paraId="6E74664A" w14:textId="77777777" w:rsidR="00E90E85" w:rsidRPr="00A156F4" w:rsidRDefault="00E90E85" w:rsidP="00E90E85">
      <w:pPr>
        <w:pStyle w:val="Prrafodelista"/>
        <w:spacing w:after="0" w:line="240" w:lineRule="auto"/>
        <w:jc w:val="right"/>
        <w:rPr>
          <w:rFonts w:ascii="Times New Roman" w:hAnsi="Times New Roman"/>
          <w:lang w:eastAsia="es-CR"/>
        </w:rPr>
      </w:pPr>
    </w:p>
    <w:p w14:paraId="02850B9D" w14:textId="77777777" w:rsidR="00E90E85" w:rsidRPr="00A156F4" w:rsidRDefault="00E90E85" w:rsidP="00E90E85">
      <w:pPr>
        <w:pStyle w:val="Prrafodelista"/>
        <w:numPr>
          <w:ilvl w:val="0"/>
          <w:numId w:val="16"/>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Cuando el solicitante omita contestar de forma completa los requerimientos de documentos o de información que válidamente se le formulen durante el procedimiento, conforme a las reglas establecidas al efecto.</w:t>
      </w:r>
    </w:p>
    <w:p w14:paraId="451B3AB6" w14:textId="77777777" w:rsidR="00E90E85" w:rsidRPr="00A156F4" w:rsidRDefault="00E90E85" w:rsidP="00E90E85">
      <w:pPr>
        <w:adjustRightInd w:val="0"/>
        <w:contextualSpacing/>
        <w:jc w:val="both"/>
        <w:rPr>
          <w:sz w:val="22"/>
          <w:szCs w:val="22"/>
          <w:lang w:eastAsia="es-CR"/>
        </w:rPr>
      </w:pPr>
    </w:p>
    <w:p w14:paraId="40A82632" w14:textId="6445B9AF" w:rsidR="00E90E85" w:rsidRPr="00A156F4" w:rsidRDefault="00E90E85" w:rsidP="00E90E85">
      <w:pPr>
        <w:jc w:val="both"/>
        <w:rPr>
          <w:sz w:val="22"/>
          <w:szCs w:val="22"/>
        </w:rPr>
      </w:pPr>
      <w:r w:rsidRPr="00A156F4">
        <w:rPr>
          <w:sz w:val="22"/>
          <w:szCs w:val="22"/>
        </w:rPr>
        <w:t xml:space="preserve">Contra la resolución de archivo cabrán los recursos de </w:t>
      </w:r>
      <w:r w:rsidR="007E68C4" w:rsidRPr="00A156F4">
        <w:rPr>
          <w:sz w:val="22"/>
          <w:szCs w:val="22"/>
        </w:rPr>
        <w:t>reposición</w:t>
      </w:r>
      <w:r w:rsidRPr="00A156F4">
        <w:rPr>
          <w:sz w:val="22"/>
          <w:szCs w:val="22"/>
        </w:rPr>
        <w:t xml:space="preserve"> ante el Órgano Superior correspondiente, </w:t>
      </w:r>
      <w:r w:rsidR="007E01B8" w:rsidRPr="00A156F4">
        <w:rPr>
          <w:sz w:val="22"/>
          <w:szCs w:val="22"/>
        </w:rPr>
        <w:t>que</w:t>
      </w:r>
      <w:r w:rsidRPr="00A156F4">
        <w:rPr>
          <w:sz w:val="22"/>
          <w:szCs w:val="22"/>
        </w:rPr>
        <w:t xml:space="preserve"> se deberán interponer dentro del plazo de </w:t>
      </w:r>
      <w:r w:rsidR="00DD3510" w:rsidRPr="00A156F4">
        <w:rPr>
          <w:sz w:val="22"/>
          <w:szCs w:val="22"/>
        </w:rPr>
        <w:t xml:space="preserve">15 </w:t>
      </w:r>
      <w:r w:rsidRPr="00A156F4">
        <w:rPr>
          <w:sz w:val="22"/>
          <w:szCs w:val="22"/>
        </w:rPr>
        <w:t>días hábiles posteriores a</w:t>
      </w:r>
      <w:r w:rsidR="00DD3510" w:rsidRPr="00A156F4">
        <w:rPr>
          <w:sz w:val="22"/>
          <w:szCs w:val="22"/>
        </w:rPr>
        <w:t xml:space="preserve"> </w:t>
      </w:r>
      <w:r w:rsidRPr="00A156F4">
        <w:rPr>
          <w:sz w:val="22"/>
          <w:szCs w:val="22"/>
        </w:rPr>
        <w:t>l</w:t>
      </w:r>
      <w:r w:rsidR="00DD3510" w:rsidRPr="00A156F4">
        <w:rPr>
          <w:sz w:val="22"/>
          <w:szCs w:val="22"/>
        </w:rPr>
        <w:t>a notificación del</w:t>
      </w:r>
      <w:r w:rsidRPr="00A156F4">
        <w:rPr>
          <w:sz w:val="22"/>
          <w:szCs w:val="22"/>
        </w:rPr>
        <w:t xml:space="preserve"> archivo del expediente. </w:t>
      </w:r>
      <w:r w:rsidR="00DD3510" w:rsidRPr="00A156F4">
        <w:rPr>
          <w:sz w:val="22"/>
          <w:szCs w:val="22"/>
        </w:rPr>
        <w:t xml:space="preserve">El Órgano Superior deberá resolver dicho recurso dentro de un plazo de 15 días hábiles. </w:t>
      </w:r>
    </w:p>
    <w:p w14:paraId="72F244D1" w14:textId="77777777" w:rsidR="005F7DB9" w:rsidRPr="00A156F4" w:rsidRDefault="005F7DB9" w:rsidP="00E90E85">
      <w:pPr>
        <w:jc w:val="both"/>
        <w:rPr>
          <w:sz w:val="22"/>
          <w:szCs w:val="22"/>
        </w:rPr>
      </w:pPr>
    </w:p>
    <w:p w14:paraId="0DCE20FC" w14:textId="77777777" w:rsidR="00E90E85" w:rsidRPr="00A156F4" w:rsidRDefault="00E90E85" w:rsidP="00E90E85">
      <w:pPr>
        <w:rPr>
          <w:sz w:val="22"/>
          <w:szCs w:val="22"/>
          <w:lang w:eastAsia="en-US"/>
        </w:rPr>
      </w:pPr>
    </w:p>
    <w:p w14:paraId="37D42EB3" w14:textId="77777777" w:rsidR="00E90E85" w:rsidRPr="00A156F4" w:rsidRDefault="00E90E85" w:rsidP="00E90E85">
      <w:pPr>
        <w:jc w:val="center"/>
        <w:rPr>
          <w:b/>
          <w:sz w:val="22"/>
          <w:szCs w:val="22"/>
          <w:lang w:val="es-CR" w:eastAsia="en-US"/>
        </w:rPr>
      </w:pPr>
      <w:r w:rsidRPr="00A156F4">
        <w:rPr>
          <w:b/>
          <w:sz w:val="22"/>
          <w:szCs w:val="22"/>
          <w:lang w:val="es-CR" w:eastAsia="en-US"/>
        </w:rPr>
        <w:t>SECCIÓN IV</w:t>
      </w:r>
    </w:p>
    <w:p w14:paraId="621069FC" w14:textId="5346F7F7" w:rsidR="00E90E85" w:rsidRPr="00A156F4" w:rsidRDefault="00E90E85" w:rsidP="00E90E85">
      <w:pPr>
        <w:jc w:val="center"/>
        <w:rPr>
          <w:b/>
          <w:sz w:val="22"/>
          <w:szCs w:val="22"/>
          <w:lang w:val="es-CR" w:eastAsia="en-US"/>
        </w:rPr>
      </w:pPr>
      <w:r w:rsidRPr="00A156F4">
        <w:rPr>
          <w:b/>
          <w:sz w:val="22"/>
          <w:szCs w:val="22"/>
          <w:lang w:val="es-CR" w:eastAsia="en-US"/>
        </w:rPr>
        <w:t>Reuniones, Dispensa, Ejecución Previa y Revisión</w:t>
      </w:r>
    </w:p>
    <w:p w14:paraId="64A3AA40" w14:textId="77777777" w:rsidR="005F7DB9" w:rsidRPr="00A156F4" w:rsidRDefault="005F7DB9" w:rsidP="00E90E85">
      <w:pPr>
        <w:jc w:val="center"/>
        <w:rPr>
          <w:b/>
          <w:sz w:val="22"/>
          <w:szCs w:val="22"/>
          <w:lang w:val="es-CR" w:eastAsia="en-US"/>
        </w:rPr>
      </w:pPr>
    </w:p>
    <w:p w14:paraId="2ABEC409" w14:textId="77777777" w:rsidR="00E90E85" w:rsidRPr="00A156F4" w:rsidRDefault="00E90E85" w:rsidP="00E90E85">
      <w:pPr>
        <w:rPr>
          <w:i/>
          <w:iCs/>
          <w:sz w:val="22"/>
          <w:szCs w:val="22"/>
          <w:lang w:val="es-CR" w:eastAsia="en-US"/>
        </w:rPr>
      </w:pPr>
    </w:p>
    <w:p w14:paraId="73735ECA" w14:textId="508801A4" w:rsidR="00E90E85" w:rsidRPr="00A156F4" w:rsidRDefault="00E90E85" w:rsidP="00E90E85">
      <w:pPr>
        <w:pStyle w:val="Ttulo4"/>
        <w:keepNext w:val="0"/>
        <w:spacing w:before="0"/>
        <w:contextualSpacing/>
        <w:jc w:val="both"/>
        <w:rPr>
          <w:rFonts w:ascii="Times New Roman" w:eastAsia="Times New Roman" w:hAnsi="Times New Roman" w:cs="Times New Roman"/>
          <w:sz w:val="22"/>
          <w:szCs w:val="22"/>
          <w:lang w:val="es-CR"/>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701AF7" w:rsidRPr="00A156F4">
        <w:rPr>
          <w:rFonts w:ascii="Times New Roman" w:eastAsia="Times New Roman" w:hAnsi="Times New Roman" w:cs="Times New Roman"/>
          <w:b/>
          <w:bCs/>
          <w:i w:val="0"/>
          <w:iCs w:val="0"/>
          <w:color w:val="auto"/>
          <w:sz w:val="22"/>
          <w:szCs w:val="22"/>
          <w:lang w:eastAsia="en-US"/>
        </w:rPr>
        <w:t>10</w:t>
      </w:r>
      <w:r w:rsidR="00D80091" w:rsidRPr="00A156F4">
        <w:rPr>
          <w:rFonts w:ascii="Times New Roman" w:eastAsia="Times New Roman" w:hAnsi="Times New Roman" w:cs="Times New Roman"/>
          <w:b/>
          <w:bCs/>
          <w:i w:val="0"/>
          <w:iCs w:val="0"/>
          <w:color w:val="auto"/>
          <w:sz w:val="22"/>
          <w:szCs w:val="22"/>
          <w:lang w:eastAsia="en-US"/>
        </w:rPr>
        <w:t>6</w:t>
      </w:r>
      <w:r w:rsidRPr="00A156F4">
        <w:rPr>
          <w:rFonts w:ascii="Times New Roman" w:eastAsia="Times New Roman" w:hAnsi="Times New Roman" w:cs="Times New Roman"/>
          <w:b/>
          <w:bCs/>
          <w:i w:val="0"/>
          <w:iCs w:val="0"/>
          <w:color w:val="auto"/>
          <w:sz w:val="22"/>
          <w:szCs w:val="22"/>
          <w:lang w:eastAsia="en-US"/>
        </w:rPr>
        <w:t>.-</w:t>
      </w:r>
      <w:r w:rsidR="00F153AC" w:rsidRPr="00A156F4">
        <w:rPr>
          <w:rFonts w:ascii="Times New Roman" w:eastAsia="Times New Roman" w:hAnsi="Times New Roman" w:cs="Times New Roman"/>
          <w:b/>
          <w:bCs/>
          <w:i w:val="0"/>
          <w:iCs w:val="0"/>
          <w:color w:val="auto"/>
          <w:sz w:val="22"/>
          <w:szCs w:val="22"/>
          <w:lang w:eastAsia="en-US"/>
        </w:rPr>
        <w:t xml:space="preserve"> </w:t>
      </w:r>
      <w:r w:rsidRPr="00A156F4">
        <w:rPr>
          <w:rFonts w:ascii="Times New Roman" w:eastAsia="Times New Roman" w:hAnsi="Times New Roman" w:cs="Times New Roman"/>
          <w:b/>
          <w:bCs/>
          <w:i w:val="0"/>
          <w:iCs w:val="0"/>
          <w:color w:val="auto"/>
          <w:sz w:val="22"/>
          <w:szCs w:val="22"/>
          <w:lang w:eastAsia="en-US"/>
        </w:rPr>
        <w:t>Reuniones de trabajo</w:t>
      </w:r>
    </w:p>
    <w:p w14:paraId="2C085D33" w14:textId="77777777" w:rsidR="00E90E85" w:rsidRPr="00A156F4" w:rsidRDefault="00E90E85" w:rsidP="00E90E85">
      <w:pPr>
        <w:jc w:val="both"/>
        <w:rPr>
          <w:sz w:val="22"/>
          <w:szCs w:val="22"/>
        </w:rPr>
      </w:pPr>
    </w:p>
    <w:p w14:paraId="57EC4412" w14:textId="0A207305" w:rsidR="00E90E85" w:rsidRPr="00A156F4" w:rsidRDefault="00E90E85" w:rsidP="00E90E85">
      <w:pPr>
        <w:jc w:val="both"/>
        <w:rPr>
          <w:sz w:val="22"/>
          <w:szCs w:val="22"/>
        </w:rPr>
      </w:pPr>
      <w:r w:rsidRPr="00A156F4">
        <w:rPr>
          <w:sz w:val="22"/>
          <w:szCs w:val="22"/>
        </w:rPr>
        <w:t xml:space="preserve">A instancia de los solicitantes o de los funcionarios a cargo del caso, se podrán celebrar reuniones de trabajo con el Órgano Técnico o el Órgano Superior </w:t>
      </w:r>
      <w:r w:rsidRPr="00A156F4">
        <w:rPr>
          <w:sz w:val="22"/>
          <w:szCs w:val="22"/>
          <w:lang w:val="es-ES"/>
        </w:rPr>
        <w:t>de la autoridad de competencia correspondiente</w:t>
      </w:r>
      <w:r w:rsidR="002921B7" w:rsidRPr="00A156F4">
        <w:rPr>
          <w:sz w:val="22"/>
          <w:szCs w:val="22"/>
          <w:lang w:val="es-ES"/>
        </w:rPr>
        <w:t>,</w:t>
      </w:r>
      <w:r w:rsidRPr="00A156F4">
        <w:rPr>
          <w:sz w:val="22"/>
          <w:szCs w:val="22"/>
          <w:lang w:val="es-ES"/>
        </w:rPr>
        <w:t xml:space="preserve"> </w:t>
      </w:r>
      <w:r w:rsidRPr="00A156F4">
        <w:rPr>
          <w:sz w:val="22"/>
          <w:szCs w:val="22"/>
        </w:rPr>
        <w:t>con el fin de analizar y aclarar la información aportada al expediente, el contenido de las propuestas y las preocupaciones de la autoridad de competencia correspondiente</w:t>
      </w:r>
      <w:r w:rsidR="002921B7" w:rsidRPr="00A156F4">
        <w:rPr>
          <w:sz w:val="22"/>
          <w:szCs w:val="22"/>
        </w:rPr>
        <w:t>;</w:t>
      </w:r>
      <w:r w:rsidRPr="00A156F4">
        <w:rPr>
          <w:sz w:val="22"/>
          <w:szCs w:val="22"/>
        </w:rPr>
        <w:t xml:space="preserve"> en cuyo caso se levantará un acta que indique los temas tratados en ella y </w:t>
      </w:r>
      <w:r w:rsidR="002921B7" w:rsidRPr="00A156F4">
        <w:rPr>
          <w:sz w:val="22"/>
          <w:szCs w:val="22"/>
        </w:rPr>
        <w:t xml:space="preserve">que </w:t>
      </w:r>
      <w:r w:rsidRPr="00A156F4">
        <w:rPr>
          <w:sz w:val="22"/>
          <w:szCs w:val="22"/>
        </w:rPr>
        <w:t>será firmada por todos los participantes. Lo discutido en estas reuniones no prejuzgará sobre lo que resuelva el Órgano Superior correspondiente y no podrá tenerse como un adelanto de criterio respecto de la resolución final.</w:t>
      </w:r>
    </w:p>
    <w:p w14:paraId="1DFC3883" w14:textId="77777777" w:rsidR="00E90E85" w:rsidRPr="00A156F4" w:rsidRDefault="00E90E85" w:rsidP="00E90E85">
      <w:pPr>
        <w:jc w:val="both"/>
        <w:rPr>
          <w:sz w:val="22"/>
          <w:szCs w:val="22"/>
        </w:rPr>
      </w:pPr>
    </w:p>
    <w:p w14:paraId="7010C87D" w14:textId="6732CA82"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i w:val="0"/>
          <w:color w:val="auto"/>
          <w:sz w:val="22"/>
          <w:szCs w:val="22"/>
        </w:rPr>
        <w:t xml:space="preserve"> </w:t>
      </w:r>
      <w:r w:rsidR="00701AF7" w:rsidRPr="00A156F4">
        <w:rPr>
          <w:rFonts w:ascii="Times New Roman" w:hAnsi="Times New Roman" w:cs="Times New Roman"/>
          <w:b/>
          <w:bCs/>
          <w:i w:val="0"/>
          <w:color w:val="auto"/>
          <w:sz w:val="22"/>
          <w:szCs w:val="22"/>
        </w:rPr>
        <w:t>10</w:t>
      </w:r>
      <w:r w:rsidR="00D80091" w:rsidRPr="00A156F4">
        <w:rPr>
          <w:rFonts w:ascii="Times New Roman" w:hAnsi="Times New Roman" w:cs="Times New Roman"/>
          <w:b/>
          <w:bCs/>
          <w:i w:val="0"/>
          <w:color w:val="auto"/>
          <w:sz w:val="22"/>
          <w:szCs w:val="22"/>
        </w:rPr>
        <w:t>7</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Dispensa de presentar la información solicitada</w:t>
      </w:r>
    </w:p>
    <w:p w14:paraId="4EE84784" w14:textId="77777777" w:rsidR="00E90E85" w:rsidRPr="00A156F4" w:rsidRDefault="00E90E85" w:rsidP="00E90E85">
      <w:pPr>
        <w:rPr>
          <w:sz w:val="22"/>
          <w:szCs w:val="22"/>
          <w:lang w:val="es-CR" w:eastAsia="en-US"/>
        </w:rPr>
      </w:pPr>
    </w:p>
    <w:p w14:paraId="400C6034" w14:textId="25C13F51" w:rsidR="00E90E85" w:rsidRPr="00A156F4" w:rsidRDefault="00E90E85" w:rsidP="00E90E85">
      <w:pPr>
        <w:contextualSpacing/>
        <w:jc w:val="both"/>
        <w:rPr>
          <w:sz w:val="22"/>
          <w:szCs w:val="22"/>
          <w:lang w:eastAsia="es-CR"/>
        </w:rPr>
      </w:pPr>
      <w:r w:rsidRPr="00A156F4">
        <w:rPr>
          <w:sz w:val="22"/>
          <w:szCs w:val="22"/>
          <w:lang w:eastAsia="es-CR"/>
        </w:rPr>
        <w:t xml:space="preserve">En cualquiera de las dos fases del procedimiento, </w:t>
      </w:r>
      <w:r w:rsidRPr="00A156F4">
        <w:rPr>
          <w:sz w:val="22"/>
          <w:szCs w:val="22"/>
        </w:rPr>
        <w:t xml:space="preserve">el Órgano Técnico </w:t>
      </w:r>
      <w:r w:rsidRPr="00A156F4">
        <w:rPr>
          <w:sz w:val="22"/>
          <w:szCs w:val="22"/>
          <w:lang w:eastAsia="es-CR"/>
        </w:rPr>
        <w:t xml:space="preserve">o el Órgano Superior </w:t>
      </w:r>
      <w:r w:rsidRPr="00A156F4">
        <w:rPr>
          <w:sz w:val="22"/>
          <w:szCs w:val="22"/>
          <w:lang w:val="es-ES"/>
        </w:rPr>
        <w:t xml:space="preserve">de la autoridad de competencia correspondiente </w:t>
      </w:r>
      <w:r w:rsidRPr="00A156F4">
        <w:rPr>
          <w:sz w:val="22"/>
          <w:szCs w:val="22"/>
          <w:lang w:eastAsia="es-CR"/>
        </w:rPr>
        <w:t>podrá dispensar del deber de aportar información o documento</w:t>
      </w:r>
      <w:r w:rsidR="00CF0FBA" w:rsidRPr="00A156F4">
        <w:rPr>
          <w:sz w:val="22"/>
          <w:szCs w:val="22"/>
          <w:lang w:eastAsia="es-CR"/>
        </w:rPr>
        <w:t>s</w:t>
      </w:r>
      <w:r w:rsidR="002921B7" w:rsidRPr="00A156F4">
        <w:rPr>
          <w:sz w:val="22"/>
          <w:szCs w:val="22"/>
          <w:lang w:eastAsia="es-CR"/>
        </w:rPr>
        <w:t>. Lo anterior cuando por medio de</w:t>
      </w:r>
      <w:r w:rsidRPr="00A156F4">
        <w:rPr>
          <w:sz w:val="22"/>
          <w:szCs w:val="22"/>
          <w:lang w:eastAsia="es-CR"/>
        </w:rPr>
        <w:t xml:space="preserve"> declaración jurada, el administrado dé fe de que la información solicitada no está disponible, o </w:t>
      </w:r>
      <w:r w:rsidR="002921B7" w:rsidRPr="00A156F4">
        <w:rPr>
          <w:sz w:val="22"/>
          <w:szCs w:val="22"/>
          <w:lang w:eastAsia="es-CR"/>
        </w:rPr>
        <w:t xml:space="preserve">que </w:t>
      </w:r>
      <w:r w:rsidRPr="00A156F4">
        <w:rPr>
          <w:sz w:val="22"/>
          <w:szCs w:val="22"/>
          <w:lang w:eastAsia="es-CR"/>
        </w:rPr>
        <w:t xml:space="preserve">aportarla implica un esfuerzo irracional. De demostrarse la falsedad de lo declarado, además de las responsabilidades penales que puedan caber, se aplicará la multa establecida en el </w:t>
      </w:r>
      <w:r w:rsidRPr="00A156F4">
        <w:rPr>
          <w:rFonts w:eastAsia="Verdana"/>
          <w:sz w:val="22"/>
          <w:szCs w:val="22"/>
          <w:lang w:val="es-ES"/>
        </w:rPr>
        <w:t xml:space="preserve">inciso b) del artículo </w:t>
      </w:r>
      <w:r w:rsidR="00962580" w:rsidRPr="00A156F4">
        <w:rPr>
          <w:rFonts w:eastAsia="Verdana"/>
          <w:sz w:val="22"/>
          <w:szCs w:val="22"/>
          <w:lang w:val="es-ES"/>
        </w:rPr>
        <w:t>116</w:t>
      </w:r>
      <w:r w:rsidRPr="00A156F4">
        <w:rPr>
          <w:rFonts w:eastAsia="Verdana"/>
          <w:sz w:val="22"/>
          <w:szCs w:val="22"/>
          <w:lang w:val="es-ES"/>
        </w:rPr>
        <w:t xml:space="preserve"> de </w:t>
      </w:r>
      <w:r w:rsidR="002921B7" w:rsidRPr="00A156F4">
        <w:rPr>
          <w:rFonts w:eastAsia="Verdana"/>
          <w:sz w:val="22"/>
          <w:szCs w:val="22"/>
          <w:lang w:val="es-ES"/>
        </w:rPr>
        <w:t>la presente l</w:t>
      </w:r>
      <w:r w:rsidRPr="00A156F4">
        <w:rPr>
          <w:rFonts w:eastAsia="Verdana"/>
          <w:sz w:val="22"/>
          <w:szCs w:val="22"/>
          <w:lang w:val="es-ES"/>
        </w:rPr>
        <w:t>ey.</w:t>
      </w:r>
    </w:p>
    <w:p w14:paraId="35D38F25" w14:textId="77777777" w:rsidR="00E90E85" w:rsidRPr="00A156F4" w:rsidRDefault="00E90E85" w:rsidP="00E90E85">
      <w:pPr>
        <w:rPr>
          <w:sz w:val="22"/>
          <w:szCs w:val="22"/>
          <w:lang w:eastAsia="en-US"/>
        </w:rPr>
      </w:pPr>
    </w:p>
    <w:p w14:paraId="102759A2" w14:textId="01D2F1CC" w:rsidR="00E90E85" w:rsidRPr="00A156F4" w:rsidRDefault="00E90E85" w:rsidP="00E90E85">
      <w:pPr>
        <w:jc w:val="both"/>
        <w:rPr>
          <w:b/>
          <w:sz w:val="22"/>
          <w:szCs w:val="22"/>
          <w:lang w:eastAsia="es-CR"/>
        </w:rPr>
      </w:pPr>
      <w:r w:rsidRPr="00A156F4">
        <w:rPr>
          <w:b/>
          <w:sz w:val="22"/>
          <w:szCs w:val="22"/>
          <w:lang w:eastAsia="es-CR"/>
        </w:rPr>
        <w:t xml:space="preserve">Artículo </w:t>
      </w:r>
      <w:r w:rsidR="00701AF7" w:rsidRPr="00A156F4">
        <w:rPr>
          <w:b/>
          <w:sz w:val="22"/>
          <w:szCs w:val="22"/>
          <w:lang w:eastAsia="es-CR"/>
        </w:rPr>
        <w:t>10</w:t>
      </w:r>
      <w:r w:rsidR="00D80091" w:rsidRPr="00A156F4">
        <w:rPr>
          <w:b/>
          <w:sz w:val="22"/>
          <w:szCs w:val="22"/>
          <w:lang w:eastAsia="es-CR"/>
        </w:rPr>
        <w:t>8</w:t>
      </w:r>
      <w:r w:rsidRPr="00A156F4">
        <w:rPr>
          <w:b/>
          <w:sz w:val="22"/>
          <w:szCs w:val="22"/>
          <w:lang w:eastAsia="es-CR"/>
        </w:rPr>
        <w:t>.-</w:t>
      </w:r>
      <w:r w:rsidR="00F153AC" w:rsidRPr="00A156F4">
        <w:rPr>
          <w:b/>
          <w:sz w:val="22"/>
          <w:szCs w:val="22"/>
          <w:lang w:eastAsia="es-CR"/>
        </w:rPr>
        <w:t xml:space="preserve"> </w:t>
      </w:r>
      <w:r w:rsidRPr="00A156F4">
        <w:rPr>
          <w:b/>
          <w:sz w:val="22"/>
          <w:szCs w:val="22"/>
          <w:lang w:eastAsia="es-CR"/>
        </w:rPr>
        <w:t>Omisión de notificación previa</w:t>
      </w:r>
    </w:p>
    <w:p w14:paraId="50A65180" w14:textId="77777777" w:rsidR="00E90E85" w:rsidRPr="00A156F4" w:rsidRDefault="00E90E85" w:rsidP="00E90E85">
      <w:pPr>
        <w:jc w:val="both"/>
        <w:rPr>
          <w:sz w:val="22"/>
          <w:szCs w:val="22"/>
          <w:lang w:eastAsia="es-CR"/>
        </w:rPr>
      </w:pPr>
    </w:p>
    <w:p w14:paraId="757D838F" w14:textId="1D4353A1" w:rsidR="008F4C37" w:rsidRPr="00A156F4" w:rsidRDefault="00E90E85" w:rsidP="00E90E85">
      <w:pPr>
        <w:jc w:val="both"/>
        <w:rPr>
          <w:sz w:val="22"/>
          <w:szCs w:val="22"/>
        </w:rPr>
      </w:pPr>
      <w:r w:rsidRPr="00A156F4">
        <w:rPr>
          <w:sz w:val="22"/>
          <w:szCs w:val="22"/>
          <w:lang w:eastAsia="es-CR"/>
        </w:rPr>
        <w:t xml:space="preserve">En el </w:t>
      </w:r>
      <w:r w:rsidRPr="00A156F4">
        <w:rPr>
          <w:rFonts w:eastAsia="Times New Roman"/>
          <w:sz w:val="22"/>
          <w:szCs w:val="22"/>
          <w:lang w:eastAsia="es-CR"/>
        </w:rPr>
        <w:t xml:space="preserve">caso de que una </w:t>
      </w:r>
      <w:r w:rsidRPr="00A156F4">
        <w:rPr>
          <w:sz w:val="22"/>
          <w:szCs w:val="22"/>
        </w:rPr>
        <w:t>concentración</w:t>
      </w:r>
      <w:r w:rsidRPr="00A156F4">
        <w:rPr>
          <w:rFonts w:eastAsia="Times New Roman"/>
          <w:sz w:val="22"/>
          <w:szCs w:val="22"/>
          <w:lang w:eastAsia="es-CR"/>
        </w:rPr>
        <w:t xml:space="preserve"> sujeta a notificación previa</w:t>
      </w:r>
      <w:r w:rsidR="008F4C37" w:rsidRPr="00A156F4">
        <w:rPr>
          <w:rFonts w:eastAsia="Times New Roman"/>
          <w:sz w:val="22"/>
          <w:szCs w:val="22"/>
          <w:lang w:eastAsia="es-CR"/>
        </w:rPr>
        <w:t>,</w:t>
      </w:r>
      <w:r w:rsidRPr="00A156F4">
        <w:rPr>
          <w:rFonts w:eastAsia="Times New Roman"/>
          <w:sz w:val="22"/>
          <w:szCs w:val="22"/>
          <w:lang w:eastAsia="es-CR"/>
        </w:rPr>
        <w:t xml:space="preserve"> según lo previsto en la presente ley</w:t>
      </w:r>
      <w:r w:rsidR="008F4C37" w:rsidRPr="00A156F4">
        <w:rPr>
          <w:rFonts w:eastAsia="Times New Roman"/>
          <w:sz w:val="22"/>
          <w:szCs w:val="22"/>
          <w:lang w:eastAsia="es-CR"/>
        </w:rPr>
        <w:t>,</w:t>
      </w:r>
      <w:r w:rsidRPr="00A156F4">
        <w:rPr>
          <w:rFonts w:eastAsia="Times New Roman"/>
          <w:sz w:val="22"/>
          <w:szCs w:val="22"/>
          <w:lang w:eastAsia="es-CR"/>
        </w:rPr>
        <w:t xml:space="preserve"> no hubiese sido </w:t>
      </w:r>
      <w:r w:rsidRPr="00A156F4">
        <w:rPr>
          <w:sz w:val="22"/>
          <w:szCs w:val="22"/>
        </w:rPr>
        <w:t>notificada</w:t>
      </w:r>
      <w:r w:rsidRPr="00A156F4">
        <w:rPr>
          <w:rFonts w:eastAsia="Times New Roman"/>
          <w:sz w:val="22"/>
          <w:szCs w:val="22"/>
          <w:lang w:eastAsia="es-CR"/>
        </w:rPr>
        <w:t xml:space="preserve">, el Órgano Superior </w:t>
      </w:r>
      <w:r w:rsidRPr="00A156F4">
        <w:rPr>
          <w:sz w:val="22"/>
          <w:szCs w:val="22"/>
          <w:lang w:val="es-ES"/>
        </w:rPr>
        <w:t xml:space="preserve">de la autoridad de competencia correspondiente, </w:t>
      </w:r>
      <w:r w:rsidRPr="00A156F4">
        <w:rPr>
          <w:rFonts w:eastAsia="Times New Roman"/>
          <w:sz w:val="22"/>
          <w:szCs w:val="22"/>
          <w:lang w:eastAsia="es-CR"/>
        </w:rPr>
        <w:t>requerirá</w:t>
      </w:r>
      <w:r w:rsidR="008F4C37" w:rsidRPr="00A156F4">
        <w:rPr>
          <w:rFonts w:eastAsia="Times New Roman"/>
          <w:sz w:val="22"/>
          <w:szCs w:val="22"/>
          <w:lang w:eastAsia="es-CR"/>
        </w:rPr>
        <w:t xml:space="preserve"> de oficio</w:t>
      </w:r>
      <w:r w:rsidRPr="00A156F4">
        <w:rPr>
          <w:rFonts w:eastAsia="Times New Roman"/>
          <w:sz w:val="22"/>
          <w:szCs w:val="22"/>
          <w:lang w:eastAsia="es-CR"/>
        </w:rPr>
        <w:t xml:space="preserve"> a las partes obligadas que efectúen la </w:t>
      </w:r>
      <w:r w:rsidRPr="00A156F4">
        <w:rPr>
          <w:sz w:val="22"/>
          <w:szCs w:val="22"/>
        </w:rPr>
        <w:t xml:space="preserve">correspondiente </w:t>
      </w:r>
      <w:r w:rsidRPr="00A156F4">
        <w:rPr>
          <w:rFonts w:eastAsia="Times New Roman"/>
          <w:sz w:val="22"/>
          <w:szCs w:val="22"/>
          <w:lang w:eastAsia="es-CR"/>
        </w:rPr>
        <w:t>notificación</w:t>
      </w:r>
      <w:r w:rsidR="008F4C37" w:rsidRPr="00A156F4">
        <w:rPr>
          <w:rFonts w:eastAsia="Times New Roman"/>
          <w:sz w:val="22"/>
          <w:szCs w:val="22"/>
          <w:lang w:eastAsia="es-CR"/>
        </w:rPr>
        <w:t xml:space="preserve">; </w:t>
      </w:r>
      <w:r w:rsidRPr="00A156F4">
        <w:rPr>
          <w:rFonts w:eastAsia="Times New Roman"/>
          <w:sz w:val="22"/>
          <w:szCs w:val="22"/>
          <w:lang w:eastAsia="es-CR"/>
        </w:rPr>
        <w:t xml:space="preserve">en un plazo no </w:t>
      </w:r>
      <w:r w:rsidR="008F4C37" w:rsidRPr="00A156F4">
        <w:rPr>
          <w:rFonts w:eastAsia="Times New Roman"/>
          <w:sz w:val="22"/>
          <w:szCs w:val="22"/>
          <w:lang w:eastAsia="es-CR"/>
        </w:rPr>
        <w:t xml:space="preserve">mayor </w:t>
      </w:r>
      <w:r w:rsidRPr="00A156F4">
        <w:rPr>
          <w:rFonts w:eastAsia="Times New Roman"/>
          <w:sz w:val="22"/>
          <w:szCs w:val="22"/>
          <w:lang w:eastAsia="es-CR"/>
        </w:rPr>
        <w:t>a 1</w:t>
      </w:r>
      <w:r w:rsidR="004075EC" w:rsidRPr="00A156F4">
        <w:rPr>
          <w:rFonts w:eastAsia="Times New Roman"/>
          <w:sz w:val="22"/>
          <w:szCs w:val="22"/>
          <w:lang w:eastAsia="es-CR"/>
        </w:rPr>
        <w:t>5</w:t>
      </w:r>
      <w:r w:rsidRPr="00A156F4">
        <w:rPr>
          <w:rFonts w:eastAsia="Times New Roman"/>
          <w:sz w:val="22"/>
          <w:szCs w:val="22"/>
          <w:lang w:eastAsia="es-CR"/>
        </w:rPr>
        <w:t xml:space="preserve"> días hábiles</w:t>
      </w:r>
      <w:r w:rsidR="008F4C37" w:rsidRPr="00A156F4">
        <w:rPr>
          <w:rFonts w:eastAsia="Times New Roman"/>
          <w:sz w:val="22"/>
          <w:szCs w:val="22"/>
          <w:lang w:eastAsia="es-CR"/>
        </w:rPr>
        <w:t xml:space="preserve">, </w:t>
      </w:r>
      <w:r w:rsidRPr="00A156F4">
        <w:rPr>
          <w:rFonts w:eastAsia="Times New Roman"/>
          <w:sz w:val="22"/>
          <w:szCs w:val="22"/>
          <w:lang w:eastAsia="es-CR"/>
        </w:rPr>
        <w:t xml:space="preserve">contados </w:t>
      </w:r>
      <w:r w:rsidR="008F4C37" w:rsidRPr="00A156F4">
        <w:rPr>
          <w:rFonts w:eastAsia="Times New Roman"/>
          <w:sz w:val="22"/>
          <w:szCs w:val="22"/>
          <w:lang w:eastAsia="es-CR"/>
        </w:rPr>
        <w:t xml:space="preserve">a partir de </w:t>
      </w:r>
      <w:r w:rsidRPr="00A156F4">
        <w:rPr>
          <w:rFonts w:eastAsia="Times New Roman"/>
          <w:sz w:val="22"/>
          <w:szCs w:val="22"/>
          <w:lang w:eastAsia="es-CR"/>
        </w:rPr>
        <w:t>la recepción del requerimiento,</w:t>
      </w:r>
      <w:r w:rsidR="008F4C37" w:rsidRPr="00A156F4">
        <w:rPr>
          <w:rFonts w:eastAsia="Times New Roman"/>
          <w:sz w:val="22"/>
          <w:szCs w:val="22"/>
          <w:lang w:eastAsia="es-CR"/>
        </w:rPr>
        <w:t xml:space="preserve"> y</w:t>
      </w:r>
      <w:r w:rsidRPr="00A156F4">
        <w:rPr>
          <w:rFonts w:eastAsia="Times New Roman"/>
          <w:sz w:val="22"/>
          <w:szCs w:val="22"/>
          <w:lang w:eastAsia="es-CR"/>
        </w:rPr>
        <w:t xml:space="preserve"> pudiendo ser prorrogado</w:t>
      </w:r>
      <w:r w:rsidR="008F4C37" w:rsidRPr="00A156F4">
        <w:rPr>
          <w:rFonts w:eastAsia="Times New Roman"/>
          <w:sz w:val="22"/>
          <w:szCs w:val="22"/>
          <w:lang w:eastAsia="es-CR"/>
        </w:rPr>
        <w:t xml:space="preserve"> por un plazo igual,</w:t>
      </w:r>
      <w:r w:rsidRPr="00A156F4">
        <w:rPr>
          <w:rFonts w:eastAsia="Times New Roman"/>
          <w:sz w:val="22"/>
          <w:szCs w:val="22"/>
          <w:lang w:eastAsia="es-CR"/>
        </w:rPr>
        <w:t xml:space="preserve"> a solicitud de parte debidamente justificada. Lo anterior, sin perjuicio de las sanciones que procedan por </w:t>
      </w:r>
      <w:r w:rsidR="00B4150E" w:rsidRPr="00A156F4">
        <w:rPr>
          <w:rFonts w:eastAsia="Times New Roman"/>
          <w:sz w:val="22"/>
          <w:szCs w:val="22"/>
          <w:lang w:eastAsia="es-CR"/>
        </w:rPr>
        <w:t>notificar tardíamente una concentración o el incumplimiento de la obligación de notificar</w:t>
      </w:r>
      <w:r w:rsidRPr="00A156F4">
        <w:rPr>
          <w:sz w:val="22"/>
          <w:szCs w:val="22"/>
        </w:rPr>
        <w:t>.</w:t>
      </w:r>
      <w:r w:rsidR="004075EC" w:rsidRPr="00A156F4">
        <w:rPr>
          <w:sz w:val="22"/>
          <w:szCs w:val="22"/>
        </w:rPr>
        <w:t xml:space="preserve"> </w:t>
      </w:r>
    </w:p>
    <w:p w14:paraId="39FA719B" w14:textId="77777777" w:rsidR="008F4C37" w:rsidRPr="00A156F4" w:rsidRDefault="008F4C37" w:rsidP="00E90E85">
      <w:pPr>
        <w:jc w:val="both"/>
        <w:rPr>
          <w:sz w:val="22"/>
          <w:szCs w:val="22"/>
        </w:rPr>
      </w:pPr>
    </w:p>
    <w:p w14:paraId="17917771" w14:textId="3AEC1B2F" w:rsidR="00E90E85" w:rsidRPr="00A156F4" w:rsidRDefault="004075EC" w:rsidP="00E90E85">
      <w:pPr>
        <w:jc w:val="both"/>
        <w:rPr>
          <w:rFonts w:eastAsia="Times New Roman"/>
          <w:sz w:val="22"/>
          <w:szCs w:val="22"/>
          <w:lang w:eastAsia="es-CR"/>
        </w:rPr>
      </w:pPr>
      <w:r w:rsidRPr="00A156F4">
        <w:rPr>
          <w:sz w:val="22"/>
          <w:szCs w:val="22"/>
        </w:rPr>
        <w:t xml:space="preserve">Las concentraciones que se notifiquen </w:t>
      </w:r>
      <w:r w:rsidR="008F4C37" w:rsidRPr="00A156F4">
        <w:rPr>
          <w:sz w:val="22"/>
          <w:szCs w:val="22"/>
        </w:rPr>
        <w:t>por</w:t>
      </w:r>
      <w:r w:rsidRPr="00A156F4">
        <w:rPr>
          <w:sz w:val="22"/>
          <w:szCs w:val="22"/>
        </w:rPr>
        <w:t xml:space="preserve"> requerimiento de la autoridad no podrán ser aprobadas por silencio positivo.</w:t>
      </w:r>
    </w:p>
    <w:p w14:paraId="429FD8A8" w14:textId="77777777" w:rsidR="00E90E85" w:rsidRPr="00A156F4" w:rsidRDefault="00E90E85" w:rsidP="00E90E85">
      <w:pPr>
        <w:rPr>
          <w:rFonts w:eastAsia="Times New Roman"/>
          <w:sz w:val="22"/>
          <w:szCs w:val="22"/>
          <w:lang w:eastAsia="es-CR"/>
        </w:rPr>
      </w:pPr>
    </w:p>
    <w:p w14:paraId="09477E20" w14:textId="5D0AB42B" w:rsidR="00E90E85" w:rsidRPr="00A156F4" w:rsidRDefault="00E90E85" w:rsidP="00E90E8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i w:val="0"/>
          <w:color w:val="auto"/>
          <w:sz w:val="22"/>
          <w:szCs w:val="22"/>
        </w:rPr>
        <w:t xml:space="preserve"> </w:t>
      </w:r>
      <w:r w:rsidR="00701AF7" w:rsidRPr="00A156F4">
        <w:rPr>
          <w:rFonts w:ascii="Times New Roman" w:hAnsi="Times New Roman" w:cs="Times New Roman"/>
          <w:b/>
          <w:bCs/>
          <w:i w:val="0"/>
          <w:color w:val="auto"/>
          <w:sz w:val="22"/>
          <w:szCs w:val="22"/>
        </w:rPr>
        <w:t>10</w:t>
      </w:r>
      <w:r w:rsidR="00D80091" w:rsidRPr="00A156F4">
        <w:rPr>
          <w:rFonts w:ascii="Times New Roman" w:hAnsi="Times New Roman" w:cs="Times New Roman"/>
          <w:b/>
          <w:bCs/>
          <w:i w:val="0"/>
          <w:color w:val="auto"/>
          <w:sz w:val="22"/>
          <w:szCs w:val="22"/>
        </w:rPr>
        <w:t>9</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Ejecución de la concentración previo a su autorización</w:t>
      </w:r>
    </w:p>
    <w:p w14:paraId="16BE43FB" w14:textId="77777777" w:rsidR="00E90E85" w:rsidRPr="00A156F4" w:rsidRDefault="00E90E85" w:rsidP="00E90E85">
      <w:pPr>
        <w:rPr>
          <w:sz w:val="22"/>
          <w:szCs w:val="22"/>
          <w:lang w:val="es-CR" w:eastAsia="en-US"/>
        </w:rPr>
      </w:pPr>
    </w:p>
    <w:p w14:paraId="1E1A929E" w14:textId="2C9199C7" w:rsidR="00E91414" w:rsidRPr="00A156F4" w:rsidRDefault="00E90E85" w:rsidP="00E90E85">
      <w:pPr>
        <w:jc w:val="both"/>
        <w:rPr>
          <w:rFonts w:eastAsia="Times New Roman"/>
          <w:sz w:val="22"/>
          <w:szCs w:val="22"/>
          <w:lang w:eastAsia="es-CR"/>
        </w:rPr>
      </w:pPr>
      <w:r w:rsidRPr="00A156F4">
        <w:rPr>
          <w:rFonts w:eastAsia="Times New Roman"/>
          <w:sz w:val="22"/>
          <w:szCs w:val="22"/>
          <w:lang w:eastAsia="es-CR"/>
        </w:rPr>
        <w:t>En caso de que una transacción</w:t>
      </w:r>
      <w:r w:rsidR="008C1885" w:rsidRPr="00A156F4">
        <w:rPr>
          <w:rFonts w:eastAsia="Times New Roman"/>
          <w:sz w:val="22"/>
          <w:szCs w:val="22"/>
          <w:lang w:eastAsia="es-CR"/>
        </w:rPr>
        <w:t xml:space="preserve"> que haya sido</w:t>
      </w:r>
      <w:r w:rsidRPr="00A156F4">
        <w:rPr>
          <w:rFonts w:eastAsia="Times New Roman"/>
          <w:sz w:val="22"/>
          <w:szCs w:val="22"/>
          <w:lang w:eastAsia="es-CR"/>
        </w:rPr>
        <w:t xml:space="preserve"> notificada a la autoridad de competencia correspondiente conforme a la presente </w:t>
      </w:r>
      <w:r w:rsidR="00687FFE" w:rsidRPr="00A156F4">
        <w:rPr>
          <w:rFonts w:eastAsia="Times New Roman"/>
          <w:sz w:val="22"/>
          <w:szCs w:val="22"/>
          <w:lang w:eastAsia="es-CR"/>
        </w:rPr>
        <w:t>ley</w:t>
      </w:r>
      <w:r w:rsidRPr="00A156F4">
        <w:rPr>
          <w:rFonts w:eastAsia="Times New Roman"/>
          <w:sz w:val="22"/>
          <w:szCs w:val="22"/>
          <w:lang w:eastAsia="es-CR"/>
        </w:rPr>
        <w:t xml:space="preserve"> se ejecut</w:t>
      </w:r>
      <w:r w:rsidR="00A62A47" w:rsidRPr="00A156F4">
        <w:rPr>
          <w:rFonts w:eastAsia="Times New Roman"/>
          <w:sz w:val="22"/>
          <w:szCs w:val="22"/>
          <w:lang w:eastAsia="es-CR"/>
        </w:rPr>
        <w:t>ara</w:t>
      </w:r>
      <w:r w:rsidRPr="00A156F4">
        <w:rPr>
          <w:rFonts w:eastAsia="Times New Roman"/>
          <w:sz w:val="22"/>
          <w:szCs w:val="22"/>
          <w:lang w:eastAsia="es-CR"/>
        </w:rPr>
        <w:t xml:space="preserve"> antes de ser autorizada, el Órgano Superior </w:t>
      </w:r>
      <w:r w:rsidRPr="00A156F4">
        <w:rPr>
          <w:sz w:val="22"/>
          <w:szCs w:val="22"/>
          <w:lang w:val="es-ES"/>
        </w:rPr>
        <w:t xml:space="preserve">de la autoridad de competencia correspondiente </w:t>
      </w:r>
      <w:r w:rsidRPr="00A156F4">
        <w:rPr>
          <w:rFonts w:eastAsia="Times New Roman"/>
          <w:sz w:val="22"/>
          <w:szCs w:val="22"/>
          <w:lang w:eastAsia="es-CR"/>
        </w:rPr>
        <w:t>podrá exigir a las partes que disuelvan la concentración</w:t>
      </w:r>
      <w:r w:rsidR="00A62A47" w:rsidRPr="00A156F4">
        <w:rPr>
          <w:rFonts w:eastAsia="Times New Roman"/>
          <w:sz w:val="22"/>
          <w:szCs w:val="22"/>
          <w:lang w:eastAsia="es-CR"/>
        </w:rPr>
        <w:t>;</w:t>
      </w:r>
      <w:r w:rsidRPr="00A156F4">
        <w:rPr>
          <w:rFonts w:eastAsia="Times New Roman"/>
          <w:sz w:val="22"/>
          <w:szCs w:val="22"/>
          <w:lang w:eastAsia="es-CR"/>
        </w:rPr>
        <w:t xml:space="preserve"> de manera que quede restablecida la situación previa a la ejecución de la </w:t>
      </w:r>
      <w:r w:rsidR="00A62A47" w:rsidRPr="00A156F4">
        <w:rPr>
          <w:rFonts w:eastAsia="Times New Roman"/>
          <w:sz w:val="22"/>
          <w:szCs w:val="22"/>
          <w:lang w:eastAsia="es-CR"/>
        </w:rPr>
        <w:t>transacción</w:t>
      </w:r>
      <w:r w:rsidRPr="00A156F4">
        <w:rPr>
          <w:rFonts w:eastAsia="Times New Roman"/>
          <w:sz w:val="22"/>
          <w:szCs w:val="22"/>
          <w:lang w:eastAsia="es-CR"/>
        </w:rPr>
        <w:t xml:space="preserve">. </w:t>
      </w:r>
    </w:p>
    <w:p w14:paraId="0D7C9757" w14:textId="77777777" w:rsidR="00E91414" w:rsidRPr="00A156F4" w:rsidRDefault="00E91414" w:rsidP="00E90E85">
      <w:pPr>
        <w:jc w:val="both"/>
        <w:rPr>
          <w:rFonts w:eastAsia="Times New Roman"/>
          <w:sz w:val="22"/>
          <w:szCs w:val="22"/>
          <w:lang w:eastAsia="es-CR"/>
        </w:rPr>
      </w:pPr>
    </w:p>
    <w:p w14:paraId="1C42AA0F" w14:textId="6FE9B377" w:rsidR="00E90E85" w:rsidRPr="00A156F4" w:rsidRDefault="00E90E85" w:rsidP="00E90E85">
      <w:pPr>
        <w:jc w:val="both"/>
        <w:rPr>
          <w:rFonts w:eastAsia="Times New Roman"/>
          <w:sz w:val="22"/>
          <w:szCs w:val="22"/>
          <w:lang w:eastAsia="es-CR"/>
        </w:rPr>
      </w:pPr>
      <w:r w:rsidRPr="00A156F4">
        <w:rPr>
          <w:rFonts w:eastAsia="Times New Roman"/>
          <w:sz w:val="22"/>
          <w:szCs w:val="22"/>
          <w:lang w:eastAsia="es-CR"/>
        </w:rPr>
        <w:t>Si el Órgano Superior respectivo considera inconveniente la disolución</w:t>
      </w:r>
      <w:r w:rsidR="00A62A47" w:rsidRPr="00A156F4">
        <w:rPr>
          <w:rFonts w:eastAsia="Times New Roman"/>
          <w:sz w:val="22"/>
          <w:szCs w:val="22"/>
          <w:lang w:eastAsia="es-CR"/>
        </w:rPr>
        <w:t xml:space="preserve"> de la concentración</w:t>
      </w:r>
      <w:r w:rsidRPr="00A156F4">
        <w:rPr>
          <w:rFonts w:eastAsia="Times New Roman"/>
          <w:sz w:val="22"/>
          <w:szCs w:val="22"/>
          <w:lang w:eastAsia="es-CR"/>
        </w:rPr>
        <w:t xml:space="preserve"> por </w:t>
      </w:r>
      <w:r w:rsidR="00A62A47" w:rsidRPr="00A156F4">
        <w:rPr>
          <w:rFonts w:eastAsia="Times New Roman"/>
          <w:sz w:val="22"/>
          <w:szCs w:val="22"/>
          <w:lang w:eastAsia="es-CR"/>
        </w:rPr>
        <w:t>sus posibles</w:t>
      </w:r>
      <w:r w:rsidRPr="00A156F4">
        <w:rPr>
          <w:rFonts w:eastAsia="Times New Roman"/>
          <w:sz w:val="22"/>
          <w:szCs w:val="22"/>
          <w:lang w:eastAsia="es-CR"/>
        </w:rPr>
        <w:t xml:space="preserve"> efectos en el mercado, podrá ordenar condiciones tendientes al r</w:t>
      </w:r>
      <w:r w:rsidR="00687FFE" w:rsidRPr="00A156F4">
        <w:rPr>
          <w:rFonts w:eastAsia="Times New Roman"/>
          <w:sz w:val="22"/>
          <w:szCs w:val="22"/>
          <w:lang w:eastAsia="es-CR"/>
        </w:rPr>
        <w:t>e</w:t>
      </w:r>
      <w:r w:rsidRPr="00A156F4">
        <w:rPr>
          <w:rFonts w:eastAsia="Times New Roman"/>
          <w:sz w:val="22"/>
          <w:szCs w:val="22"/>
          <w:lang w:eastAsia="es-CR"/>
        </w:rPr>
        <w:t>stablecimiento de las condiciones de competencia en el mercado, previas a la concentración. Lo anterior, sin perjuicio de las sanciones y demás consecuencias que apliquen conforme a la presente ley.</w:t>
      </w:r>
      <w:r w:rsidRPr="00A156F4">
        <w:rPr>
          <w:sz w:val="22"/>
          <w:szCs w:val="22"/>
          <w:lang w:eastAsia="es-CR"/>
        </w:rPr>
        <w:t xml:space="preserve"> </w:t>
      </w:r>
    </w:p>
    <w:p w14:paraId="4482CBEE" w14:textId="77777777" w:rsidR="00E90E85" w:rsidRPr="00A156F4" w:rsidRDefault="00E90E85" w:rsidP="00E90E85">
      <w:pPr>
        <w:rPr>
          <w:rFonts w:eastAsia="Times New Roman"/>
          <w:sz w:val="22"/>
          <w:szCs w:val="22"/>
          <w:lang w:eastAsia="es-CR"/>
        </w:rPr>
      </w:pPr>
    </w:p>
    <w:p w14:paraId="68D63210" w14:textId="117C51CA" w:rsidR="00E90E85" w:rsidRPr="00A156F4" w:rsidRDefault="00E90E85" w:rsidP="00E90E85">
      <w:pPr>
        <w:rPr>
          <w:rFonts w:eastAsia="Times New Roman"/>
          <w:b/>
          <w:sz w:val="22"/>
          <w:szCs w:val="22"/>
          <w:lang w:eastAsia="es-CR"/>
        </w:rPr>
      </w:pPr>
      <w:r w:rsidRPr="00A156F4">
        <w:rPr>
          <w:rFonts w:eastAsia="Times New Roman"/>
          <w:b/>
          <w:sz w:val="22"/>
          <w:szCs w:val="22"/>
          <w:lang w:eastAsia="es-CR"/>
        </w:rPr>
        <w:t xml:space="preserve">Artículo </w:t>
      </w:r>
      <w:r w:rsidR="00701AF7" w:rsidRPr="00A156F4">
        <w:rPr>
          <w:rFonts w:eastAsia="Times New Roman"/>
          <w:b/>
          <w:sz w:val="22"/>
          <w:szCs w:val="22"/>
          <w:lang w:eastAsia="es-CR"/>
        </w:rPr>
        <w:t>11</w:t>
      </w:r>
      <w:r w:rsidR="00D80091" w:rsidRPr="00A156F4">
        <w:rPr>
          <w:rFonts w:eastAsia="Times New Roman"/>
          <w:b/>
          <w:sz w:val="22"/>
          <w:szCs w:val="22"/>
          <w:lang w:eastAsia="es-CR"/>
        </w:rPr>
        <w:t>0</w:t>
      </w:r>
      <w:r w:rsidRPr="00A156F4">
        <w:rPr>
          <w:rFonts w:eastAsia="Times New Roman"/>
          <w:b/>
          <w:sz w:val="22"/>
          <w:szCs w:val="22"/>
          <w:lang w:eastAsia="es-CR"/>
        </w:rPr>
        <w:t>.-</w:t>
      </w:r>
      <w:r w:rsidR="00F153AC" w:rsidRPr="00A156F4">
        <w:rPr>
          <w:rFonts w:eastAsia="Times New Roman"/>
          <w:b/>
          <w:sz w:val="22"/>
          <w:szCs w:val="22"/>
          <w:lang w:eastAsia="es-CR"/>
        </w:rPr>
        <w:t xml:space="preserve"> </w:t>
      </w:r>
      <w:r w:rsidRPr="00A156F4">
        <w:rPr>
          <w:rFonts w:eastAsia="Times New Roman"/>
          <w:b/>
          <w:sz w:val="22"/>
          <w:szCs w:val="22"/>
          <w:lang w:eastAsia="es-CR"/>
        </w:rPr>
        <w:t>Revisión de concentraciones que hayan obtenido resolución favorable</w:t>
      </w:r>
    </w:p>
    <w:p w14:paraId="7C4B9063" w14:textId="77777777" w:rsidR="00E90E85" w:rsidRPr="00A156F4" w:rsidRDefault="00E90E85" w:rsidP="00E90E85">
      <w:pPr>
        <w:rPr>
          <w:rFonts w:eastAsia="Times New Roman"/>
          <w:sz w:val="22"/>
          <w:szCs w:val="22"/>
          <w:lang w:eastAsia="es-CR"/>
        </w:rPr>
      </w:pPr>
    </w:p>
    <w:p w14:paraId="79EF1A7A" w14:textId="77777777" w:rsidR="00E90E85" w:rsidRPr="00A156F4" w:rsidRDefault="00E90E85" w:rsidP="00E90E85">
      <w:pPr>
        <w:jc w:val="both"/>
        <w:rPr>
          <w:sz w:val="22"/>
          <w:szCs w:val="22"/>
          <w:lang w:eastAsia="es-CR"/>
        </w:rPr>
      </w:pPr>
      <w:r w:rsidRPr="00A156F4">
        <w:rPr>
          <w:sz w:val="22"/>
          <w:szCs w:val="22"/>
          <w:lang w:eastAsia="es-CR"/>
        </w:rPr>
        <w:t xml:space="preserve">Cada autoridad de competencia podrá examinar nuevamente las concentraciones que hayan obtenido resolución favorable, únicamente cuando dicha resolución se </w:t>
      </w:r>
      <w:proofErr w:type="gramStart"/>
      <w:r w:rsidRPr="00A156F4">
        <w:rPr>
          <w:sz w:val="22"/>
          <w:szCs w:val="22"/>
          <w:lang w:eastAsia="es-CR"/>
        </w:rPr>
        <w:t>basara</w:t>
      </w:r>
      <w:proofErr w:type="gramEnd"/>
      <w:r w:rsidRPr="00A156F4">
        <w:rPr>
          <w:sz w:val="22"/>
          <w:szCs w:val="22"/>
          <w:lang w:eastAsia="es-CR"/>
        </w:rPr>
        <w:t xml:space="preserve"> en información falsa o cuando las condiciones impuestas para la autorización de la concentración no se hayan cumplido en el plazo establecido. </w:t>
      </w:r>
    </w:p>
    <w:p w14:paraId="187833C4" w14:textId="3CA19B8B" w:rsidR="009A21C4" w:rsidRPr="00A156F4" w:rsidRDefault="009A21C4" w:rsidP="00BF4EEF">
      <w:pPr>
        <w:jc w:val="both"/>
        <w:rPr>
          <w:sz w:val="22"/>
          <w:szCs w:val="22"/>
        </w:rPr>
      </w:pPr>
    </w:p>
    <w:bookmarkEnd w:id="39"/>
    <w:p w14:paraId="67E3AACF" w14:textId="77777777" w:rsidR="00A8671B" w:rsidRPr="00A156F4" w:rsidRDefault="00A8671B" w:rsidP="00B52F42">
      <w:pPr>
        <w:rPr>
          <w:b/>
          <w:sz w:val="22"/>
          <w:szCs w:val="22"/>
        </w:rPr>
      </w:pPr>
    </w:p>
    <w:p w14:paraId="241CC083" w14:textId="77777777" w:rsidR="00762F13" w:rsidRPr="00A156F4" w:rsidRDefault="00762F13" w:rsidP="00762F13">
      <w:pPr>
        <w:jc w:val="center"/>
        <w:rPr>
          <w:b/>
          <w:sz w:val="22"/>
          <w:szCs w:val="22"/>
        </w:rPr>
      </w:pPr>
      <w:r w:rsidRPr="00A156F4">
        <w:rPr>
          <w:b/>
          <w:sz w:val="22"/>
          <w:szCs w:val="22"/>
        </w:rPr>
        <w:t>CAPÍTULO VI</w:t>
      </w:r>
    </w:p>
    <w:p w14:paraId="7E1217FC" w14:textId="1EA663DA" w:rsidR="00762F13" w:rsidRPr="00A156F4" w:rsidRDefault="00762F13" w:rsidP="00762F13">
      <w:pPr>
        <w:jc w:val="center"/>
        <w:rPr>
          <w:b/>
          <w:sz w:val="22"/>
          <w:szCs w:val="22"/>
        </w:rPr>
      </w:pPr>
      <w:r w:rsidRPr="00A156F4">
        <w:rPr>
          <w:b/>
          <w:sz w:val="22"/>
          <w:szCs w:val="22"/>
        </w:rPr>
        <w:t xml:space="preserve">Información y colaboración </w:t>
      </w:r>
    </w:p>
    <w:p w14:paraId="70516D0C" w14:textId="77777777" w:rsidR="005F7DB9" w:rsidRPr="00A156F4" w:rsidRDefault="005F7DB9" w:rsidP="00762F13">
      <w:pPr>
        <w:jc w:val="center"/>
        <w:rPr>
          <w:b/>
          <w:sz w:val="22"/>
          <w:szCs w:val="22"/>
        </w:rPr>
      </w:pPr>
    </w:p>
    <w:p w14:paraId="172F19CF" w14:textId="77777777" w:rsidR="00762F13" w:rsidRPr="00A156F4" w:rsidRDefault="00762F13" w:rsidP="00762F13">
      <w:pPr>
        <w:jc w:val="both"/>
        <w:rPr>
          <w:sz w:val="22"/>
          <w:szCs w:val="22"/>
        </w:rPr>
      </w:pPr>
    </w:p>
    <w:p w14:paraId="04FDC609" w14:textId="4BBD7DB2"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008F41AB" w:rsidRPr="00A156F4">
        <w:rPr>
          <w:rFonts w:ascii="Times New Roman" w:eastAsia="Times New Roman" w:hAnsi="Times New Roman" w:cs="Times New Roman"/>
          <w:b/>
          <w:i w:val="0"/>
          <w:iCs w:val="0"/>
          <w:color w:val="auto"/>
          <w:sz w:val="22"/>
          <w:szCs w:val="22"/>
          <w:lang w:eastAsia="en-US"/>
        </w:rPr>
        <w:t>1</w:t>
      </w:r>
      <w:r w:rsidR="00701AF7" w:rsidRPr="00A156F4">
        <w:rPr>
          <w:rFonts w:ascii="Times New Roman" w:eastAsia="Times New Roman" w:hAnsi="Times New Roman" w:cs="Times New Roman"/>
          <w:b/>
          <w:i w:val="0"/>
          <w:iCs w:val="0"/>
          <w:color w:val="auto"/>
          <w:sz w:val="22"/>
          <w:szCs w:val="22"/>
          <w:lang w:eastAsia="en-US"/>
        </w:rPr>
        <w:t>1</w:t>
      </w:r>
      <w:r w:rsidR="00D80091" w:rsidRPr="00A156F4">
        <w:rPr>
          <w:rFonts w:ascii="Times New Roman" w:eastAsia="Times New Roman" w:hAnsi="Times New Roman" w:cs="Times New Roman"/>
          <w:b/>
          <w:i w:val="0"/>
          <w:iCs w:val="0"/>
          <w:color w:val="auto"/>
          <w:sz w:val="22"/>
          <w:szCs w:val="22"/>
          <w:lang w:eastAsia="en-US"/>
        </w:rPr>
        <w:t>1</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Solicitud y clasificación de la información</w:t>
      </w:r>
    </w:p>
    <w:p w14:paraId="16A304B7" w14:textId="77777777" w:rsidR="00762F13" w:rsidRPr="00A156F4" w:rsidRDefault="00762F13" w:rsidP="00762F13">
      <w:pPr>
        <w:pStyle w:val="Default"/>
        <w:widowControl w:val="0"/>
        <w:jc w:val="both"/>
        <w:rPr>
          <w:rFonts w:ascii="Times New Roman" w:hAnsi="Times New Roman" w:cs="Times New Roman"/>
          <w:color w:val="auto"/>
          <w:sz w:val="22"/>
          <w:szCs w:val="22"/>
          <w:lang w:eastAsia="es-CR"/>
        </w:rPr>
      </w:pPr>
    </w:p>
    <w:p w14:paraId="06F891DD" w14:textId="7E45980D" w:rsidR="00762F13" w:rsidRPr="00A156F4" w:rsidRDefault="005D49A9" w:rsidP="00762F13">
      <w:pPr>
        <w:pStyle w:val="Default"/>
        <w:widowControl w:val="0"/>
        <w:jc w:val="both"/>
        <w:rPr>
          <w:rFonts w:ascii="Times New Roman" w:hAnsi="Times New Roman" w:cs="Times New Roman"/>
          <w:color w:val="auto"/>
          <w:sz w:val="22"/>
          <w:szCs w:val="22"/>
          <w:lang w:eastAsia="es-CR"/>
        </w:rPr>
      </w:pPr>
      <w:r w:rsidRPr="00A156F4">
        <w:rPr>
          <w:rFonts w:ascii="Times New Roman" w:hAnsi="Times New Roman" w:cs="Times New Roman"/>
          <w:color w:val="auto"/>
          <w:sz w:val="22"/>
          <w:szCs w:val="22"/>
          <w:lang w:eastAsia="es-CR"/>
        </w:rPr>
        <w:t>L</w:t>
      </w:r>
      <w:r w:rsidR="00762F13" w:rsidRPr="00A156F4">
        <w:rPr>
          <w:rFonts w:ascii="Times New Roman" w:hAnsi="Times New Roman" w:cs="Times New Roman"/>
          <w:color w:val="auto"/>
          <w:sz w:val="22"/>
          <w:szCs w:val="22"/>
          <w:lang w:eastAsia="es-CR"/>
        </w:rPr>
        <w:t xml:space="preserve">a autoridad de competencia correspondiente podrá requerir de cualquier agente económico o tercero, </w:t>
      </w:r>
      <w:r w:rsidR="00313337" w:rsidRPr="00A156F4">
        <w:rPr>
          <w:rFonts w:ascii="Times New Roman" w:hAnsi="Times New Roman" w:cs="Times New Roman"/>
          <w:color w:val="auto"/>
          <w:sz w:val="22"/>
          <w:szCs w:val="22"/>
          <w:lang w:eastAsia="es-CR"/>
        </w:rPr>
        <w:t>mediante</w:t>
      </w:r>
      <w:r w:rsidR="00762F13" w:rsidRPr="00A156F4">
        <w:rPr>
          <w:rFonts w:ascii="Times New Roman" w:hAnsi="Times New Roman" w:cs="Times New Roman"/>
          <w:color w:val="auto"/>
          <w:sz w:val="22"/>
          <w:szCs w:val="22"/>
          <w:lang w:eastAsia="es-CR"/>
        </w:rPr>
        <w:t xml:space="preserve"> resolución motivada, los informes y documentos que estimen necesarios para realizar sus investigaciones, estudios y procedimientos dentro de sus respectivas competencias. </w:t>
      </w:r>
    </w:p>
    <w:p w14:paraId="0900734D" w14:textId="77777777" w:rsidR="00762F13" w:rsidRPr="00A156F4" w:rsidRDefault="00762F13" w:rsidP="00762F13">
      <w:pPr>
        <w:pStyle w:val="Default"/>
        <w:widowControl w:val="0"/>
        <w:jc w:val="both"/>
        <w:rPr>
          <w:rFonts w:ascii="Times New Roman" w:hAnsi="Times New Roman" w:cs="Times New Roman"/>
          <w:color w:val="auto"/>
          <w:sz w:val="22"/>
          <w:szCs w:val="22"/>
          <w:lang w:eastAsia="es-CR"/>
        </w:rPr>
      </w:pPr>
    </w:p>
    <w:p w14:paraId="7154044C" w14:textId="4EE71831" w:rsidR="00762F13" w:rsidRPr="00A156F4" w:rsidRDefault="00500A7D" w:rsidP="00762F13">
      <w:pPr>
        <w:pStyle w:val="Default"/>
        <w:widowControl w:val="0"/>
        <w:jc w:val="both"/>
        <w:rPr>
          <w:rFonts w:ascii="Times New Roman" w:hAnsi="Times New Roman" w:cs="Times New Roman"/>
          <w:color w:val="auto"/>
          <w:sz w:val="22"/>
          <w:szCs w:val="22"/>
          <w:lang w:eastAsia="es-CR"/>
        </w:rPr>
      </w:pPr>
      <w:r w:rsidRPr="00A156F4">
        <w:rPr>
          <w:rFonts w:ascii="Times New Roman" w:hAnsi="Times New Roman" w:cs="Times New Roman"/>
          <w:color w:val="auto"/>
          <w:sz w:val="22"/>
          <w:szCs w:val="22"/>
          <w:lang w:eastAsia="es-CR"/>
        </w:rPr>
        <w:t xml:space="preserve">Salvo disposición expresa </w:t>
      </w:r>
      <w:r w:rsidR="00B022D0" w:rsidRPr="00A156F4">
        <w:rPr>
          <w:rFonts w:ascii="Times New Roman" w:hAnsi="Times New Roman" w:cs="Times New Roman"/>
          <w:color w:val="auto"/>
          <w:sz w:val="22"/>
          <w:szCs w:val="22"/>
          <w:lang w:eastAsia="es-CR"/>
        </w:rPr>
        <w:t xml:space="preserve">en contrario </w:t>
      </w:r>
      <w:r w:rsidRPr="00A156F4">
        <w:rPr>
          <w:rFonts w:ascii="Times New Roman" w:hAnsi="Times New Roman" w:cs="Times New Roman"/>
          <w:color w:val="auto"/>
          <w:sz w:val="22"/>
          <w:szCs w:val="22"/>
          <w:lang w:eastAsia="es-CR"/>
        </w:rPr>
        <w:t xml:space="preserve">en </w:t>
      </w:r>
      <w:r w:rsidR="00D870CF" w:rsidRPr="00A156F4">
        <w:rPr>
          <w:rFonts w:ascii="Times New Roman" w:hAnsi="Times New Roman" w:cs="Times New Roman"/>
          <w:color w:val="auto"/>
          <w:sz w:val="22"/>
          <w:szCs w:val="22"/>
          <w:lang w:eastAsia="es-CR"/>
        </w:rPr>
        <w:t>la presente</w:t>
      </w:r>
      <w:r w:rsidRPr="00A156F4">
        <w:rPr>
          <w:rFonts w:ascii="Times New Roman" w:hAnsi="Times New Roman" w:cs="Times New Roman"/>
          <w:color w:val="auto"/>
          <w:sz w:val="22"/>
          <w:szCs w:val="22"/>
          <w:lang w:eastAsia="es-CR"/>
        </w:rPr>
        <w:t xml:space="preserve"> ley, e</w:t>
      </w:r>
      <w:r w:rsidR="00762F13" w:rsidRPr="00A156F4">
        <w:rPr>
          <w:rFonts w:ascii="Times New Roman" w:hAnsi="Times New Roman" w:cs="Times New Roman"/>
          <w:color w:val="auto"/>
          <w:sz w:val="22"/>
          <w:szCs w:val="22"/>
          <w:lang w:eastAsia="es-CR"/>
        </w:rPr>
        <w:t>l destinatario de la solicitud deberá aportar la información solicitada dentro de un plazo perentorio de</w:t>
      </w:r>
      <w:r w:rsidR="000D11DF" w:rsidRPr="00A156F4">
        <w:rPr>
          <w:rFonts w:ascii="Times New Roman" w:hAnsi="Times New Roman" w:cs="Times New Roman"/>
          <w:color w:val="auto"/>
          <w:sz w:val="22"/>
          <w:szCs w:val="22"/>
          <w:lang w:eastAsia="es-CR"/>
        </w:rPr>
        <w:t xml:space="preserve"> hasta</w:t>
      </w:r>
      <w:r w:rsidR="00762F13" w:rsidRPr="00A156F4">
        <w:rPr>
          <w:rFonts w:ascii="Times New Roman" w:hAnsi="Times New Roman" w:cs="Times New Roman"/>
          <w:color w:val="auto"/>
          <w:sz w:val="22"/>
          <w:szCs w:val="22"/>
          <w:lang w:eastAsia="es-CR"/>
        </w:rPr>
        <w:t xml:space="preserve"> 1</w:t>
      </w:r>
      <w:r w:rsidR="00225302" w:rsidRPr="00A156F4">
        <w:rPr>
          <w:rFonts w:ascii="Times New Roman" w:hAnsi="Times New Roman" w:cs="Times New Roman"/>
          <w:color w:val="auto"/>
          <w:sz w:val="22"/>
          <w:szCs w:val="22"/>
          <w:lang w:eastAsia="es-CR"/>
        </w:rPr>
        <w:t>5</w:t>
      </w:r>
      <w:r w:rsidR="00762F13" w:rsidRPr="00A156F4">
        <w:rPr>
          <w:rFonts w:ascii="Times New Roman" w:hAnsi="Times New Roman" w:cs="Times New Roman"/>
          <w:color w:val="auto"/>
          <w:sz w:val="22"/>
          <w:szCs w:val="22"/>
          <w:lang w:eastAsia="es-CR"/>
        </w:rPr>
        <w:t xml:space="preserve"> días hábiles, prorrogables a solicitud de parte</w:t>
      </w:r>
      <w:r w:rsidR="000D11DF" w:rsidRPr="00A156F4">
        <w:rPr>
          <w:rFonts w:ascii="Times New Roman" w:hAnsi="Times New Roman" w:cs="Times New Roman"/>
          <w:color w:val="auto"/>
          <w:sz w:val="22"/>
          <w:szCs w:val="22"/>
          <w:lang w:eastAsia="es-CR"/>
        </w:rPr>
        <w:t xml:space="preserve">, </w:t>
      </w:r>
      <w:r w:rsidR="00762F13" w:rsidRPr="00A156F4">
        <w:rPr>
          <w:rFonts w:ascii="Times New Roman" w:hAnsi="Times New Roman" w:cs="Times New Roman"/>
          <w:color w:val="auto"/>
          <w:sz w:val="22"/>
          <w:szCs w:val="22"/>
          <w:lang w:eastAsia="es-CR"/>
        </w:rPr>
        <w:t xml:space="preserve">por una única vez </w:t>
      </w:r>
      <w:r w:rsidR="000D11DF" w:rsidRPr="00A156F4">
        <w:rPr>
          <w:rFonts w:ascii="Times New Roman" w:hAnsi="Times New Roman" w:cs="Times New Roman"/>
          <w:color w:val="auto"/>
          <w:sz w:val="22"/>
          <w:szCs w:val="22"/>
          <w:lang w:eastAsia="es-CR"/>
        </w:rPr>
        <w:t>hasta por el mismo plazo,</w:t>
      </w:r>
      <w:r w:rsidRPr="00A156F4">
        <w:rPr>
          <w:rFonts w:ascii="Times New Roman" w:hAnsi="Times New Roman" w:cs="Times New Roman"/>
          <w:color w:val="auto"/>
          <w:sz w:val="22"/>
          <w:szCs w:val="22"/>
          <w:lang w:eastAsia="es-CR"/>
        </w:rPr>
        <w:t xml:space="preserve"> </w:t>
      </w:r>
      <w:r w:rsidR="00762F13" w:rsidRPr="00A156F4">
        <w:rPr>
          <w:rFonts w:ascii="Times New Roman" w:hAnsi="Times New Roman" w:cs="Times New Roman"/>
          <w:color w:val="auto"/>
          <w:sz w:val="22"/>
          <w:szCs w:val="22"/>
          <w:lang w:eastAsia="es-CR"/>
        </w:rPr>
        <w:t xml:space="preserve">cuando así lo amerite la complejidad o volumen de la información solicitada. La información suministrada tendrá el valor de una declaración jurada. </w:t>
      </w:r>
    </w:p>
    <w:p w14:paraId="3F35C1B5" w14:textId="77777777" w:rsidR="00762F13" w:rsidRPr="00A156F4" w:rsidRDefault="00762F13" w:rsidP="00762F13">
      <w:pPr>
        <w:pStyle w:val="Default"/>
        <w:widowControl w:val="0"/>
        <w:jc w:val="both"/>
        <w:rPr>
          <w:rFonts w:ascii="Times New Roman" w:hAnsi="Times New Roman" w:cs="Times New Roman"/>
          <w:color w:val="auto"/>
          <w:sz w:val="22"/>
          <w:szCs w:val="22"/>
          <w:lang w:eastAsia="es-CR"/>
        </w:rPr>
      </w:pPr>
    </w:p>
    <w:p w14:paraId="0C551E64" w14:textId="1297F82E" w:rsidR="00762F13" w:rsidRPr="00A156F4" w:rsidRDefault="00762F13" w:rsidP="00762F13">
      <w:pPr>
        <w:pStyle w:val="Default"/>
        <w:widowControl w:val="0"/>
        <w:jc w:val="both"/>
        <w:rPr>
          <w:rFonts w:ascii="Times New Roman" w:hAnsi="Times New Roman" w:cs="Times New Roman"/>
          <w:color w:val="auto"/>
          <w:sz w:val="22"/>
          <w:szCs w:val="22"/>
          <w:lang w:eastAsia="es-CR"/>
        </w:rPr>
      </w:pPr>
      <w:r w:rsidRPr="00A156F4">
        <w:rPr>
          <w:rFonts w:ascii="Times New Roman" w:hAnsi="Times New Roman" w:cs="Times New Roman"/>
          <w:color w:val="auto"/>
          <w:sz w:val="22"/>
          <w:szCs w:val="22"/>
          <w:lang w:eastAsia="es-CR"/>
        </w:rPr>
        <w:t xml:space="preserve">El Órgano </w:t>
      </w:r>
      <w:r w:rsidR="005D49A9" w:rsidRPr="00A156F4">
        <w:rPr>
          <w:rFonts w:ascii="Times New Roman" w:hAnsi="Times New Roman" w:cs="Times New Roman"/>
          <w:color w:val="auto"/>
          <w:sz w:val="22"/>
          <w:szCs w:val="22"/>
          <w:lang w:eastAsia="es-CR"/>
        </w:rPr>
        <w:t>correspondiente</w:t>
      </w:r>
      <w:r w:rsidR="00D357CF" w:rsidRPr="00A156F4">
        <w:rPr>
          <w:rFonts w:ascii="Times New Roman" w:hAnsi="Times New Roman" w:cs="Times New Roman"/>
          <w:color w:val="auto"/>
          <w:sz w:val="22"/>
          <w:szCs w:val="22"/>
          <w:lang w:eastAsia="es-CR"/>
        </w:rPr>
        <w:t>, según la fase en la que se encuentre el proceso</w:t>
      </w:r>
      <w:r w:rsidRPr="00A156F4">
        <w:rPr>
          <w:rFonts w:ascii="Times New Roman" w:hAnsi="Times New Roman" w:cs="Times New Roman"/>
          <w:color w:val="auto"/>
          <w:sz w:val="22"/>
          <w:szCs w:val="22"/>
          <w:lang w:eastAsia="es-CR"/>
        </w:rPr>
        <w:t xml:space="preserve"> resolverá</w:t>
      </w:r>
      <w:r w:rsidR="00D870CF" w:rsidRPr="00A156F4">
        <w:rPr>
          <w:rFonts w:ascii="Times New Roman" w:hAnsi="Times New Roman" w:cs="Times New Roman"/>
          <w:color w:val="auto"/>
          <w:sz w:val="22"/>
          <w:szCs w:val="22"/>
          <w:lang w:eastAsia="es-CR"/>
        </w:rPr>
        <w:t>,</w:t>
      </w:r>
      <w:r w:rsidR="00D357CF" w:rsidRPr="00A156F4">
        <w:rPr>
          <w:rFonts w:ascii="Times New Roman" w:hAnsi="Times New Roman" w:cs="Times New Roman"/>
          <w:color w:val="auto"/>
          <w:sz w:val="22"/>
          <w:szCs w:val="22"/>
          <w:lang w:eastAsia="es-CR"/>
        </w:rPr>
        <w:t xml:space="preserve"> d</w:t>
      </w:r>
      <w:r w:rsidRPr="00A156F4">
        <w:rPr>
          <w:rFonts w:ascii="Times New Roman" w:hAnsi="Times New Roman" w:cs="Times New Roman"/>
          <w:color w:val="auto"/>
          <w:sz w:val="22"/>
          <w:szCs w:val="22"/>
          <w:lang w:eastAsia="es-CR"/>
        </w:rPr>
        <w:t xml:space="preserve">e oficio o a petición de parte, </w:t>
      </w:r>
      <w:r w:rsidRPr="00A156F4">
        <w:rPr>
          <w:rFonts w:ascii="Times New Roman" w:hAnsi="Times New Roman" w:cs="Times New Roman"/>
          <w:sz w:val="22"/>
          <w:szCs w:val="22"/>
        </w:rPr>
        <w:t>sobre el carácter confidencial o público de la información proporcionada dentro de los procedimientos que se desarrollen; comunicar</w:t>
      </w:r>
      <w:r w:rsidR="00D870CF" w:rsidRPr="00A156F4">
        <w:rPr>
          <w:rFonts w:ascii="Times New Roman" w:hAnsi="Times New Roman" w:cs="Times New Roman"/>
          <w:sz w:val="22"/>
          <w:szCs w:val="22"/>
        </w:rPr>
        <w:t>á</w:t>
      </w:r>
      <w:r w:rsidRPr="00A156F4">
        <w:rPr>
          <w:rFonts w:ascii="Times New Roman" w:hAnsi="Times New Roman" w:cs="Times New Roman"/>
          <w:sz w:val="22"/>
          <w:szCs w:val="22"/>
        </w:rPr>
        <w:t xml:space="preserve"> sobre dicha resolución a las partes y proteger</w:t>
      </w:r>
      <w:r w:rsidR="00D870CF" w:rsidRPr="00A156F4">
        <w:rPr>
          <w:rFonts w:ascii="Times New Roman" w:hAnsi="Times New Roman" w:cs="Times New Roman"/>
          <w:sz w:val="22"/>
          <w:szCs w:val="22"/>
        </w:rPr>
        <w:t>á</w:t>
      </w:r>
      <w:r w:rsidRPr="00A156F4">
        <w:rPr>
          <w:rFonts w:ascii="Times New Roman" w:hAnsi="Times New Roman" w:cs="Times New Roman"/>
          <w:sz w:val="22"/>
          <w:szCs w:val="22"/>
        </w:rPr>
        <w:t xml:space="preserve"> la confidencialidad de esta información.</w:t>
      </w:r>
      <w:r w:rsidRPr="00A156F4">
        <w:rPr>
          <w:rFonts w:ascii="Times New Roman" w:hAnsi="Times New Roman" w:cs="Times New Roman"/>
          <w:sz w:val="22"/>
          <w:szCs w:val="22"/>
          <w:lang w:eastAsia="es-CR"/>
        </w:rPr>
        <w:t xml:space="preserve"> </w:t>
      </w:r>
    </w:p>
    <w:p w14:paraId="387B8971" w14:textId="77777777" w:rsidR="00762F13" w:rsidRPr="00A156F4" w:rsidRDefault="00762F13" w:rsidP="00762F13">
      <w:pPr>
        <w:rPr>
          <w:rFonts w:eastAsia="Times New Roman"/>
          <w:b/>
          <w:sz w:val="22"/>
          <w:szCs w:val="22"/>
          <w:lang w:val="es-CR" w:eastAsia="en-US"/>
        </w:rPr>
      </w:pPr>
    </w:p>
    <w:p w14:paraId="765486D8" w14:textId="79B19407"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eastAsia="en-US"/>
        </w:rPr>
        <w:t>1</w:t>
      </w:r>
      <w:r w:rsidR="008F41AB" w:rsidRPr="00A156F4">
        <w:rPr>
          <w:rFonts w:ascii="Times New Roman" w:eastAsia="Times New Roman" w:hAnsi="Times New Roman" w:cs="Times New Roman"/>
          <w:b/>
          <w:i w:val="0"/>
          <w:iCs w:val="0"/>
          <w:color w:val="auto"/>
          <w:sz w:val="22"/>
          <w:szCs w:val="22"/>
          <w:lang w:eastAsia="en-US"/>
        </w:rPr>
        <w:t>1</w:t>
      </w:r>
      <w:r w:rsidR="00D80091" w:rsidRPr="00A156F4">
        <w:rPr>
          <w:rFonts w:ascii="Times New Roman" w:eastAsia="Times New Roman" w:hAnsi="Times New Roman" w:cs="Times New Roman"/>
          <w:b/>
          <w:i w:val="0"/>
          <w:iCs w:val="0"/>
          <w:color w:val="auto"/>
          <w:sz w:val="22"/>
          <w:szCs w:val="22"/>
          <w:lang w:eastAsia="en-US"/>
        </w:rPr>
        <w:t>2</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Deberes de colaboración e información</w:t>
      </w:r>
    </w:p>
    <w:p w14:paraId="23C601A9" w14:textId="77777777" w:rsidR="00762F13" w:rsidRPr="00A156F4" w:rsidRDefault="00762F13" w:rsidP="00762F13">
      <w:pPr>
        <w:rPr>
          <w:sz w:val="22"/>
          <w:szCs w:val="22"/>
          <w:lang w:val="es-CR" w:eastAsia="en-US"/>
        </w:rPr>
      </w:pPr>
    </w:p>
    <w:p w14:paraId="7E3A672A" w14:textId="2982932F" w:rsidR="00762F13" w:rsidRPr="00A156F4" w:rsidRDefault="00611190" w:rsidP="00762F13">
      <w:pPr>
        <w:widowControl w:val="0"/>
        <w:jc w:val="both"/>
        <w:textAlignment w:val="center"/>
        <w:rPr>
          <w:sz w:val="22"/>
          <w:szCs w:val="22"/>
        </w:rPr>
      </w:pPr>
      <w:r w:rsidRPr="00A156F4">
        <w:rPr>
          <w:sz w:val="22"/>
          <w:szCs w:val="22"/>
          <w:lang w:eastAsia="es-CR"/>
        </w:rPr>
        <w:t xml:space="preserve">Salvo disposición expresa en contrario en </w:t>
      </w:r>
      <w:r w:rsidR="00700641">
        <w:rPr>
          <w:sz w:val="22"/>
          <w:szCs w:val="22"/>
          <w:lang w:eastAsia="es-CR"/>
        </w:rPr>
        <w:t>la presente</w:t>
      </w:r>
      <w:r w:rsidRPr="00A156F4">
        <w:rPr>
          <w:sz w:val="22"/>
          <w:szCs w:val="22"/>
          <w:lang w:eastAsia="es-CR"/>
        </w:rPr>
        <w:t xml:space="preserve"> ley, </w:t>
      </w:r>
      <w:r w:rsidRPr="00A156F4">
        <w:rPr>
          <w:sz w:val="22"/>
          <w:szCs w:val="22"/>
        </w:rPr>
        <w:t>t</w:t>
      </w:r>
      <w:r w:rsidR="00762F13" w:rsidRPr="00A156F4">
        <w:rPr>
          <w:sz w:val="22"/>
          <w:szCs w:val="22"/>
        </w:rPr>
        <w:t xml:space="preserve">odas las </w:t>
      </w:r>
      <w:r w:rsidR="00687FFE" w:rsidRPr="00A156F4">
        <w:rPr>
          <w:sz w:val="22"/>
          <w:szCs w:val="22"/>
        </w:rPr>
        <w:t>entidades</w:t>
      </w:r>
      <w:r w:rsidR="00762F13" w:rsidRPr="00A156F4">
        <w:rPr>
          <w:sz w:val="22"/>
          <w:szCs w:val="22"/>
        </w:rPr>
        <w:t xml:space="preserve"> públicas deberán colaborar con</w:t>
      </w:r>
      <w:r w:rsidR="00762F13" w:rsidRPr="00A156F4">
        <w:rPr>
          <w:sz w:val="22"/>
          <w:szCs w:val="22"/>
          <w:lang w:eastAsia="es-CR"/>
        </w:rPr>
        <w:t xml:space="preserve"> </w:t>
      </w:r>
      <w:r w:rsidR="00762F13" w:rsidRPr="00A156F4">
        <w:rPr>
          <w:sz w:val="22"/>
          <w:szCs w:val="22"/>
          <w:lang w:val="es-ES"/>
        </w:rPr>
        <w:t>la autoridad de competencia correspondiente</w:t>
      </w:r>
      <w:r w:rsidR="00762F13" w:rsidRPr="00A156F4">
        <w:rPr>
          <w:sz w:val="22"/>
          <w:szCs w:val="22"/>
          <w:lang w:eastAsia="es-CR"/>
        </w:rPr>
        <w:t xml:space="preserve">, aportando la información y documentos que les </w:t>
      </w:r>
      <w:r w:rsidR="00CE1EB7" w:rsidRPr="00A156F4">
        <w:rPr>
          <w:sz w:val="22"/>
          <w:szCs w:val="22"/>
          <w:lang w:eastAsia="es-CR"/>
        </w:rPr>
        <w:t xml:space="preserve">sean </w:t>
      </w:r>
      <w:r w:rsidR="00762F13" w:rsidRPr="00A156F4">
        <w:rPr>
          <w:sz w:val="22"/>
          <w:szCs w:val="22"/>
          <w:lang w:eastAsia="es-CR"/>
        </w:rPr>
        <w:t>solicit</w:t>
      </w:r>
      <w:r w:rsidR="00CE1EB7" w:rsidRPr="00A156F4">
        <w:rPr>
          <w:sz w:val="22"/>
          <w:szCs w:val="22"/>
          <w:lang w:eastAsia="es-CR"/>
        </w:rPr>
        <w:t>ados</w:t>
      </w:r>
      <w:r w:rsidR="00762F13" w:rsidRPr="00A156F4">
        <w:rPr>
          <w:sz w:val="22"/>
          <w:szCs w:val="22"/>
          <w:lang w:eastAsia="es-CR"/>
        </w:rPr>
        <w:t xml:space="preserve"> dentro del plazo conferido, </w:t>
      </w:r>
      <w:r w:rsidR="00CE1EB7" w:rsidRPr="00A156F4">
        <w:rPr>
          <w:sz w:val="22"/>
          <w:szCs w:val="22"/>
          <w:lang w:eastAsia="es-CR"/>
        </w:rPr>
        <w:t>que</w:t>
      </w:r>
      <w:r w:rsidR="00762F13" w:rsidRPr="00A156F4">
        <w:rPr>
          <w:sz w:val="22"/>
          <w:szCs w:val="22"/>
          <w:lang w:eastAsia="es-CR"/>
        </w:rPr>
        <w:t xml:space="preserve"> no podrá ser </w:t>
      </w:r>
      <w:r w:rsidR="00762F13" w:rsidRPr="00A156F4">
        <w:rPr>
          <w:sz w:val="22"/>
          <w:szCs w:val="22"/>
        </w:rPr>
        <w:t>mayor a 1</w:t>
      </w:r>
      <w:r w:rsidR="00B022D0" w:rsidRPr="00A156F4">
        <w:rPr>
          <w:sz w:val="22"/>
          <w:szCs w:val="22"/>
        </w:rPr>
        <w:t>5</w:t>
      </w:r>
      <w:r w:rsidR="00762F13" w:rsidRPr="00A156F4">
        <w:rPr>
          <w:sz w:val="22"/>
          <w:szCs w:val="22"/>
        </w:rPr>
        <w:t xml:space="preserve"> días hábiles. </w:t>
      </w:r>
      <w:r w:rsidR="00CE1EB7" w:rsidRPr="00A156F4">
        <w:rPr>
          <w:sz w:val="22"/>
          <w:szCs w:val="22"/>
        </w:rPr>
        <w:t xml:space="preserve">Dicho plazo podrá prorrogarse por </w:t>
      </w:r>
      <w:r w:rsidRPr="00A156F4">
        <w:rPr>
          <w:sz w:val="22"/>
          <w:szCs w:val="22"/>
          <w:lang w:eastAsia="es-CR"/>
        </w:rPr>
        <w:t>una única vez</w:t>
      </w:r>
      <w:r w:rsidR="00CE1EB7" w:rsidRPr="00A156F4">
        <w:rPr>
          <w:sz w:val="22"/>
          <w:szCs w:val="22"/>
          <w:lang w:eastAsia="es-CR"/>
        </w:rPr>
        <w:t>, a solicitud de parte,</w:t>
      </w:r>
      <w:r w:rsidRPr="00A156F4">
        <w:rPr>
          <w:sz w:val="22"/>
          <w:szCs w:val="22"/>
          <w:lang w:eastAsia="es-CR"/>
        </w:rPr>
        <w:t xml:space="preserve"> hasta por el mismo plazo</w:t>
      </w:r>
      <w:r w:rsidR="00CE1EB7" w:rsidRPr="00A156F4">
        <w:rPr>
          <w:sz w:val="22"/>
          <w:szCs w:val="22"/>
          <w:lang w:eastAsia="es-CR"/>
        </w:rPr>
        <w:t>;</w:t>
      </w:r>
      <w:r w:rsidRPr="00A156F4">
        <w:rPr>
          <w:sz w:val="22"/>
          <w:szCs w:val="22"/>
          <w:lang w:eastAsia="es-CR"/>
        </w:rPr>
        <w:t xml:space="preserve"> cuando así lo amerite la complejidad o volumen de la información solicitada. </w:t>
      </w:r>
      <w:r w:rsidR="00762F13" w:rsidRPr="00A156F4">
        <w:rPr>
          <w:sz w:val="22"/>
          <w:szCs w:val="22"/>
        </w:rPr>
        <w:t xml:space="preserve"> </w:t>
      </w:r>
    </w:p>
    <w:p w14:paraId="2194ADFF" w14:textId="77777777" w:rsidR="00762F13" w:rsidRPr="00A156F4" w:rsidRDefault="00762F13" w:rsidP="00762F13">
      <w:pPr>
        <w:widowControl w:val="0"/>
        <w:jc w:val="both"/>
        <w:textAlignment w:val="center"/>
        <w:rPr>
          <w:sz w:val="22"/>
          <w:szCs w:val="22"/>
        </w:rPr>
      </w:pPr>
    </w:p>
    <w:p w14:paraId="5FE3CD4D" w14:textId="77777777" w:rsidR="00762F13" w:rsidRPr="00A156F4" w:rsidRDefault="00762F13" w:rsidP="00762F13">
      <w:pPr>
        <w:widowControl w:val="0"/>
        <w:jc w:val="both"/>
        <w:textAlignment w:val="center"/>
        <w:rPr>
          <w:sz w:val="22"/>
          <w:szCs w:val="22"/>
        </w:rPr>
      </w:pPr>
      <w:r w:rsidRPr="00A156F4">
        <w:rPr>
          <w:sz w:val="22"/>
          <w:szCs w:val="22"/>
        </w:rPr>
        <w:t xml:space="preserve">Aquellas entidades públicas que dispongan de sistemas de información digital, cuyo contenido sea relevante para </w:t>
      </w:r>
      <w:r w:rsidRPr="00A156F4">
        <w:rPr>
          <w:sz w:val="22"/>
          <w:szCs w:val="22"/>
          <w:lang w:eastAsia="es-CR"/>
        </w:rPr>
        <w:t>las autoridades de competencia</w:t>
      </w:r>
      <w:r w:rsidRPr="00A156F4">
        <w:rPr>
          <w:sz w:val="22"/>
          <w:szCs w:val="22"/>
        </w:rPr>
        <w:t>, deberán poner a su disposición el acceso digital para su consulta, sin costo alguno para las autoridades de competencia.</w:t>
      </w:r>
    </w:p>
    <w:p w14:paraId="0DA18CED" w14:textId="26FCC201" w:rsidR="00CE1EB7" w:rsidRPr="00A156F4" w:rsidRDefault="00CE1EB7" w:rsidP="00762F13">
      <w:pPr>
        <w:widowControl w:val="0"/>
        <w:jc w:val="both"/>
        <w:textAlignment w:val="center"/>
        <w:rPr>
          <w:sz w:val="22"/>
          <w:szCs w:val="22"/>
        </w:rPr>
      </w:pPr>
    </w:p>
    <w:p w14:paraId="7FC068C5" w14:textId="349EADF6" w:rsidR="00762F13" w:rsidRPr="00A156F4" w:rsidRDefault="00762F13" w:rsidP="00762F13">
      <w:pPr>
        <w:widowControl w:val="0"/>
        <w:jc w:val="both"/>
        <w:textAlignment w:val="center"/>
        <w:rPr>
          <w:sz w:val="22"/>
          <w:szCs w:val="22"/>
        </w:rPr>
      </w:pPr>
      <w:r w:rsidRPr="00A156F4">
        <w:rPr>
          <w:sz w:val="22"/>
          <w:szCs w:val="22"/>
        </w:rPr>
        <w:t>En caso de que</w:t>
      </w:r>
      <w:r w:rsidR="00CE1EB7" w:rsidRPr="00A156F4">
        <w:rPr>
          <w:sz w:val="22"/>
          <w:szCs w:val="22"/>
        </w:rPr>
        <w:t xml:space="preserve"> la información proporcionada sea clasificada como confidencial por parte de quienes la provean, la autoridad de competencia correspondiente deberá tomar las medidas necesarias para asegurar su adecuada protección.</w:t>
      </w:r>
      <w:r w:rsidRPr="00A156F4">
        <w:rPr>
          <w:sz w:val="22"/>
          <w:szCs w:val="22"/>
        </w:rPr>
        <w:t xml:space="preserve"> </w:t>
      </w:r>
    </w:p>
    <w:p w14:paraId="13804EBF" w14:textId="7ED150CE" w:rsidR="00A8671B" w:rsidRPr="00A156F4" w:rsidRDefault="00A8671B" w:rsidP="00762F13">
      <w:pPr>
        <w:jc w:val="both"/>
        <w:rPr>
          <w:sz w:val="22"/>
          <w:szCs w:val="22"/>
        </w:rPr>
      </w:pPr>
    </w:p>
    <w:p w14:paraId="3F15DAF5" w14:textId="77777777" w:rsidR="005F7DB9" w:rsidRPr="00A156F4" w:rsidRDefault="005F7DB9" w:rsidP="00762F13">
      <w:pPr>
        <w:jc w:val="both"/>
        <w:rPr>
          <w:sz w:val="22"/>
          <w:szCs w:val="22"/>
        </w:rPr>
      </w:pPr>
    </w:p>
    <w:p w14:paraId="3C59AE8F" w14:textId="69809F85" w:rsidR="00762F13" w:rsidRPr="00A156F4" w:rsidRDefault="00762F13" w:rsidP="00762F13">
      <w:pPr>
        <w:pStyle w:val="Ttulo2"/>
        <w:keepNext w:val="0"/>
        <w:keepLines w:val="0"/>
        <w:spacing w:before="0"/>
        <w:contextualSpacing/>
        <w:jc w:val="center"/>
        <w:rPr>
          <w:rFonts w:ascii="Times New Roman" w:eastAsia="Times New Roman" w:hAnsi="Times New Roman" w:cs="Times New Roman"/>
          <w:b/>
          <w:color w:val="auto"/>
          <w:sz w:val="22"/>
          <w:szCs w:val="22"/>
          <w:lang w:val="es-CR" w:eastAsia="en-US"/>
        </w:rPr>
      </w:pPr>
      <w:bookmarkStart w:id="40" w:name="_Hlk523045603"/>
      <w:r w:rsidRPr="00A156F4">
        <w:rPr>
          <w:rFonts w:ascii="Times New Roman" w:eastAsia="Times New Roman" w:hAnsi="Times New Roman" w:cs="Times New Roman"/>
          <w:b/>
          <w:color w:val="auto"/>
          <w:sz w:val="22"/>
          <w:szCs w:val="22"/>
          <w:lang w:val="es-CR" w:eastAsia="en-US"/>
        </w:rPr>
        <w:t>CAPÍTULO VII</w:t>
      </w:r>
    </w:p>
    <w:p w14:paraId="06749DD1" w14:textId="53554F4C" w:rsidR="00E85B84" w:rsidRPr="00A156F4" w:rsidRDefault="00E85B84" w:rsidP="00E85B84">
      <w:pPr>
        <w:jc w:val="center"/>
        <w:rPr>
          <w:b/>
          <w:sz w:val="22"/>
          <w:szCs w:val="22"/>
          <w:lang w:val="es-CR" w:eastAsia="en-US"/>
        </w:rPr>
      </w:pPr>
      <w:r w:rsidRPr="00A156F4">
        <w:rPr>
          <w:b/>
          <w:sz w:val="22"/>
          <w:szCs w:val="22"/>
          <w:lang w:val="es-CR" w:eastAsia="en-US"/>
        </w:rPr>
        <w:t>Infracciones</w:t>
      </w:r>
    </w:p>
    <w:p w14:paraId="01C3921A" w14:textId="77777777" w:rsidR="00E85B84" w:rsidRPr="00A156F4" w:rsidRDefault="00E85B84" w:rsidP="00E85B84">
      <w:pPr>
        <w:jc w:val="center"/>
        <w:rPr>
          <w:sz w:val="22"/>
          <w:szCs w:val="22"/>
          <w:lang w:val="es-CR" w:eastAsia="en-US"/>
        </w:rPr>
      </w:pPr>
    </w:p>
    <w:p w14:paraId="4F67560E" w14:textId="30520960" w:rsidR="00E85B84" w:rsidRPr="00A156F4" w:rsidRDefault="00E85B84" w:rsidP="00E85B84">
      <w:pPr>
        <w:jc w:val="center"/>
        <w:rPr>
          <w:b/>
          <w:sz w:val="22"/>
          <w:szCs w:val="22"/>
          <w:lang w:val="es-CR" w:eastAsia="en-US"/>
        </w:rPr>
      </w:pPr>
      <w:r w:rsidRPr="00A156F4">
        <w:rPr>
          <w:b/>
          <w:sz w:val="22"/>
          <w:szCs w:val="22"/>
          <w:lang w:val="es-CR" w:eastAsia="en-US"/>
        </w:rPr>
        <w:t>Sección I</w:t>
      </w:r>
    </w:p>
    <w:p w14:paraId="1C7011A8" w14:textId="667BFB1F" w:rsidR="00E85B84" w:rsidRPr="00A156F4" w:rsidRDefault="00762F13" w:rsidP="00E85B84">
      <w:pPr>
        <w:pStyle w:val="Ttulo2"/>
        <w:spacing w:before="0"/>
        <w:jc w:val="center"/>
        <w:rPr>
          <w:rFonts w:ascii="Times New Roman" w:eastAsia="Times New Roman" w:hAnsi="Times New Roman" w:cs="Times New Roman"/>
          <w:b/>
          <w:color w:val="auto"/>
          <w:sz w:val="22"/>
          <w:szCs w:val="22"/>
          <w:lang w:val="es-CR" w:eastAsia="en-US"/>
        </w:rPr>
      </w:pPr>
      <w:r w:rsidRPr="00A156F4">
        <w:rPr>
          <w:rFonts w:ascii="Times New Roman" w:eastAsia="Times New Roman" w:hAnsi="Times New Roman" w:cs="Times New Roman"/>
          <w:b/>
          <w:color w:val="auto"/>
          <w:sz w:val="22"/>
          <w:szCs w:val="22"/>
          <w:lang w:val="es-CR" w:eastAsia="en-US"/>
        </w:rPr>
        <w:t>Infracciones y Sanciones</w:t>
      </w:r>
    </w:p>
    <w:bookmarkEnd w:id="40"/>
    <w:p w14:paraId="74AFBB15" w14:textId="447DC70A" w:rsidR="00762F13" w:rsidRPr="00A156F4" w:rsidRDefault="00762F13" w:rsidP="00762F13">
      <w:pPr>
        <w:rPr>
          <w:sz w:val="22"/>
          <w:szCs w:val="22"/>
          <w:lang w:val="es-ES" w:eastAsia="es-CR"/>
        </w:rPr>
      </w:pPr>
    </w:p>
    <w:p w14:paraId="2849A2E6" w14:textId="77777777" w:rsidR="005F7DB9" w:rsidRPr="00A156F4" w:rsidRDefault="005F7DB9" w:rsidP="00762F13">
      <w:pPr>
        <w:rPr>
          <w:sz w:val="22"/>
          <w:szCs w:val="22"/>
          <w:lang w:val="es-ES" w:eastAsia="es-CR"/>
        </w:rPr>
      </w:pPr>
    </w:p>
    <w:p w14:paraId="14A8FF54" w14:textId="16CB8C00"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1</w:t>
      </w:r>
      <w:r w:rsidR="00701AF7" w:rsidRPr="00A156F4">
        <w:rPr>
          <w:rFonts w:ascii="Times New Roman" w:eastAsia="Times New Roman" w:hAnsi="Times New Roman" w:cs="Times New Roman"/>
          <w:b/>
          <w:i w:val="0"/>
          <w:iCs w:val="0"/>
          <w:color w:val="auto"/>
          <w:sz w:val="22"/>
          <w:szCs w:val="22"/>
          <w:lang w:val="es-CR" w:eastAsia="en-US"/>
        </w:rPr>
        <w:t>1</w:t>
      </w:r>
      <w:r w:rsidR="00D80091" w:rsidRPr="00A156F4">
        <w:rPr>
          <w:rFonts w:ascii="Times New Roman" w:eastAsia="Times New Roman" w:hAnsi="Times New Roman" w:cs="Times New Roman"/>
          <w:b/>
          <w:i w:val="0"/>
          <w:iCs w:val="0"/>
          <w:color w:val="auto"/>
          <w:sz w:val="22"/>
          <w:szCs w:val="22"/>
          <w:lang w:val="es-CR" w:eastAsia="en-US"/>
        </w:rPr>
        <w:t>3</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Regla de minimis</w:t>
      </w:r>
    </w:p>
    <w:p w14:paraId="3258062B" w14:textId="77777777" w:rsidR="00762F13" w:rsidRPr="00A156F4" w:rsidRDefault="00762F13" w:rsidP="00762F13">
      <w:pPr>
        <w:rPr>
          <w:sz w:val="22"/>
          <w:szCs w:val="22"/>
          <w:lang w:val="es-CR" w:eastAsia="en-US"/>
        </w:rPr>
      </w:pPr>
    </w:p>
    <w:p w14:paraId="75F1727D" w14:textId="25D69B05" w:rsidR="00762F13" w:rsidRPr="00A156F4" w:rsidRDefault="00B4150E" w:rsidP="00762F13">
      <w:pPr>
        <w:widowControl w:val="0"/>
        <w:jc w:val="both"/>
        <w:rPr>
          <w:sz w:val="22"/>
          <w:szCs w:val="22"/>
        </w:rPr>
      </w:pPr>
      <w:r w:rsidRPr="00A156F4">
        <w:rPr>
          <w:sz w:val="22"/>
          <w:szCs w:val="22"/>
        </w:rPr>
        <w:t>No serán punibles las prácticas monopolísticas realizadas por agentes económicos</w:t>
      </w:r>
      <w:r w:rsidR="00F742D5" w:rsidRPr="00A156F4">
        <w:rPr>
          <w:sz w:val="22"/>
          <w:szCs w:val="22"/>
        </w:rPr>
        <w:t>,</w:t>
      </w:r>
      <w:r w:rsidRPr="00A156F4">
        <w:rPr>
          <w:sz w:val="22"/>
          <w:szCs w:val="22"/>
        </w:rPr>
        <w:t xml:space="preserve"> que conjuntamente representen una participación de mercado menor al cinco por ciento del mercado relevante afectado por la conducta. </w:t>
      </w:r>
    </w:p>
    <w:p w14:paraId="4AC22191" w14:textId="77777777" w:rsidR="00762F13" w:rsidRPr="00A156F4" w:rsidRDefault="00762F13" w:rsidP="00762F13">
      <w:pPr>
        <w:widowControl w:val="0"/>
        <w:jc w:val="both"/>
        <w:rPr>
          <w:sz w:val="22"/>
          <w:szCs w:val="22"/>
        </w:rPr>
      </w:pPr>
    </w:p>
    <w:p w14:paraId="148E90C5" w14:textId="7297A030"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hAnsi="Times New Roman" w:cs="Times New Roman"/>
          <w:b/>
          <w:bCs/>
          <w:i w:val="0"/>
          <w:color w:val="auto"/>
          <w:sz w:val="22"/>
          <w:szCs w:val="22"/>
        </w:rPr>
        <w:t>1</w:t>
      </w:r>
      <w:r w:rsidR="00701AF7" w:rsidRPr="00A156F4">
        <w:rPr>
          <w:rFonts w:ascii="Times New Roman" w:hAnsi="Times New Roman" w:cs="Times New Roman"/>
          <w:b/>
          <w:bCs/>
          <w:i w:val="0"/>
          <w:color w:val="auto"/>
          <w:sz w:val="22"/>
          <w:szCs w:val="22"/>
        </w:rPr>
        <w:t>1</w:t>
      </w:r>
      <w:r w:rsidR="00D80091" w:rsidRPr="00A156F4">
        <w:rPr>
          <w:rFonts w:ascii="Times New Roman" w:hAnsi="Times New Roman" w:cs="Times New Roman"/>
          <w:b/>
          <w:bCs/>
          <w:i w:val="0"/>
          <w:color w:val="auto"/>
          <w:sz w:val="22"/>
          <w:szCs w:val="22"/>
        </w:rPr>
        <w:t>4</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Infracciones</w:t>
      </w:r>
    </w:p>
    <w:p w14:paraId="3C5487EB" w14:textId="77777777" w:rsidR="00762F13" w:rsidRPr="00A156F4" w:rsidRDefault="00762F13" w:rsidP="00762F13">
      <w:pPr>
        <w:widowControl w:val="0"/>
        <w:jc w:val="both"/>
        <w:outlineLvl w:val="0"/>
        <w:rPr>
          <w:sz w:val="22"/>
          <w:szCs w:val="22"/>
          <w:lang w:val="es-ES"/>
        </w:rPr>
      </w:pPr>
    </w:p>
    <w:p w14:paraId="11EF1E9C" w14:textId="56434226" w:rsidR="00762F13" w:rsidRPr="00A156F4" w:rsidRDefault="00762F13" w:rsidP="00762F13">
      <w:pPr>
        <w:widowControl w:val="0"/>
        <w:jc w:val="both"/>
        <w:outlineLvl w:val="0"/>
        <w:rPr>
          <w:sz w:val="22"/>
          <w:szCs w:val="22"/>
        </w:rPr>
      </w:pPr>
      <w:r w:rsidRPr="00A156F4">
        <w:rPr>
          <w:sz w:val="22"/>
          <w:szCs w:val="22"/>
          <w:lang w:val="es-ES"/>
        </w:rPr>
        <w:t xml:space="preserve">Las </w:t>
      </w:r>
      <w:r w:rsidRPr="00A156F4">
        <w:rPr>
          <w:sz w:val="22"/>
          <w:szCs w:val="22"/>
        </w:rPr>
        <w:t>infracciones establecidas en la presente ley se clasifican en leves, graves y muy graves.</w:t>
      </w:r>
    </w:p>
    <w:p w14:paraId="1D761127" w14:textId="77777777" w:rsidR="00762F13" w:rsidRPr="00A156F4" w:rsidRDefault="00762F13" w:rsidP="00762F13">
      <w:pPr>
        <w:widowControl w:val="0"/>
        <w:jc w:val="both"/>
        <w:outlineLvl w:val="0"/>
        <w:rPr>
          <w:sz w:val="22"/>
          <w:szCs w:val="22"/>
        </w:rPr>
      </w:pPr>
    </w:p>
    <w:p w14:paraId="557CCDC6" w14:textId="37365D0F"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imes New Roman" w:hAnsi="Times New Roman" w:cs="Times New Roman"/>
          <w:b/>
          <w:i w:val="0"/>
          <w:iCs w:val="0"/>
          <w:color w:val="auto"/>
          <w:sz w:val="22"/>
          <w:szCs w:val="22"/>
          <w:lang w:val="es-CR" w:eastAsia="en-US"/>
        </w:rPr>
        <w:t>Artículo 1</w:t>
      </w:r>
      <w:r w:rsidR="00701AF7" w:rsidRPr="00A156F4">
        <w:rPr>
          <w:rFonts w:ascii="Times New Roman" w:eastAsia="Times New Roman" w:hAnsi="Times New Roman" w:cs="Times New Roman"/>
          <w:b/>
          <w:i w:val="0"/>
          <w:iCs w:val="0"/>
          <w:color w:val="auto"/>
          <w:sz w:val="22"/>
          <w:szCs w:val="22"/>
          <w:lang w:val="es-CR" w:eastAsia="en-US"/>
        </w:rPr>
        <w:t>1</w:t>
      </w:r>
      <w:r w:rsidR="00D80091" w:rsidRPr="00A156F4">
        <w:rPr>
          <w:rFonts w:ascii="Times New Roman" w:eastAsia="Times New Roman" w:hAnsi="Times New Roman" w:cs="Times New Roman"/>
          <w:b/>
          <w:i w:val="0"/>
          <w:iCs w:val="0"/>
          <w:color w:val="auto"/>
          <w:sz w:val="22"/>
          <w:szCs w:val="22"/>
          <w:lang w:val="es-CR" w:eastAsia="en-US"/>
        </w:rPr>
        <w:t>5</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Infracciones leves</w:t>
      </w:r>
    </w:p>
    <w:p w14:paraId="2FEEFF25" w14:textId="77777777" w:rsidR="00762F13" w:rsidRPr="00A156F4" w:rsidRDefault="00762F13" w:rsidP="00762F13">
      <w:pPr>
        <w:rPr>
          <w:sz w:val="22"/>
          <w:szCs w:val="22"/>
          <w:lang w:val="es-CR" w:eastAsia="en-US"/>
        </w:rPr>
      </w:pPr>
    </w:p>
    <w:p w14:paraId="7EBEFC97" w14:textId="77777777" w:rsidR="00762F13" w:rsidRPr="00A156F4" w:rsidRDefault="00762F13" w:rsidP="00762F13">
      <w:pPr>
        <w:pStyle w:val="Ttulo4"/>
        <w:keepNext w:val="0"/>
        <w:keepLines w:val="0"/>
        <w:spacing w:before="0"/>
        <w:contextualSpacing/>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Son infracciones leves:</w:t>
      </w:r>
    </w:p>
    <w:p w14:paraId="7FED1800" w14:textId="77777777" w:rsidR="00762F13" w:rsidRPr="00A156F4" w:rsidRDefault="00762F13" w:rsidP="00762F13">
      <w:pPr>
        <w:rPr>
          <w:sz w:val="22"/>
          <w:szCs w:val="22"/>
        </w:rPr>
      </w:pPr>
    </w:p>
    <w:p w14:paraId="45BEAE9D" w14:textId="77777777" w:rsidR="00762F13" w:rsidRPr="00A156F4" w:rsidRDefault="00762F13" w:rsidP="00117EE5">
      <w:pPr>
        <w:pStyle w:val="Prrafodelista"/>
        <w:numPr>
          <w:ilvl w:val="0"/>
          <w:numId w:val="21"/>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Brindar información de manera incompleta o retrasar, sin justificación avalada por la autoridad de competencia correspondiente, la entrega de información requerida.</w:t>
      </w:r>
    </w:p>
    <w:p w14:paraId="3F3D8531" w14:textId="77777777" w:rsidR="00762F13" w:rsidRPr="00A156F4" w:rsidRDefault="00762F13" w:rsidP="00762F13">
      <w:pPr>
        <w:pStyle w:val="Prrafodelista"/>
        <w:adjustRightInd w:val="0"/>
        <w:spacing w:after="0" w:line="240" w:lineRule="auto"/>
        <w:ind w:left="720"/>
        <w:contextualSpacing/>
        <w:jc w:val="both"/>
        <w:rPr>
          <w:rFonts w:ascii="Times New Roman" w:hAnsi="Times New Roman"/>
          <w:lang w:eastAsia="es-CR"/>
        </w:rPr>
      </w:pPr>
    </w:p>
    <w:p w14:paraId="362B7F92" w14:textId="006DEB84" w:rsidR="00762F13" w:rsidRPr="00A156F4" w:rsidRDefault="00762F13" w:rsidP="00117EE5">
      <w:pPr>
        <w:pStyle w:val="Prrafodelista"/>
        <w:numPr>
          <w:ilvl w:val="0"/>
          <w:numId w:val="21"/>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Notificar tardíamente </w:t>
      </w:r>
      <w:r w:rsidR="00017E6A" w:rsidRPr="00A156F4">
        <w:rPr>
          <w:rFonts w:ascii="Times New Roman" w:hAnsi="Times New Roman"/>
          <w:lang w:eastAsia="es-CR"/>
        </w:rPr>
        <w:t>una operación de concentración económica</w:t>
      </w:r>
      <w:r w:rsidR="001D7987" w:rsidRPr="00A156F4">
        <w:rPr>
          <w:rFonts w:ascii="Times New Roman" w:hAnsi="Times New Roman"/>
          <w:lang w:eastAsia="es-CR"/>
        </w:rPr>
        <w:t>,</w:t>
      </w:r>
      <w:r w:rsidR="00017E6A" w:rsidRPr="00A156F4">
        <w:rPr>
          <w:rFonts w:ascii="Times New Roman" w:hAnsi="Times New Roman"/>
          <w:lang w:eastAsia="es-CR"/>
        </w:rPr>
        <w:t xml:space="preserve"> </w:t>
      </w:r>
      <w:r w:rsidRPr="00A156F4">
        <w:rPr>
          <w:rFonts w:ascii="Times New Roman" w:hAnsi="Times New Roman"/>
          <w:lang w:eastAsia="es-CR"/>
        </w:rPr>
        <w:t>cuando sea exigida por ley.</w:t>
      </w:r>
    </w:p>
    <w:p w14:paraId="3DC9C48E" w14:textId="77777777" w:rsidR="00762F13" w:rsidRPr="00A156F4" w:rsidRDefault="00762F13" w:rsidP="00762F13">
      <w:pPr>
        <w:pStyle w:val="Prrafodelista"/>
        <w:adjustRightInd w:val="0"/>
        <w:spacing w:after="0" w:line="240" w:lineRule="auto"/>
        <w:ind w:left="720"/>
        <w:contextualSpacing/>
        <w:jc w:val="both"/>
        <w:rPr>
          <w:rFonts w:ascii="Times New Roman" w:hAnsi="Times New Roman"/>
          <w:lang w:eastAsia="es-CR"/>
        </w:rPr>
      </w:pPr>
    </w:p>
    <w:p w14:paraId="00863E20" w14:textId="13F0E2D3" w:rsidR="00762F13" w:rsidRPr="00A156F4" w:rsidRDefault="001E30D2" w:rsidP="00117EE5">
      <w:pPr>
        <w:pStyle w:val="Prrafodelista"/>
        <w:numPr>
          <w:ilvl w:val="0"/>
          <w:numId w:val="21"/>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Dificultar</w:t>
      </w:r>
      <w:r w:rsidR="00762F13" w:rsidRPr="00A156F4">
        <w:rPr>
          <w:rFonts w:ascii="Times New Roman" w:hAnsi="Times New Roman"/>
          <w:lang w:eastAsia="es-CR"/>
        </w:rPr>
        <w:t xml:space="preserve"> o entorpecer una inspección o investigación</w:t>
      </w:r>
      <w:r w:rsidR="001D7987" w:rsidRPr="00A156F4">
        <w:rPr>
          <w:rFonts w:ascii="Times New Roman" w:hAnsi="Times New Roman"/>
          <w:lang w:eastAsia="es-CR"/>
        </w:rPr>
        <w:t>,</w:t>
      </w:r>
      <w:r w:rsidR="00762F13" w:rsidRPr="00A156F4">
        <w:rPr>
          <w:rFonts w:ascii="Times New Roman" w:hAnsi="Times New Roman"/>
          <w:lang w:eastAsia="es-CR"/>
        </w:rPr>
        <w:t xml:space="preserve"> ordenada de acuerdo con lo establecido en la presente ley.</w:t>
      </w:r>
    </w:p>
    <w:p w14:paraId="390A107E" w14:textId="77777777" w:rsidR="00762F13" w:rsidRPr="00A156F4" w:rsidRDefault="00762F13" w:rsidP="00762F13">
      <w:pPr>
        <w:widowControl w:val="0"/>
        <w:contextualSpacing/>
        <w:jc w:val="both"/>
        <w:outlineLvl w:val="0"/>
        <w:rPr>
          <w:sz w:val="22"/>
          <w:szCs w:val="22"/>
          <w:lang w:val="es-ES"/>
        </w:rPr>
      </w:pPr>
    </w:p>
    <w:p w14:paraId="52277476" w14:textId="0A0440B1"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hAnsi="Times New Roman" w:cs="Times New Roman"/>
          <w:b/>
          <w:bCs/>
          <w:i w:val="0"/>
          <w:color w:val="auto"/>
          <w:sz w:val="22"/>
          <w:szCs w:val="22"/>
        </w:rPr>
        <w:t>1</w:t>
      </w:r>
      <w:r w:rsidR="00701AF7" w:rsidRPr="00A156F4">
        <w:rPr>
          <w:rFonts w:ascii="Times New Roman" w:hAnsi="Times New Roman" w:cs="Times New Roman"/>
          <w:b/>
          <w:bCs/>
          <w:i w:val="0"/>
          <w:color w:val="auto"/>
          <w:sz w:val="22"/>
          <w:szCs w:val="22"/>
        </w:rPr>
        <w:t>1</w:t>
      </w:r>
      <w:r w:rsidR="00D80091" w:rsidRPr="00A156F4">
        <w:rPr>
          <w:rFonts w:ascii="Times New Roman" w:hAnsi="Times New Roman" w:cs="Times New Roman"/>
          <w:b/>
          <w:bCs/>
          <w:i w:val="0"/>
          <w:color w:val="auto"/>
          <w:sz w:val="22"/>
          <w:szCs w:val="22"/>
        </w:rPr>
        <w:t>6</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Infracciones graves</w:t>
      </w:r>
    </w:p>
    <w:p w14:paraId="4EABAB22" w14:textId="77777777" w:rsidR="00762F13" w:rsidRPr="00A156F4" w:rsidRDefault="00762F13" w:rsidP="00762F13">
      <w:pPr>
        <w:widowControl w:val="0"/>
        <w:contextualSpacing/>
        <w:jc w:val="both"/>
        <w:outlineLvl w:val="0"/>
        <w:rPr>
          <w:sz w:val="22"/>
          <w:szCs w:val="22"/>
          <w:lang w:val="es-ES"/>
        </w:rPr>
      </w:pPr>
    </w:p>
    <w:p w14:paraId="2AD11025" w14:textId="77777777" w:rsidR="00762F13" w:rsidRPr="00A156F4" w:rsidRDefault="00762F13" w:rsidP="00762F13">
      <w:pPr>
        <w:pStyle w:val="Ttulo4"/>
        <w:keepNext w:val="0"/>
        <w:keepLines w:val="0"/>
        <w:spacing w:before="0"/>
        <w:contextualSpacing/>
        <w:jc w:val="both"/>
        <w:rPr>
          <w:rFonts w:ascii="Times New Roman" w:hAnsi="Times New Roman" w:cs="Times New Roman"/>
          <w:sz w:val="22"/>
          <w:szCs w:val="22"/>
        </w:rPr>
      </w:pPr>
      <w:r w:rsidRPr="00A156F4">
        <w:rPr>
          <w:rFonts w:ascii="Times New Roman" w:eastAsiaTheme="minorHAnsi" w:hAnsi="Times New Roman" w:cs="Times New Roman"/>
          <w:i w:val="0"/>
          <w:iCs w:val="0"/>
          <w:color w:val="auto"/>
          <w:sz w:val="22"/>
          <w:szCs w:val="22"/>
        </w:rPr>
        <w:t>Son infracciones graves</w:t>
      </w:r>
      <w:r w:rsidRPr="00A156F4">
        <w:rPr>
          <w:rFonts w:ascii="Times New Roman" w:hAnsi="Times New Roman" w:cs="Times New Roman"/>
          <w:sz w:val="22"/>
          <w:szCs w:val="22"/>
        </w:rPr>
        <w:t>:</w:t>
      </w:r>
    </w:p>
    <w:p w14:paraId="31651849" w14:textId="77777777" w:rsidR="00762F13" w:rsidRPr="00A156F4" w:rsidRDefault="00762F13" w:rsidP="001E30D2">
      <w:pPr>
        <w:adjustRightInd w:val="0"/>
        <w:contextualSpacing/>
        <w:jc w:val="both"/>
        <w:rPr>
          <w:sz w:val="22"/>
          <w:szCs w:val="22"/>
          <w:lang w:eastAsia="es-CR"/>
        </w:rPr>
      </w:pPr>
    </w:p>
    <w:p w14:paraId="0E616EE1" w14:textId="77777777" w:rsidR="001E30D2" w:rsidRPr="00A156F4" w:rsidRDefault="001E30D2" w:rsidP="00117EE5">
      <w:pPr>
        <w:pStyle w:val="Prrafodelista"/>
        <w:numPr>
          <w:ilvl w:val="0"/>
          <w:numId w:val="22"/>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Negarse injustificadamente a suministrar información a la autoridad de competencia correspondiente.</w:t>
      </w:r>
    </w:p>
    <w:p w14:paraId="4AE776B8" w14:textId="77777777" w:rsidR="001E30D2" w:rsidRPr="00A156F4" w:rsidRDefault="001E30D2" w:rsidP="001E30D2">
      <w:pPr>
        <w:pStyle w:val="Prrafodelista"/>
        <w:adjustRightInd w:val="0"/>
        <w:spacing w:after="0" w:line="240" w:lineRule="auto"/>
        <w:ind w:left="720"/>
        <w:contextualSpacing/>
        <w:jc w:val="both"/>
        <w:rPr>
          <w:rFonts w:ascii="Times New Roman" w:hAnsi="Times New Roman"/>
          <w:lang w:eastAsia="es-CR"/>
        </w:rPr>
      </w:pPr>
    </w:p>
    <w:p w14:paraId="2CC2478A" w14:textId="77777777" w:rsidR="00762F13" w:rsidRPr="00A156F4" w:rsidRDefault="00762F13" w:rsidP="00117EE5">
      <w:pPr>
        <w:pStyle w:val="Prrafodelista"/>
        <w:numPr>
          <w:ilvl w:val="0"/>
          <w:numId w:val="22"/>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Suministrar información falsa, alterada, engañosa u omisa.</w:t>
      </w:r>
    </w:p>
    <w:p w14:paraId="343F32AE" w14:textId="77777777" w:rsidR="00264D14" w:rsidRPr="00A156F4" w:rsidRDefault="00264D14" w:rsidP="001F4208">
      <w:pPr>
        <w:pStyle w:val="Prrafodelista"/>
        <w:spacing w:after="0"/>
        <w:rPr>
          <w:rFonts w:ascii="Times New Roman" w:hAnsi="Times New Roman"/>
          <w:lang w:eastAsia="es-CR"/>
        </w:rPr>
      </w:pPr>
    </w:p>
    <w:p w14:paraId="778803DE" w14:textId="6433A866" w:rsidR="00264D14" w:rsidRPr="00A156F4" w:rsidRDefault="00264D14" w:rsidP="00117EE5">
      <w:pPr>
        <w:pStyle w:val="Prrafodelista"/>
        <w:numPr>
          <w:ilvl w:val="0"/>
          <w:numId w:val="22"/>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Omitir la notificación de una concentración cuando tal notificación sea exigida por ley</w:t>
      </w:r>
      <w:r w:rsidR="0088314D" w:rsidRPr="00A156F4">
        <w:rPr>
          <w:rFonts w:ascii="Times New Roman" w:hAnsi="Times New Roman"/>
          <w:lang w:eastAsia="es-CR"/>
        </w:rPr>
        <w:t>,</w:t>
      </w:r>
      <w:r w:rsidRPr="00A156F4">
        <w:rPr>
          <w:rFonts w:ascii="Times New Roman" w:hAnsi="Times New Roman"/>
          <w:lang w:eastAsia="es-CR"/>
        </w:rPr>
        <w:t xml:space="preserve"> o realizar actos de ejecución de </w:t>
      </w:r>
      <w:r w:rsidR="001E34FC" w:rsidRPr="00A156F4">
        <w:rPr>
          <w:rFonts w:ascii="Times New Roman" w:hAnsi="Times New Roman"/>
          <w:lang w:eastAsia="es-CR"/>
        </w:rPr>
        <w:t>esta</w:t>
      </w:r>
      <w:r w:rsidRPr="00A156F4">
        <w:rPr>
          <w:rFonts w:ascii="Times New Roman" w:hAnsi="Times New Roman"/>
          <w:lang w:eastAsia="es-CR"/>
        </w:rPr>
        <w:t xml:space="preserve"> sin autorización del Órgano Superior correspondiente.</w:t>
      </w:r>
    </w:p>
    <w:p w14:paraId="4D4462B0" w14:textId="77777777" w:rsidR="00762F13" w:rsidRPr="00A156F4" w:rsidRDefault="00762F13" w:rsidP="00762F13">
      <w:pPr>
        <w:pStyle w:val="Prrafodelista"/>
        <w:adjustRightInd w:val="0"/>
        <w:spacing w:after="0" w:line="240" w:lineRule="auto"/>
        <w:ind w:left="720"/>
        <w:contextualSpacing/>
        <w:jc w:val="both"/>
        <w:rPr>
          <w:rFonts w:ascii="Times New Roman" w:hAnsi="Times New Roman"/>
          <w:lang w:eastAsia="es-CR"/>
        </w:rPr>
      </w:pPr>
    </w:p>
    <w:p w14:paraId="538AD0A1" w14:textId="77777777" w:rsidR="00762F13" w:rsidRPr="00A156F4" w:rsidRDefault="00762F13" w:rsidP="00117EE5">
      <w:pPr>
        <w:pStyle w:val="Prrafodelista"/>
        <w:numPr>
          <w:ilvl w:val="0"/>
          <w:numId w:val="22"/>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Coadyuvar, facilitar, propiciar o inducir la realización de prácticas monopolísticas, o concentraciones ilícitas por parte de terceros.</w:t>
      </w:r>
    </w:p>
    <w:p w14:paraId="0F729066" w14:textId="77777777" w:rsidR="00762F13" w:rsidRPr="00A156F4" w:rsidRDefault="00762F13" w:rsidP="00762F13">
      <w:pPr>
        <w:pStyle w:val="Prrafodelista"/>
        <w:adjustRightInd w:val="0"/>
        <w:spacing w:after="0" w:line="240" w:lineRule="auto"/>
        <w:ind w:left="720"/>
        <w:contextualSpacing/>
        <w:jc w:val="both"/>
        <w:rPr>
          <w:rFonts w:ascii="Times New Roman" w:hAnsi="Times New Roman"/>
          <w:lang w:eastAsia="es-CR"/>
        </w:rPr>
      </w:pPr>
    </w:p>
    <w:p w14:paraId="391A5FB6" w14:textId="77777777" w:rsidR="00762F13" w:rsidRPr="00A156F4" w:rsidRDefault="00762F13" w:rsidP="00117EE5">
      <w:pPr>
        <w:pStyle w:val="Prrafodelista"/>
        <w:numPr>
          <w:ilvl w:val="0"/>
          <w:numId w:val="22"/>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Impedir por cualquier medio la labor de investigación e inspección de la autoridad de competencia correspondiente. </w:t>
      </w:r>
    </w:p>
    <w:p w14:paraId="43D6ADF9" w14:textId="77777777" w:rsidR="00762F13" w:rsidRPr="00A156F4" w:rsidRDefault="00762F13" w:rsidP="00762F13">
      <w:pPr>
        <w:widowControl w:val="0"/>
        <w:contextualSpacing/>
        <w:jc w:val="both"/>
        <w:outlineLvl w:val="0"/>
        <w:rPr>
          <w:rFonts w:eastAsia="Calibri"/>
          <w:sz w:val="22"/>
          <w:szCs w:val="22"/>
          <w:lang w:val="es-ES" w:eastAsia="es-CR"/>
        </w:rPr>
      </w:pPr>
    </w:p>
    <w:p w14:paraId="1DDCEFAB" w14:textId="0B9077CE"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hAnsi="Times New Roman" w:cs="Times New Roman"/>
          <w:b/>
          <w:bCs/>
          <w:i w:val="0"/>
          <w:color w:val="auto"/>
          <w:sz w:val="22"/>
          <w:szCs w:val="22"/>
        </w:rPr>
        <w:t>1</w:t>
      </w:r>
      <w:r w:rsidR="00701AF7" w:rsidRPr="00A156F4">
        <w:rPr>
          <w:rFonts w:ascii="Times New Roman" w:hAnsi="Times New Roman" w:cs="Times New Roman"/>
          <w:b/>
          <w:bCs/>
          <w:i w:val="0"/>
          <w:color w:val="auto"/>
          <w:sz w:val="22"/>
          <w:szCs w:val="22"/>
        </w:rPr>
        <w:t>1</w:t>
      </w:r>
      <w:r w:rsidR="00D80091" w:rsidRPr="00A156F4">
        <w:rPr>
          <w:rFonts w:ascii="Times New Roman" w:hAnsi="Times New Roman" w:cs="Times New Roman"/>
          <w:b/>
          <w:bCs/>
          <w:i w:val="0"/>
          <w:color w:val="auto"/>
          <w:sz w:val="22"/>
          <w:szCs w:val="22"/>
        </w:rPr>
        <w:t>7</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Infracciones muy graves</w:t>
      </w:r>
    </w:p>
    <w:p w14:paraId="3FE32E2A" w14:textId="77777777" w:rsidR="00762F13" w:rsidRPr="00A156F4" w:rsidRDefault="00762F13" w:rsidP="00762F13">
      <w:pPr>
        <w:rPr>
          <w:sz w:val="22"/>
          <w:szCs w:val="22"/>
          <w:lang w:val="es-CR" w:eastAsia="en-US"/>
        </w:rPr>
      </w:pPr>
    </w:p>
    <w:p w14:paraId="096EE032" w14:textId="77777777" w:rsidR="00762F13" w:rsidRPr="00A156F4" w:rsidRDefault="00762F13" w:rsidP="00762F13">
      <w:pPr>
        <w:pStyle w:val="Ttulo4"/>
        <w:keepNext w:val="0"/>
        <w:keepLines w:val="0"/>
        <w:spacing w:before="0"/>
        <w:contextualSpacing/>
        <w:jc w:val="both"/>
        <w:rPr>
          <w:rFonts w:ascii="Times New Roman" w:hAnsi="Times New Roman" w:cs="Times New Roman"/>
          <w:color w:val="auto"/>
          <w:sz w:val="22"/>
          <w:szCs w:val="22"/>
          <w:lang w:val="es-ES"/>
        </w:rPr>
      </w:pPr>
      <w:r w:rsidRPr="00A156F4">
        <w:rPr>
          <w:rFonts w:ascii="Times New Roman" w:hAnsi="Times New Roman" w:cs="Times New Roman"/>
          <w:i w:val="0"/>
          <w:color w:val="auto"/>
          <w:sz w:val="22"/>
          <w:szCs w:val="22"/>
          <w:lang w:val="es-ES"/>
        </w:rPr>
        <w:t>Son infracciones muy graves</w:t>
      </w:r>
      <w:r w:rsidRPr="00A156F4">
        <w:rPr>
          <w:rFonts w:ascii="Times New Roman" w:hAnsi="Times New Roman" w:cs="Times New Roman"/>
          <w:color w:val="auto"/>
          <w:sz w:val="22"/>
          <w:szCs w:val="22"/>
          <w:lang w:val="es-ES"/>
        </w:rPr>
        <w:t>:</w:t>
      </w:r>
    </w:p>
    <w:p w14:paraId="7D9B96F5" w14:textId="77777777" w:rsidR="00762F13" w:rsidRPr="00A156F4" w:rsidRDefault="00762F13" w:rsidP="00762F13">
      <w:pPr>
        <w:rPr>
          <w:sz w:val="22"/>
          <w:szCs w:val="22"/>
          <w:lang w:val="es-ES"/>
        </w:rPr>
      </w:pPr>
    </w:p>
    <w:p w14:paraId="54FB2911" w14:textId="77777777" w:rsidR="00017E6A" w:rsidRPr="00A156F4" w:rsidRDefault="00017E6A" w:rsidP="00117EE5">
      <w:pPr>
        <w:pStyle w:val="Prrafodelista"/>
        <w:numPr>
          <w:ilvl w:val="0"/>
          <w:numId w:val="23"/>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Las prácticas monopolísticas</w:t>
      </w:r>
      <w:r w:rsidR="009D43D9" w:rsidRPr="00A156F4">
        <w:rPr>
          <w:rFonts w:ascii="Times New Roman" w:hAnsi="Times New Roman"/>
          <w:lang w:eastAsia="es-CR"/>
        </w:rPr>
        <w:t xml:space="preserve"> absolutas y</w:t>
      </w:r>
      <w:r w:rsidRPr="00A156F4">
        <w:rPr>
          <w:rFonts w:ascii="Times New Roman" w:hAnsi="Times New Roman"/>
          <w:lang w:eastAsia="es-CR"/>
        </w:rPr>
        <w:t xml:space="preserve"> relativas.</w:t>
      </w:r>
    </w:p>
    <w:p w14:paraId="426358F4" w14:textId="77777777" w:rsidR="00762F13" w:rsidRPr="00A156F4" w:rsidRDefault="00762F13" w:rsidP="00264D14">
      <w:pPr>
        <w:adjustRightInd w:val="0"/>
        <w:contextualSpacing/>
        <w:jc w:val="both"/>
        <w:rPr>
          <w:sz w:val="22"/>
          <w:szCs w:val="22"/>
          <w:lang w:eastAsia="es-CR"/>
        </w:rPr>
      </w:pPr>
    </w:p>
    <w:p w14:paraId="78585211" w14:textId="77777777" w:rsidR="00762F13" w:rsidRPr="00A156F4" w:rsidRDefault="00762F13" w:rsidP="00117EE5">
      <w:pPr>
        <w:pStyle w:val="Prrafodelista"/>
        <w:numPr>
          <w:ilvl w:val="0"/>
          <w:numId w:val="23"/>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Incumplir o contravenir lo establecido en una resolución de la autoridad de competencia correspondiente para suspender o contrarrestar los efectos anticompetitivos de una práctica monopolística. </w:t>
      </w:r>
    </w:p>
    <w:p w14:paraId="6F5156AD" w14:textId="77777777" w:rsidR="00762F13" w:rsidRPr="00A156F4" w:rsidRDefault="00762F13" w:rsidP="00762F13">
      <w:pPr>
        <w:pStyle w:val="Prrafodelista"/>
        <w:adjustRightInd w:val="0"/>
        <w:spacing w:after="0" w:line="240" w:lineRule="auto"/>
        <w:ind w:left="720"/>
        <w:contextualSpacing/>
        <w:jc w:val="both"/>
        <w:rPr>
          <w:rFonts w:ascii="Times New Roman" w:hAnsi="Times New Roman"/>
          <w:lang w:eastAsia="es-CR"/>
        </w:rPr>
      </w:pPr>
    </w:p>
    <w:p w14:paraId="1E771878" w14:textId="77777777" w:rsidR="00762F13" w:rsidRPr="00A156F4" w:rsidRDefault="00762F13" w:rsidP="00117EE5">
      <w:pPr>
        <w:pStyle w:val="Prrafodelista"/>
        <w:numPr>
          <w:ilvl w:val="0"/>
          <w:numId w:val="23"/>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Incumplir un compromiso de terminación anticipada aprobado por el Órgano Superior</w:t>
      </w:r>
      <w:r w:rsidRPr="00A156F4" w:rsidDel="009A2988">
        <w:rPr>
          <w:rFonts w:ascii="Times New Roman" w:hAnsi="Times New Roman"/>
          <w:lang w:eastAsia="es-CR"/>
        </w:rPr>
        <w:t xml:space="preserve"> </w:t>
      </w:r>
      <w:r w:rsidRPr="00A156F4">
        <w:rPr>
          <w:rFonts w:ascii="Times New Roman" w:hAnsi="Times New Roman"/>
          <w:lang w:eastAsia="es-CR"/>
        </w:rPr>
        <w:t>respectivo dentro de sus funciones.</w:t>
      </w:r>
    </w:p>
    <w:p w14:paraId="59F2838A" w14:textId="77777777" w:rsidR="00762F13" w:rsidRPr="00A156F4" w:rsidRDefault="00762F13" w:rsidP="00762F13">
      <w:pPr>
        <w:pStyle w:val="Prrafodelista"/>
        <w:adjustRightInd w:val="0"/>
        <w:spacing w:after="0" w:line="240" w:lineRule="auto"/>
        <w:ind w:left="720"/>
        <w:contextualSpacing/>
        <w:jc w:val="both"/>
        <w:rPr>
          <w:rFonts w:ascii="Times New Roman" w:hAnsi="Times New Roman"/>
          <w:lang w:eastAsia="es-CR"/>
        </w:rPr>
      </w:pPr>
    </w:p>
    <w:p w14:paraId="47AD3E11" w14:textId="77777777" w:rsidR="00762F13" w:rsidRPr="00A156F4" w:rsidRDefault="00762F13" w:rsidP="00117EE5">
      <w:pPr>
        <w:pStyle w:val="Prrafodelista"/>
        <w:numPr>
          <w:ilvl w:val="0"/>
          <w:numId w:val="23"/>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Incumplir una condición o remedio acordado por el Órgano Superior</w:t>
      </w:r>
      <w:r w:rsidRPr="00A156F4" w:rsidDel="009A2988">
        <w:rPr>
          <w:rFonts w:ascii="Times New Roman" w:hAnsi="Times New Roman"/>
          <w:lang w:eastAsia="es-CR"/>
        </w:rPr>
        <w:t xml:space="preserve"> </w:t>
      </w:r>
      <w:r w:rsidRPr="00A156F4">
        <w:rPr>
          <w:rFonts w:ascii="Times New Roman" w:hAnsi="Times New Roman"/>
          <w:lang w:eastAsia="es-CR"/>
        </w:rPr>
        <w:t>correspondiente, dentro de un procedimiento de autorización de una concentración.</w:t>
      </w:r>
    </w:p>
    <w:p w14:paraId="5C32F275" w14:textId="77777777" w:rsidR="00762F13" w:rsidRPr="00A156F4" w:rsidRDefault="00762F13">
      <w:pPr>
        <w:pStyle w:val="Prrafodelista"/>
        <w:adjustRightInd w:val="0"/>
        <w:spacing w:after="0" w:line="240" w:lineRule="auto"/>
        <w:ind w:left="720"/>
        <w:contextualSpacing/>
        <w:jc w:val="both"/>
        <w:rPr>
          <w:rFonts w:ascii="Times New Roman" w:hAnsi="Times New Roman"/>
          <w:lang w:eastAsia="es-CR"/>
        </w:rPr>
      </w:pPr>
    </w:p>
    <w:p w14:paraId="298C5C01" w14:textId="77777777" w:rsidR="00762F13" w:rsidRPr="00A156F4" w:rsidRDefault="00762F13" w:rsidP="00117EE5">
      <w:pPr>
        <w:pStyle w:val="Prrafodelista"/>
        <w:numPr>
          <w:ilvl w:val="0"/>
          <w:numId w:val="23"/>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Incumplir una medida cautelar impuesta por la autoridad de competencia correspondiente.</w:t>
      </w:r>
    </w:p>
    <w:p w14:paraId="08B2629D" w14:textId="77777777" w:rsidR="009A21C4" w:rsidRPr="00A156F4" w:rsidRDefault="009A21C4" w:rsidP="001F4208">
      <w:pPr>
        <w:pStyle w:val="Prrafodelista"/>
        <w:spacing w:after="0"/>
        <w:rPr>
          <w:rFonts w:ascii="Times New Roman" w:hAnsi="Times New Roman"/>
          <w:lang w:eastAsia="es-CR"/>
        </w:rPr>
      </w:pPr>
    </w:p>
    <w:p w14:paraId="3E7DE91E" w14:textId="1D2F13FA" w:rsidR="003B757B" w:rsidRPr="00A156F4" w:rsidRDefault="009A21C4" w:rsidP="00117EE5">
      <w:pPr>
        <w:pStyle w:val="Prrafodelista"/>
        <w:numPr>
          <w:ilvl w:val="0"/>
          <w:numId w:val="22"/>
        </w:numPr>
        <w:adjustRightInd w:val="0"/>
        <w:spacing w:after="0" w:line="240" w:lineRule="auto"/>
        <w:contextualSpacing/>
        <w:jc w:val="both"/>
        <w:rPr>
          <w:rFonts w:ascii="Times New Roman" w:hAnsi="Times New Roman"/>
          <w:lang w:eastAsia="es-CR"/>
        </w:rPr>
      </w:pPr>
      <w:r w:rsidRPr="00A156F4">
        <w:rPr>
          <w:rFonts w:ascii="Times New Roman" w:hAnsi="Times New Roman"/>
          <w:lang w:eastAsia="es-CR"/>
        </w:rPr>
        <w:t xml:space="preserve">Omitir una notificación de concentración </w:t>
      </w:r>
      <w:r w:rsidR="003B757B" w:rsidRPr="00A156F4">
        <w:rPr>
          <w:rFonts w:ascii="Times New Roman" w:hAnsi="Times New Roman"/>
          <w:lang w:eastAsia="es-CR"/>
        </w:rPr>
        <w:t xml:space="preserve">o realizar actos de ejecución de </w:t>
      </w:r>
      <w:r w:rsidR="001E34FC" w:rsidRPr="00A156F4">
        <w:rPr>
          <w:rFonts w:ascii="Times New Roman" w:hAnsi="Times New Roman"/>
          <w:lang w:eastAsia="es-CR"/>
        </w:rPr>
        <w:t>esta</w:t>
      </w:r>
      <w:r w:rsidR="003B757B" w:rsidRPr="00A156F4">
        <w:rPr>
          <w:rFonts w:ascii="Times New Roman" w:hAnsi="Times New Roman"/>
          <w:lang w:eastAsia="es-CR"/>
        </w:rPr>
        <w:t xml:space="preserve"> sin autorización del Órgano Superior correspondiente</w:t>
      </w:r>
      <w:r w:rsidR="00F52065" w:rsidRPr="00A156F4">
        <w:rPr>
          <w:rFonts w:ascii="Times New Roman" w:hAnsi="Times New Roman"/>
          <w:lang w:eastAsia="es-CR"/>
        </w:rPr>
        <w:t>,</w:t>
      </w:r>
      <w:r w:rsidR="003B757B" w:rsidRPr="00A156F4">
        <w:rPr>
          <w:rFonts w:ascii="Times New Roman" w:hAnsi="Times New Roman"/>
          <w:lang w:eastAsia="es-CR"/>
        </w:rPr>
        <w:t xml:space="preserve"> cuando </w:t>
      </w:r>
      <w:r w:rsidR="000250C6" w:rsidRPr="00A156F4">
        <w:rPr>
          <w:rFonts w:ascii="Times New Roman" w:hAnsi="Times New Roman"/>
          <w:lang w:eastAsia="es-CR"/>
        </w:rPr>
        <w:t>tenga</w:t>
      </w:r>
      <w:r w:rsidR="001E34FC" w:rsidRPr="00A156F4">
        <w:rPr>
          <w:rFonts w:ascii="Times New Roman" w:hAnsi="Times New Roman"/>
          <w:lang w:eastAsia="es-CR"/>
        </w:rPr>
        <w:t xml:space="preserve"> </w:t>
      </w:r>
      <w:r w:rsidR="003B757B" w:rsidRPr="00A156F4">
        <w:rPr>
          <w:rFonts w:ascii="Times New Roman" w:hAnsi="Times New Roman"/>
          <w:lang w:eastAsia="es-CR"/>
        </w:rPr>
        <w:t xml:space="preserve">efectos </w:t>
      </w:r>
      <w:r w:rsidR="000250C6" w:rsidRPr="00A156F4">
        <w:rPr>
          <w:rFonts w:ascii="Times New Roman" w:hAnsi="Times New Roman"/>
          <w:lang w:eastAsia="es-CR"/>
        </w:rPr>
        <w:t>anticompetitivos en</w:t>
      </w:r>
      <w:r w:rsidR="003B757B" w:rsidRPr="00A156F4">
        <w:rPr>
          <w:rFonts w:ascii="Times New Roman" w:hAnsi="Times New Roman"/>
          <w:lang w:eastAsia="es-CR"/>
        </w:rPr>
        <w:t xml:space="preserve"> el mercado.</w:t>
      </w:r>
    </w:p>
    <w:p w14:paraId="7F64F3B2" w14:textId="77777777" w:rsidR="009A21C4" w:rsidRPr="00A156F4" w:rsidRDefault="009A21C4">
      <w:pPr>
        <w:pStyle w:val="Prrafodelista"/>
        <w:adjustRightInd w:val="0"/>
        <w:spacing w:after="0" w:line="240" w:lineRule="auto"/>
        <w:ind w:left="720"/>
        <w:contextualSpacing/>
        <w:jc w:val="both"/>
        <w:rPr>
          <w:rFonts w:ascii="Times New Roman" w:hAnsi="Times New Roman"/>
          <w:lang w:eastAsia="es-CR"/>
        </w:rPr>
      </w:pPr>
    </w:p>
    <w:p w14:paraId="5EE5DEA9" w14:textId="7700E64F"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1</w:t>
      </w:r>
      <w:r w:rsidR="00701AF7" w:rsidRPr="00A156F4">
        <w:rPr>
          <w:rFonts w:ascii="Times New Roman" w:eastAsia="Times New Roman" w:hAnsi="Times New Roman" w:cs="Times New Roman"/>
          <w:b/>
          <w:i w:val="0"/>
          <w:iCs w:val="0"/>
          <w:color w:val="auto"/>
          <w:sz w:val="22"/>
          <w:szCs w:val="22"/>
          <w:lang w:val="es-CR" w:eastAsia="en-US"/>
        </w:rPr>
        <w:t>1</w:t>
      </w:r>
      <w:r w:rsidR="00D80091" w:rsidRPr="00A156F4">
        <w:rPr>
          <w:rFonts w:ascii="Times New Roman" w:eastAsia="Times New Roman" w:hAnsi="Times New Roman" w:cs="Times New Roman"/>
          <w:b/>
          <w:i w:val="0"/>
          <w:iCs w:val="0"/>
          <w:color w:val="auto"/>
          <w:sz w:val="22"/>
          <w:szCs w:val="22"/>
          <w:lang w:val="es-CR" w:eastAsia="en-US"/>
        </w:rPr>
        <w:t>8</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Sanciones</w:t>
      </w:r>
    </w:p>
    <w:p w14:paraId="339BE1EC" w14:textId="77777777" w:rsidR="00762F13" w:rsidRPr="00A156F4" w:rsidRDefault="00762F13" w:rsidP="00762F13">
      <w:pPr>
        <w:rPr>
          <w:sz w:val="22"/>
          <w:szCs w:val="22"/>
        </w:rPr>
      </w:pPr>
    </w:p>
    <w:p w14:paraId="7E36DD1E" w14:textId="77777777" w:rsidR="00762F13" w:rsidRPr="00A156F4" w:rsidRDefault="00762F13" w:rsidP="00762F13">
      <w:pPr>
        <w:jc w:val="both"/>
        <w:rPr>
          <w:sz w:val="22"/>
          <w:szCs w:val="22"/>
        </w:rPr>
      </w:pPr>
      <w:r w:rsidRPr="00A156F4">
        <w:rPr>
          <w:sz w:val="22"/>
          <w:szCs w:val="22"/>
        </w:rPr>
        <w:t xml:space="preserve">Cada autoridad de competencia podrá, mediante resolución fundada, aplicar las siguientes sanciones: </w:t>
      </w:r>
    </w:p>
    <w:p w14:paraId="19CDC58E" w14:textId="77777777" w:rsidR="00762F13" w:rsidRPr="00A156F4" w:rsidRDefault="00762F13" w:rsidP="00762F13">
      <w:pPr>
        <w:rPr>
          <w:sz w:val="22"/>
          <w:szCs w:val="22"/>
        </w:rPr>
      </w:pPr>
    </w:p>
    <w:p w14:paraId="0620A398" w14:textId="77777777" w:rsidR="00762F13" w:rsidRPr="00A156F4" w:rsidRDefault="00762F13" w:rsidP="005B1F1F">
      <w:pPr>
        <w:pStyle w:val="Prrafodelista"/>
        <w:numPr>
          <w:ilvl w:val="1"/>
          <w:numId w:val="5"/>
        </w:numPr>
        <w:spacing w:after="0" w:line="240" w:lineRule="auto"/>
        <w:ind w:left="709"/>
        <w:contextualSpacing/>
        <w:jc w:val="both"/>
        <w:rPr>
          <w:rFonts w:ascii="Times New Roman" w:hAnsi="Times New Roman"/>
        </w:rPr>
      </w:pPr>
      <w:r w:rsidRPr="00A156F4">
        <w:rPr>
          <w:rFonts w:ascii="Times New Roman" w:hAnsi="Times New Roman"/>
        </w:rPr>
        <w:t>Ordenar la suspensión, corrección o supresión de la práctica monopolística o concentración ilícita de que se trate, sin perjuicio del pago de la multa que proceda.</w:t>
      </w:r>
    </w:p>
    <w:p w14:paraId="2D30AAE1" w14:textId="77777777" w:rsidR="00762F13" w:rsidRPr="00A156F4" w:rsidRDefault="00762F13" w:rsidP="00762F13">
      <w:pPr>
        <w:pStyle w:val="Prrafodelista"/>
        <w:spacing w:after="0" w:line="240" w:lineRule="auto"/>
        <w:ind w:left="709"/>
        <w:rPr>
          <w:rFonts w:ascii="Times New Roman" w:hAnsi="Times New Roman"/>
        </w:rPr>
      </w:pPr>
      <w:r w:rsidRPr="00A156F4">
        <w:rPr>
          <w:rFonts w:ascii="Times New Roman" w:hAnsi="Times New Roman"/>
        </w:rPr>
        <w:t xml:space="preserve"> </w:t>
      </w:r>
    </w:p>
    <w:p w14:paraId="3F18371B" w14:textId="77777777" w:rsidR="00762F13" w:rsidRPr="00A156F4" w:rsidRDefault="00762F13" w:rsidP="005B1F1F">
      <w:pPr>
        <w:pStyle w:val="Prrafodelista"/>
        <w:numPr>
          <w:ilvl w:val="1"/>
          <w:numId w:val="5"/>
        </w:numPr>
        <w:spacing w:after="0" w:line="240" w:lineRule="auto"/>
        <w:ind w:left="709"/>
        <w:contextualSpacing/>
        <w:jc w:val="both"/>
        <w:rPr>
          <w:rFonts w:ascii="Times New Roman" w:hAnsi="Times New Roman"/>
        </w:rPr>
      </w:pPr>
      <w:r w:rsidRPr="00A156F4">
        <w:rPr>
          <w:rFonts w:ascii="Times New Roman" w:hAnsi="Times New Roman"/>
        </w:rPr>
        <w:t>Ordenar la desconcentración, parcial o total, de una concentración ilícita en términos de la presente ley, la terminación del control o la supresión de los actos, según corresponda, sin perjuicio de la multa que en su caso proceda.</w:t>
      </w:r>
    </w:p>
    <w:p w14:paraId="1F06D795" w14:textId="77777777" w:rsidR="00762F13" w:rsidRPr="00A156F4" w:rsidRDefault="00762F13" w:rsidP="00762F13">
      <w:pPr>
        <w:pStyle w:val="Prrafodelista"/>
        <w:spacing w:after="0" w:line="240" w:lineRule="auto"/>
        <w:rPr>
          <w:rFonts w:ascii="Times New Roman" w:hAnsi="Times New Roman"/>
        </w:rPr>
      </w:pPr>
    </w:p>
    <w:p w14:paraId="648941A0" w14:textId="13A8D5B5" w:rsidR="00762F13" w:rsidRPr="00A156F4" w:rsidRDefault="00762F13" w:rsidP="005B1F1F">
      <w:pPr>
        <w:pStyle w:val="Prrafodelista"/>
        <w:numPr>
          <w:ilvl w:val="1"/>
          <w:numId w:val="5"/>
        </w:numPr>
        <w:spacing w:after="0" w:line="240" w:lineRule="auto"/>
        <w:ind w:left="709"/>
        <w:contextualSpacing/>
        <w:jc w:val="both"/>
        <w:rPr>
          <w:rFonts w:ascii="Times New Roman" w:hAnsi="Times New Roman"/>
        </w:rPr>
      </w:pPr>
      <w:r w:rsidRPr="00A156F4">
        <w:rPr>
          <w:rFonts w:ascii="Times New Roman" w:hAnsi="Times New Roman"/>
        </w:rPr>
        <w:t>Las infracciones leves serán sancionadas mediante una multa hasta por el equivalente al tres por ciento del volumen de negocios total del agente económico en el ejercicio</w:t>
      </w:r>
      <w:r w:rsidR="00641CF4" w:rsidRPr="00A156F4">
        <w:rPr>
          <w:rFonts w:ascii="Times New Roman" w:hAnsi="Times New Roman"/>
        </w:rPr>
        <w:t xml:space="preserve"> fiscal</w:t>
      </w:r>
      <w:r w:rsidRPr="00A156F4">
        <w:rPr>
          <w:rFonts w:ascii="Times New Roman" w:hAnsi="Times New Roman"/>
        </w:rPr>
        <w:t xml:space="preserve"> inmediatamente anterior al de la imposición de la sanción. Para el caso de la </w:t>
      </w:r>
      <w:proofErr w:type="spellStart"/>
      <w:r w:rsidRPr="00A156F4">
        <w:rPr>
          <w:rFonts w:ascii="Times New Roman" w:hAnsi="Times New Roman"/>
        </w:rPr>
        <w:t>Sutel</w:t>
      </w:r>
      <w:proofErr w:type="spellEnd"/>
      <w:r w:rsidRPr="00A156F4">
        <w:rPr>
          <w:rFonts w:ascii="Times New Roman" w:hAnsi="Times New Roman"/>
        </w:rPr>
        <w:t xml:space="preserve">, se </w:t>
      </w:r>
      <w:r w:rsidR="00017E6A" w:rsidRPr="00A156F4">
        <w:rPr>
          <w:rFonts w:ascii="Times New Roman" w:hAnsi="Times New Roman"/>
        </w:rPr>
        <w:t>aplicarán los montos y porcentajes establecidos para las infracciones</w:t>
      </w:r>
      <w:r w:rsidR="00385419" w:rsidRPr="00A156F4">
        <w:rPr>
          <w:rFonts w:ascii="Times New Roman" w:hAnsi="Times New Roman"/>
        </w:rPr>
        <w:t xml:space="preserve"> </w:t>
      </w:r>
      <w:r w:rsidR="00017E6A" w:rsidRPr="00A156F4">
        <w:rPr>
          <w:rFonts w:ascii="Times New Roman" w:hAnsi="Times New Roman"/>
        </w:rPr>
        <w:t>leves</w:t>
      </w:r>
      <w:r w:rsidR="00385419" w:rsidRPr="00A156F4">
        <w:rPr>
          <w:rFonts w:ascii="Times New Roman" w:hAnsi="Times New Roman"/>
        </w:rPr>
        <w:t xml:space="preserve"> </w:t>
      </w:r>
      <w:r w:rsidRPr="00A156F4">
        <w:rPr>
          <w:rFonts w:ascii="Times New Roman" w:hAnsi="Times New Roman"/>
        </w:rPr>
        <w:t xml:space="preserve">en 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w:t>
      </w:r>
    </w:p>
    <w:p w14:paraId="00A77072" w14:textId="77777777" w:rsidR="00762F13" w:rsidRPr="00A156F4" w:rsidRDefault="00762F13" w:rsidP="00762F13">
      <w:pPr>
        <w:pStyle w:val="Prrafodelista"/>
        <w:spacing w:after="0" w:line="240" w:lineRule="auto"/>
        <w:rPr>
          <w:rFonts w:ascii="Times New Roman" w:hAnsi="Times New Roman"/>
        </w:rPr>
      </w:pPr>
    </w:p>
    <w:p w14:paraId="3291664F" w14:textId="77777777" w:rsidR="00762F13" w:rsidRPr="00A156F4" w:rsidRDefault="00762F13" w:rsidP="005B1F1F">
      <w:pPr>
        <w:pStyle w:val="Prrafodelista"/>
        <w:numPr>
          <w:ilvl w:val="1"/>
          <w:numId w:val="5"/>
        </w:numPr>
        <w:spacing w:after="0" w:line="240" w:lineRule="auto"/>
        <w:ind w:left="709"/>
        <w:contextualSpacing/>
        <w:jc w:val="both"/>
        <w:rPr>
          <w:rFonts w:ascii="Times New Roman" w:eastAsiaTheme="minorHAnsi" w:hAnsi="Times New Roman"/>
          <w:lang w:val="es-ES_tradnl" w:eastAsia="es-ES_tradnl"/>
        </w:rPr>
      </w:pPr>
      <w:r w:rsidRPr="00A156F4">
        <w:rPr>
          <w:rFonts w:ascii="Times New Roman" w:hAnsi="Times New Roman"/>
        </w:rPr>
        <w:t xml:space="preserve">Las infracciones graves serán sancionadas mediante una multa de hasta el cinco por ciento del volumen de negocios total del agente económico en el ejercicio fiscal inmediatamente anterior al de la imposición de la sanción. Para el caso de la </w:t>
      </w:r>
      <w:proofErr w:type="spellStart"/>
      <w:r w:rsidRPr="00A156F4">
        <w:rPr>
          <w:rFonts w:ascii="Times New Roman" w:hAnsi="Times New Roman"/>
        </w:rPr>
        <w:t>Sutel</w:t>
      </w:r>
      <w:proofErr w:type="spellEnd"/>
      <w:r w:rsidRPr="00A156F4">
        <w:rPr>
          <w:rFonts w:ascii="Times New Roman" w:hAnsi="Times New Roman"/>
        </w:rPr>
        <w:t xml:space="preserve">, se </w:t>
      </w:r>
      <w:r w:rsidR="00017E6A" w:rsidRPr="00A156F4">
        <w:rPr>
          <w:rFonts w:ascii="Times New Roman" w:hAnsi="Times New Roman"/>
        </w:rPr>
        <w:t>aplicarán los montos y porcentajes establecidos para las infracciones graves</w:t>
      </w:r>
      <w:r w:rsidRPr="00A156F4">
        <w:rPr>
          <w:rFonts w:ascii="Times New Roman" w:hAnsi="Times New Roman"/>
        </w:rPr>
        <w:t xml:space="preserve"> en la Ley </w:t>
      </w:r>
      <w:r w:rsidRPr="00A156F4">
        <w:rPr>
          <w:rFonts w:ascii="Times New Roman" w:eastAsiaTheme="minorHAnsi" w:hAnsi="Times New Roman"/>
          <w:lang w:val="es-ES_tradnl" w:eastAsia="es-ES_tradnl"/>
        </w:rPr>
        <w:t xml:space="preserve">General de Telecomunicaciones, Ley </w:t>
      </w:r>
      <w:proofErr w:type="spellStart"/>
      <w:r w:rsidRPr="00A156F4">
        <w:rPr>
          <w:rFonts w:ascii="Times New Roman" w:eastAsiaTheme="minorHAnsi" w:hAnsi="Times New Roman"/>
          <w:lang w:val="es-ES_tradnl" w:eastAsia="es-ES_tradnl"/>
        </w:rPr>
        <w:t>N°</w:t>
      </w:r>
      <w:proofErr w:type="spellEnd"/>
      <w:r w:rsidRPr="00A156F4">
        <w:rPr>
          <w:rFonts w:ascii="Times New Roman" w:eastAsiaTheme="minorHAnsi" w:hAnsi="Times New Roman"/>
          <w:lang w:val="es-ES_tradnl" w:eastAsia="es-ES_tradnl"/>
        </w:rPr>
        <w:t>. 8642, del 4 de junio de 2008, sus reformas y sus reglamentos.</w:t>
      </w:r>
    </w:p>
    <w:p w14:paraId="0F0EB494" w14:textId="77777777" w:rsidR="00762F13" w:rsidRPr="00A156F4" w:rsidRDefault="00762F13" w:rsidP="00762F13">
      <w:pPr>
        <w:pStyle w:val="Prrafodelista"/>
        <w:spacing w:after="0" w:line="240" w:lineRule="auto"/>
        <w:rPr>
          <w:rFonts w:ascii="Times New Roman" w:eastAsiaTheme="minorHAnsi" w:hAnsi="Times New Roman"/>
          <w:lang w:val="es-ES_tradnl" w:eastAsia="es-ES_tradnl"/>
        </w:rPr>
      </w:pPr>
    </w:p>
    <w:p w14:paraId="3B65587C" w14:textId="6908098D" w:rsidR="00D2665D" w:rsidRPr="00A156F4" w:rsidRDefault="00762F13" w:rsidP="001E34FC">
      <w:pPr>
        <w:pStyle w:val="Prrafodelista"/>
        <w:numPr>
          <w:ilvl w:val="1"/>
          <w:numId w:val="5"/>
        </w:numPr>
        <w:spacing w:after="0" w:line="240" w:lineRule="auto"/>
        <w:ind w:left="709"/>
        <w:contextualSpacing/>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 xml:space="preserve">Las infracciones muy graves serán sancionadas mediante una multa de hasta el </w:t>
      </w:r>
      <w:r w:rsidR="00BD6C2A" w:rsidRPr="00A156F4">
        <w:rPr>
          <w:rFonts w:ascii="Times New Roman" w:eastAsiaTheme="minorHAnsi" w:hAnsi="Times New Roman"/>
          <w:lang w:val="es-ES_tradnl" w:eastAsia="es-ES_tradnl"/>
        </w:rPr>
        <w:t xml:space="preserve">10 </w:t>
      </w:r>
      <w:r w:rsidRPr="00A156F4">
        <w:rPr>
          <w:rFonts w:ascii="Times New Roman" w:eastAsiaTheme="minorHAnsi" w:hAnsi="Times New Roman"/>
          <w:lang w:val="es-ES_tradnl" w:eastAsia="es-ES_tradnl"/>
        </w:rPr>
        <w:t xml:space="preserve">por ciento del volumen de negocios total del agente económico en el ejercicio fiscal inmediatamente anterior al de la imposición de la sanción. Para el caso de la </w:t>
      </w:r>
      <w:proofErr w:type="spellStart"/>
      <w:r w:rsidRPr="00A156F4">
        <w:rPr>
          <w:rFonts w:ascii="Times New Roman" w:eastAsiaTheme="minorHAnsi" w:hAnsi="Times New Roman"/>
          <w:lang w:val="es-ES_tradnl" w:eastAsia="es-ES_tradnl"/>
        </w:rPr>
        <w:t>Sutel</w:t>
      </w:r>
      <w:proofErr w:type="spellEnd"/>
      <w:r w:rsidRPr="00A156F4">
        <w:rPr>
          <w:rFonts w:ascii="Times New Roman" w:eastAsiaTheme="minorHAnsi" w:hAnsi="Times New Roman"/>
          <w:lang w:val="es-ES_tradnl" w:eastAsia="es-ES_tradnl"/>
        </w:rPr>
        <w:t xml:space="preserve">, se </w:t>
      </w:r>
      <w:r w:rsidR="00017E6A" w:rsidRPr="00A156F4">
        <w:rPr>
          <w:rFonts w:ascii="Times New Roman" w:eastAsiaTheme="minorHAnsi" w:hAnsi="Times New Roman"/>
          <w:lang w:val="es-ES_tradnl" w:eastAsia="es-ES_tradnl"/>
        </w:rPr>
        <w:t>aplicarán los montos y porcentajes establecidos para las infracciones muy graves</w:t>
      </w:r>
      <w:r w:rsidRPr="00A156F4">
        <w:rPr>
          <w:rFonts w:ascii="Times New Roman" w:eastAsiaTheme="minorHAnsi" w:hAnsi="Times New Roman"/>
          <w:lang w:val="es-ES_tradnl" w:eastAsia="es-ES_tradnl"/>
        </w:rPr>
        <w:t xml:space="preserve"> en la Ley General de Telecomunicaciones, Ley </w:t>
      </w:r>
      <w:proofErr w:type="spellStart"/>
      <w:r w:rsidRPr="00A156F4">
        <w:rPr>
          <w:rFonts w:ascii="Times New Roman" w:eastAsiaTheme="minorHAnsi" w:hAnsi="Times New Roman"/>
          <w:lang w:val="es-ES_tradnl" w:eastAsia="es-ES_tradnl"/>
        </w:rPr>
        <w:t>N°</w:t>
      </w:r>
      <w:proofErr w:type="spellEnd"/>
      <w:r w:rsidRPr="00A156F4">
        <w:rPr>
          <w:rFonts w:ascii="Times New Roman" w:eastAsiaTheme="minorHAnsi" w:hAnsi="Times New Roman"/>
          <w:lang w:val="es-ES_tradnl" w:eastAsia="es-ES_tradnl"/>
        </w:rPr>
        <w:t>. 8642, del 4 de junio de 2008, sus reformas y sus reglamentos.</w:t>
      </w:r>
    </w:p>
    <w:p w14:paraId="7463684C" w14:textId="77777777" w:rsidR="001E34FC" w:rsidRPr="00A156F4" w:rsidRDefault="001E34FC" w:rsidP="001E34FC">
      <w:pPr>
        <w:contextualSpacing/>
        <w:jc w:val="both"/>
        <w:rPr>
          <w:sz w:val="22"/>
          <w:szCs w:val="22"/>
        </w:rPr>
      </w:pPr>
    </w:p>
    <w:p w14:paraId="4163890A" w14:textId="232A59DF" w:rsidR="00D2665D" w:rsidRPr="00A156F4" w:rsidRDefault="006709C9" w:rsidP="005B1F1F">
      <w:pPr>
        <w:pStyle w:val="Prrafodelista"/>
        <w:numPr>
          <w:ilvl w:val="1"/>
          <w:numId w:val="5"/>
        </w:numPr>
        <w:spacing w:after="0" w:line="240" w:lineRule="auto"/>
        <w:ind w:left="709"/>
        <w:contextualSpacing/>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La prohibición del agente económico</w:t>
      </w:r>
      <w:r w:rsidR="00ED4BE6" w:rsidRPr="00A156F4">
        <w:rPr>
          <w:rFonts w:ascii="Times New Roman" w:eastAsiaTheme="minorHAnsi" w:hAnsi="Times New Roman"/>
          <w:lang w:val="es-ES_tradnl" w:eastAsia="es-ES_tradnl"/>
        </w:rPr>
        <w:t xml:space="preserve"> y</w:t>
      </w:r>
      <w:r w:rsidRPr="00A156F4">
        <w:rPr>
          <w:rFonts w:ascii="Times New Roman" w:eastAsiaTheme="minorHAnsi" w:hAnsi="Times New Roman"/>
          <w:lang w:val="es-ES_tradnl" w:eastAsia="es-ES_tradnl"/>
        </w:rPr>
        <w:t xml:space="preserve"> de sus representantes legales de participar de cualquier forma en todo tipo de contratación administrativa con cualquier entidad </w:t>
      </w:r>
      <w:r w:rsidR="00763095" w:rsidRPr="00A156F4">
        <w:rPr>
          <w:rFonts w:ascii="Times New Roman" w:eastAsiaTheme="minorHAnsi" w:hAnsi="Times New Roman"/>
          <w:lang w:val="es-ES_tradnl" w:eastAsia="es-ES_tradnl"/>
        </w:rPr>
        <w:t>pública</w:t>
      </w:r>
      <w:r w:rsidRPr="00A156F4">
        <w:rPr>
          <w:rFonts w:ascii="Times New Roman" w:eastAsiaTheme="minorHAnsi" w:hAnsi="Times New Roman"/>
          <w:lang w:val="es-ES_tradnl" w:eastAsia="es-ES_tradnl"/>
        </w:rPr>
        <w:t xml:space="preserve"> por un plazo </w:t>
      </w:r>
      <w:r w:rsidR="007468C4" w:rsidRPr="00A156F4">
        <w:rPr>
          <w:rFonts w:ascii="Times New Roman" w:eastAsiaTheme="minorHAnsi" w:hAnsi="Times New Roman"/>
          <w:lang w:val="es-ES_tradnl" w:eastAsia="es-ES_tradnl"/>
        </w:rPr>
        <w:t>entre los dos y los 10</w:t>
      </w:r>
      <w:r w:rsidRPr="00A156F4">
        <w:rPr>
          <w:rFonts w:ascii="Times New Roman" w:eastAsiaTheme="minorHAnsi" w:hAnsi="Times New Roman"/>
          <w:lang w:val="es-ES_tradnl" w:eastAsia="es-ES_tradnl"/>
        </w:rPr>
        <w:t xml:space="preserve"> años, en los casos de infracción al artículo 11, inciso d) de la Ley </w:t>
      </w:r>
      <w:proofErr w:type="spellStart"/>
      <w:r w:rsidRPr="00A156F4">
        <w:rPr>
          <w:rFonts w:ascii="Times New Roman" w:eastAsiaTheme="minorHAnsi" w:hAnsi="Times New Roman"/>
          <w:lang w:val="es-ES_tradnl" w:eastAsia="es-ES_tradnl"/>
        </w:rPr>
        <w:t>Nº</w:t>
      </w:r>
      <w:proofErr w:type="spellEnd"/>
      <w:r w:rsidR="00FC7BC6" w:rsidRPr="00A156F4">
        <w:rPr>
          <w:rFonts w:ascii="Times New Roman" w:eastAsiaTheme="minorHAnsi" w:hAnsi="Times New Roman"/>
          <w:lang w:val="es-ES_tradnl" w:eastAsia="es-ES_tradnl"/>
        </w:rPr>
        <w:t xml:space="preserve"> </w:t>
      </w:r>
      <w:r w:rsidRPr="00A156F4">
        <w:rPr>
          <w:rFonts w:ascii="Times New Roman" w:eastAsiaTheme="minorHAnsi" w:hAnsi="Times New Roman"/>
          <w:lang w:val="es-ES_tradnl" w:eastAsia="es-ES_tradnl"/>
        </w:rPr>
        <w:t xml:space="preserve">7472. </w:t>
      </w:r>
    </w:p>
    <w:p w14:paraId="228D12C9" w14:textId="77777777" w:rsidR="00D2665D" w:rsidRPr="00A156F4" w:rsidRDefault="00D2665D" w:rsidP="008F41AB">
      <w:pPr>
        <w:rPr>
          <w:sz w:val="22"/>
          <w:szCs w:val="22"/>
        </w:rPr>
      </w:pPr>
    </w:p>
    <w:p w14:paraId="1BE36412" w14:textId="7E9772CB" w:rsidR="00D2665D" w:rsidRPr="00A156F4" w:rsidRDefault="00762F13" w:rsidP="005B1F1F">
      <w:pPr>
        <w:pStyle w:val="Prrafodelista"/>
        <w:numPr>
          <w:ilvl w:val="1"/>
          <w:numId w:val="5"/>
        </w:numPr>
        <w:spacing w:after="0" w:line="240" w:lineRule="auto"/>
        <w:ind w:left="709"/>
        <w:contextualSpacing/>
        <w:jc w:val="both"/>
        <w:rPr>
          <w:rFonts w:ascii="Times New Roman" w:eastAsiaTheme="minorHAnsi" w:hAnsi="Times New Roman"/>
          <w:lang w:val="es-ES_tradnl" w:eastAsia="es-ES_tradnl"/>
        </w:rPr>
      </w:pPr>
      <w:r w:rsidRPr="00A156F4">
        <w:rPr>
          <w:rFonts w:ascii="Times New Roman" w:eastAsiaTheme="minorHAnsi" w:hAnsi="Times New Roman"/>
          <w:lang w:val="es-ES_tradnl" w:eastAsia="es-ES_tradnl"/>
        </w:rPr>
        <w:t>A las personas físicas que participen</w:t>
      </w:r>
      <w:r w:rsidR="00A57C53" w:rsidRPr="00A156F4">
        <w:rPr>
          <w:rFonts w:ascii="Times New Roman" w:eastAsiaTheme="minorHAnsi" w:hAnsi="Times New Roman"/>
          <w:lang w:val="es-ES_tradnl" w:eastAsia="es-ES_tradnl"/>
        </w:rPr>
        <w:t xml:space="preserve"> en forma deliberada</w:t>
      </w:r>
      <w:r w:rsidRPr="00A156F4">
        <w:rPr>
          <w:rFonts w:ascii="Times New Roman" w:eastAsiaTheme="minorHAnsi" w:hAnsi="Times New Roman"/>
          <w:lang w:val="es-ES_tradnl" w:eastAsia="es-ES_tradnl"/>
        </w:rPr>
        <w:t xml:space="preserve"> directamente en las prácticas monopolísticas o concentraciones </w:t>
      </w:r>
      <w:r w:rsidR="001E34FC" w:rsidRPr="00A156F4">
        <w:rPr>
          <w:rFonts w:ascii="Times New Roman" w:eastAsiaTheme="minorHAnsi" w:hAnsi="Times New Roman"/>
          <w:lang w:val="es-ES_tradnl" w:eastAsia="es-ES_tradnl"/>
        </w:rPr>
        <w:t>ilícitas</w:t>
      </w:r>
      <w:r w:rsidRPr="00A156F4">
        <w:rPr>
          <w:rFonts w:ascii="Times New Roman" w:eastAsiaTheme="minorHAnsi" w:hAnsi="Times New Roman"/>
          <w:lang w:val="es-ES_tradnl" w:eastAsia="es-ES_tradnl"/>
        </w:rPr>
        <w:t>, en representación de personas jurídicas o entidades de hecho, o por cuenta y orden de ellas, se les impondrá una multa de hasta seiscientos ochenta salarios base</w:t>
      </w:r>
      <w:r w:rsidR="00634652" w:rsidRPr="00A156F4">
        <w:rPr>
          <w:rFonts w:ascii="Times New Roman" w:eastAsiaTheme="minorHAnsi" w:hAnsi="Times New Roman"/>
          <w:lang w:val="es-ES_tradnl" w:eastAsia="es-ES_tradnl"/>
        </w:rPr>
        <w:t>.</w:t>
      </w:r>
    </w:p>
    <w:p w14:paraId="6EC352D9" w14:textId="77777777" w:rsidR="00D2665D" w:rsidRPr="00A156F4" w:rsidRDefault="00D2665D" w:rsidP="00D2665D">
      <w:pPr>
        <w:contextualSpacing/>
        <w:jc w:val="both"/>
        <w:rPr>
          <w:sz w:val="22"/>
          <w:szCs w:val="22"/>
        </w:rPr>
      </w:pPr>
    </w:p>
    <w:p w14:paraId="4AA8E537" w14:textId="6167BB12" w:rsidR="00961C77" w:rsidRPr="00A156F4" w:rsidRDefault="00961C77" w:rsidP="00762F13">
      <w:pPr>
        <w:jc w:val="both"/>
        <w:rPr>
          <w:sz w:val="22"/>
          <w:szCs w:val="22"/>
          <w:lang w:val="es-CR"/>
        </w:rPr>
      </w:pPr>
      <w:r w:rsidRPr="00A156F4">
        <w:rPr>
          <w:sz w:val="22"/>
          <w:szCs w:val="22"/>
        </w:rPr>
        <w:t xml:space="preserve">Los pagos de las multas que se impongan a las personas físicas conforme a este </w:t>
      </w:r>
      <w:r w:rsidR="006F25EE" w:rsidRPr="00A156F4">
        <w:rPr>
          <w:sz w:val="22"/>
          <w:szCs w:val="22"/>
        </w:rPr>
        <w:t>artículo</w:t>
      </w:r>
      <w:r w:rsidRPr="00A156F4">
        <w:rPr>
          <w:sz w:val="22"/>
          <w:szCs w:val="22"/>
        </w:rPr>
        <w:t xml:space="preserve"> no podrán ser cubiertos, ni asegurados, o en general garantizados, directamente o por interpuesta persona, por la persona jurídica a la cual estaba vinculada la persona </w:t>
      </w:r>
      <w:r w:rsidR="003B757B" w:rsidRPr="00A156F4">
        <w:rPr>
          <w:sz w:val="22"/>
          <w:szCs w:val="22"/>
        </w:rPr>
        <w:t>física</w:t>
      </w:r>
      <w:r w:rsidRPr="00A156F4">
        <w:rPr>
          <w:sz w:val="22"/>
          <w:szCs w:val="22"/>
        </w:rPr>
        <w:t xml:space="preserve"> cuando incurrió en la conducta; ni por la matriz o empresas subordinadas de ésta; ni por las empresas que pertenezcan al mismo grupo empresarial o estén sujetas al mismo control de aquella.</w:t>
      </w:r>
    </w:p>
    <w:p w14:paraId="4C6E59FA" w14:textId="77777777" w:rsidR="00961C77" w:rsidRPr="00A156F4" w:rsidRDefault="00961C77" w:rsidP="00762F13">
      <w:pPr>
        <w:jc w:val="both"/>
        <w:rPr>
          <w:sz w:val="22"/>
          <w:szCs w:val="22"/>
          <w:lang w:val="es-CR"/>
        </w:rPr>
      </w:pPr>
    </w:p>
    <w:p w14:paraId="407EB458" w14:textId="32F3E9C7" w:rsidR="00CA3B7D" w:rsidRPr="00A156F4" w:rsidRDefault="00CA3B7D" w:rsidP="00C1720E">
      <w:pPr>
        <w:jc w:val="both"/>
        <w:rPr>
          <w:sz w:val="22"/>
          <w:szCs w:val="22"/>
        </w:rPr>
      </w:pPr>
      <w:r w:rsidRPr="00A156F4">
        <w:rPr>
          <w:sz w:val="22"/>
          <w:szCs w:val="22"/>
        </w:rPr>
        <w:t>En caso de que no sea posible delimitar el volumen de negocios de una empresa, las infracciones tipificadas en la presente Ley serán sancionadas</w:t>
      </w:r>
      <w:r w:rsidR="00F0074F" w:rsidRPr="00A156F4">
        <w:rPr>
          <w:sz w:val="22"/>
          <w:szCs w:val="22"/>
        </w:rPr>
        <w:t xml:space="preserve"> por la autoridad de competencia correspondiente,</w:t>
      </w:r>
      <w:r w:rsidRPr="00A156F4">
        <w:rPr>
          <w:sz w:val="22"/>
          <w:szCs w:val="22"/>
        </w:rPr>
        <w:t xml:space="preserve"> en los términos siguientes:</w:t>
      </w:r>
    </w:p>
    <w:p w14:paraId="57D97CB8" w14:textId="77777777" w:rsidR="00610930" w:rsidRPr="00A156F4" w:rsidRDefault="00610930" w:rsidP="00C1720E">
      <w:pPr>
        <w:jc w:val="both"/>
        <w:rPr>
          <w:sz w:val="22"/>
          <w:szCs w:val="22"/>
        </w:rPr>
      </w:pPr>
    </w:p>
    <w:p w14:paraId="4D927622" w14:textId="0211CB67" w:rsidR="00CA3B7D" w:rsidRPr="00A156F4" w:rsidRDefault="00D2665D" w:rsidP="00C1720E">
      <w:pPr>
        <w:ind w:left="567"/>
        <w:jc w:val="both"/>
        <w:rPr>
          <w:sz w:val="22"/>
          <w:szCs w:val="22"/>
        </w:rPr>
      </w:pPr>
      <w:r w:rsidRPr="00A156F4">
        <w:rPr>
          <w:sz w:val="22"/>
          <w:szCs w:val="22"/>
        </w:rPr>
        <w:t>i</w:t>
      </w:r>
      <w:r w:rsidR="00CA3B7D" w:rsidRPr="00A156F4">
        <w:rPr>
          <w:sz w:val="22"/>
          <w:szCs w:val="22"/>
        </w:rPr>
        <w:t xml:space="preserve">) Las infracciones leves con multa de </w:t>
      </w:r>
      <w:r w:rsidR="00460336" w:rsidRPr="00A156F4">
        <w:rPr>
          <w:sz w:val="22"/>
          <w:szCs w:val="22"/>
        </w:rPr>
        <w:t xml:space="preserve">hasta </w:t>
      </w:r>
      <w:r w:rsidR="00C64BFC" w:rsidRPr="00A156F4">
        <w:rPr>
          <w:sz w:val="22"/>
          <w:szCs w:val="22"/>
        </w:rPr>
        <w:t>680</w:t>
      </w:r>
      <w:r w:rsidR="00460336" w:rsidRPr="00A156F4">
        <w:rPr>
          <w:sz w:val="22"/>
          <w:szCs w:val="22"/>
        </w:rPr>
        <w:t xml:space="preserve"> salarios base</w:t>
      </w:r>
      <w:r w:rsidR="00CA3B7D" w:rsidRPr="00A156F4">
        <w:rPr>
          <w:sz w:val="22"/>
          <w:szCs w:val="22"/>
        </w:rPr>
        <w:t>.</w:t>
      </w:r>
    </w:p>
    <w:p w14:paraId="06CAE7A6" w14:textId="558FCF52" w:rsidR="00CA3B7D" w:rsidRPr="00A156F4" w:rsidRDefault="00D2665D" w:rsidP="00C1720E">
      <w:pPr>
        <w:spacing w:before="180" w:after="180"/>
        <w:ind w:left="567"/>
        <w:jc w:val="both"/>
        <w:rPr>
          <w:sz w:val="22"/>
          <w:szCs w:val="22"/>
        </w:rPr>
      </w:pPr>
      <w:proofErr w:type="spellStart"/>
      <w:r w:rsidRPr="00A156F4">
        <w:rPr>
          <w:sz w:val="22"/>
          <w:szCs w:val="22"/>
        </w:rPr>
        <w:t>ii</w:t>
      </w:r>
      <w:proofErr w:type="spellEnd"/>
      <w:r w:rsidR="00CA3B7D" w:rsidRPr="00A156F4">
        <w:rPr>
          <w:sz w:val="22"/>
          <w:szCs w:val="22"/>
        </w:rPr>
        <w:t>) Las infracciones graves con multa de</w:t>
      </w:r>
      <w:r w:rsidR="00C64BFC" w:rsidRPr="00A156F4">
        <w:rPr>
          <w:sz w:val="22"/>
          <w:szCs w:val="22"/>
        </w:rPr>
        <w:t xml:space="preserve"> entre 681 a 1360</w:t>
      </w:r>
      <w:r w:rsidR="00460336" w:rsidRPr="00A156F4">
        <w:rPr>
          <w:sz w:val="22"/>
          <w:szCs w:val="22"/>
        </w:rPr>
        <w:t xml:space="preserve"> salarios base.</w:t>
      </w:r>
    </w:p>
    <w:p w14:paraId="312570FF" w14:textId="3B0B3F7F" w:rsidR="00CA3B7D" w:rsidRPr="00A156F4" w:rsidRDefault="00D2665D" w:rsidP="00C1720E">
      <w:pPr>
        <w:spacing w:before="180"/>
        <w:ind w:left="567"/>
        <w:jc w:val="both"/>
        <w:rPr>
          <w:sz w:val="22"/>
          <w:szCs w:val="22"/>
        </w:rPr>
      </w:pPr>
      <w:proofErr w:type="spellStart"/>
      <w:r w:rsidRPr="00A156F4">
        <w:rPr>
          <w:sz w:val="22"/>
          <w:szCs w:val="22"/>
        </w:rPr>
        <w:t>iii</w:t>
      </w:r>
      <w:proofErr w:type="spellEnd"/>
      <w:r w:rsidR="00CA3B7D" w:rsidRPr="00A156F4">
        <w:rPr>
          <w:sz w:val="22"/>
          <w:szCs w:val="22"/>
        </w:rPr>
        <w:t>) Las infracciones muy graves con multa de</w:t>
      </w:r>
      <w:r w:rsidR="00C64BFC" w:rsidRPr="00A156F4">
        <w:rPr>
          <w:sz w:val="22"/>
          <w:szCs w:val="22"/>
        </w:rPr>
        <w:t xml:space="preserve"> entre 1361 a</w:t>
      </w:r>
      <w:r w:rsidR="00BA0885" w:rsidRPr="00A156F4">
        <w:rPr>
          <w:sz w:val="22"/>
          <w:szCs w:val="22"/>
        </w:rPr>
        <w:t xml:space="preserve"> </w:t>
      </w:r>
      <w:r w:rsidR="00C64BFC" w:rsidRPr="00A156F4">
        <w:rPr>
          <w:sz w:val="22"/>
          <w:szCs w:val="22"/>
        </w:rPr>
        <w:t xml:space="preserve">4083 </w:t>
      </w:r>
      <w:r w:rsidR="00460336" w:rsidRPr="00A156F4">
        <w:rPr>
          <w:sz w:val="22"/>
          <w:szCs w:val="22"/>
        </w:rPr>
        <w:t>salarios base.</w:t>
      </w:r>
    </w:p>
    <w:p w14:paraId="046CA821" w14:textId="77777777" w:rsidR="00CA3B7D" w:rsidRPr="00A156F4" w:rsidRDefault="00CA3B7D">
      <w:pPr>
        <w:jc w:val="both"/>
        <w:rPr>
          <w:sz w:val="22"/>
          <w:szCs w:val="22"/>
        </w:rPr>
      </w:pPr>
    </w:p>
    <w:p w14:paraId="577AA406" w14:textId="28726BE1" w:rsidR="00762F13" w:rsidRPr="00A156F4" w:rsidRDefault="00762F13" w:rsidP="00762F13">
      <w:pPr>
        <w:jc w:val="both"/>
        <w:rPr>
          <w:sz w:val="22"/>
          <w:szCs w:val="22"/>
        </w:rPr>
      </w:pPr>
      <w:r w:rsidRPr="00A156F4">
        <w:rPr>
          <w:sz w:val="22"/>
          <w:szCs w:val="22"/>
        </w:rPr>
        <w:t xml:space="preserve">Si el infractor se niega a pagar la multa impuesta por la autoridad de competencia correspondiente, el </w:t>
      </w:r>
      <w:r w:rsidRPr="00A156F4">
        <w:rPr>
          <w:sz w:val="22"/>
          <w:szCs w:val="22"/>
          <w:lang w:eastAsia="es-CR"/>
        </w:rPr>
        <w:t>Órgano Superior</w:t>
      </w:r>
      <w:r w:rsidRPr="00A156F4" w:rsidDel="009A2988">
        <w:rPr>
          <w:sz w:val="22"/>
          <w:szCs w:val="22"/>
          <w:lang w:eastAsia="es-CR"/>
        </w:rPr>
        <w:t xml:space="preserve"> </w:t>
      </w:r>
      <w:r w:rsidRPr="00A156F4">
        <w:rPr>
          <w:sz w:val="22"/>
          <w:szCs w:val="22"/>
          <w:lang w:val="es-ES"/>
        </w:rPr>
        <w:t xml:space="preserve">de la autoridad de competencia respectiva </w:t>
      </w:r>
      <w:r w:rsidRPr="00A156F4">
        <w:rPr>
          <w:sz w:val="22"/>
          <w:szCs w:val="22"/>
        </w:rPr>
        <w:t>certificará lo adeudado, que constitu</w:t>
      </w:r>
      <w:r w:rsidR="003A7E5F" w:rsidRPr="00A156F4">
        <w:rPr>
          <w:sz w:val="22"/>
          <w:szCs w:val="22"/>
        </w:rPr>
        <w:t>irá</w:t>
      </w:r>
      <w:r w:rsidRPr="00A156F4">
        <w:rPr>
          <w:sz w:val="22"/>
          <w:szCs w:val="22"/>
        </w:rPr>
        <w:t xml:space="preserve"> título ejecutivo, y planteará el proceso de ejecución en vía judicial, en los términos dispuestos por ley. Los débitos que no hayan sido cancelados dentro del plazo conferido generarán la obligación de pagar intereses moratorios de tipo legal. </w:t>
      </w:r>
    </w:p>
    <w:p w14:paraId="16F35033" w14:textId="77777777" w:rsidR="00762F13" w:rsidRPr="00A156F4" w:rsidRDefault="00762F13" w:rsidP="00762F13">
      <w:pPr>
        <w:jc w:val="both"/>
        <w:rPr>
          <w:sz w:val="22"/>
          <w:szCs w:val="22"/>
        </w:rPr>
      </w:pPr>
    </w:p>
    <w:p w14:paraId="0F587C16" w14:textId="00C220E1"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1</w:t>
      </w:r>
      <w:r w:rsidR="00D80091" w:rsidRPr="00A156F4">
        <w:rPr>
          <w:rFonts w:ascii="Times New Roman" w:eastAsia="Times New Roman" w:hAnsi="Times New Roman" w:cs="Times New Roman"/>
          <w:b/>
          <w:i w:val="0"/>
          <w:iCs w:val="0"/>
          <w:color w:val="auto"/>
          <w:sz w:val="22"/>
          <w:szCs w:val="22"/>
          <w:lang w:val="es-CR" w:eastAsia="en-US"/>
        </w:rPr>
        <w:t>19</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Criterios de ponderación </w:t>
      </w:r>
    </w:p>
    <w:p w14:paraId="509D1D60" w14:textId="77777777" w:rsidR="00762F13" w:rsidRPr="00A156F4" w:rsidRDefault="00762F13" w:rsidP="00762F13">
      <w:pPr>
        <w:rPr>
          <w:sz w:val="22"/>
          <w:szCs w:val="22"/>
          <w:lang w:val="es-CR" w:eastAsia="en-US"/>
        </w:rPr>
      </w:pPr>
    </w:p>
    <w:p w14:paraId="367CCD5C" w14:textId="38DAFE1B" w:rsidR="00762F13" w:rsidRPr="00A156F4" w:rsidRDefault="00762F13" w:rsidP="00762F13">
      <w:pPr>
        <w:widowControl w:val="0"/>
        <w:jc w:val="both"/>
        <w:rPr>
          <w:sz w:val="22"/>
          <w:szCs w:val="22"/>
        </w:rPr>
      </w:pPr>
      <w:r w:rsidRPr="00A156F4">
        <w:rPr>
          <w:sz w:val="22"/>
          <w:szCs w:val="22"/>
        </w:rPr>
        <w:t xml:space="preserve">El Órgano Superior </w:t>
      </w:r>
      <w:r w:rsidRPr="00A156F4">
        <w:rPr>
          <w:sz w:val="22"/>
          <w:szCs w:val="22"/>
          <w:lang w:val="es-ES"/>
        </w:rPr>
        <w:t xml:space="preserve">de la autoridad de competencia correspondiente </w:t>
      </w:r>
      <w:r w:rsidRPr="00A156F4">
        <w:rPr>
          <w:sz w:val="22"/>
          <w:szCs w:val="22"/>
        </w:rPr>
        <w:t>dictará las sanciones por resolución fundada. Estas se aplicarán en forma gradual y proporcionada</w:t>
      </w:r>
      <w:r w:rsidR="003A7E5F" w:rsidRPr="00A156F4">
        <w:rPr>
          <w:sz w:val="22"/>
          <w:szCs w:val="22"/>
        </w:rPr>
        <w:t>,</w:t>
      </w:r>
      <w:r w:rsidRPr="00A156F4">
        <w:rPr>
          <w:sz w:val="22"/>
          <w:szCs w:val="22"/>
        </w:rPr>
        <w:t xml:space="preserve"> tomando en consideración los siguientes criterios: la gravedad de la infracción; la amenaza o el daño causado; la intencionalidad; el tamaño del mercado afectado; la participación del infractor en el mercado; la duración de la conducta; la reincidencia y la capacidad de pago del infractor.</w:t>
      </w:r>
    </w:p>
    <w:p w14:paraId="6CDF01F5" w14:textId="1E9465B5" w:rsidR="00762F13" w:rsidRPr="00A156F4" w:rsidRDefault="00762F13" w:rsidP="00762F13">
      <w:pPr>
        <w:widowControl w:val="0"/>
        <w:jc w:val="both"/>
        <w:rPr>
          <w:sz w:val="22"/>
          <w:szCs w:val="22"/>
        </w:rPr>
      </w:pPr>
    </w:p>
    <w:p w14:paraId="3E0E99BC" w14:textId="77777777" w:rsidR="005F7DB9" w:rsidRPr="00A156F4" w:rsidRDefault="005F7DB9" w:rsidP="00762F13">
      <w:pPr>
        <w:widowControl w:val="0"/>
        <w:jc w:val="both"/>
        <w:rPr>
          <w:sz w:val="22"/>
          <w:szCs w:val="22"/>
        </w:rPr>
      </w:pPr>
    </w:p>
    <w:p w14:paraId="7CFE62E3" w14:textId="227DBB12" w:rsidR="003E03B3" w:rsidRPr="00A156F4" w:rsidRDefault="003E03B3" w:rsidP="00E85B84">
      <w:pPr>
        <w:widowControl w:val="0"/>
        <w:jc w:val="center"/>
        <w:rPr>
          <w:b/>
          <w:sz w:val="22"/>
          <w:szCs w:val="22"/>
        </w:rPr>
      </w:pPr>
      <w:r w:rsidRPr="00A156F4">
        <w:rPr>
          <w:b/>
          <w:sz w:val="22"/>
          <w:szCs w:val="22"/>
        </w:rPr>
        <w:t>SECCIÓN</w:t>
      </w:r>
      <w:r w:rsidR="00E85B84" w:rsidRPr="00A156F4">
        <w:rPr>
          <w:b/>
          <w:sz w:val="22"/>
          <w:szCs w:val="22"/>
        </w:rPr>
        <w:t xml:space="preserve"> II</w:t>
      </w:r>
    </w:p>
    <w:p w14:paraId="1C5C23D2" w14:textId="512C97FD" w:rsidR="00E85B84" w:rsidRPr="00A156F4" w:rsidRDefault="00E85B84" w:rsidP="00E85B84">
      <w:pPr>
        <w:widowControl w:val="0"/>
        <w:jc w:val="center"/>
        <w:rPr>
          <w:b/>
          <w:sz w:val="22"/>
          <w:szCs w:val="22"/>
        </w:rPr>
      </w:pPr>
      <w:r w:rsidRPr="00A156F4">
        <w:rPr>
          <w:b/>
          <w:sz w:val="22"/>
          <w:szCs w:val="22"/>
        </w:rPr>
        <w:t>Exoneración y reducción de la multa</w:t>
      </w:r>
    </w:p>
    <w:p w14:paraId="36CFA4D2" w14:textId="77777777" w:rsidR="005F7DB9" w:rsidRPr="00A156F4" w:rsidRDefault="005F7DB9" w:rsidP="00E85B84">
      <w:pPr>
        <w:widowControl w:val="0"/>
        <w:jc w:val="center"/>
        <w:rPr>
          <w:sz w:val="22"/>
          <w:szCs w:val="22"/>
        </w:rPr>
      </w:pPr>
    </w:p>
    <w:p w14:paraId="02869EE0" w14:textId="77777777" w:rsidR="003E03B3" w:rsidRPr="00A156F4" w:rsidRDefault="003E03B3" w:rsidP="00762F13">
      <w:pPr>
        <w:widowControl w:val="0"/>
        <w:jc w:val="both"/>
        <w:rPr>
          <w:sz w:val="22"/>
          <w:szCs w:val="22"/>
        </w:rPr>
      </w:pPr>
    </w:p>
    <w:p w14:paraId="054FB51A" w14:textId="27C55B54" w:rsidR="00F10E8A" w:rsidRPr="00A156F4" w:rsidRDefault="00F10E8A" w:rsidP="00F10E8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Pr="00A156F4">
        <w:rPr>
          <w:rFonts w:ascii="Times New Roman" w:hAnsi="Times New Roman" w:cs="Times New Roman"/>
          <w:b/>
          <w:bCs/>
          <w:i w:val="0"/>
          <w:color w:val="auto"/>
          <w:sz w:val="22"/>
          <w:szCs w:val="22"/>
        </w:rPr>
        <w:t>1</w:t>
      </w:r>
      <w:r w:rsidR="00701AF7" w:rsidRPr="00A156F4">
        <w:rPr>
          <w:rFonts w:ascii="Times New Roman" w:eastAsia="Times New Roman" w:hAnsi="Times New Roman" w:cs="Times New Roman"/>
          <w:b/>
          <w:i w:val="0"/>
          <w:iCs w:val="0"/>
          <w:color w:val="auto"/>
          <w:sz w:val="22"/>
          <w:szCs w:val="22"/>
          <w:lang w:val="es-CR" w:eastAsia="en-US"/>
        </w:rPr>
        <w:t>2</w:t>
      </w:r>
      <w:r w:rsidR="00D80091" w:rsidRPr="00A156F4">
        <w:rPr>
          <w:rFonts w:ascii="Times New Roman" w:eastAsia="Times New Roman" w:hAnsi="Times New Roman" w:cs="Times New Roman"/>
          <w:b/>
          <w:i w:val="0"/>
          <w:iCs w:val="0"/>
          <w:color w:val="auto"/>
          <w:sz w:val="22"/>
          <w:szCs w:val="22"/>
          <w:lang w:val="es-CR" w:eastAsia="en-US"/>
        </w:rPr>
        <w:t>0</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Exoneración de la multa</w:t>
      </w:r>
    </w:p>
    <w:p w14:paraId="49A9AAD7" w14:textId="77777777" w:rsidR="00532554" w:rsidRPr="00A156F4" w:rsidRDefault="00532554" w:rsidP="00F10E8A">
      <w:pPr>
        <w:jc w:val="both"/>
        <w:rPr>
          <w:sz w:val="22"/>
          <w:szCs w:val="22"/>
          <w:lang w:val="es-CR" w:eastAsia="en-US"/>
        </w:rPr>
      </w:pPr>
    </w:p>
    <w:p w14:paraId="77B270BF" w14:textId="1A16995B" w:rsidR="00F10E8A" w:rsidRPr="00A156F4" w:rsidRDefault="00F10E8A" w:rsidP="00F10E8A">
      <w:pPr>
        <w:jc w:val="both"/>
        <w:rPr>
          <w:sz w:val="22"/>
          <w:szCs w:val="22"/>
          <w:lang w:val="es-CR"/>
        </w:rPr>
      </w:pPr>
      <w:r w:rsidRPr="00A156F4">
        <w:rPr>
          <w:sz w:val="22"/>
          <w:szCs w:val="22"/>
          <w:lang w:val="es-CR"/>
        </w:rPr>
        <w:t>C</w:t>
      </w:r>
      <w:proofErr w:type="spellStart"/>
      <w:r w:rsidRPr="00A156F4">
        <w:rPr>
          <w:sz w:val="22"/>
          <w:szCs w:val="22"/>
        </w:rPr>
        <w:t>ualquier</w:t>
      </w:r>
      <w:proofErr w:type="spellEnd"/>
      <w:r w:rsidRPr="00A156F4">
        <w:rPr>
          <w:sz w:val="22"/>
          <w:szCs w:val="22"/>
        </w:rPr>
        <w:t xml:space="preserve"> agente económico o persona física que haya incurrido, coadyuvado, propiciado, inducido, participado o esté participando en la comisión de prácticas monopolísticas absolutas</w:t>
      </w:r>
      <w:r w:rsidR="00F45789" w:rsidRPr="00A156F4">
        <w:rPr>
          <w:sz w:val="22"/>
          <w:szCs w:val="22"/>
        </w:rPr>
        <w:t>,</w:t>
      </w:r>
      <w:r w:rsidRPr="00A156F4">
        <w:rPr>
          <w:sz w:val="22"/>
          <w:szCs w:val="22"/>
        </w:rPr>
        <w:t xml:space="preserve"> podrá reconocerlo ante la autoridad de competencia correspondiente y acogerse al beneficio de exoneración de la aplicación de la respectiva multa.</w:t>
      </w:r>
    </w:p>
    <w:p w14:paraId="139C428E" w14:textId="77777777" w:rsidR="00F10E8A" w:rsidRPr="00A156F4" w:rsidRDefault="00F10E8A" w:rsidP="00F10E8A">
      <w:pPr>
        <w:jc w:val="both"/>
        <w:rPr>
          <w:sz w:val="22"/>
          <w:szCs w:val="22"/>
          <w:lang w:val="es-CR"/>
        </w:rPr>
      </w:pPr>
    </w:p>
    <w:p w14:paraId="6CB1FC1A" w14:textId="697054E1" w:rsidR="00F10E8A" w:rsidRPr="00A156F4" w:rsidRDefault="00F10E8A" w:rsidP="00F10E8A">
      <w:pPr>
        <w:jc w:val="both"/>
        <w:rPr>
          <w:sz w:val="22"/>
          <w:szCs w:val="22"/>
        </w:rPr>
      </w:pPr>
      <w:r w:rsidRPr="00A156F4">
        <w:rPr>
          <w:sz w:val="22"/>
          <w:szCs w:val="22"/>
          <w:lang w:val="es-CR"/>
        </w:rPr>
        <w:t xml:space="preserve">La autoridad de competencia </w:t>
      </w:r>
      <w:r w:rsidRPr="00A156F4">
        <w:rPr>
          <w:sz w:val="22"/>
          <w:szCs w:val="22"/>
        </w:rPr>
        <w:t xml:space="preserve">eximirá </w:t>
      </w:r>
      <w:r w:rsidR="00F52065" w:rsidRPr="00A156F4">
        <w:rPr>
          <w:sz w:val="22"/>
          <w:szCs w:val="22"/>
        </w:rPr>
        <w:t xml:space="preserve">totalmente </w:t>
      </w:r>
      <w:r w:rsidRPr="00A156F4">
        <w:rPr>
          <w:sz w:val="22"/>
          <w:szCs w:val="22"/>
        </w:rPr>
        <w:t>a un agente económico o persona física del pago de la multa que hubiera podido imponerle, siempre y cuando sea el primero entre los agentes económicos o personas físicas involucradas en la conducta, en aportar elementos de prueba veraz</w:t>
      </w:r>
      <w:r w:rsidR="00F45789" w:rsidRPr="00A156F4">
        <w:rPr>
          <w:sz w:val="22"/>
          <w:szCs w:val="22"/>
        </w:rPr>
        <w:t>, que sean</w:t>
      </w:r>
      <w:r w:rsidRPr="00A156F4">
        <w:rPr>
          <w:sz w:val="22"/>
          <w:szCs w:val="22"/>
        </w:rPr>
        <w:t xml:space="preserve"> desconocidos para la autoridad de competencia correspondiente y que a juicio de esta permitan fundamentar la solicitud de una inspección o comprobar una infracción en relación con la comisión de una práctica monopolística absoluta. </w:t>
      </w:r>
    </w:p>
    <w:p w14:paraId="03216C55" w14:textId="77777777" w:rsidR="00F10E8A" w:rsidRPr="00A156F4" w:rsidRDefault="00F10E8A" w:rsidP="00F10E8A">
      <w:pPr>
        <w:jc w:val="both"/>
        <w:rPr>
          <w:sz w:val="22"/>
          <w:szCs w:val="22"/>
        </w:rPr>
      </w:pPr>
    </w:p>
    <w:p w14:paraId="3445A829" w14:textId="77777777" w:rsidR="00F10E8A" w:rsidRPr="00A156F4" w:rsidRDefault="00F10E8A" w:rsidP="00F10E8A">
      <w:pPr>
        <w:jc w:val="both"/>
        <w:rPr>
          <w:sz w:val="22"/>
          <w:szCs w:val="22"/>
        </w:rPr>
      </w:pPr>
      <w:r w:rsidRPr="00A156F4">
        <w:rPr>
          <w:sz w:val="22"/>
          <w:szCs w:val="22"/>
        </w:rPr>
        <w:t>La exoneración del pago de la multa concedida a una empresa beneficiará igualmente a sus representantes legales, o a las personas integrantes de los órganos directivos que hayan intervenido en el acuerdo o decisión, siempre y cuando hayan colaborado con la autoridad de competencia correspondiente hasta el dictado de la resolución final del procedimiento.</w:t>
      </w:r>
    </w:p>
    <w:p w14:paraId="6F50F7F9" w14:textId="77777777" w:rsidR="00F10E8A" w:rsidRPr="00A156F4" w:rsidRDefault="00F10E8A" w:rsidP="00F10E8A">
      <w:pPr>
        <w:pStyle w:val="Ttulo4"/>
        <w:keepNext w:val="0"/>
        <w:keepLines w:val="0"/>
        <w:spacing w:before="0"/>
        <w:contextualSpacing/>
        <w:jc w:val="both"/>
        <w:rPr>
          <w:rFonts w:ascii="Times New Roman" w:eastAsiaTheme="minorHAnsi" w:hAnsi="Times New Roman" w:cs="Times New Roman"/>
          <w:b/>
          <w:i w:val="0"/>
          <w:color w:val="auto"/>
          <w:sz w:val="22"/>
          <w:szCs w:val="22"/>
        </w:rPr>
      </w:pPr>
    </w:p>
    <w:p w14:paraId="1045FC74" w14:textId="0C0BF3F5" w:rsidR="00F10E8A" w:rsidRPr="00A156F4" w:rsidRDefault="00F10E8A" w:rsidP="00F10E8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12</w:t>
      </w:r>
      <w:r w:rsidR="00D80091" w:rsidRPr="00A156F4">
        <w:rPr>
          <w:rFonts w:ascii="Times New Roman" w:hAnsi="Times New Roman" w:cs="Times New Roman"/>
          <w:b/>
          <w:bCs/>
          <w:i w:val="0"/>
          <w:color w:val="auto"/>
          <w:sz w:val="22"/>
          <w:szCs w:val="22"/>
        </w:rPr>
        <w:t>1</w:t>
      </w:r>
      <w:r w:rsidRPr="00A156F4">
        <w:rPr>
          <w:rFonts w:ascii="Times New Roman" w:eastAsia="Times New Roman" w:hAnsi="Times New Roman" w:cs="Times New Roman"/>
          <w:b/>
          <w:i w:val="0"/>
          <w:iCs w:val="0"/>
          <w:color w:val="auto"/>
          <w:sz w:val="22"/>
          <w:szCs w:val="22"/>
          <w:lang w:val="es-CR" w:eastAsia="en-US"/>
        </w:rPr>
        <w:t>.- Requisitos de la Exoneración de la multa</w:t>
      </w:r>
    </w:p>
    <w:p w14:paraId="67F29E51" w14:textId="77777777" w:rsidR="00F10E8A" w:rsidRPr="00A156F4" w:rsidRDefault="00F10E8A" w:rsidP="00F10E8A">
      <w:pPr>
        <w:rPr>
          <w:sz w:val="22"/>
          <w:szCs w:val="22"/>
        </w:rPr>
      </w:pPr>
    </w:p>
    <w:p w14:paraId="61B081C2" w14:textId="7005F725" w:rsidR="00F10E8A" w:rsidRPr="00A156F4" w:rsidRDefault="00F10E8A" w:rsidP="00F10E8A">
      <w:pPr>
        <w:pStyle w:val="Ttulo4"/>
        <w:spacing w:before="0"/>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Para que la autoridad de competencia conceda la exoneración prevista en el artículo anterior, la empresa o, en su caso, la persona física que haya presentado la correspondiente solicitud deberá cumplir los siguientes requisitos:</w:t>
      </w:r>
    </w:p>
    <w:p w14:paraId="4B6EE4BD" w14:textId="77777777" w:rsidR="00F10E8A" w:rsidRPr="00A156F4" w:rsidRDefault="00F10E8A" w:rsidP="00F10E8A">
      <w:pPr>
        <w:rPr>
          <w:sz w:val="22"/>
          <w:szCs w:val="22"/>
        </w:rPr>
      </w:pPr>
    </w:p>
    <w:p w14:paraId="784A0AC3" w14:textId="4CBB33EC" w:rsidR="00F10E8A" w:rsidRPr="00A156F4" w:rsidRDefault="00F10E8A" w:rsidP="00117EE5">
      <w:pPr>
        <w:pStyle w:val="Ttulo4"/>
        <w:keepNext w:val="0"/>
        <w:keepLines w:val="0"/>
        <w:numPr>
          <w:ilvl w:val="0"/>
          <w:numId w:val="17"/>
        </w:numPr>
        <w:spacing w:before="0"/>
        <w:contextualSpacing/>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Coopere, de forma plena y continua, con la autoridad de competencia correspondiente durante el proceso de investigación y en la tramitación del procedimiento</w:t>
      </w:r>
      <w:r w:rsidR="00F45789" w:rsidRPr="00A156F4">
        <w:rPr>
          <w:rFonts w:ascii="Times New Roman" w:eastAsiaTheme="minorHAnsi" w:hAnsi="Times New Roman" w:cs="Times New Roman"/>
          <w:i w:val="0"/>
          <w:iCs w:val="0"/>
          <w:color w:val="auto"/>
          <w:sz w:val="22"/>
          <w:szCs w:val="22"/>
        </w:rPr>
        <w:t>,</w:t>
      </w:r>
      <w:r w:rsidRPr="00A156F4">
        <w:rPr>
          <w:rFonts w:ascii="Times New Roman" w:eastAsiaTheme="minorHAnsi" w:hAnsi="Times New Roman" w:cs="Times New Roman"/>
          <w:i w:val="0"/>
          <w:iCs w:val="0"/>
          <w:color w:val="auto"/>
          <w:sz w:val="22"/>
          <w:szCs w:val="22"/>
        </w:rPr>
        <w:t xml:space="preserve"> en la forma en que se establezca en el reglamento de la presente ley.</w:t>
      </w:r>
    </w:p>
    <w:p w14:paraId="2D5D09C0" w14:textId="77777777" w:rsidR="00F10E8A" w:rsidRPr="00A156F4" w:rsidRDefault="00F10E8A" w:rsidP="00532554">
      <w:pPr>
        <w:pStyle w:val="Ttulo4"/>
        <w:spacing w:before="0"/>
        <w:rPr>
          <w:rFonts w:ascii="Times New Roman" w:eastAsiaTheme="minorHAnsi" w:hAnsi="Times New Roman" w:cs="Times New Roman"/>
          <w:i w:val="0"/>
          <w:iCs w:val="0"/>
          <w:color w:val="auto"/>
          <w:sz w:val="22"/>
          <w:szCs w:val="22"/>
        </w:rPr>
      </w:pPr>
    </w:p>
    <w:p w14:paraId="654BE2A4" w14:textId="77777777" w:rsidR="00F10E8A" w:rsidRPr="00A156F4" w:rsidRDefault="00F10E8A" w:rsidP="00117EE5">
      <w:pPr>
        <w:pStyle w:val="Ttulo4"/>
        <w:keepNext w:val="0"/>
        <w:keepLines w:val="0"/>
        <w:numPr>
          <w:ilvl w:val="0"/>
          <w:numId w:val="17"/>
        </w:numPr>
        <w:spacing w:before="0"/>
        <w:contextualSpacing/>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Termine su participación en la práctica monopolística absoluta en el momento y en la forma que le indique la autoridad de competencia correspondiente.</w:t>
      </w:r>
    </w:p>
    <w:p w14:paraId="2B4289E4" w14:textId="77777777" w:rsidR="00F10E8A" w:rsidRPr="00A156F4" w:rsidRDefault="00F10E8A" w:rsidP="00F10E8A">
      <w:pPr>
        <w:pStyle w:val="Ttulo4"/>
        <w:spacing w:before="0"/>
        <w:ind w:left="720"/>
        <w:rPr>
          <w:rFonts w:ascii="Times New Roman" w:eastAsiaTheme="minorHAnsi" w:hAnsi="Times New Roman" w:cs="Times New Roman"/>
          <w:i w:val="0"/>
          <w:iCs w:val="0"/>
          <w:color w:val="auto"/>
          <w:sz w:val="22"/>
          <w:szCs w:val="22"/>
        </w:rPr>
      </w:pPr>
    </w:p>
    <w:p w14:paraId="32B0C147" w14:textId="2524718A" w:rsidR="00F10E8A" w:rsidRPr="00A156F4" w:rsidRDefault="00F10E8A" w:rsidP="00117EE5">
      <w:pPr>
        <w:pStyle w:val="Ttulo4"/>
        <w:keepNext w:val="0"/>
        <w:keepLines w:val="0"/>
        <w:numPr>
          <w:ilvl w:val="0"/>
          <w:numId w:val="17"/>
        </w:numPr>
        <w:spacing w:before="0"/>
        <w:contextualSpacing/>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 xml:space="preserve">No </w:t>
      </w:r>
      <w:r w:rsidR="00F45789" w:rsidRPr="00A156F4">
        <w:rPr>
          <w:rFonts w:ascii="Times New Roman" w:eastAsiaTheme="minorHAnsi" w:hAnsi="Times New Roman" w:cs="Times New Roman"/>
          <w:i w:val="0"/>
          <w:iCs w:val="0"/>
          <w:color w:val="auto"/>
          <w:sz w:val="22"/>
          <w:szCs w:val="22"/>
        </w:rPr>
        <w:t xml:space="preserve">haber </w:t>
      </w:r>
      <w:r w:rsidRPr="00A156F4">
        <w:rPr>
          <w:rFonts w:ascii="Times New Roman" w:eastAsiaTheme="minorHAnsi" w:hAnsi="Times New Roman" w:cs="Times New Roman"/>
          <w:i w:val="0"/>
          <w:iCs w:val="0"/>
          <w:color w:val="auto"/>
          <w:sz w:val="22"/>
          <w:szCs w:val="22"/>
        </w:rPr>
        <w:t>adoptado medidas para obligar a otras empresas a participar en la infracción.</w:t>
      </w:r>
    </w:p>
    <w:p w14:paraId="41F38547" w14:textId="77777777" w:rsidR="00F10E8A" w:rsidRPr="00A156F4" w:rsidRDefault="00F10E8A" w:rsidP="00F10E8A">
      <w:pPr>
        <w:jc w:val="both"/>
        <w:rPr>
          <w:sz w:val="22"/>
          <w:szCs w:val="22"/>
        </w:rPr>
      </w:pPr>
    </w:p>
    <w:p w14:paraId="364CCF62" w14:textId="77777777" w:rsidR="00F10E8A" w:rsidRPr="00A156F4" w:rsidRDefault="00F10E8A" w:rsidP="00F10E8A">
      <w:pPr>
        <w:jc w:val="both"/>
        <w:rPr>
          <w:sz w:val="22"/>
          <w:szCs w:val="22"/>
        </w:rPr>
      </w:pPr>
      <w:r w:rsidRPr="00A156F4">
        <w:rPr>
          <w:sz w:val="22"/>
          <w:szCs w:val="22"/>
        </w:rPr>
        <w:t>Cumplidos los anteriores requisitos, la autoridad de competencia correspondiente dictará la resolución, exonerándolo del pago de la multa.</w:t>
      </w:r>
    </w:p>
    <w:p w14:paraId="3BBCAD3B" w14:textId="77777777" w:rsidR="00F10E8A" w:rsidRPr="00A156F4" w:rsidRDefault="00F10E8A" w:rsidP="00F10E8A">
      <w:pPr>
        <w:jc w:val="both"/>
        <w:rPr>
          <w:sz w:val="22"/>
          <w:szCs w:val="22"/>
        </w:rPr>
      </w:pPr>
    </w:p>
    <w:p w14:paraId="504E86FA" w14:textId="080BB869" w:rsidR="00F10E8A" w:rsidRPr="00A156F4" w:rsidRDefault="00F45789" w:rsidP="00F10E8A">
      <w:pPr>
        <w:jc w:val="both"/>
        <w:rPr>
          <w:sz w:val="22"/>
          <w:szCs w:val="22"/>
        </w:rPr>
      </w:pPr>
      <w:r w:rsidRPr="00A156F4">
        <w:rPr>
          <w:sz w:val="22"/>
          <w:szCs w:val="22"/>
        </w:rPr>
        <w:t>En el caso de que la práctica se haya realizado en un pro</w:t>
      </w:r>
      <w:r w:rsidR="00DF2619" w:rsidRPr="00A156F4">
        <w:rPr>
          <w:sz w:val="22"/>
          <w:szCs w:val="22"/>
        </w:rPr>
        <w:t>c</w:t>
      </w:r>
      <w:r w:rsidRPr="00A156F4">
        <w:rPr>
          <w:sz w:val="22"/>
          <w:szCs w:val="22"/>
        </w:rPr>
        <w:t xml:space="preserve">eso de contratación administrativa, el primer agente que solicite acogerse al beneficio quedará exento de ser inhabilitado. </w:t>
      </w:r>
    </w:p>
    <w:p w14:paraId="6F9CF6CA" w14:textId="77777777" w:rsidR="00F10E8A" w:rsidRPr="00A156F4" w:rsidRDefault="00F10E8A" w:rsidP="00F10E8A">
      <w:pPr>
        <w:jc w:val="both"/>
        <w:rPr>
          <w:sz w:val="22"/>
          <w:szCs w:val="22"/>
        </w:rPr>
      </w:pPr>
    </w:p>
    <w:p w14:paraId="73B498A5" w14:textId="77777777" w:rsidR="00F10E8A" w:rsidRPr="00A156F4" w:rsidRDefault="00F10E8A" w:rsidP="00F10E8A">
      <w:pPr>
        <w:jc w:val="both"/>
        <w:rPr>
          <w:sz w:val="22"/>
          <w:szCs w:val="22"/>
        </w:rPr>
      </w:pPr>
      <w:r w:rsidRPr="00A156F4">
        <w:rPr>
          <w:sz w:val="22"/>
          <w:szCs w:val="22"/>
        </w:rPr>
        <w:t xml:space="preserve">El Órgano Superior </w:t>
      </w:r>
      <w:r w:rsidRPr="00A156F4">
        <w:rPr>
          <w:sz w:val="22"/>
          <w:szCs w:val="22"/>
          <w:lang w:val="es-ES"/>
        </w:rPr>
        <w:t xml:space="preserve">de la autoridad de competencia correspondiente </w:t>
      </w:r>
      <w:r w:rsidRPr="00A156F4">
        <w:rPr>
          <w:sz w:val="22"/>
          <w:szCs w:val="22"/>
        </w:rPr>
        <w:t>mantendrá con carácter confidencial la identidad del agente económico y de las personas físicas que pretendan acogerse al beneficio de este artículo y tramitará, en legajo separado, la resolución sobre la exoneración de la multa por cada agente económico.</w:t>
      </w:r>
    </w:p>
    <w:p w14:paraId="7250D61E" w14:textId="77777777" w:rsidR="00F10E8A" w:rsidRPr="00A156F4" w:rsidRDefault="00F10E8A" w:rsidP="00F10E8A">
      <w:pPr>
        <w:jc w:val="both"/>
        <w:rPr>
          <w:sz w:val="22"/>
          <w:szCs w:val="22"/>
        </w:rPr>
      </w:pPr>
    </w:p>
    <w:p w14:paraId="2233378F" w14:textId="6483C547" w:rsidR="00F10E8A" w:rsidRPr="00A156F4" w:rsidRDefault="00F10E8A" w:rsidP="00F10E8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12</w:t>
      </w:r>
      <w:r w:rsidR="00D80091" w:rsidRPr="00A156F4">
        <w:rPr>
          <w:rFonts w:ascii="Times New Roman" w:hAnsi="Times New Roman" w:cs="Times New Roman"/>
          <w:b/>
          <w:bCs/>
          <w:i w:val="0"/>
          <w:color w:val="auto"/>
          <w:sz w:val="22"/>
          <w:szCs w:val="22"/>
        </w:rPr>
        <w:t>2</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Reducción del pago de la multa</w:t>
      </w:r>
    </w:p>
    <w:p w14:paraId="21E729C4" w14:textId="77777777" w:rsidR="00F10E8A" w:rsidRPr="00A156F4" w:rsidRDefault="00F10E8A" w:rsidP="00F10E8A">
      <w:pPr>
        <w:jc w:val="both"/>
        <w:rPr>
          <w:sz w:val="22"/>
          <w:szCs w:val="22"/>
          <w:lang w:val="es-CR"/>
        </w:rPr>
      </w:pPr>
    </w:p>
    <w:p w14:paraId="3C39FC40" w14:textId="5A80CD6F" w:rsidR="00F10E8A" w:rsidRPr="00A156F4" w:rsidRDefault="00F10E8A" w:rsidP="00F10E8A">
      <w:pPr>
        <w:jc w:val="both"/>
        <w:rPr>
          <w:sz w:val="22"/>
          <w:szCs w:val="22"/>
        </w:rPr>
      </w:pPr>
      <w:r w:rsidRPr="00A156F4">
        <w:rPr>
          <w:sz w:val="22"/>
          <w:szCs w:val="22"/>
        </w:rPr>
        <w:t>Los agentes económicos que acudan a la autoridad de competencia correspondiente después del primero y que cumplan con los requisitos previstos en este artículo</w:t>
      </w:r>
      <w:r w:rsidR="00F45789" w:rsidRPr="00A156F4">
        <w:rPr>
          <w:sz w:val="22"/>
          <w:szCs w:val="22"/>
        </w:rPr>
        <w:t>,</w:t>
      </w:r>
      <w:r w:rsidRPr="00A156F4">
        <w:rPr>
          <w:sz w:val="22"/>
          <w:szCs w:val="22"/>
        </w:rPr>
        <w:t xml:space="preserve"> podrán acogerse al beneficio de reducción de la multa que les correspondiera.</w:t>
      </w:r>
    </w:p>
    <w:p w14:paraId="178EF7FF" w14:textId="77777777" w:rsidR="00F10E8A" w:rsidRPr="00A156F4" w:rsidRDefault="00F10E8A" w:rsidP="00F10E8A">
      <w:pPr>
        <w:jc w:val="both"/>
        <w:rPr>
          <w:sz w:val="22"/>
          <w:szCs w:val="22"/>
          <w:lang w:val="es-CR"/>
        </w:rPr>
      </w:pPr>
    </w:p>
    <w:p w14:paraId="62CCB5D2" w14:textId="3D55182C" w:rsidR="00F10E8A" w:rsidRPr="00A156F4" w:rsidRDefault="00F10E8A" w:rsidP="00DF2619">
      <w:pPr>
        <w:jc w:val="both"/>
        <w:rPr>
          <w:sz w:val="22"/>
          <w:szCs w:val="22"/>
        </w:rPr>
      </w:pPr>
      <w:r w:rsidRPr="00A156F4">
        <w:rPr>
          <w:sz w:val="22"/>
          <w:szCs w:val="22"/>
          <w:lang w:val="es-CR"/>
        </w:rPr>
        <w:t xml:space="preserve">La autoridad de competencia </w:t>
      </w:r>
      <w:r w:rsidRPr="00A156F4">
        <w:rPr>
          <w:sz w:val="22"/>
          <w:szCs w:val="22"/>
        </w:rPr>
        <w:t>reducirá la multa de un agente económico o persona física</w:t>
      </w:r>
      <w:r w:rsidR="00F45789" w:rsidRPr="00A156F4">
        <w:rPr>
          <w:sz w:val="22"/>
          <w:szCs w:val="22"/>
        </w:rPr>
        <w:t>,</w:t>
      </w:r>
      <w:r w:rsidRPr="00A156F4">
        <w:rPr>
          <w:sz w:val="22"/>
          <w:szCs w:val="22"/>
        </w:rPr>
        <w:t xml:space="preserve"> siempre y cuando aporte elementos de prueba veraz, desconocidos para la autoridad de competencia correspondiente y que a juicio de esta permitan fundamentar la solicitud de una inspección o comprobar una infracción en relación con la comisión de una práctica monopolística absoluta. </w:t>
      </w:r>
    </w:p>
    <w:p w14:paraId="62681E5E" w14:textId="77777777" w:rsidR="00F10E8A" w:rsidRPr="00A156F4" w:rsidRDefault="00F10E8A" w:rsidP="00DF2619">
      <w:pPr>
        <w:jc w:val="both"/>
        <w:rPr>
          <w:sz w:val="22"/>
          <w:szCs w:val="22"/>
        </w:rPr>
      </w:pPr>
    </w:p>
    <w:p w14:paraId="4F61D743" w14:textId="6A860CE2" w:rsidR="00F10E8A" w:rsidRPr="00A156F4" w:rsidRDefault="00F10E8A" w:rsidP="00DF2619">
      <w:pPr>
        <w:pStyle w:val="Ttulo4"/>
        <w:spacing w:before="0"/>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 xml:space="preserve">Para que la autoridad de competencia conceda la reducción de la multa, la empresa o, en su caso, la persona física que haya presentado la correspondiente </w:t>
      </w:r>
      <w:r w:rsidR="00DF2619" w:rsidRPr="00A156F4">
        <w:rPr>
          <w:rFonts w:ascii="Times New Roman" w:eastAsiaTheme="minorHAnsi" w:hAnsi="Times New Roman" w:cs="Times New Roman"/>
          <w:i w:val="0"/>
          <w:iCs w:val="0"/>
          <w:color w:val="auto"/>
          <w:sz w:val="22"/>
          <w:szCs w:val="22"/>
        </w:rPr>
        <w:t>solicitud</w:t>
      </w:r>
      <w:r w:rsidRPr="00A156F4">
        <w:rPr>
          <w:rFonts w:ascii="Times New Roman" w:eastAsiaTheme="minorHAnsi" w:hAnsi="Times New Roman" w:cs="Times New Roman"/>
          <w:i w:val="0"/>
          <w:iCs w:val="0"/>
          <w:color w:val="auto"/>
          <w:sz w:val="22"/>
          <w:szCs w:val="22"/>
        </w:rPr>
        <w:t xml:space="preserve"> deberá cumplir los siguientes requisitos:</w:t>
      </w:r>
    </w:p>
    <w:p w14:paraId="778BFA61" w14:textId="77777777" w:rsidR="00F10E8A" w:rsidRPr="00A156F4" w:rsidRDefault="00F10E8A" w:rsidP="00F10E8A">
      <w:pPr>
        <w:rPr>
          <w:sz w:val="22"/>
          <w:szCs w:val="22"/>
        </w:rPr>
      </w:pPr>
    </w:p>
    <w:p w14:paraId="501161A9" w14:textId="14E12631" w:rsidR="00F10E8A" w:rsidRPr="00A156F4" w:rsidRDefault="00F10E8A" w:rsidP="00117EE5">
      <w:pPr>
        <w:pStyle w:val="Ttulo4"/>
        <w:keepNext w:val="0"/>
        <w:keepLines w:val="0"/>
        <w:numPr>
          <w:ilvl w:val="0"/>
          <w:numId w:val="33"/>
        </w:numPr>
        <w:spacing w:before="0"/>
        <w:contextualSpacing/>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Cooper</w:t>
      </w:r>
      <w:r w:rsidR="00F45789" w:rsidRPr="00A156F4">
        <w:rPr>
          <w:rFonts w:ascii="Times New Roman" w:eastAsiaTheme="minorHAnsi" w:hAnsi="Times New Roman" w:cs="Times New Roman"/>
          <w:i w:val="0"/>
          <w:iCs w:val="0"/>
          <w:color w:val="auto"/>
          <w:sz w:val="22"/>
          <w:szCs w:val="22"/>
        </w:rPr>
        <w:t>ar</w:t>
      </w:r>
      <w:r w:rsidRPr="00A156F4">
        <w:rPr>
          <w:rFonts w:ascii="Times New Roman" w:eastAsiaTheme="minorHAnsi" w:hAnsi="Times New Roman" w:cs="Times New Roman"/>
          <w:i w:val="0"/>
          <w:iCs w:val="0"/>
          <w:color w:val="auto"/>
          <w:sz w:val="22"/>
          <w:szCs w:val="22"/>
        </w:rPr>
        <w:t>, de forma plena y continua, con la autoridad de competencia correspondiente durante el proceso de investigación y en la tramitación del procedimiento en la forma en que se establezca en el reglamento de la presente ley.</w:t>
      </w:r>
    </w:p>
    <w:p w14:paraId="0E62216C" w14:textId="77777777" w:rsidR="00F10E8A" w:rsidRPr="00A156F4" w:rsidRDefault="00F10E8A" w:rsidP="008F3DC7">
      <w:pPr>
        <w:pStyle w:val="Ttulo4"/>
        <w:spacing w:before="0"/>
        <w:rPr>
          <w:rFonts w:ascii="Times New Roman" w:eastAsiaTheme="minorHAnsi" w:hAnsi="Times New Roman" w:cs="Times New Roman"/>
          <w:i w:val="0"/>
          <w:iCs w:val="0"/>
          <w:color w:val="auto"/>
          <w:sz w:val="22"/>
          <w:szCs w:val="22"/>
        </w:rPr>
      </w:pPr>
    </w:p>
    <w:p w14:paraId="65A8E0FB" w14:textId="1C82E172" w:rsidR="00F10E8A" w:rsidRPr="00A156F4" w:rsidRDefault="00F10E8A" w:rsidP="00117EE5">
      <w:pPr>
        <w:pStyle w:val="Ttulo4"/>
        <w:keepNext w:val="0"/>
        <w:keepLines w:val="0"/>
        <w:numPr>
          <w:ilvl w:val="0"/>
          <w:numId w:val="33"/>
        </w:numPr>
        <w:spacing w:before="0"/>
        <w:contextualSpacing/>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Termin</w:t>
      </w:r>
      <w:r w:rsidR="00F45789" w:rsidRPr="00A156F4">
        <w:rPr>
          <w:rFonts w:ascii="Times New Roman" w:eastAsiaTheme="minorHAnsi" w:hAnsi="Times New Roman" w:cs="Times New Roman"/>
          <w:i w:val="0"/>
          <w:iCs w:val="0"/>
          <w:color w:val="auto"/>
          <w:sz w:val="22"/>
          <w:szCs w:val="22"/>
        </w:rPr>
        <w:t>ar</w:t>
      </w:r>
      <w:r w:rsidRPr="00A156F4">
        <w:rPr>
          <w:rFonts w:ascii="Times New Roman" w:eastAsiaTheme="minorHAnsi" w:hAnsi="Times New Roman" w:cs="Times New Roman"/>
          <w:i w:val="0"/>
          <w:iCs w:val="0"/>
          <w:color w:val="auto"/>
          <w:sz w:val="22"/>
          <w:szCs w:val="22"/>
        </w:rPr>
        <w:t xml:space="preserve"> su participación en la práctica monopolística absoluta en el momento y en la forma que le indique la autoridad de competencia correspondiente.</w:t>
      </w:r>
    </w:p>
    <w:p w14:paraId="1ACBF898" w14:textId="77777777" w:rsidR="00F10E8A" w:rsidRPr="00A156F4" w:rsidRDefault="00F10E8A" w:rsidP="00F10E8A">
      <w:pPr>
        <w:pStyle w:val="Ttulo4"/>
        <w:spacing w:before="0"/>
        <w:ind w:left="720"/>
        <w:rPr>
          <w:rFonts w:ascii="Times New Roman" w:eastAsiaTheme="minorHAnsi" w:hAnsi="Times New Roman" w:cs="Times New Roman"/>
          <w:i w:val="0"/>
          <w:iCs w:val="0"/>
          <w:color w:val="auto"/>
          <w:sz w:val="22"/>
          <w:szCs w:val="22"/>
        </w:rPr>
      </w:pPr>
    </w:p>
    <w:p w14:paraId="1E0C98EA" w14:textId="640F9C5E" w:rsidR="00F10E8A" w:rsidRPr="00A156F4" w:rsidRDefault="00F10E8A" w:rsidP="00117EE5">
      <w:pPr>
        <w:pStyle w:val="Ttulo4"/>
        <w:keepNext w:val="0"/>
        <w:keepLines w:val="0"/>
        <w:numPr>
          <w:ilvl w:val="0"/>
          <w:numId w:val="33"/>
        </w:numPr>
        <w:spacing w:before="0"/>
        <w:contextualSpacing/>
        <w:jc w:val="both"/>
        <w:rPr>
          <w:rFonts w:ascii="Times New Roman" w:eastAsiaTheme="minorHAnsi" w:hAnsi="Times New Roman" w:cs="Times New Roman"/>
          <w:i w:val="0"/>
          <w:iCs w:val="0"/>
          <w:color w:val="auto"/>
          <w:sz w:val="22"/>
          <w:szCs w:val="22"/>
        </w:rPr>
      </w:pPr>
      <w:r w:rsidRPr="00A156F4">
        <w:rPr>
          <w:rFonts w:ascii="Times New Roman" w:eastAsiaTheme="minorHAnsi" w:hAnsi="Times New Roman" w:cs="Times New Roman"/>
          <w:i w:val="0"/>
          <w:iCs w:val="0"/>
          <w:color w:val="auto"/>
          <w:sz w:val="22"/>
          <w:szCs w:val="22"/>
        </w:rPr>
        <w:t xml:space="preserve">No </w:t>
      </w:r>
      <w:r w:rsidR="00F45789" w:rsidRPr="00A156F4">
        <w:rPr>
          <w:rFonts w:ascii="Times New Roman" w:eastAsiaTheme="minorHAnsi" w:hAnsi="Times New Roman" w:cs="Times New Roman"/>
          <w:i w:val="0"/>
          <w:iCs w:val="0"/>
          <w:color w:val="auto"/>
          <w:sz w:val="22"/>
          <w:szCs w:val="22"/>
        </w:rPr>
        <w:t xml:space="preserve">haber </w:t>
      </w:r>
      <w:r w:rsidRPr="00A156F4">
        <w:rPr>
          <w:rFonts w:ascii="Times New Roman" w:eastAsiaTheme="minorHAnsi" w:hAnsi="Times New Roman" w:cs="Times New Roman"/>
          <w:i w:val="0"/>
          <w:iCs w:val="0"/>
          <w:color w:val="auto"/>
          <w:sz w:val="22"/>
          <w:szCs w:val="22"/>
        </w:rPr>
        <w:t>adoptado medidas para obligar a otras empresas a participar en la infracción.</w:t>
      </w:r>
    </w:p>
    <w:p w14:paraId="64531D9A" w14:textId="77777777" w:rsidR="00F10E8A" w:rsidRPr="00A156F4" w:rsidRDefault="00F10E8A" w:rsidP="00F10E8A">
      <w:pPr>
        <w:jc w:val="both"/>
        <w:rPr>
          <w:sz w:val="22"/>
          <w:szCs w:val="22"/>
        </w:rPr>
      </w:pPr>
    </w:p>
    <w:p w14:paraId="63A3798E" w14:textId="77777777" w:rsidR="00F10E8A" w:rsidRPr="00A156F4" w:rsidRDefault="00F10E8A" w:rsidP="00F10E8A">
      <w:pPr>
        <w:jc w:val="both"/>
        <w:rPr>
          <w:sz w:val="22"/>
          <w:szCs w:val="22"/>
        </w:rPr>
      </w:pPr>
      <w:r w:rsidRPr="00A156F4">
        <w:rPr>
          <w:sz w:val="22"/>
          <w:szCs w:val="22"/>
        </w:rPr>
        <w:t>Cumplidos los anteriores requisitos, la autoridad de competencia correspondiente dictará la resolución, reduciendo el monto de pago de la multa.</w:t>
      </w:r>
    </w:p>
    <w:p w14:paraId="117B29E9" w14:textId="77777777" w:rsidR="00F10E8A" w:rsidRPr="00A156F4" w:rsidRDefault="00F10E8A" w:rsidP="00F10E8A">
      <w:pPr>
        <w:jc w:val="both"/>
        <w:rPr>
          <w:sz w:val="22"/>
          <w:szCs w:val="22"/>
        </w:rPr>
      </w:pPr>
    </w:p>
    <w:p w14:paraId="3D0383A5" w14:textId="7C961BBF" w:rsidR="00F10E8A" w:rsidRPr="00A156F4" w:rsidRDefault="00F10E8A" w:rsidP="00F10E8A">
      <w:pPr>
        <w:jc w:val="both"/>
        <w:rPr>
          <w:sz w:val="22"/>
          <w:szCs w:val="22"/>
        </w:rPr>
      </w:pPr>
      <w:r w:rsidRPr="00A156F4">
        <w:rPr>
          <w:sz w:val="22"/>
          <w:szCs w:val="22"/>
        </w:rPr>
        <w:t>Las reducciones serán equivalentes al cincuenta por ciento para el caso del segundo agente económico; treinta por ciento para el caso del tercer agente económico y veinte por ciento para el cuarto agente económico, siempre y cuando aporten elementos de prueba adicionales a los que ya tenga la autoridad de competencia correspondiente.</w:t>
      </w:r>
      <w:r w:rsidR="006F6679" w:rsidRPr="00A156F4">
        <w:rPr>
          <w:sz w:val="22"/>
          <w:szCs w:val="22"/>
        </w:rPr>
        <w:t xml:space="preserve"> Los agentes económicos subsiguientes posteriores al cuarto agente </w:t>
      </w:r>
      <w:r w:rsidR="0083720C" w:rsidRPr="00A156F4">
        <w:rPr>
          <w:sz w:val="22"/>
          <w:szCs w:val="22"/>
        </w:rPr>
        <w:t>económico</w:t>
      </w:r>
      <w:r w:rsidR="006F6679" w:rsidRPr="00A156F4">
        <w:rPr>
          <w:sz w:val="22"/>
          <w:szCs w:val="22"/>
        </w:rPr>
        <w:t xml:space="preserve"> no obtendrán el beneficio de reducción de la multa. </w:t>
      </w:r>
    </w:p>
    <w:p w14:paraId="4ADE2D07" w14:textId="77777777" w:rsidR="00F10E8A" w:rsidRPr="00A156F4" w:rsidRDefault="00F10E8A" w:rsidP="00F10E8A">
      <w:pPr>
        <w:jc w:val="both"/>
        <w:rPr>
          <w:sz w:val="22"/>
          <w:szCs w:val="22"/>
        </w:rPr>
      </w:pPr>
    </w:p>
    <w:p w14:paraId="48724873" w14:textId="7A9E8F74" w:rsidR="00F10E8A" w:rsidRPr="00A156F4" w:rsidRDefault="00F10E8A" w:rsidP="00F10E8A">
      <w:pPr>
        <w:jc w:val="both"/>
        <w:rPr>
          <w:sz w:val="22"/>
          <w:szCs w:val="22"/>
        </w:rPr>
      </w:pPr>
      <w:r w:rsidRPr="00A156F4">
        <w:rPr>
          <w:sz w:val="22"/>
          <w:szCs w:val="22"/>
        </w:rPr>
        <w:t xml:space="preserve">La reducción del pago de la multa concedida a una </w:t>
      </w:r>
      <w:r w:rsidR="0083720C" w:rsidRPr="00A156F4">
        <w:rPr>
          <w:sz w:val="22"/>
          <w:szCs w:val="22"/>
        </w:rPr>
        <w:t>empresa</w:t>
      </w:r>
      <w:r w:rsidR="008F3DC7" w:rsidRPr="00A156F4">
        <w:rPr>
          <w:sz w:val="22"/>
          <w:szCs w:val="22"/>
        </w:rPr>
        <w:t xml:space="preserve"> </w:t>
      </w:r>
      <w:r w:rsidRPr="00A156F4">
        <w:rPr>
          <w:sz w:val="22"/>
          <w:szCs w:val="22"/>
        </w:rPr>
        <w:t>beneficiará en el mismo porcentaje a sus representantes legales, o a las personas integrantes de los órganos directivos que hayan intervenido en el acuerdo o decisión, siempre y cuando hayan colaborado con la autoridad de competencia correspondiente hasta el dictado de la resolución final del procedimiento.</w:t>
      </w:r>
    </w:p>
    <w:p w14:paraId="635234A0" w14:textId="77777777" w:rsidR="00F10E8A" w:rsidRPr="00A156F4" w:rsidRDefault="00F10E8A" w:rsidP="00F10E8A">
      <w:pPr>
        <w:jc w:val="both"/>
        <w:rPr>
          <w:sz w:val="22"/>
          <w:szCs w:val="22"/>
        </w:rPr>
      </w:pPr>
    </w:p>
    <w:p w14:paraId="63B9B796" w14:textId="77777777" w:rsidR="00F10E8A" w:rsidRPr="00A156F4" w:rsidRDefault="00F10E8A" w:rsidP="00F10E8A">
      <w:pPr>
        <w:jc w:val="both"/>
        <w:rPr>
          <w:sz w:val="22"/>
          <w:szCs w:val="22"/>
        </w:rPr>
      </w:pPr>
      <w:r w:rsidRPr="00A156F4">
        <w:rPr>
          <w:sz w:val="22"/>
          <w:szCs w:val="22"/>
        </w:rPr>
        <w:t xml:space="preserve">El Órgano Superior </w:t>
      </w:r>
      <w:r w:rsidRPr="00A156F4">
        <w:rPr>
          <w:sz w:val="22"/>
          <w:szCs w:val="22"/>
          <w:lang w:val="es-ES"/>
        </w:rPr>
        <w:t xml:space="preserve">de la autoridad de competencia correspondiente </w:t>
      </w:r>
      <w:r w:rsidRPr="00A156F4">
        <w:rPr>
          <w:sz w:val="22"/>
          <w:szCs w:val="22"/>
        </w:rPr>
        <w:t>mantendrá con carácter confidencial la identidad del agente económico y de las personas físicas que pretendan acogerse al beneficio de este artículo y tramitará, en legajo separado, la resolución sobre la reducción de la multa por cada agente económico.</w:t>
      </w:r>
    </w:p>
    <w:p w14:paraId="66C4F10C" w14:textId="77777777" w:rsidR="00F10E8A" w:rsidRPr="00A156F4" w:rsidRDefault="00F10E8A" w:rsidP="00F10E8A">
      <w:pPr>
        <w:jc w:val="both"/>
        <w:rPr>
          <w:sz w:val="22"/>
          <w:szCs w:val="22"/>
        </w:rPr>
      </w:pPr>
    </w:p>
    <w:p w14:paraId="2C60475B" w14:textId="2315D57E" w:rsidR="00F10E8A" w:rsidRPr="00A156F4" w:rsidRDefault="00F10E8A" w:rsidP="0083720C">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12</w:t>
      </w:r>
      <w:r w:rsidR="00D80091" w:rsidRPr="00A156F4">
        <w:rPr>
          <w:rFonts w:ascii="Times New Roman" w:hAnsi="Times New Roman" w:cs="Times New Roman"/>
          <w:b/>
          <w:bCs/>
          <w:i w:val="0"/>
          <w:color w:val="auto"/>
          <w:sz w:val="22"/>
          <w:szCs w:val="22"/>
        </w:rPr>
        <w:t>3</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Procedimiento para la exoneración o reducción del pago de la multa</w:t>
      </w:r>
    </w:p>
    <w:p w14:paraId="049E3A6A" w14:textId="77777777" w:rsidR="00F10E8A" w:rsidRPr="00A156F4" w:rsidRDefault="00F10E8A" w:rsidP="0083720C">
      <w:pPr>
        <w:jc w:val="both"/>
        <w:rPr>
          <w:sz w:val="22"/>
          <w:szCs w:val="22"/>
          <w:lang w:val="es-CR"/>
        </w:rPr>
      </w:pPr>
    </w:p>
    <w:p w14:paraId="4533AB81" w14:textId="77777777" w:rsidR="00F10E8A" w:rsidRPr="00A156F4" w:rsidRDefault="00F10E8A" w:rsidP="0083720C">
      <w:pPr>
        <w:jc w:val="both"/>
        <w:rPr>
          <w:sz w:val="22"/>
          <w:szCs w:val="22"/>
        </w:rPr>
      </w:pPr>
      <w:r w:rsidRPr="00A156F4">
        <w:rPr>
          <w:sz w:val="22"/>
          <w:szCs w:val="22"/>
        </w:rPr>
        <w:t>El reglamento de la presente ley establecerá el procedimiento conforme al cual deberá solicitarse y resolverse la aplicación del beneficio previsto en los artículos anteriores.</w:t>
      </w:r>
    </w:p>
    <w:p w14:paraId="6A475A23" w14:textId="77777777" w:rsidR="00F10E8A" w:rsidRPr="00A156F4" w:rsidRDefault="00F10E8A" w:rsidP="0083720C">
      <w:pPr>
        <w:jc w:val="both"/>
        <w:rPr>
          <w:sz w:val="22"/>
          <w:szCs w:val="22"/>
        </w:rPr>
      </w:pPr>
    </w:p>
    <w:p w14:paraId="4E59EE98" w14:textId="3E9C3E2F" w:rsidR="00F10E8A" w:rsidRPr="00A156F4" w:rsidRDefault="00F10E8A" w:rsidP="00F10E8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12</w:t>
      </w:r>
      <w:r w:rsidR="00D80091" w:rsidRPr="00A156F4">
        <w:rPr>
          <w:rFonts w:ascii="Times New Roman" w:hAnsi="Times New Roman" w:cs="Times New Roman"/>
          <w:b/>
          <w:bCs/>
          <w:i w:val="0"/>
          <w:color w:val="auto"/>
          <w:sz w:val="22"/>
          <w:szCs w:val="22"/>
        </w:rPr>
        <w:t>4</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Rechazo de la solicitud de exoneración o reducción del pago de la multa</w:t>
      </w:r>
    </w:p>
    <w:p w14:paraId="6B231D0D" w14:textId="77777777" w:rsidR="00F10E8A" w:rsidRPr="00A156F4" w:rsidRDefault="00F10E8A" w:rsidP="00F10E8A">
      <w:pPr>
        <w:jc w:val="both"/>
        <w:rPr>
          <w:sz w:val="22"/>
          <w:szCs w:val="22"/>
          <w:lang w:val="es-CR"/>
        </w:rPr>
      </w:pPr>
    </w:p>
    <w:p w14:paraId="3D1E61C7" w14:textId="77777777" w:rsidR="00F10E8A" w:rsidRPr="00A156F4" w:rsidRDefault="00F10E8A" w:rsidP="005506AA">
      <w:pPr>
        <w:jc w:val="both"/>
        <w:rPr>
          <w:sz w:val="22"/>
          <w:szCs w:val="22"/>
        </w:rPr>
      </w:pPr>
      <w:r w:rsidRPr="00A156F4">
        <w:rPr>
          <w:sz w:val="22"/>
          <w:szCs w:val="22"/>
        </w:rPr>
        <w:t>En caso de que el agente económico que desee acogerse al beneficio de exoneración o reducción de las multas no cumpla con todos los requisitos establecidos, el Órgano Superior correspondiente rechazará la solicitud de exoneración o reducción de la multa. En este caso, no podrá utilizar los elementos de prueba aportados por el agente económico y deberá mantenerlos como información confidencial, salvo que ya hubiere tenido acceso a dichos elementos de prueba por otros medios.</w:t>
      </w:r>
    </w:p>
    <w:p w14:paraId="5199D20E" w14:textId="77777777" w:rsidR="00F10E8A" w:rsidRPr="00A156F4" w:rsidRDefault="00F10E8A" w:rsidP="005506AA">
      <w:pPr>
        <w:jc w:val="both"/>
        <w:rPr>
          <w:sz w:val="22"/>
          <w:szCs w:val="22"/>
        </w:rPr>
      </w:pPr>
    </w:p>
    <w:p w14:paraId="151C36DC" w14:textId="6611DDA3" w:rsidR="00F10E8A" w:rsidRPr="00A156F4" w:rsidRDefault="00F10E8A" w:rsidP="005506AA">
      <w:pPr>
        <w:jc w:val="both"/>
        <w:rPr>
          <w:sz w:val="22"/>
          <w:szCs w:val="22"/>
        </w:rPr>
      </w:pPr>
      <w:r w:rsidRPr="00A156F4">
        <w:rPr>
          <w:sz w:val="22"/>
          <w:szCs w:val="22"/>
        </w:rPr>
        <w:t xml:space="preserve">Los agentes económicos no podrán acogerse </w:t>
      </w:r>
      <w:r w:rsidR="00281A92" w:rsidRPr="00A156F4">
        <w:rPr>
          <w:sz w:val="22"/>
          <w:szCs w:val="22"/>
        </w:rPr>
        <w:t xml:space="preserve">nuevamente </w:t>
      </w:r>
      <w:r w:rsidRPr="00A156F4">
        <w:rPr>
          <w:sz w:val="22"/>
          <w:szCs w:val="22"/>
        </w:rPr>
        <w:t>a los beneficios previstos en este artículo</w:t>
      </w:r>
      <w:r w:rsidR="00281A92" w:rsidRPr="00A156F4">
        <w:rPr>
          <w:sz w:val="22"/>
          <w:szCs w:val="22"/>
        </w:rPr>
        <w:t xml:space="preserve">, </w:t>
      </w:r>
      <w:r w:rsidRPr="00A156F4">
        <w:rPr>
          <w:sz w:val="22"/>
          <w:szCs w:val="22"/>
        </w:rPr>
        <w:t>cuando ya hayan participado en prácticas monopolísticas absolutas que afecten el mismo mercado.</w:t>
      </w:r>
    </w:p>
    <w:p w14:paraId="52FC1CDD" w14:textId="77777777" w:rsidR="00F10E8A" w:rsidRPr="00A156F4" w:rsidRDefault="00F10E8A" w:rsidP="00F10E8A">
      <w:pPr>
        <w:widowControl w:val="0"/>
        <w:tabs>
          <w:tab w:val="left" w:pos="2604"/>
        </w:tabs>
        <w:jc w:val="both"/>
        <w:textAlignment w:val="center"/>
        <w:rPr>
          <w:sz w:val="22"/>
          <w:szCs w:val="22"/>
        </w:rPr>
      </w:pPr>
    </w:p>
    <w:p w14:paraId="2CEC28EC" w14:textId="2A91BAB9" w:rsidR="00F10E8A" w:rsidRPr="00A156F4" w:rsidRDefault="00F10E8A" w:rsidP="00F10E8A">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Pr="00A156F4">
        <w:rPr>
          <w:rFonts w:ascii="Times New Roman" w:hAnsi="Times New Roman" w:cs="Times New Roman"/>
          <w:b/>
          <w:bCs/>
          <w:i w:val="0"/>
          <w:color w:val="auto"/>
          <w:sz w:val="22"/>
          <w:szCs w:val="22"/>
        </w:rPr>
        <w:t>1</w:t>
      </w:r>
      <w:r w:rsidR="00701AF7" w:rsidRPr="00A156F4">
        <w:rPr>
          <w:rFonts w:ascii="Times New Roman" w:eastAsia="Times New Roman" w:hAnsi="Times New Roman" w:cs="Times New Roman"/>
          <w:b/>
          <w:i w:val="0"/>
          <w:iCs w:val="0"/>
          <w:color w:val="auto"/>
          <w:sz w:val="22"/>
          <w:szCs w:val="22"/>
          <w:lang w:val="es-CR" w:eastAsia="en-US"/>
        </w:rPr>
        <w:t>2</w:t>
      </w:r>
      <w:r w:rsidR="00D80091" w:rsidRPr="00A156F4">
        <w:rPr>
          <w:rFonts w:ascii="Times New Roman" w:eastAsia="Times New Roman" w:hAnsi="Times New Roman" w:cs="Times New Roman"/>
          <w:b/>
          <w:i w:val="0"/>
          <w:iCs w:val="0"/>
          <w:color w:val="auto"/>
          <w:sz w:val="22"/>
          <w:szCs w:val="22"/>
          <w:lang w:val="es-CR" w:eastAsia="en-US"/>
        </w:rPr>
        <w:t>5</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Participación en otros carteles</w:t>
      </w:r>
    </w:p>
    <w:p w14:paraId="7AEAA904" w14:textId="77777777" w:rsidR="00F10E8A" w:rsidRPr="00A156F4" w:rsidRDefault="00F10E8A" w:rsidP="00F10E8A">
      <w:pPr>
        <w:widowControl w:val="0"/>
        <w:tabs>
          <w:tab w:val="left" w:pos="2604"/>
        </w:tabs>
        <w:jc w:val="both"/>
        <w:textAlignment w:val="center"/>
        <w:rPr>
          <w:sz w:val="22"/>
          <w:szCs w:val="22"/>
        </w:rPr>
      </w:pPr>
    </w:p>
    <w:p w14:paraId="17630301" w14:textId="2535095A" w:rsidR="00F10E8A" w:rsidRPr="00A156F4" w:rsidRDefault="00F10E8A" w:rsidP="00F10E8A">
      <w:pPr>
        <w:jc w:val="both"/>
        <w:rPr>
          <w:sz w:val="22"/>
          <w:szCs w:val="22"/>
        </w:rPr>
      </w:pPr>
      <w:r w:rsidRPr="00A156F4">
        <w:rPr>
          <w:sz w:val="22"/>
          <w:szCs w:val="22"/>
        </w:rPr>
        <w:t xml:space="preserve">Recibirá una </w:t>
      </w:r>
      <w:r w:rsidR="00753616" w:rsidRPr="00A156F4">
        <w:rPr>
          <w:sz w:val="22"/>
          <w:szCs w:val="22"/>
        </w:rPr>
        <w:t>reducción</w:t>
      </w:r>
      <w:r w:rsidR="00EE5FB9" w:rsidRPr="00A156F4">
        <w:rPr>
          <w:sz w:val="22"/>
          <w:szCs w:val="22"/>
        </w:rPr>
        <w:t xml:space="preserve"> </w:t>
      </w:r>
      <w:r w:rsidRPr="00A156F4">
        <w:rPr>
          <w:sz w:val="22"/>
          <w:szCs w:val="22"/>
        </w:rPr>
        <w:t xml:space="preserve">del cincuenta por ciento de la multa relacionada con la práctica monopolística por la que se le investiga, y una </w:t>
      </w:r>
      <w:r w:rsidR="00EE5FB9" w:rsidRPr="00A156F4">
        <w:rPr>
          <w:sz w:val="22"/>
          <w:szCs w:val="22"/>
        </w:rPr>
        <w:t xml:space="preserve">exoneración </w:t>
      </w:r>
      <w:r w:rsidRPr="00A156F4">
        <w:rPr>
          <w:sz w:val="22"/>
          <w:szCs w:val="22"/>
        </w:rPr>
        <w:t xml:space="preserve">total de la multa con relación a la práctica monopolística adicional que reporte, cualquier agente económico o persona física que: </w:t>
      </w:r>
    </w:p>
    <w:p w14:paraId="4C76FD47" w14:textId="77777777" w:rsidR="00F10E8A" w:rsidRPr="00A156F4" w:rsidRDefault="00F10E8A" w:rsidP="00F10E8A">
      <w:pPr>
        <w:jc w:val="both"/>
        <w:rPr>
          <w:sz w:val="22"/>
          <w:szCs w:val="22"/>
        </w:rPr>
      </w:pPr>
    </w:p>
    <w:p w14:paraId="775F896A" w14:textId="44D208D9" w:rsidR="00117EE5" w:rsidRPr="00A156F4" w:rsidRDefault="00F10E8A" w:rsidP="00117EE5">
      <w:pPr>
        <w:pStyle w:val="m4704641540610270771msolistparagraph"/>
        <w:numPr>
          <w:ilvl w:val="0"/>
          <w:numId w:val="37"/>
        </w:numPr>
        <w:spacing w:before="0" w:beforeAutospacing="0" w:after="0" w:afterAutospacing="0"/>
        <w:jc w:val="both"/>
        <w:rPr>
          <w:rFonts w:ascii="Times New Roman" w:hAnsi="Times New Roman" w:cs="Times New Roman"/>
        </w:rPr>
      </w:pPr>
      <w:r w:rsidRPr="00A156F4">
        <w:rPr>
          <w:rFonts w:ascii="Times New Roman" w:hAnsi="Times New Roman" w:cs="Times New Roman"/>
        </w:rPr>
        <w:t>Esté siendo objeto de investigación por una práctica monopolística absoluta por parte de la autoridad de competencia respectiva</w:t>
      </w:r>
      <w:r w:rsidR="00117EE5" w:rsidRPr="00A156F4">
        <w:rPr>
          <w:rFonts w:ascii="Times New Roman" w:hAnsi="Times New Roman" w:cs="Times New Roman"/>
        </w:rPr>
        <w:t>.</w:t>
      </w:r>
    </w:p>
    <w:p w14:paraId="48AA3776" w14:textId="77777777" w:rsidR="00117EE5" w:rsidRPr="00A156F4" w:rsidRDefault="00117EE5" w:rsidP="00117EE5">
      <w:pPr>
        <w:pStyle w:val="m4704641540610270771msolistparagraph"/>
        <w:spacing w:before="0" w:beforeAutospacing="0" w:after="0" w:afterAutospacing="0"/>
        <w:ind w:left="720"/>
        <w:jc w:val="both"/>
        <w:rPr>
          <w:rFonts w:ascii="Times New Roman" w:hAnsi="Times New Roman" w:cs="Times New Roman"/>
        </w:rPr>
      </w:pPr>
    </w:p>
    <w:p w14:paraId="4F2D6766" w14:textId="33F8E8D7" w:rsidR="00117EE5" w:rsidRPr="00A156F4" w:rsidRDefault="00F10E8A" w:rsidP="00117EE5">
      <w:pPr>
        <w:pStyle w:val="m4704641540610270771msolistparagraph"/>
        <w:numPr>
          <w:ilvl w:val="0"/>
          <w:numId w:val="37"/>
        </w:numPr>
        <w:spacing w:before="0" w:beforeAutospacing="0" w:after="0" w:afterAutospacing="0"/>
        <w:jc w:val="both"/>
        <w:rPr>
          <w:rFonts w:ascii="Times New Roman" w:hAnsi="Times New Roman" w:cs="Times New Roman"/>
        </w:rPr>
      </w:pPr>
      <w:r w:rsidRPr="00A156F4">
        <w:rPr>
          <w:rFonts w:ascii="Times New Roman" w:hAnsi="Times New Roman" w:cs="Times New Roman"/>
        </w:rPr>
        <w:t xml:space="preserve">No cumpla con los requisitos establecidos en los artículos </w:t>
      </w:r>
      <w:r w:rsidR="00F52065" w:rsidRPr="00A156F4">
        <w:rPr>
          <w:rFonts w:ascii="Times New Roman" w:hAnsi="Times New Roman" w:cs="Times New Roman"/>
        </w:rPr>
        <w:t xml:space="preserve">120, </w:t>
      </w:r>
      <w:r w:rsidR="00753616" w:rsidRPr="00A156F4">
        <w:rPr>
          <w:rFonts w:ascii="Times New Roman" w:hAnsi="Times New Roman" w:cs="Times New Roman"/>
        </w:rPr>
        <w:t xml:space="preserve">121 y 122 de </w:t>
      </w:r>
      <w:r w:rsidR="00700641">
        <w:rPr>
          <w:rFonts w:ascii="Times New Roman" w:hAnsi="Times New Roman" w:cs="Times New Roman"/>
        </w:rPr>
        <w:t>la presente</w:t>
      </w:r>
      <w:r w:rsidR="00753616" w:rsidRPr="00A156F4">
        <w:rPr>
          <w:rFonts w:ascii="Times New Roman" w:hAnsi="Times New Roman" w:cs="Times New Roman"/>
        </w:rPr>
        <w:t xml:space="preserve"> ley</w:t>
      </w:r>
      <w:r w:rsidR="00117EE5" w:rsidRPr="00A156F4">
        <w:rPr>
          <w:rFonts w:ascii="Times New Roman" w:hAnsi="Times New Roman" w:cs="Times New Roman"/>
        </w:rPr>
        <w:t>.</w:t>
      </w:r>
    </w:p>
    <w:p w14:paraId="1BE48C3F" w14:textId="77777777" w:rsidR="00117EE5" w:rsidRPr="00A156F4" w:rsidRDefault="00117EE5" w:rsidP="00117EE5">
      <w:pPr>
        <w:rPr>
          <w:sz w:val="22"/>
          <w:szCs w:val="22"/>
        </w:rPr>
      </w:pPr>
    </w:p>
    <w:p w14:paraId="221EA173" w14:textId="77777777" w:rsidR="00117EE5" w:rsidRPr="00A156F4" w:rsidRDefault="00F10E8A" w:rsidP="00117EE5">
      <w:pPr>
        <w:pStyle w:val="m4704641540610270771msolistparagraph"/>
        <w:numPr>
          <w:ilvl w:val="0"/>
          <w:numId w:val="37"/>
        </w:numPr>
        <w:spacing w:before="0" w:beforeAutospacing="0" w:after="0" w:afterAutospacing="0"/>
        <w:jc w:val="both"/>
        <w:rPr>
          <w:rFonts w:ascii="Times New Roman" w:hAnsi="Times New Roman" w:cs="Times New Roman"/>
        </w:rPr>
      </w:pPr>
      <w:r w:rsidRPr="00A156F4">
        <w:rPr>
          <w:rFonts w:ascii="Times New Roman" w:hAnsi="Times New Roman" w:cs="Times New Roman"/>
        </w:rPr>
        <w:t>Revele a la autoridad de competencia la existencia de otra práctica monopolística absoluta distinta, sobre la cual no se hubiese iniciado investigación o procedimiento alguno</w:t>
      </w:r>
      <w:r w:rsidR="00117EE5" w:rsidRPr="00A156F4">
        <w:rPr>
          <w:rFonts w:ascii="Times New Roman" w:hAnsi="Times New Roman" w:cs="Times New Roman"/>
        </w:rPr>
        <w:t>.</w:t>
      </w:r>
    </w:p>
    <w:p w14:paraId="0C246B5C" w14:textId="77777777" w:rsidR="00117EE5" w:rsidRPr="00A156F4" w:rsidRDefault="00117EE5" w:rsidP="00117EE5">
      <w:pPr>
        <w:rPr>
          <w:sz w:val="22"/>
          <w:szCs w:val="22"/>
        </w:rPr>
      </w:pPr>
    </w:p>
    <w:p w14:paraId="018E129D" w14:textId="207420E4" w:rsidR="00BF3384" w:rsidRPr="00A156F4" w:rsidRDefault="00F10E8A" w:rsidP="00117EE5">
      <w:pPr>
        <w:pStyle w:val="m4704641540610270771msolistparagraph"/>
        <w:numPr>
          <w:ilvl w:val="0"/>
          <w:numId w:val="37"/>
        </w:numPr>
        <w:spacing w:before="0" w:beforeAutospacing="0" w:after="0" w:afterAutospacing="0"/>
        <w:jc w:val="both"/>
        <w:rPr>
          <w:rFonts w:ascii="Times New Roman" w:hAnsi="Times New Roman" w:cs="Times New Roman"/>
        </w:rPr>
      </w:pPr>
      <w:r w:rsidRPr="00A156F4">
        <w:rPr>
          <w:rFonts w:ascii="Times New Roman" w:hAnsi="Times New Roman" w:cs="Times New Roman"/>
        </w:rPr>
        <w:t xml:space="preserve">Cumpla con la totalidad de los requisitos establecidos en </w:t>
      </w:r>
      <w:r w:rsidR="00A553B0" w:rsidRPr="00A156F4">
        <w:rPr>
          <w:rFonts w:ascii="Times New Roman" w:hAnsi="Times New Roman" w:cs="Times New Roman"/>
        </w:rPr>
        <w:t>los artículos</w:t>
      </w:r>
      <w:r w:rsidRPr="00A156F4">
        <w:rPr>
          <w:rFonts w:ascii="Times New Roman" w:hAnsi="Times New Roman" w:cs="Times New Roman"/>
        </w:rPr>
        <w:t xml:space="preserve"> </w:t>
      </w:r>
      <w:r w:rsidR="00F52065" w:rsidRPr="00A156F4">
        <w:rPr>
          <w:rFonts w:ascii="Times New Roman" w:hAnsi="Times New Roman" w:cs="Times New Roman"/>
        </w:rPr>
        <w:t xml:space="preserve">120, 121 y </w:t>
      </w:r>
      <w:r w:rsidR="00753616" w:rsidRPr="00A156F4">
        <w:rPr>
          <w:rFonts w:ascii="Times New Roman" w:hAnsi="Times New Roman" w:cs="Times New Roman"/>
        </w:rPr>
        <w:t>122</w:t>
      </w:r>
      <w:r w:rsidRPr="00A156F4">
        <w:rPr>
          <w:rFonts w:ascii="Times New Roman" w:hAnsi="Times New Roman" w:cs="Times New Roman"/>
        </w:rPr>
        <w:t xml:space="preserve"> con relación a esta otra práctica monopolística absoluta.</w:t>
      </w:r>
    </w:p>
    <w:p w14:paraId="426CBDB1" w14:textId="77777777" w:rsidR="00762F13" w:rsidRPr="00A156F4" w:rsidRDefault="00762F13" w:rsidP="00762F13">
      <w:pPr>
        <w:rPr>
          <w:sz w:val="22"/>
          <w:szCs w:val="22"/>
        </w:rPr>
      </w:pPr>
    </w:p>
    <w:p w14:paraId="60B61308" w14:textId="45BA41C9"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1</w:t>
      </w:r>
      <w:r w:rsidR="00701AF7" w:rsidRPr="00A156F4">
        <w:rPr>
          <w:rFonts w:ascii="Times New Roman" w:eastAsia="Times New Roman" w:hAnsi="Times New Roman" w:cs="Times New Roman"/>
          <w:b/>
          <w:i w:val="0"/>
          <w:iCs w:val="0"/>
          <w:color w:val="auto"/>
          <w:sz w:val="22"/>
          <w:szCs w:val="22"/>
          <w:lang w:val="es-CR" w:eastAsia="en-US"/>
        </w:rPr>
        <w:t>2</w:t>
      </w:r>
      <w:r w:rsidR="00D80091" w:rsidRPr="00A156F4">
        <w:rPr>
          <w:rFonts w:ascii="Times New Roman" w:eastAsia="Times New Roman" w:hAnsi="Times New Roman" w:cs="Times New Roman"/>
          <w:b/>
          <w:i w:val="0"/>
          <w:iCs w:val="0"/>
          <w:color w:val="auto"/>
          <w:sz w:val="22"/>
          <w:szCs w:val="22"/>
          <w:lang w:val="es-CR" w:eastAsia="en-US"/>
        </w:rPr>
        <w:t>6</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Vigilancia del cumplimiento de las resoluciones </w:t>
      </w:r>
    </w:p>
    <w:p w14:paraId="4404F625" w14:textId="77777777" w:rsidR="00762F13" w:rsidRPr="00A156F4" w:rsidRDefault="00762F13" w:rsidP="00762F13">
      <w:pPr>
        <w:widowControl w:val="0"/>
        <w:jc w:val="both"/>
        <w:rPr>
          <w:sz w:val="22"/>
          <w:szCs w:val="22"/>
          <w:lang w:val="es-ES" w:eastAsia="es-CR"/>
        </w:rPr>
      </w:pPr>
    </w:p>
    <w:p w14:paraId="0D63B3EC" w14:textId="36D180D4" w:rsidR="00762F13" w:rsidRPr="00A156F4" w:rsidRDefault="00762F13" w:rsidP="00762F13">
      <w:pPr>
        <w:widowControl w:val="0"/>
        <w:jc w:val="both"/>
        <w:rPr>
          <w:sz w:val="22"/>
          <w:szCs w:val="22"/>
          <w:lang w:val="es-ES" w:eastAsia="es-CR"/>
        </w:rPr>
      </w:pPr>
      <w:r w:rsidRPr="00A156F4">
        <w:rPr>
          <w:sz w:val="22"/>
          <w:szCs w:val="22"/>
          <w:lang w:val="es-ES" w:eastAsia="es-CR"/>
        </w:rPr>
        <w:t xml:space="preserve">Cada </w:t>
      </w:r>
      <w:r w:rsidRPr="00A156F4">
        <w:rPr>
          <w:sz w:val="22"/>
          <w:szCs w:val="22"/>
        </w:rPr>
        <w:t xml:space="preserve">autoridad de competencia </w:t>
      </w:r>
      <w:r w:rsidRPr="00A156F4">
        <w:rPr>
          <w:sz w:val="22"/>
          <w:szCs w:val="22"/>
          <w:lang w:val="es-ES" w:eastAsia="es-CR"/>
        </w:rPr>
        <w:t xml:space="preserve">vigilará la ejecución y el cumplimiento de las resoluciones que adopte, en los términos que se establezca reglamentariamente. </w:t>
      </w:r>
    </w:p>
    <w:p w14:paraId="1E481CC2" w14:textId="77777777" w:rsidR="00B06F65" w:rsidRPr="00A156F4" w:rsidRDefault="00B06F65" w:rsidP="00762F13">
      <w:pPr>
        <w:widowControl w:val="0"/>
        <w:jc w:val="both"/>
        <w:rPr>
          <w:sz w:val="22"/>
          <w:szCs w:val="22"/>
          <w:lang w:val="es-ES" w:eastAsia="es-CR"/>
        </w:rPr>
      </w:pPr>
    </w:p>
    <w:p w14:paraId="491A64F2" w14:textId="1852E770" w:rsidR="00B06F65" w:rsidRPr="00A156F4" w:rsidRDefault="00B06F65" w:rsidP="00B06F6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color w:val="auto"/>
          <w:sz w:val="22"/>
          <w:szCs w:val="22"/>
        </w:rPr>
        <w:t xml:space="preserve"> </w:t>
      </w:r>
      <w:r w:rsidR="00701AF7" w:rsidRPr="00A156F4">
        <w:rPr>
          <w:rFonts w:ascii="Times New Roman" w:hAnsi="Times New Roman" w:cs="Times New Roman"/>
          <w:b/>
          <w:bCs/>
          <w:i w:val="0"/>
          <w:color w:val="auto"/>
          <w:sz w:val="22"/>
          <w:szCs w:val="22"/>
        </w:rPr>
        <w:t>12</w:t>
      </w:r>
      <w:r w:rsidR="00D80091" w:rsidRPr="00A156F4">
        <w:rPr>
          <w:rFonts w:ascii="Times New Roman" w:hAnsi="Times New Roman" w:cs="Times New Roman"/>
          <w:b/>
          <w:bCs/>
          <w:i w:val="0"/>
          <w:color w:val="auto"/>
          <w:sz w:val="22"/>
          <w:szCs w:val="22"/>
        </w:rPr>
        <w:t>7</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Daños y perjuicios a terceros provocados por una práctica monopolística absoluta</w:t>
      </w:r>
    </w:p>
    <w:p w14:paraId="149F6BFD" w14:textId="77777777" w:rsidR="00B06F65" w:rsidRPr="00A156F4" w:rsidRDefault="00B06F65" w:rsidP="00B06F65">
      <w:pPr>
        <w:jc w:val="both"/>
        <w:rPr>
          <w:sz w:val="22"/>
          <w:szCs w:val="22"/>
          <w:lang w:val="es-CR"/>
        </w:rPr>
      </w:pPr>
    </w:p>
    <w:p w14:paraId="4E05BA9D" w14:textId="56F2D2F2" w:rsidR="00762F13" w:rsidRPr="00A156F4" w:rsidRDefault="00B06F65" w:rsidP="005F7DB9">
      <w:pPr>
        <w:jc w:val="both"/>
        <w:rPr>
          <w:sz w:val="22"/>
          <w:szCs w:val="22"/>
        </w:rPr>
      </w:pPr>
      <w:r w:rsidRPr="00A156F4">
        <w:rPr>
          <w:sz w:val="22"/>
          <w:szCs w:val="22"/>
        </w:rPr>
        <w:t xml:space="preserve">La </w:t>
      </w:r>
      <w:r w:rsidR="00EE5FB9" w:rsidRPr="00A156F4">
        <w:rPr>
          <w:sz w:val="22"/>
          <w:szCs w:val="22"/>
        </w:rPr>
        <w:t>exoneración</w:t>
      </w:r>
      <w:r w:rsidRPr="00A156F4">
        <w:rPr>
          <w:sz w:val="22"/>
          <w:szCs w:val="22"/>
        </w:rPr>
        <w:t xml:space="preserve"> total o parcial de la sanción administrativa, no exonera a los agentes económicos responsables de haber incurrido en una conducta monopolística absoluta, de los eventuales daños y perjuicios causados a terceros.</w:t>
      </w:r>
    </w:p>
    <w:p w14:paraId="1EDCB160" w14:textId="77777777" w:rsidR="00762F13" w:rsidRPr="00A156F4" w:rsidRDefault="00762F13" w:rsidP="00762F13">
      <w:pPr>
        <w:widowControl w:val="0"/>
        <w:jc w:val="both"/>
        <w:rPr>
          <w:bCs/>
          <w:sz w:val="22"/>
          <w:szCs w:val="22"/>
          <w:lang w:eastAsia="es-CR"/>
        </w:rPr>
      </w:pPr>
    </w:p>
    <w:p w14:paraId="5662BC6A" w14:textId="77777777" w:rsidR="00A8671B" w:rsidRPr="00A156F4" w:rsidRDefault="00A8671B" w:rsidP="00427B6B">
      <w:pPr>
        <w:rPr>
          <w:sz w:val="22"/>
          <w:szCs w:val="22"/>
          <w:lang w:val="es-ES" w:eastAsia="es-CR"/>
        </w:rPr>
      </w:pPr>
    </w:p>
    <w:p w14:paraId="24E303A1" w14:textId="77777777" w:rsidR="00762F13" w:rsidRPr="00A156F4" w:rsidRDefault="00762F13" w:rsidP="00762F13">
      <w:pPr>
        <w:pStyle w:val="Ttulo2"/>
        <w:keepNext w:val="0"/>
        <w:keepLines w:val="0"/>
        <w:spacing w:before="0"/>
        <w:ind w:left="768" w:hanging="360"/>
        <w:contextualSpacing/>
        <w:jc w:val="center"/>
        <w:rPr>
          <w:rFonts w:ascii="Times New Roman" w:eastAsiaTheme="minorHAnsi" w:hAnsi="Times New Roman" w:cs="Times New Roman"/>
          <w:b/>
          <w:color w:val="auto"/>
          <w:sz w:val="22"/>
          <w:szCs w:val="22"/>
          <w:lang w:val="es-ES" w:eastAsia="es-CR"/>
        </w:rPr>
      </w:pPr>
      <w:r w:rsidRPr="00A156F4">
        <w:rPr>
          <w:rFonts w:ascii="Times New Roman" w:eastAsiaTheme="minorHAnsi" w:hAnsi="Times New Roman" w:cs="Times New Roman"/>
          <w:b/>
          <w:color w:val="auto"/>
          <w:sz w:val="22"/>
          <w:szCs w:val="22"/>
          <w:lang w:val="es-ES" w:eastAsia="es-CR"/>
        </w:rPr>
        <w:t>CAPÍTULO VIII</w:t>
      </w:r>
    </w:p>
    <w:p w14:paraId="340EF827" w14:textId="3C9372C5" w:rsidR="00762F13" w:rsidRPr="00A156F4" w:rsidRDefault="00762F13" w:rsidP="00762F13">
      <w:pPr>
        <w:widowControl w:val="0"/>
        <w:jc w:val="center"/>
        <w:rPr>
          <w:b/>
          <w:sz w:val="22"/>
          <w:szCs w:val="22"/>
          <w:lang w:val="es-ES" w:eastAsia="es-CR"/>
        </w:rPr>
      </w:pPr>
      <w:r w:rsidRPr="00A156F4">
        <w:rPr>
          <w:b/>
          <w:sz w:val="22"/>
          <w:szCs w:val="22"/>
          <w:lang w:val="es-ES" w:eastAsia="es-CR"/>
        </w:rPr>
        <w:t>Caducidad y prescripción</w:t>
      </w:r>
    </w:p>
    <w:p w14:paraId="7FA6B5C5" w14:textId="77777777" w:rsidR="005F7DB9" w:rsidRPr="00A156F4" w:rsidRDefault="005F7DB9" w:rsidP="00762F13">
      <w:pPr>
        <w:widowControl w:val="0"/>
        <w:jc w:val="center"/>
        <w:rPr>
          <w:b/>
          <w:sz w:val="22"/>
          <w:szCs w:val="22"/>
          <w:lang w:val="es-ES" w:eastAsia="es-CR"/>
        </w:rPr>
      </w:pPr>
    </w:p>
    <w:p w14:paraId="3D52C0A4" w14:textId="77777777"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p>
    <w:p w14:paraId="2AB53091" w14:textId="7FF633F5"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1</w:t>
      </w:r>
      <w:r w:rsidR="00701AF7" w:rsidRPr="00A156F4">
        <w:rPr>
          <w:rFonts w:ascii="Times New Roman" w:eastAsia="Times New Roman" w:hAnsi="Times New Roman" w:cs="Times New Roman"/>
          <w:b/>
          <w:i w:val="0"/>
          <w:iCs w:val="0"/>
          <w:color w:val="auto"/>
          <w:sz w:val="22"/>
          <w:szCs w:val="22"/>
          <w:lang w:val="es-CR" w:eastAsia="en-US"/>
        </w:rPr>
        <w:t>2</w:t>
      </w:r>
      <w:r w:rsidR="004279C4" w:rsidRPr="00A156F4">
        <w:rPr>
          <w:rFonts w:ascii="Times New Roman" w:eastAsia="Times New Roman" w:hAnsi="Times New Roman" w:cs="Times New Roman"/>
          <w:b/>
          <w:i w:val="0"/>
          <w:iCs w:val="0"/>
          <w:color w:val="auto"/>
          <w:sz w:val="22"/>
          <w:szCs w:val="22"/>
          <w:lang w:val="es-CR" w:eastAsia="en-US"/>
        </w:rPr>
        <w:t>8</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Caducidad de la acción</w:t>
      </w:r>
    </w:p>
    <w:p w14:paraId="0414EE1D" w14:textId="77777777" w:rsidR="00762F13" w:rsidRPr="00A156F4" w:rsidRDefault="00762F13" w:rsidP="00762F13">
      <w:pPr>
        <w:widowControl w:val="0"/>
        <w:jc w:val="both"/>
        <w:rPr>
          <w:sz w:val="22"/>
          <w:szCs w:val="22"/>
          <w:lang w:val="es-ES" w:eastAsia="es-CR"/>
        </w:rPr>
      </w:pPr>
    </w:p>
    <w:p w14:paraId="301B4DB6" w14:textId="1A3A802D" w:rsidR="00F10E8A" w:rsidRPr="00A156F4" w:rsidRDefault="00F10E8A" w:rsidP="00F10E8A">
      <w:pPr>
        <w:widowControl w:val="0"/>
        <w:jc w:val="both"/>
        <w:rPr>
          <w:sz w:val="22"/>
          <w:szCs w:val="22"/>
          <w:lang w:val="es-ES" w:eastAsia="es-CR"/>
        </w:rPr>
      </w:pPr>
      <w:r w:rsidRPr="00A156F4">
        <w:rPr>
          <w:sz w:val="22"/>
          <w:szCs w:val="22"/>
          <w:lang w:val="es-ES" w:eastAsia="es-CR"/>
        </w:rPr>
        <w:t xml:space="preserve">El plazo para denunciar o iniciar la investigación de oficio, con el fin de perseguir las infracciones previstas en la presente ley y en la </w:t>
      </w:r>
      <w:r w:rsidRPr="00A156F4">
        <w:rPr>
          <w:sz w:val="22"/>
          <w:szCs w:val="22"/>
        </w:rPr>
        <w:t xml:space="preserve">Ley de Promoción de la Competencia y Defensa Efectiva del Consumidor, Ley </w:t>
      </w:r>
      <w:proofErr w:type="spellStart"/>
      <w:r w:rsidRPr="00A156F4">
        <w:rPr>
          <w:sz w:val="22"/>
          <w:szCs w:val="22"/>
        </w:rPr>
        <w:t>N°</w:t>
      </w:r>
      <w:proofErr w:type="spellEnd"/>
      <w:r w:rsidRPr="00A156F4">
        <w:rPr>
          <w:sz w:val="22"/>
          <w:szCs w:val="22"/>
        </w:rPr>
        <w:t>. 7472, del 20 de diciembre de 1994</w:t>
      </w:r>
      <w:r w:rsidR="00FE546D" w:rsidRPr="00A156F4">
        <w:rPr>
          <w:sz w:val="22"/>
          <w:szCs w:val="22"/>
        </w:rPr>
        <w:t>,</w:t>
      </w:r>
      <w:r w:rsidRPr="00A156F4">
        <w:rPr>
          <w:sz w:val="22"/>
          <w:szCs w:val="22"/>
        </w:rPr>
        <w:t xml:space="preserve"> sus reformas </w:t>
      </w:r>
      <w:r w:rsidRPr="00A156F4">
        <w:rPr>
          <w:sz w:val="22"/>
          <w:szCs w:val="22"/>
          <w:lang w:val="es-ES"/>
        </w:rPr>
        <w:t>y sus reglamentos</w:t>
      </w:r>
      <w:r w:rsidRPr="00A156F4">
        <w:rPr>
          <w:sz w:val="22"/>
          <w:szCs w:val="22"/>
        </w:rPr>
        <w:t>,</w:t>
      </w:r>
      <w:r w:rsidRPr="00A156F4">
        <w:rPr>
          <w:sz w:val="22"/>
          <w:szCs w:val="22"/>
          <w:lang w:val="es-ES" w:eastAsia="es-CR"/>
        </w:rPr>
        <w:t xml:space="preserve"> caduca en un plazo de cuatro años, el cual correrá a partir de que se produjo la falta. Para los hechos continuados, el plazo comenzará a correr a partir del acaecimiento del último hecho. </w:t>
      </w:r>
    </w:p>
    <w:p w14:paraId="34E8DF35" w14:textId="77777777" w:rsidR="00762F13" w:rsidRPr="00A156F4" w:rsidRDefault="00762F13" w:rsidP="00762F13">
      <w:pPr>
        <w:widowControl w:val="0"/>
        <w:jc w:val="both"/>
        <w:rPr>
          <w:sz w:val="22"/>
          <w:szCs w:val="22"/>
          <w:lang w:val="es-ES" w:eastAsia="es-CR"/>
        </w:rPr>
      </w:pPr>
    </w:p>
    <w:p w14:paraId="64C7C58D" w14:textId="24E166F3"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eastAsia="en-US"/>
        </w:rPr>
        <w:t>1</w:t>
      </w:r>
      <w:r w:rsidR="00D80091" w:rsidRPr="00A156F4">
        <w:rPr>
          <w:rFonts w:ascii="Times New Roman" w:eastAsia="Times New Roman" w:hAnsi="Times New Roman" w:cs="Times New Roman"/>
          <w:b/>
          <w:i w:val="0"/>
          <w:iCs w:val="0"/>
          <w:color w:val="auto"/>
          <w:sz w:val="22"/>
          <w:szCs w:val="22"/>
          <w:lang w:eastAsia="en-US"/>
        </w:rPr>
        <w:t>29</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 xml:space="preserve">Prescripción de la potestad sancionadora </w:t>
      </w:r>
    </w:p>
    <w:p w14:paraId="5EF28F22" w14:textId="77777777" w:rsidR="00762F13" w:rsidRPr="00A156F4" w:rsidRDefault="00762F13" w:rsidP="00762F13">
      <w:pPr>
        <w:widowControl w:val="0"/>
        <w:jc w:val="both"/>
        <w:rPr>
          <w:sz w:val="22"/>
          <w:szCs w:val="22"/>
          <w:lang w:val="es-CR" w:eastAsia="es-CR"/>
        </w:rPr>
      </w:pPr>
    </w:p>
    <w:p w14:paraId="1A69EE2F" w14:textId="01BA2E61" w:rsidR="00762F13" w:rsidRPr="00A156F4" w:rsidRDefault="00F10E8A" w:rsidP="00762F13">
      <w:pPr>
        <w:widowControl w:val="0"/>
        <w:jc w:val="both"/>
        <w:rPr>
          <w:sz w:val="22"/>
          <w:szCs w:val="22"/>
          <w:lang w:val="es-ES" w:eastAsia="es-CR"/>
        </w:rPr>
      </w:pPr>
      <w:r w:rsidRPr="00A156F4">
        <w:rPr>
          <w:sz w:val="22"/>
          <w:szCs w:val="22"/>
          <w:lang w:val="es-ES" w:eastAsia="es-CR"/>
        </w:rPr>
        <w:t xml:space="preserve">La potestad para sancionar las infracciones previstas en la presente ley y en la </w:t>
      </w:r>
      <w:r w:rsidRPr="00A156F4">
        <w:rPr>
          <w:sz w:val="22"/>
          <w:szCs w:val="22"/>
        </w:rPr>
        <w:t xml:space="preserve">Ley de Promoción de la Competencia y Defensa Efectiva del Consumidor, Ley </w:t>
      </w:r>
      <w:proofErr w:type="spellStart"/>
      <w:r w:rsidRPr="00A156F4">
        <w:rPr>
          <w:sz w:val="22"/>
          <w:szCs w:val="22"/>
        </w:rPr>
        <w:t>N°</w:t>
      </w:r>
      <w:proofErr w:type="spellEnd"/>
      <w:r w:rsidRPr="00A156F4">
        <w:rPr>
          <w:sz w:val="22"/>
          <w:szCs w:val="22"/>
        </w:rPr>
        <w:t xml:space="preserve"> 7472, del 20 de diciembre de 1994 sus reformas </w:t>
      </w:r>
      <w:r w:rsidRPr="00A156F4">
        <w:rPr>
          <w:sz w:val="22"/>
          <w:szCs w:val="22"/>
          <w:lang w:val="es-ES"/>
        </w:rPr>
        <w:t>y sus reglamentos</w:t>
      </w:r>
      <w:r w:rsidRPr="00A156F4">
        <w:rPr>
          <w:sz w:val="22"/>
          <w:szCs w:val="22"/>
        </w:rPr>
        <w:t xml:space="preserve">, </w:t>
      </w:r>
      <w:r w:rsidRPr="00A156F4">
        <w:rPr>
          <w:sz w:val="22"/>
          <w:szCs w:val="22"/>
          <w:lang w:val="es-ES" w:eastAsia="es-CR"/>
        </w:rPr>
        <w:t>prescribirá en el plazo de cuatro años</w:t>
      </w:r>
      <w:r w:rsidR="00402702" w:rsidRPr="00A156F4">
        <w:rPr>
          <w:sz w:val="22"/>
          <w:szCs w:val="22"/>
          <w:lang w:val="es-ES" w:eastAsia="es-CR"/>
        </w:rPr>
        <w:t>, contados a partir del inicio de la etapa de investigación.</w:t>
      </w:r>
    </w:p>
    <w:p w14:paraId="6CE34AF3" w14:textId="77777777" w:rsidR="00762F13" w:rsidRPr="00A156F4" w:rsidRDefault="00762F13" w:rsidP="00762F13">
      <w:pPr>
        <w:widowControl w:val="0"/>
        <w:jc w:val="both"/>
        <w:rPr>
          <w:sz w:val="22"/>
          <w:szCs w:val="22"/>
          <w:lang w:val="es-ES" w:eastAsia="es-CR"/>
        </w:rPr>
      </w:pPr>
    </w:p>
    <w:p w14:paraId="66BF5039" w14:textId="3E6B1337" w:rsidR="00762F13" w:rsidRPr="00A156F4" w:rsidRDefault="00762F13" w:rsidP="00762F13">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1</w:t>
      </w:r>
      <w:r w:rsidR="00701AF7" w:rsidRPr="00A156F4">
        <w:rPr>
          <w:rFonts w:ascii="Times New Roman" w:eastAsia="Times New Roman" w:hAnsi="Times New Roman" w:cs="Times New Roman"/>
          <w:b/>
          <w:i w:val="0"/>
          <w:iCs w:val="0"/>
          <w:color w:val="auto"/>
          <w:sz w:val="22"/>
          <w:szCs w:val="22"/>
          <w:lang w:val="es-CR" w:eastAsia="en-US"/>
        </w:rPr>
        <w:t>3</w:t>
      </w:r>
      <w:r w:rsidR="00D80091" w:rsidRPr="00A156F4">
        <w:rPr>
          <w:rFonts w:ascii="Times New Roman" w:eastAsia="Times New Roman" w:hAnsi="Times New Roman" w:cs="Times New Roman"/>
          <w:b/>
          <w:i w:val="0"/>
          <w:iCs w:val="0"/>
          <w:color w:val="auto"/>
          <w:sz w:val="22"/>
          <w:szCs w:val="22"/>
          <w:lang w:val="es-CR" w:eastAsia="en-US"/>
        </w:rPr>
        <w:t>0</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Prescripción para ejecutar las sanciones</w:t>
      </w:r>
    </w:p>
    <w:p w14:paraId="547595F7" w14:textId="77777777" w:rsidR="00762F13" w:rsidRPr="00A156F4" w:rsidRDefault="00762F13" w:rsidP="00762F13">
      <w:pPr>
        <w:widowControl w:val="0"/>
        <w:jc w:val="both"/>
        <w:rPr>
          <w:sz w:val="22"/>
          <w:szCs w:val="22"/>
          <w:lang w:val="es-ES" w:eastAsia="es-CR"/>
        </w:rPr>
      </w:pPr>
    </w:p>
    <w:p w14:paraId="3E06F6DA" w14:textId="028D3BBC" w:rsidR="00762F13" w:rsidRPr="00A156F4" w:rsidRDefault="00F10E8A" w:rsidP="00762F13">
      <w:pPr>
        <w:widowControl w:val="0"/>
        <w:jc w:val="both"/>
        <w:rPr>
          <w:sz w:val="22"/>
          <w:szCs w:val="22"/>
          <w:lang w:val="es-ES" w:eastAsia="es-CR"/>
        </w:rPr>
      </w:pPr>
      <w:r w:rsidRPr="00A156F4">
        <w:rPr>
          <w:sz w:val="22"/>
          <w:szCs w:val="22"/>
          <w:lang w:val="es-ES" w:eastAsia="es-CR"/>
        </w:rPr>
        <w:t xml:space="preserve">La sanción impuesta por infracciones previstas en la presente ley y en la </w:t>
      </w:r>
      <w:r w:rsidRPr="00A156F4">
        <w:rPr>
          <w:sz w:val="22"/>
          <w:szCs w:val="22"/>
        </w:rPr>
        <w:t xml:space="preserve">Ley de Promoción de la Competencia y Defensa Efectiva del Consumidor, Ley </w:t>
      </w:r>
      <w:proofErr w:type="spellStart"/>
      <w:r w:rsidRPr="00A156F4">
        <w:rPr>
          <w:sz w:val="22"/>
          <w:szCs w:val="22"/>
        </w:rPr>
        <w:t>N°</w:t>
      </w:r>
      <w:proofErr w:type="spellEnd"/>
      <w:r w:rsidRPr="00A156F4">
        <w:rPr>
          <w:sz w:val="22"/>
          <w:szCs w:val="22"/>
        </w:rPr>
        <w:t xml:space="preserve">. 7472, del 20 de diciembre de 1994, sus reformas </w:t>
      </w:r>
      <w:r w:rsidRPr="00A156F4">
        <w:rPr>
          <w:sz w:val="22"/>
          <w:szCs w:val="22"/>
          <w:lang w:val="es-ES"/>
        </w:rPr>
        <w:t>y sus reglamentos</w:t>
      </w:r>
      <w:r w:rsidRPr="00A156F4">
        <w:rPr>
          <w:sz w:val="22"/>
          <w:szCs w:val="22"/>
        </w:rPr>
        <w:t xml:space="preserve">, </w:t>
      </w:r>
      <w:r w:rsidRPr="00A156F4">
        <w:rPr>
          <w:sz w:val="22"/>
          <w:szCs w:val="22"/>
          <w:lang w:val="es-ES" w:eastAsia="es-CR"/>
        </w:rPr>
        <w:t>prescribirá en el plazo de cuatro años, contado a partir del día inmediato siguiente a la notificación al infractor de la resolución que la impone. Dicho plazo se suspenderá si la resolución administrativa es impugnada en sede judicial, hasta que se dicte sentencia judicial en firme que resuelva tal impugnación.</w:t>
      </w:r>
    </w:p>
    <w:p w14:paraId="2C38E608" w14:textId="77777777" w:rsidR="00762F13" w:rsidRPr="00A156F4" w:rsidRDefault="00762F13" w:rsidP="00762F13">
      <w:pPr>
        <w:widowControl w:val="0"/>
        <w:jc w:val="both"/>
        <w:rPr>
          <w:sz w:val="22"/>
          <w:szCs w:val="22"/>
          <w:lang w:val="es-ES" w:eastAsia="es-CR"/>
        </w:rPr>
      </w:pPr>
    </w:p>
    <w:p w14:paraId="1DDD9CC5" w14:textId="6BD921F6" w:rsidR="00762F13" w:rsidRPr="00A156F4" w:rsidRDefault="00762F13" w:rsidP="00762F13">
      <w:pPr>
        <w:widowControl w:val="0"/>
        <w:jc w:val="both"/>
        <w:rPr>
          <w:b/>
          <w:sz w:val="22"/>
          <w:szCs w:val="22"/>
          <w:lang w:val="es-ES" w:eastAsia="es-CR"/>
        </w:rPr>
      </w:pPr>
      <w:r w:rsidRPr="00A156F4">
        <w:rPr>
          <w:b/>
          <w:sz w:val="22"/>
          <w:szCs w:val="22"/>
          <w:lang w:val="es-ES" w:eastAsia="es-CR"/>
        </w:rPr>
        <w:t>Artículo 1</w:t>
      </w:r>
      <w:r w:rsidR="00D80091" w:rsidRPr="00A156F4">
        <w:rPr>
          <w:b/>
          <w:sz w:val="22"/>
          <w:szCs w:val="22"/>
          <w:lang w:val="es-ES" w:eastAsia="es-CR"/>
        </w:rPr>
        <w:t>31</w:t>
      </w:r>
      <w:r w:rsidRPr="00A156F4">
        <w:rPr>
          <w:b/>
          <w:sz w:val="22"/>
          <w:szCs w:val="22"/>
          <w:lang w:val="es-ES" w:eastAsia="es-CR"/>
        </w:rPr>
        <w:t>.- Caducidad del procedimiento</w:t>
      </w:r>
    </w:p>
    <w:p w14:paraId="59D3FF91" w14:textId="77777777" w:rsidR="00762F13" w:rsidRPr="00A156F4" w:rsidRDefault="00762F13" w:rsidP="00762F13">
      <w:pPr>
        <w:widowControl w:val="0"/>
        <w:jc w:val="both"/>
        <w:rPr>
          <w:sz w:val="22"/>
          <w:szCs w:val="22"/>
          <w:lang w:val="es-ES" w:eastAsia="es-CR"/>
        </w:rPr>
      </w:pPr>
    </w:p>
    <w:p w14:paraId="1C34C927" w14:textId="41FEDB82" w:rsidR="00F10E8A" w:rsidRPr="00A156F4" w:rsidRDefault="00F10E8A" w:rsidP="00F10E8A">
      <w:pPr>
        <w:widowControl w:val="0"/>
        <w:jc w:val="both"/>
        <w:rPr>
          <w:sz w:val="22"/>
          <w:szCs w:val="22"/>
          <w:lang w:val="es-ES" w:eastAsia="es-CR"/>
        </w:rPr>
      </w:pPr>
      <w:r w:rsidRPr="00A156F4">
        <w:rPr>
          <w:sz w:val="22"/>
          <w:szCs w:val="22"/>
          <w:lang w:val="es-ES" w:eastAsia="es-CR"/>
        </w:rPr>
        <w:t>Cuando el procedimiento especial</w:t>
      </w:r>
      <w:r w:rsidR="00281A92" w:rsidRPr="00A156F4">
        <w:rPr>
          <w:sz w:val="22"/>
          <w:szCs w:val="22"/>
          <w:lang w:val="es-ES" w:eastAsia="es-CR"/>
        </w:rPr>
        <w:t>,</w:t>
      </w:r>
      <w:r w:rsidRPr="00A156F4">
        <w:rPr>
          <w:sz w:val="22"/>
          <w:szCs w:val="22"/>
          <w:lang w:val="es-ES" w:eastAsia="es-CR"/>
        </w:rPr>
        <w:t xml:space="preserve"> en cualquiera de sus etapas</w:t>
      </w:r>
      <w:r w:rsidR="00281A92" w:rsidRPr="00A156F4">
        <w:rPr>
          <w:sz w:val="22"/>
          <w:szCs w:val="22"/>
          <w:lang w:val="es-ES" w:eastAsia="es-CR"/>
        </w:rPr>
        <w:t>,</w:t>
      </w:r>
      <w:r w:rsidRPr="00A156F4">
        <w:rPr>
          <w:sz w:val="22"/>
          <w:szCs w:val="22"/>
          <w:lang w:val="es-ES" w:eastAsia="es-CR"/>
        </w:rPr>
        <w:t xml:space="preserve"> se paralice por más de seis meses en virtud de causa imputable exclusivamente al interesado que lo haya promovido o a la Administración que lo haya iniciado, de oficio o por denuncia, se producirá la caducidad y se ordenará su archivo.</w:t>
      </w:r>
    </w:p>
    <w:p w14:paraId="64DFEECE" w14:textId="77777777" w:rsidR="000D3416" w:rsidRPr="00A156F4" w:rsidRDefault="000D3416" w:rsidP="00762F13">
      <w:pPr>
        <w:widowControl w:val="0"/>
        <w:jc w:val="both"/>
        <w:rPr>
          <w:sz w:val="22"/>
          <w:szCs w:val="22"/>
          <w:lang w:eastAsia="es-CR"/>
        </w:rPr>
      </w:pPr>
    </w:p>
    <w:p w14:paraId="1108ECDF" w14:textId="77777777" w:rsidR="00762F13" w:rsidRPr="00A156F4" w:rsidRDefault="00762F13" w:rsidP="00762F13">
      <w:pPr>
        <w:widowControl w:val="0"/>
        <w:jc w:val="both"/>
        <w:rPr>
          <w:sz w:val="22"/>
          <w:szCs w:val="22"/>
          <w:lang w:val="es-ES" w:eastAsia="es-CR"/>
        </w:rPr>
      </w:pPr>
    </w:p>
    <w:p w14:paraId="1E73E4FB" w14:textId="77777777" w:rsidR="00762F13" w:rsidRPr="00A156F4" w:rsidRDefault="00762F13" w:rsidP="00762F13">
      <w:pPr>
        <w:pStyle w:val="Ttulo1"/>
        <w:spacing w:before="0"/>
        <w:jc w:val="center"/>
        <w:rPr>
          <w:rFonts w:ascii="Times New Roman" w:hAnsi="Times New Roman" w:cs="Times New Roman"/>
          <w:b/>
          <w:sz w:val="22"/>
          <w:szCs w:val="22"/>
        </w:rPr>
      </w:pPr>
      <w:bookmarkStart w:id="41" w:name="_Hlk523045618"/>
      <w:r w:rsidRPr="00A156F4">
        <w:rPr>
          <w:rFonts w:ascii="Times New Roman" w:eastAsiaTheme="minorHAnsi" w:hAnsi="Times New Roman" w:cs="Times New Roman"/>
          <w:b/>
          <w:color w:val="auto"/>
          <w:sz w:val="22"/>
          <w:szCs w:val="22"/>
          <w:lang w:val="es-ES_tradnl" w:eastAsia="es-ES_tradnl"/>
        </w:rPr>
        <w:t>TÍTULO IV</w:t>
      </w:r>
    </w:p>
    <w:p w14:paraId="5F242CFA" w14:textId="77777777" w:rsidR="00762F13" w:rsidRPr="00A156F4" w:rsidRDefault="00762F13" w:rsidP="00762F13">
      <w:pPr>
        <w:widowControl w:val="0"/>
        <w:jc w:val="center"/>
        <w:rPr>
          <w:b/>
          <w:sz w:val="22"/>
          <w:szCs w:val="22"/>
        </w:rPr>
      </w:pPr>
      <w:r w:rsidRPr="00A156F4">
        <w:rPr>
          <w:b/>
          <w:sz w:val="22"/>
          <w:szCs w:val="22"/>
        </w:rPr>
        <w:t>Disposiciones Finales</w:t>
      </w:r>
      <w:bookmarkEnd w:id="41"/>
    </w:p>
    <w:p w14:paraId="09DE4AB7" w14:textId="39984E56" w:rsidR="00473059" w:rsidRPr="00A156F4" w:rsidRDefault="00473059" w:rsidP="00762F13">
      <w:pPr>
        <w:jc w:val="both"/>
        <w:rPr>
          <w:sz w:val="22"/>
          <w:szCs w:val="22"/>
        </w:rPr>
      </w:pPr>
    </w:p>
    <w:p w14:paraId="2302182E" w14:textId="77777777" w:rsidR="005F7DB9" w:rsidRPr="00A156F4" w:rsidRDefault="005F7DB9" w:rsidP="00762F13">
      <w:pPr>
        <w:jc w:val="both"/>
        <w:rPr>
          <w:sz w:val="22"/>
          <w:szCs w:val="22"/>
        </w:rPr>
      </w:pPr>
    </w:p>
    <w:p w14:paraId="2730B665" w14:textId="79CC9404" w:rsidR="00402702" w:rsidRPr="00A156F4" w:rsidRDefault="00402702" w:rsidP="00402702">
      <w:pPr>
        <w:widowControl w:val="0"/>
        <w:jc w:val="both"/>
        <w:rPr>
          <w:b/>
          <w:sz w:val="22"/>
          <w:szCs w:val="22"/>
          <w:lang w:val="es-ES" w:eastAsia="es-CR"/>
        </w:rPr>
      </w:pPr>
      <w:r w:rsidRPr="00A156F4">
        <w:rPr>
          <w:b/>
          <w:sz w:val="22"/>
          <w:szCs w:val="22"/>
          <w:lang w:val="es-ES" w:eastAsia="es-CR"/>
        </w:rPr>
        <w:t>Artículo 1</w:t>
      </w:r>
      <w:r w:rsidR="00701AF7" w:rsidRPr="00A156F4">
        <w:rPr>
          <w:b/>
          <w:sz w:val="22"/>
          <w:szCs w:val="22"/>
          <w:lang w:val="es-ES" w:eastAsia="es-CR"/>
        </w:rPr>
        <w:t>3</w:t>
      </w:r>
      <w:r w:rsidR="00D80091" w:rsidRPr="00A156F4">
        <w:rPr>
          <w:b/>
          <w:sz w:val="22"/>
          <w:szCs w:val="22"/>
          <w:lang w:val="es-ES" w:eastAsia="es-CR"/>
        </w:rPr>
        <w:t>2</w:t>
      </w:r>
      <w:r w:rsidRPr="00A156F4">
        <w:rPr>
          <w:b/>
          <w:sz w:val="22"/>
          <w:szCs w:val="22"/>
          <w:lang w:val="es-ES" w:eastAsia="es-CR"/>
        </w:rPr>
        <w:t>.- Nulidad de los actos de las autoridades de competencia</w:t>
      </w:r>
    </w:p>
    <w:p w14:paraId="12D1F5E5" w14:textId="77777777" w:rsidR="00402702" w:rsidRPr="00A156F4" w:rsidRDefault="00402702" w:rsidP="00402702">
      <w:pPr>
        <w:widowControl w:val="0"/>
        <w:jc w:val="both"/>
        <w:rPr>
          <w:sz w:val="22"/>
          <w:szCs w:val="22"/>
          <w:lang w:val="es-ES" w:eastAsia="es-CR"/>
        </w:rPr>
      </w:pPr>
    </w:p>
    <w:p w14:paraId="1BD30452" w14:textId="3595B0D8" w:rsidR="00402702" w:rsidRPr="00A156F4" w:rsidRDefault="00402702" w:rsidP="00402702">
      <w:pPr>
        <w:widowControl w:val="0"/>
        <w:jc w:val="both"/>
        <w:rPr>
          <w:sz w:val="22"/>
          <w:szCs w:val="22"/>
        </w:rPr>
      </w:pPr>
      <w:r w:rsidRPr="00A156F4">
        <w:rPr>
          <w:sz w:val="22"/>
          <w:szCs w:val="22"/>
        </w:rPr>
        <w:t>La nulidad de los actos de las autoridades de competencia solo podrá ser dictada por ellas mismas o los órganos jurisdiccionales correspondientes.</w:t>
      </w:r>
    </w:p>
    <w:p w14:paraId="4AAE1FC4" w14:textId="15057F1E" w:rsidR="00B06F65" w:rsidRPr="00A156F4" w:rsidRDefault="00B06F65" w:rsidP="00402702">
      <w:pPr>
        <w:widowControl w:val="0"/>
        <w:jc w:val="both"/>
        <w:rPr>
          <w:sz w:val="22"/>
          <w:szCs w:val="22"/>
          <w:lang w:val="es-ES" w:eastAsia="es-CR"/>
        </w:rPr>
      </w:pPr>
    </w:p>
    <w:p w14:paraId="50330607" w14:textId="619FCA2F" w:rsidR="00B06F65" w:rsidRPr="00A156F4" w:rsidRDefault="00B06F65" w:rsidP="00B06F65">
      <w:pPr>
        <w:pStyle w:val="Ttulo4"/>
        <w:keepNext w:val="0"/>
        <w:keepLines w:val="0"/>
        <w:spacing w:before="0"/>
        <w:contextualSpacing/>
        <w:jc w:val="both"/>
        <w:rPr>
          <w:rFonts w:ascii="Times New Roman" w:eastAsia="Times New Roman" w:hAnsi="Times New Roman" w:cs="Times New Roman"/>
          <w:b/>
          <w:i w:val="0"/>
          <w:iCs w:val="0"/>
          <w:color w:val="auto"/>
          <w:sz w:val="22"/>
          <w:szCs w:val="22"/>
          <w:lang w:val="es-CR" w:eastAsia="en-US"/>
        </w:rPr>
      </w:pPr>
      <w:r w:rsidRPr="00A156F4">
        <w:rPr>
          <w:rFonts w:ascii="Times New Roman" w:eastAsiaTheme="minorHAnsi" w:hAnsi="Times New Roman" w:cs="Times New Roman"/>
          <w:b/>
          <w:i w:val="0"/>
          <w:color w:val="auto"/>
          <w:sz w:val="22"/>
          <w:szCs w:val="22"/>
        </w:rPr>
        <w:t>Artículo</w:t>
      </w:r>
      <w:r w:rsidRPr="00A156F4">
        <w:rPr>
          <w:rFonts w:ascii="Times New Roman" w:hAnsi="Times New Roman" w:cs="Times New Roman"/>
          <w:b/>
          <w:bCs/>
          <w:sz w:val="22"/>
          <w:szCs w:val="22"/>
        </w:rPr>
        <w:t xml:space="preserve"> </w:t>
      </w:r>
      <w:r w:rsidRPr="00A156F4">
        <w:rPr>
          <w:rFonts w:ascii="Times New Roman" w:eastAsia="Times New Roman" w:hAnsi="Times New Roman" w:cs="Times New Roman"/>
          <w:b/>
          <w:i w:val="0"/>
          <w:iCs w:val="0"/>
          <w:color w:val="auto"/>
          <w:sz w:val="22"/>
          <w:szCs w:val="22"/>
          <w:lang w:val="es-CR" w:eastAsia="en-US"/>
        </w:rPr>
        <w:t>1</w:t>
      </w:r>
      <w:r w:rsidR="00701AF7" w:rsidRPr="00A156F4">
        <w:rPr>
          <w:rFonts w:ascii="Times New Roman" w:eastAsia="Times New Roman" w:hAnsi="Times New Roman" w:cs="Times New Roman"/>
          <w:b/>
          <w:i w:val="0"/>
          <w:iCs w:val="0"/>
          <w:color w:val="auto"/>
          <w:sz w:val="22"/>
          <w:szCs w:val="22"/>
          <w:lang w:val="es-CR" w:eastAsia="en-US"/>
        </w:rPr>
        <w:t>3</w:t>
      </w:r>
      <w:r w:rsidR="00D80091" w:rsidRPr="00A156F4">
        <w:rPr>
          <w:rFonts w:ascii="Times New Roman" w:eastAsia="Times New Roman" w:hAnsi="Times New Roman" w:cs="Times New Roman"/>
          <w:b/>
          <w:i w:val="0"/>
          <w:iCs w:val="0"/>
          <w:color w:val="auto"/>
          <w:sz w:val="22"/>
          <w:szCs w:val="22"/>
          <w:lang w:val="es-CR" w:eastAsia="en-US"/>
        </w:rPr>
        <w:t>3</w:t>
      </w:r>
      <w:r w:rsidRPr="00A156F4">
        <w:rPr>
          <w:rFonts w:ascii="Times New Roman" w:eastAsia="Times New Roman" w:hAnsi="Times New Roman" w:cs="Times New Roman"/>
          <w:b/>
          <w:i w:val="0"/>
          <w:iCs w:val="0"/>
          <w:color w:val="auto"/>
          <w:sz w:val="22"/>
          <w:szCs w:val="22"/>
          <w:lang w:val="es-CR" w:eastAsia="en-US"/>
        </w:rPr>
        <w:t>.-</w:t>
      </w:r>
      <w:r w:rsidR="00F153AC" w:rsidRPr="00A156F4">
        <w:rPr>
          <w:rFonts w:ascii="Times New Roman" w:eastAsia="Times New Roman" w:hAnsi="Times New Roman" w:cs="Times New Roman"/>
          <w:b/>
          <w:i w:val="0"/>
          <w:iCs w:val="0"/>
          <w:color w:val="auto"/>
          <w:sz w:val="22"/>
          <w:szCs w:val="22"/>
          <w:lang w:val="es-CR" w:eastAsia="en-US"/>
        </w:rPr>
        <w:t xml:space="preserve"> </w:t>
      </w:r>
      <w:r w:rsidRPr="00A156F4">
        <w:rPr>
          <w:rFonts w:ascii="Times New Roman" w:eastAsia="Times New Roman" w:hAnsi="Times New Roman" w:cs="Times New Roman"/>
          <w:b/>
          <w:i w:val="0"/>
          <w:iCs w:val="0"/>
          <w:color w:val="auto"/>
          <w:sz w:val="22"/>
          <w:szCs w:val="22"/>
          <w:lang w:val="es-CR" w:eastAsia="en-US"/>
        </w:rPr>
        <w:t>Daños y perjuicios</w:t>
      </w:r>
    </w:p>
    <w:p w14:paraId="507B1821" w14:textId="77777777" w:rsidR="00B06F65" w:rsidRPr="00A156F4" w:rsidRDefault="00B06F65" w:rsidP="00B06F65">
      <w:pPr>
        <w:rPr>
          <w:sz w:val="22"/>
          <w:szCs w:val="22"/>
          <w:lang w:val="es-CR" w:eastAsia="en-US"/>
        </w:rPr>
      </w:pPr>
    </w:p>
    <w:p w14:paraId="1D597ECF" w14:textId="4757DC06" w:rsidR="00B06F65" w:rsidRPr="00A156F4" w:rsidRDefault="00B06F65" w:rsidP="00B06F65">
      <w:pPr>
        <w:widowControl w:val="0"/>
        <w:jc w:val="both"/>
        <w:rPr>
          <w:sz w:val="22"/>
          <w:szCs w:val="22"/>
        </w:rPr>
      </w:pPr>
      <w:r w:rsidRPr="00A156F4">
        <w:rPr>
          <w:sz w:val="22"/>
          <w:szCs w:val="22"/>
        </w:rPr>
        <w:t xml:space="preserve">Las resoluciones de la autoridad de competencia correspondiente no prejuzgarán sobre los daños y perjuicios causados por la realización de prácticas monopolísticas, </w:t>
      </w:r>
      <w:r w:rsidR="007068CB" w:rsidRPr="00A156F4">
        <w:rPr>
          <w:sz w:val="22"/>
          <w:szCs w:val="22"/>
        </w:rPr>
        <w:t>que</w:t>
      </w:r>
      <w:r w:rsidRPr="00A156F4">
        <w:rPr>
          <w:sz w:val="22"/>
          <w:szCs w:val="22"/>
        </w:rPr>
        <w:t xml:space="preserve"> serán conocidos exclusivamente por las autoridades judiciales competentes. </w:t>
      </w:r>
    </w:p>
    <w:p w14:paraId="0D62965B" w14:textId="77777777" w:rsidR="00B06F65" w:rsidRPr="00A156F4" w:rsidRDefault="00B06F65" w:rsidP="00B06F65">
      <w:pPr>
        <w:widowControl w:val="0"/>
        <w:jc w:val="both"/>
        <w:rPr>
          <w:sz w:val="22"/>
          <w:szCs w:val="22"/>
        </w:rPr>
      </w:pPr>
    </w:p>
    <w:p w14:paraId="0EEA5E5E" w14:textId="3AD3E5FC" w:rsidR="00B06F65" w:rsidRPr="00A156F4" w:rsidRDefault="00B06F65" w:rsidP="00B06F65">
      <w:pPr>
        <w:widowControl w:val="0"/>
        <w:jc w:val="both"/>
        <w:rPr>
          <w:sz w:val="22"/>
          <w:szCs w:val="22"/>
          <w:lang w:val="es-ES" w:eastAsia="es-CR"/>
        </w:rPr>
      </w:pPr>
      <w:r w:rsidRPr="00A156F4">
        <w:rPr>
          <w:sz w:val="22"/>
          <w:szCs w:val="22"/>
        </w:rPr>
        <w:t>La demanda podrá interponerse por cualquier persona física o jurídica que hubiese sufrido daños</w:t>
      </w:r>
      <w:r w:rsidR="007068CB" w:rsidRPr="00A156F4">
        <w:rPr>
          <w:sz w:val="22"/>
          <w:szCs w:val="22"/>
        </w:rPr>
        <w:t>,</w:t>
      </w:r>
      <w:r w:rsidRPr="00A156F4">
        <w:rPr>
          <w:sz w:val="22"/>
          <w:szCs w:val="22"/>
        </w:rPr>
        <w:t xml:space="preserve"> producto de las conductas declaradas como práctica monopolística por la autoridad de competencia correspondiente, incluso cuando no haya sido parte en el procedimiento administrativo, y siempre y cuando sea capaz de mostrar un nexo causal entre el daño reclamado y la conducta declarada anticompetitiva por la autoridad de competencia correspondiente.</w:t>
      </w:r>
    </w:p>
    <w:p w14:paraId="6993FB6F" w14:textId="77777777" w:rsidR="00402702" w:rsidRPr="00A156F4" w:rsidRDefault="00402702" w:rsidP="00556CF0">
      <w:pPr>
        <w:adjustRightInd w:val="0"/>
        <w:jc w:val="both"/>
        <w:rPr>
          <w:b/>
          <w:sz w:val="22"/>
          <w:szCs w:val="22"/>
          <w:lang w:val="es-ES"/>
        </w:rPr>
      </w:pPr>
    </w:p>
    <w:p w14:paraId="36B13AF5" w14:textId="3C77128C" w:rsidR="00556CF0" w:rsidRPr="00A156F4" w:rsidRDefault="00556CF0" w:rsidP="00556CF0">
      <w:pPr>
        <w:adjustRightInd w:val="0"/>
        <w:jc w:val="both"/>
        <w:rPr>
          <w:b/>
          <w:sz w:val="22"/>
          <w:szCs w:val="22"/>
        </w:rPr>
      </w:pPr>
      <w:r w:rsidRPr="00A156F4">
        <w:rPr>
          <w:b/>
          <w:sz w:val="22"/>
          <w:szCs w:val="22"/>
        </w:rPr>
        <w:t xml:space="preserve">Artículo </w:t>
      </w:r>
      <w:r w:rsidR="00701AF7" w:rsidRPr="00A156F4">
        <w:rPr>
          <w:b/>
          <w:sz w:val="22"/>
          <w:szCs w:val="22"/>
        </w:rPr>
        <w:t>13</w:t>
      </w:r>
      <w:r w:rsidR="00D80091" w:rsidRPr="00A156F4">
        <w:rPr>
          <w:b/>
          <w:sz w:val="22"/>
          <w:szCs w:val="22"/>
        </w:rPr>
        <w:t>4</w:t>
      </w:r>
      <w:r w:rsidRPr="00A156F4">
        <w:rPr>
          <w:b/>
          <w:sz w:val="22"/>
          <w:szCs w:val="22"/>
        </w:rPr>
        <w:t>.-Normas complementarias</w:t>
      </w:r>
    </w:p>
    <w:p w14:paraId="482FA1B8" w14:textId="77777777" w:rsidR="00556CF0" w:rsidRPr="00A156F4" w:rsidRDefault="00556CF0" w:rsidP="00556CF0">
      <w:pPr>
        <w:adjustRightInd w:val="0"/>
        <w:jc w:val="both"/>
        <w:rPr>
          <w:sz w:val="22"/>
          <w:szCs w:val="22"/>
        </w:rPr>
      </w:pPr>
    </w:p>
    <w:p w14:paraId="51F07247" w14:textId="297AF2D7" w:rsidR="00556CF0" w:rsidRPr="00A156F4" w:rsidRDefault="00556CF0" w:rsidP="00556CF0">
      <w:pPr>
        <w:widowControl w:val="0"/>
        <w:jc w:val="both"/>
        <w:rPr>
          <w:b/>
          <w:sz w:val="22"/>
          <w:szCs w:val="22"/>
        </w:rPr>
      </w:pPr>
      <w:r w:rsidRPr="00A156F4">
        <w:rPr>
          <w:sz w:val="22"/>
          <w:szCs w:val="22"/>
        </w:rPr>
        <w:t xml:space="preserve">En lo no establecido expresamente en la presente ley, los procedimientos se regirán, en lo atinente, por la Ley de Competencia y Promoción Efectiva del Consumidor, Ley </w:t>
      </w:r>
      <w:proofErr w:type="spellStart"/>
      <w:r w:rsidRPr="00A156F4">
        <w:rPr>
          <w:sz w:val="22"/>
          <w:szCs w:val="22"/>
        </w:rPr>
        <w:t>N°</w:t>
      </w:r>
      <w:proofErr w:type="spellEnd"/>
      <w:r w:rsidRPr="00A156F4">
        <w:rPr>
          <w:sz w:val="22"/>
          <w:szCs w:val="22"/>
        </w:rPr>
        <w:t xml:space="preserve"> 7472, del 20 de diciembre de 1994 sus reformas y sus reglamentos; la Ley General de la Administración Pública, Ley </w:t>
      </w:r>
      <w:proofErr w:type="spellStart"/>
      <w:r w:rsidRPr="00A156F4">
        <w:rPr>
          <w:sz w:val="22"/>
          <w:szCs w:val="22"/>
        </w:rPr>
        <w:t>N°</w:t>
      </w:r>
      <w:proofErr w:type="spellEnd"/>
      <w:r w:rsidRPr="00A156F4">
        <w:rPr>
          <w:sz w:val="22"/>
          <w:szCs w:val="22"/>
        </w:rPr>
        <w:t xml:space="preserve">. 6227, del 2 de mayo de 1978, sus reformas y sus reglamentos; el Código Procesal Contencioso Administrativo, Ley </w:t>
      </w:r>
      <w:proofErr w:type="spellStart"/>
      <w:r w:rsidRPr="00A156F4">
        <w:rPr>
          <w:sz w:val="22"/>
          <w:szCs w:val="22"/>
        </w:rPr>
        <w:t>N°</w:t>
      </w:r>
      <w:proofErr w:type="spellEnd"/>
      <w:r w:rsidR="009E0C5B" w:rsidRPr="00A156F4">
        <w:rPr>
          <w:sz w:val="22"/>
          <w:szCs w:val="22"/>
        </w:rPr>
        <w:t>.</w:t>
      </w:r>
      <w:r w:rsidRPr="00A156F4">
        <w:rPr>
          <w:sz w:val="22"/>
          <w:szCs w:val="22"/>
        </w:rPr>
        <w:t xml:space="preserve"> 8508, del 28 de abril de 2006, sus reformas y sus reglamentos; y el Código Procesal Civil, Ley </w:t>
      </w:r>
      <w:proofErr w:type="spellStart"/>
      <w:r w:rsidRPr="00A156F4">
        <w:rPr>
          <w:sz w:val="22"/>
          <w:szCs w:val="22"/>
        </w:rPr>
        <w:t>N°</w:t>
      </w:r>
      <w:proofErr w:type="spellEnd"/>
      <w:r w:rsidRPr="00A156F4">
        <w:rPr>
          <w:sz w:val="22"/>
          <w:szCs w:val="22"/>
        </w:rPr>
        <w:t xml:space="preserve"> </w:t>
      </w:r>
      <w:r w:rsidR="00F45C26" w:rsidRPr="00A156F4">
        <w:rPr>
          <w:sz w:val="22"/>
          <w:szCs w:val="22"/>
        </w:rPr>
        <w:t>9342</w:t>
      </w:r>
      <w:r w:rsidRPr="00A156F4">
        <w:rPr>
          <w:sz w:val="22"/>
          <w:szCs w:val="22"/>
        </w:rPr>
        <w:t xml:space="preserve"> del </w:t>
      </w:r>
      <w:r w:rsidR="00F45C26" w:rsidRPr="00A156F4">
        <w:rPr>
          <w:sz w:val="22"/>
          <w:szCs w:val="22"/>
        </w:rPr>
        <w:t>3</w:t>
      </w:r>
      <w:r w:rsidRPr="00A156F4">
        <w:rPr>
          <w:sz w:val="22"/>
          <w:szCs w:val="22"/>
        </w:rPr>
        <w:t xml:space="preserve"> de </w:t>
      </w:r>
      <w:r w:rsidR="00F45C26" w:rsidRPr="00A156F4">
        <w:rPr>
          <w:sz w:val="22"/>
          <w:szCs w:val="22"/>
        </w:rPr>
        <w:t xml:space="preserve">febrero </w:t>
      </w:r>
      <w:r w:rsidRPr="00A156F4">
        <w:rPr>
          <w:sz w:val="22"/>
          <w:szCs w:val="22"/>
        </w:rPr>
        <w:t xml:space="preserve">de </w:t>
      </w:r>
      <w:r w:rsidR="00F45C26" w:rsidRPr="00A156F4">
        <w:rPr>
          <w:sz w:val="22"/>
          <w:szCs w:val="22"/>
        </w:rPr>
        <w:t>2016</w:t>
      </w:r>
      <w:r w:rsidRPr="00A156F4">
        <w:rPr>
          <w:sz w:val="22"/>
          <w:szCs w:val="22"/>
        </w:rPr>
        <w:t>, sus reformas y sus reglamentos.</w:t>
      </w:r>
    </w:p>
    <w:p w14:paraId="5AEC4F76" w14:textId="77777777" w:rsidR="00556CF0" w:rsidRPr="00A156F4" w:rsidRDefault="00556CF0" w:rsidP="00473059">
      <w:pPr>
        <w:widowControl w:val="0"/>
        <w:jc w:val="both"/>
        <w:rPr>
          <w:b/>
          <w:sz w:val="22"/>
          <w:szCs w:val="22"/>
        </w:rPr>
      </w:pPr>
    </w:p>
    <w:p w14:paraId="2FE5046E" w14:textId="4B746D6A" w:rsidR="00473059" w:rsidRPr="00A156F4" w:rsidRDefault="00473059" w:rsidP="00473059">
      <w:pPr>
        <w:widowControl w:val="0"/>
        <w:jc w:val="both"/>
        <w:rPr>
          <w:b/>
          <w:sz w:val="22"/>
          <w:szCs w:val="22"/>
        </w:rPr>
      </w:pPr>
      <w:r w:rsidRPr="00A156F4">
        <w:rPr>
          <w:b/>
          <w:sz w:val="22"/>
          <w:szCs w:val="22"/>
        </w:rPr>
        <w:t>Artículo 1</w:t>
      </w:r>
      <w:r w:rsidR="00701AF7" w:rsidRPr="00A156F4">
        <w:rPr>
          <w:b/>
          <w:sz w:val="22"/>
          <w:szCs w:val="22"/>
        </w:rPr>
        <w:t>3</w:t>
      </w:r>
      <w:r w:rsidR="00D80091" w:rsidRPr="00A156F4">
        <w:rPr>
          <w:b/>
          <w:sz w:val="22"/>
          <w:szCs w:val="22"/>
        </w:rPr>
        <w:t>5</w:t>
      </w:r>
      <w:r w:rsidRPr="00A156F4">
        <w:rPr>
          <w:b/>
          <w:sz w:val="22"/>
          <w:szCs w:val="22"/>
        </w:rPr>
        <w:t>.- Órgano judicial competente</w:t>
      </w:r>
    </w:p>
    <w:p w14:paraId="7FE7C168" w14:textId="77777777" w:rsidR="00473059" w:rsidRPr="00A156F4" w:rsidRDefault="00473059" w:rsidP="00473059">
      <w:pPr>
        <w:widowControl w:val="0"/>
        <w:jc w:val="both"/>
        <w:rPr>
          <w:sz w:val="22"/>
          <w:szCs w:val="22"/>
        </w:rPr>
      </w:pPr>
    </w:p>
    <w:p w14:paraId="68BD294B" w14:textId="674E5119" w:rsidR="00556CF0" w:rsidRPr="00A156F4" w:rsidRDefault="00473059" w:rsidP="00473059">
      <w:pPr>
        <w:widowControl w:val="0"/>
        <w:jc w:val="both"/>
        <w:rPr>
          <w:sz w:val="22"/>
          <w:szCs w:val="22"/>
        </w:rPr>
      </w:pPr>
      <w:r w:rsidRPr="00A156F4">
        <w:rPr>
          <w:sz w:val="22"/>
          <w:szCs w:val="22"/>
        </w:rPr>
        <w:t>Autorí</w:t>
      </w:r>
      <w:r w:rsidR="00873A18" w:rsidRPr="00A156F4">
        <w:rPr>
          <w:sz w:val="22"/>
          <w:szCs w:val="22"/>
        </w:rPr>
        <w:t>ce</w:t>
      </w:r>
      <w:r w:rsidRPr="00A156F4">
        <w:rPr>
          <w:sz w:val="22"/>
          <w:szCs w:val="22"/>
        </w:rPr>
        <w:t xml:space="preserve">se a la Corte Suprema de Justicia, para que, cuando lo considere pertinente y con fundamento en el contenido técnico de la materia regulada y su volumen, establezca </w:t>
      </w:r>
      <w:r w:rsidR="00590D51" w:rsidRPr="00A156F4">
        <w:rPr>
          <w:sz w:val="22"/>
          <w:szCs w:val="22"/>
        </w:rPr>
        <w:t xml:space="preserve">un </w:t>
      </w:r>
      <w:r w:rsidRPr="00A156F4">
        <w:rPr>
          <w:sz w:val="22"/>
          <w:szCs w:val="22"/>
        </w:rPr>
        <w:t>tribunal especializado, no exclusivo, que conocerá las gestiones presentadas</w:t>
      </w:r>
      <w:r w:rsidR="00590D51" w:rsidRPr="00A156F4">
        <w:rPr>
          <w:sz w:val="22"/>
          <w:szCs w:val="22"/>
        </w:rPr>
        <w:t xml:space="preserve"> contra actos o resoluciones de las autoridades de competencia.</w:t>
      </w:r>
    </w:p>
    <w:p w14:paraId="34F3043A" w14:textId="6024E3A3" w:rsidR="00473059" w:rsidRPr="00A156F4" w:rsidRDefault="00473059" w:rsidP="00762F13">
      <w:pPr>
        <w:jc w:val="both"/>
        <w:rPr>
          <w:sz w:val="22"/>
          <w:szCs w:val="22"/>
        </w:rPr>
      </w:pPr>
    </w:p>
    <w:p w14:paraId="023DDC8E" w14:textId="77777777" w:rsidR="004E014C" w:rsidRPr="00A156F4" w:rsidRDefault="004E014C" w:rsidP="00762F13">
      <w:pPr>
        <w:jc w:val="both"/>
        <w:rPr>
          <w:sz w:val="22"/>
          <w:szCs w:val="22"/>
        </w:rPr>
      </w:pPr>
    </w:p>
    <w:p w14:paraId="69F5FDB5" w14:textId="77777777" w:rsidR="00762F13" w:rsidRPr="00A156F4" w:rsidRDefault="00762F13" w:rsidP="00762F13">
      <w:pPr>
        <w:widowControl w:val="0"/>
        <w:jc w:val="center"/>
        <w:outlineLvl w:val="0"/>
        <w:rPr>
          <w:b/>
          <w:sz w:val="22"/>
          <w:szCs w:val="22"/>
        </w:rPr>
      </w:pPr>
      <w:bookmarkStart w:id="42" w:name="_Hlk523045629"/>
      <w:r w:rsidRPr="00A156F4">
        <w:rPr>
          <w:b/>
          <w:sz w:val="22"/>
          <w:szCs w:val="22"/>
        </w:rPr>
        <w:t>TÍTULO V</w:t>
      </w:r>
    </w:p>
    <w:p w14:paraId="1D130463" w14:textId="554FCDB7" w:rsidR="00762F13" w:rsidRPr="00A156F4" w:rsidRDefault="00B05344" w:rsidP="00762F13">
      <w:pPr>
        <w:widowControl w:val="0"/>
        <w:jc w:val="center"/>
        <w:rPr>
          <w:b/>
          <w:sz w:val="22"/>
          <w:szCs w:val="22"/>
        </w:rPr>
      </w:pPr>
      <w:r w:rsidRPr="00A156F4">
        <w:rPr>
          <w:b/>
          <w:sz w:val="22"/>
          <w:szCs w:val="22"/>
        </w:rPr>
        <w:t>Modificaciones</w:t>
      </w:r>
      <w:r w:rsidR="00762F13" w:rsidRPr="00A156F4">
        <w:rPr>
          <w:b/>
          <w:sz w:val="22"/>
          <w:szCs w:val="22"/>
        </w:rPr>
        <w:t>, adiciones, derogatorias y transitorios</w:t>
      </w:r>
    </w:p>
    <w:p w14:paraId="7D9C1890" w14:textId="77777777" w:rsidR="00762F13" w:rsidRPr="00A156F4" w:rsidRDefault="00762F13" w:rsidP="00762F13">
      <w:pPr>
        <w:widowControl w:val="0"/>
        <w:jc w:val="both"/>
        <w:rPr>
          <w:sz w:val="22"/>
          <w:szCs w:val="22"/>
        </w:rPr>
      </w:pPr>
    </w:p>
    <w:p w14:paraId="68673AE8" w14:textId="77777777" w:rsidR="00762F13" w:rsidRPr="00A156F4" w:rsidRDefault="00762F13" w:rsidP="00762F13">
      <w:pPr>
        <w:widowControl w:val="0"/>
        <w:jc w:val="center"/>
        <w:outlineLvl w:val="0"/>
        <w:rPr>
          <w:b/>
          <w:sz w:val="22"/>
          <w:szCs w:val="22"/>
        </w:rPr>
      </w:pPr>
      <w:r w:rsidRPr="00A156F4">
        <w:rPr>
          <w:b/>
          <w:sz w:val="22"/>
          <w:szCs w:val="22"/>
        </w:rPr>
        <w:t>CAPÍTULO I</w:t>
      </w:r>
    </w:p>
    <w:p w14:paraId="5B4BB404" w14:textId="4E8982A8" w:rsidR="00762F13" w:rsidRPr="00A156F4" w:rsidRDefault="00B05344" w:rsidP="00762F13">
      <w:pPr>
        <w:widowControl w:val="0"/>
        <w:jc w:val="center"/>
        <w:rPr>
          <w:sz w:val="22"/>
          <w:szCs w:val="22"/>
        </w:rPr>
      </w:pPr>
      <w:r w:rsidRPr="00A156F4">
        <w:rPr>
          <w:b/>
          <w:sz w:val="22"/>
          <w:szCs w:val="22"/>
        </w:rPr>
        <w:t>Modificaciones</w:t>
      </w:r>
      <w:r w:rsidR="00762F13" w:rsidRPr="00A156F4">
        <w:rPr>
          <w:b/>
          <w:sz w:val="22"/>
          <w:szCs w:val="22"/>
        </w:rPr>
        <w:t>, adiciones y derogatorias</w:t>
      </w:r>
    </w:p>
    <w:bookmarkEnd w:id="42"/>
    <w:p w14:paraId="0245E036" w14:textId="1A42E797" w:rsidR="00762F13" w:rsidRPr="00A156F4" w:rsidRDefault="00762F13" w:rsidP="00762F13">
      <w:pPr>
        <w:widowControl w:val="0"/>
        <w:jc w:val="both"/>
        <w:rPr>
          <w:sz w:val="22"/>
          <w:szCs w:val="22"/>
        </w:rPr>
      </w:pPr>
    </w:p>
    <w:p w14:paraId="13BB4196" w14:textId="77777777" w:rsidR="004E014C" w:rsidRPr="00A156F4" w:rsidRDefault="004E014C" w:rsidP="00762F13">
      <w:pPr>
        <w:widowControl w:val="0"/>
        <w:jc w:val="both"/>
        <w:rPr>
          <w:sz w:val="22"/>
          <w:szCs w:val="22"/>
        </w:rPr>
      </w:pPr>
    </w:p>
    <w:p w14:paraId="4DB73A87" w14:textId="3FBC58D7" w:rsidR="00762F13" w:rsidRPr="00A156F4" w:rsidRDefault="00762F13" w:rsidP="00762F13">
      <w:pPr>
        <w:widowControl w:val="0"/>
        <w:jc w:val="both"/>
        <w:rPr>
          <w:b/>
          <w:sz w:val="22"/>
          <w:szCs w:val="22"/>
        </w:rPr>
      </w:pPr>
      <w:r w:rsidRPr="00A156F4">
        <w:rPr>
          <w:b/>
          <w:sz w:val="22"/>
          <w:szCs w:val="22"/>
        </w:rPr>
        <w:t>Artículo</w:t>
      </w:r>
      <w:r w:rsidRPr="00A156F4">
        <w:rPr>
          <w:b/>
          <w:bCs/>
          <w:sz w:val="22"/>
          <w:szCs w:val="22"/>
        </w:rPr>
        <w:t xml:space="preserve"> </w:t>
      </w:r>
      <w:r w:rsidRPr="00A156F4">
        <w:rPr>
          <w:b/>
          <w:sz w:val="22"/>
          <w:szCs w:val="22"/>
        </w:rPr>
        <w:t>1</w:t>
      </w:r>
      <w:r w:rsidR="00701AF7" w:rsidRPr="00A156F4">
        <w:rPr>
          <w:b/>
          <w:sz w:val="22"/>
          <w:szCs w:val="22"/>
        </w:rPr>
        <w:t>3</w:t>
      </w:r>
      <w:r w:rsidR="00D80091" w:rsidRPr="00A156F4">
        <w:rPr>
          <w:b/>
          <w:sz w:val="22"/>
          <w:szCs w:val="22"/>
        </w:rPr>
        <w:t>6</w:t>
      </w:r>
      <w:r w:rsidRPr="00A156F4">
        <w:rPr>
          <w:b/>
          <w:sz w:val="22"/>
          <w:szCs w:val="22"/>
        </w:rPr>
        <w:t>.-</w:t>
      </w:r>
      <w:r w:rsidRPr="00A156F4">
        <w:rPr>
          <w:b/>
          <w:sz w:val="22"/>
          <w:szCs w:val="22"/>
        </w:rPr>
        <w:tab/>
        <w:t>Modificaciones</w:t>
      </w:r>
      <w:r w:rsidR="004952D7" w:rsidRPr="00A156F4">
        <w:rPr>
          <w:b/>
          <w:sz w:val="22"/>
          <w:szCs w:val="22"/>
        </w:rPr>
        <w:t xml:space="preserve">, </w:t>
      </w:r>
      <w:r w:rsidR="00714CF4" w:rsidRPr="00A156F4">
        <w:rPr>
          <w:b/>
          <w:sz w:val="22"/>
          <w:szCs w:val="22"/>
        </w:rPr>
        <w:t xml:space="preserve">Adiciones </w:t>
      </w:r>
      <w:r w:rsidR="004952D7" w:rsidRPr="00A156F4">
        <w:rPr>
          <w:b/>
          <w:sz w:val="22"/>
          <w:szCs w:val="22"/>
        </w:rPr>
        <w:t xml:space="preserve">y Derogatorias </w:t>
      </w:r>
      <w:r w:rsidRPr="00A156F4">
        <w:rPr>
          <w:b/>
          <w:sz w:val="22"/>
          <w:szCs w:val="22"/>
        </w:rPr>
        <w:t>de la Ley de Promoción de la Competencia y Defensa Efectiva del Consumidor</w:t>
      </w:r>
      <w:r w:rsidRPr="00A156F4" w:rsidDel="00EF2EE2">
        <w:rPr>
          <w:b/>
          <w:sz w:val="22"/>
          <w:szCs w:val="22"/>
        </w:rPr>
        <w:t xml:space="preserve"> </w:t>
      </w:r>
    </w:p>
    <w:p w14:paraId="094D2EC1" w14:textId="77777777" w:rsidR="00762F13" w:rsidRPr="00A156F4" w:rsidRDefault="00762F13" w:rsidP="00762F13">
      <w:pPr>
        <w:widowControl w:val="0"/>
        <w:jc w:val="both"/>
        <w:rPr>
          <w:sz w:val="22"/>
          <w:szCs w:val="22"/>
        </w:rPr>
      </w:pPr>
    </w:p>
    <w:p w14:paraId="71076732" w14:textId="0CF12BC3" w:rsidR="00762F13" w:rsidRPr="00A156F4" w:rsidRDefault="00762F13" w:rsidP="00117EE5">
      <w:pPr>
        <w:pStyle w:val="Prrafodelista1"/>
        <w:numPr>
          <w:ilvl w:val="0"/>
          <w:numId w:val="25"/>
        </w:numPr>
        <w:spacing w:after="0" w:line="240" w:lineRule="auto"/>
        <w:ind w:left="0" w:firstLine="0"/>
        <w:jc w:val="both"/>
        <w:rPr>
          <w:rFonts w:ascii="Times New Roman" w:hAnsi="Times New Roman"/>
        </w:rPr>
      </w:pPr>
      <w:r w:rsidRPr="00A156F4">
        <w:rPr>
          <w:rFonts w:ascii="Times New Roman" w:hAnsi="Times New Roman"/>
        </w:rPr>
        <w:t xml:space="preserve">Modifíquense los artículos </w:t>
      </w:r>
      <w:r w:rsidR="00473059" w:rsidRPr="00A156F4">
        <w:rPr>
          <w:rFonts w:ascii="Times New Roman" w:hAnsi="Times New Roman"/>
        </w:rPr>
        <w:t xml:space="preserve">9, </w:t>
      </w:r>
      <w:r w:rsidRPr="00A156F4">
        <w:rPr>
          <w:rFonts w:ascii="Times New Roman" w:hAnsi="Times New Roman"/>
        </w:rPr>
        <w:t>10</w:t>
      </w:r>
      <w:r w:rsidR="003523B7" w:rsidRPr="00A156F4">
        <w:rPr>
          <w:rFonts w:ascii="Times New Roman" w:hAnsi="Times New Roman"/>
        </w:rPr>
        <w:t>,</w:t>
      </w:r>
      <w:r w:rsidR="00DC102E" w:rsidRPr="00A156F4">
        <w:rPr>
          <w:rFonts w:ascii="Times New Roman" w:hAnsi="Times New Roman"/>
        </w:rPr>
        <w:t xml:space="preserve"> 11,</w:t>
      </w:r>
      <w:r w:rsidRPr="00A156F4">
        <w:rPr>
          <w:rFonts w:ascii="Times New Roman" w:hAnsi="Times New Roman"/>
        </w:rPr>
        <w:t xml:space="preserve"> </w:t>
      </w:r>
      <w:r w:rsidRPr="00A156F4">
        <w:rPr>
          <w:rFonts w:ascii="Times New Roman" w:hAnsi="Times New Roman"/>
        </w:rPr>
        <w:t>14</w:t>
      </w:r>
      <w:r w:rsidR="003523B7" w:rsidRPr="00A156F4">
        <w:rPr>
          <w:rFonts w:ascii="Times New Roman" w:hAnsi="Times New Roman"/>
        </w:rPr>
        <w:t>,</w:t>
      </w:r>
      <w:r w:rsidRPr="00A156F4">
        <w:rPr>
          <w:rFonts w:ascii="Times New Roman" w:hAnsi="Times New Roman"/>
        </w:rPr>
        <w:t xml:space="preserve"> </w:t>
      </w:r>
      <w:r w:rsidR="00C13A48" w:rsidRPr="00A156F4">
        <w:rPr>
          <w:rFonts w:ascii="Times New Roman" w:hAnsi="Times New Roman"/>
        </w:rPr>
        <w:t>21,</w:t>
      </w:r>
      <w:r w:rsidRPr="00A156F4">
        <w:rPr>
          <w:rFonts w:ascii="Times New Roman" w:hAnsi="Times New Roman"/>
        </w:rPr>
        <w:t xml:space="preserve"> 27 bis, </w:t>
      </w:r>
      <w:r w:rsidR="00C13A48" w:rsidRPr="00A156F4">
        <w:rPr>
          <w:rFonts w:ascii="Times New Roman" w:hAnsi="Times New Roman"/>
        </w:rPr>
        <w:t xml:space="preserve">64, 67 y 72 </w:t>
      </w:r>
      <w:r w:rsidRPr="00A156F4">
        <w:rPr>
          <w:rFonts w:ascii="Times New Roman" w:hAnsi="Times New Roman"/>
        </w:rPr>
        <w:t xml:space="preserve">de la Ley de Promoción de la Competencia y Defensa Efectiva del Consumidor, Ley </w:t>
      </w:r>
      <w:proofErr w:type="spellStart"/>
      <w:r w:rsidRPr="00A156F4">
        <w:rPr>
          <w:rFonts w:ascii="Times New Roman" w:hAnsi="Times New Roman"/>
        </w:rPr>
        <w:t>N°</w:t>
      </w:r>
      <w:proofErr w:type="spellEnd"/>
      <w:r w:rsidRPr="00A156F4">
        <w:rPr>
          <w:rFonts w:ascii="Times New Roman" w:hAnsi="Times New Roman"/>
        </w:rPr>
        <w:t>. 7472, del 20 de diciembre de 1994, sus reformas y sus reglamentos, para que en adelante se lean:</w:t>
      </w:r>
    </w:p>
    <w:p w14:paraId="440ED523" w14:textId="77777777" w:rsidR="00762F13" w:rsidRPr="00A156F4" w:rsidRDefault="00762F13" w:rsidP="00762F13">
      <w:pPr>
        <w:widowControl w:val="0"/>
        <w:ind w:left="1418" w:firstLine="709"/>
        <w:jc w:val="both"/>
        <w:rPr>
          <w:sz w:val="22"/>
          <w:szCs w:val="22"/>
        </w:rPr>
      </w:pPr>
    </w:p>
    <w:p w14:paraId="08136FD1" w14:textId="6D3544D3" w:rsidR="00473059" w:rsidRPr="00A156F4" w:rsidRDefault="00473059" w:rsidP="00473059">
      <w:pPr>
        <w:widowControl w:val="0"/>
        <w:ind w:left="851"/>
        <w:jc w:val="both"/>
        <w:outlineLvl w:val="0"/>
        <w:rPr>
          <w:b/>
          <w:bCs/>
          <w:sz w:val="22"/>
          <w:szCs w:val="22"/>
        </w:rPr>
      </w:pPr>
      <w:bookmarkStart w:id="43" w:name="_Hlk536711503"/>
      <w:bookmarkStart w:id="44" w:name="_Toc281427818"/>
      <w:r w:rsidRPr="00A156F4">
        <w:rPr>
          <w:bCs/>
          <w:sz w:val="22"/>
          <w:szCs w:val="22"/>
        </w:rPr>
        <w:t>“</w:t>
      </w:r>
      <w:r w:rsidRPr="00A156F4">
        <w:rPr>
          <w:b/>
          <w:bCs/>
          <w:sz w:val="22"/>
          <w:szCs w:val="22"/>
          <w:u w:val="single"/>
        </w:rPr>
        <w:t>Artículo 9.-</w:t>
      </w:r>
      <w:r w:rsidRPr="00A156F4">
        <w:rPr>
          <w:b/>
          <w:bCs/>
          <w:sz w:val="22"/>
          <w:szCs w:val="22"/>
        </w:rPr>
        <w:t xml:space="preserve"> Campo de aplicación</w:t>
      </w:r>
      <w:r w:rsidR="00A156F4" w:rsidRPr="00A156F4">
        <w:rPr>
          <w:b/>
          <w:bCs/>
          <w:sz w:val="22"/>
          <w:szCs w:val="22"/>
        </w:rPr>
        <w:t>.</w:t>
      </w:r>
    </w:p>
    <w:p w14:paraId="6CB55F11" w14:textId="77777777" w:rsidR="00473059" w:rsidRPr="00A156F4" w:rsidRDefault="00473059" w:rsidP="00473059">
      <w:pPr>
        <w:widowControl w:val="0"/>
        <w:ind w:left="851"/>
        <w:jc w:val="both"/>
        <w:outlineLvl w:val="0"/>
        <w:rPr>
          <w:b/>
          <w:sz w:val="22"/>
          <w:szCs w:val="22"/>
        </w:rPr>
      </w:pPr>
    </w:p>
    <w:p w14:paraId="050D0D95" w14:textId="2D893E3A" w:rsidR="00473059" w:rsidRPr="00A156F4" w:rsidRDefault="00473059" w:rsidP="00473059">
      <w:pPr>
        <w:widowControl w:val="0"/>
        <w:ind w:left="851"/>
        <w:jc w:val="both"/>
        <w:rPr>
          <w:sz w:val="22"/>
          <w:szCs w:val="22"/>
        </w:rPr>
      </w:pPr>
      <w:bookmarkStart w:id="45" w:name="_Hlk528315027"/>
      <w:r w:rsidRPr="00A156F4">
        <w:rPr>
          <w:sz w:val="22"/>
          <w:szCs w:val="22"/>
        </w:rPr>
        <w:t>La normativa de este capítulo se aplica a todos los agentes económicos</w:t>
      </w:r>
      <w:r w:rsidR="001B71DE" w:rsidRPr="00A156F4">
        <w:rPr>
          <w:sz w:val="22"/>
          <w:szCs w:val="22"/>
        </w:rPr>
        <w:t xml:space="preserve"> cuyos </w:t>
      </w:r>
      <w:r w:rsidR="002F0D40" w:rsidRPr="00A156F4">
        <w:rPr>
          <w:sz w:val="22"/>
          <w:szCs w:val="22"/>
        </w:rPr>
        <w:t xml:space="preserve">actos generen efectos </w:t>
      </w:r>
      <w:r w:rsidR="001B71DE" w:rsidRPr="00A156F4">
        <w:rPr>
          <w:sz w:val="22"/>
          <w:szCs w:val="22"/>
        </w:rPr>
        <w:t xml:space="preserve">en el territorio nacional, independientemente de que se hayan producido en </w:t>
      </w:r>
      <w:r w:rsidR="002F0D40" w:rsidRPr="00A156F4">
        <w:rPr>
          <w:sz w:val="22"/>
          <w:szCs w:val="22"/>
        </w:rPr>
        <w:t>el</w:t>
      </w:r>
      <w:r w:rsidR="001B71DE" w:rsidRPr="00A156F4">
        <w:rPr>
          <w:sz w:val="22"/>
          <w:szCs w:val="22"/>
        </w:rPr>
        <w:t xml:space="preserve"> extr</w:t>
      </w:r>
      <w:r w:rsidR="002F0D40" w:rsidRPr="00A156F4">
        <w:rPr>
          <w:sz w:val="22"/>
          <w:szCs w:val="22"/>
        </w:rPr>
        <w:t>anjero</w:t>
      </w:r>
      <w:r w:rsidR="00853F80" w:rsidRPr="00A156F4">
        <w:rPr>
          <w:sz w:val="22"/>
          <w:szCs w:val="22"/>
        </w:rPr>
        <w:t>. Estarán exceptuados de su aplicación los</w:t>
      </w:r>
      <w:r w:rsidRPr="00A156F4">
        <w:rPr>
          <w:sz w:val="22"/>
          <w:szCs w:val="22"/>
        </w:rPr>
        <w:t xml:space="preserve"> actos </w:t>
      </w:r>
      <w:r w:rsidR="00870CAA" w:rsidRPr="00A156F4">
        <w:rPr>
          <w:sz w:val="22"/>
          <w:szCs w:val="22"/>
        </w:rPr>
        <w:t xml:space="preserve">expresamente </w:t>
      </w:r>
      <w:r w:rsidRPr="00A156F4">
        <w:rPr>
          <w:sz w:val="22"/>
          <w:szCs w:val="22"/>
        </w:rPr>
        <w:t xml:space="preserve">autorizados en leyes especiales. </w:t>
      </w:r>
    </w:p>
    <w:bookmarkEnd w:id="45"/>
    <w:p w14:paraId="60CED116" w14:textId="77777777" w:rsidR="00473059" w:rsidRPr="00A156F4" w:rsidRDefault="00473059" w:rsidP="00473059">
      <w:pPr>
        <w:widowControl w:val="0"/>
        <w:autoSpaceDE w:val="0"/>
        <w:autoSpaceDN w:val="0"/>
        <w:adjustRightInd w:val="0"/>
        <w:ind w:left="851"/>
        <w:jc w:val="both"/>
        <w:rPr>
          <w:sz w:val="22"/>
          <w:szCs w:val="22"/>
        </w:rPr>
      </w:pPr>
    </w:p>
    <w:p w14:paraId="79382F87" w14:textId="77777777" w:rsidR="00473059" w:rsidRPr="00A156F4" w:rsidRDefault="00473059">
      <w:pPr>
        <w:widowControl w:val="0"/>
        <w:autoSpaceDE w:val="0"/>
        <w:autoSpaceDN w:val="0"/>
        <w:adjustRightInd w:val="0"/>
        <w:ind w:left="851"/>
        <w:jc w:val="both"/>
        <w:rPr>
          <w:sz w:val="22"/>
          <w:szCs w:val="22"/>
        </w:rPr>
      </w:pPr>
      <w:r w:rsidRPr="00A156F4">
        <w:rPr>
          <w:sz w:val="22"/>
          <w:szCs w:val="22"/>
        </w:rPr>
        <w:t xml:space="preserve">La </w:t>
      </w:r>
      <w:proofErr w:type="spellStart"/>
      <w:r w:rsidRPr="00A156F4">
        <w:rPr>
          <w:sz w:val="22"/>
          <w:szCs w:val="22"/>
        </w:rPr>
        <w:t>Coprocom</w:t>
      </w:r>
      <w:proofErr w:type="spellEnd"/>
      <w:r w:rsidRPr="00A156F4">
        <w:rPr>
          <w:sz w:val="22"/>
          <w:szCs w:val="22"/>
        </w:rPr>
        <w:t xml:space="preserve"> en sus estudios de mercado y opiniones podrá evaluar dichos casos de excepción y formular las recomendaciones que estime pertinentes para promover mayor competencia en esos sectores.”</w:t>
      </w:r>
    </w:p>
    <w:bookmarkEnd w:id="43"/>
    <w:p w14:paraId="7B843584" w14:textId="77777777" w:rsidR="00473059" w:rsidRPr="00A156F4" w:rsidRDefault="00473059" w:rsidP="00C1720E">
      <w:pPr>
        <w:ind w:left="851"/>
        <w:jc w:val="both"/>
        <w:rPr>
          <w:b/>
          <w:bCs/>
          <w:sz w:val="22"/>
          <w:szCs w:val="22"/>
        </w:rPr>
      </w:pPr>
    </w:p>
    <w:p w14:paraId="1A060350" w14:textId="77777777" w:rsidR="00F5177A" w:rsidRPr="00A156F4" w:rsidRDefault="00F5177A" w:rsidP="00C1720E">
      <w:pPr>
        <w:ind w:left="851"/>
        <w:jc w:val="both"/>
        <w:rPr>
          <w:sz w:val="22"/>
          <w:szCs w:val="22"/>
        </w:rPr>
      </w:pPr>
      <w:r w:rsidRPr="00A156F4">
        <w:rPr>
          <w:b/>
          <w:bCs/>
          <w:sz w:val="22"/>
          <w:szCs w:val="22"/>
        </w:rPr>
        <w:t>“Artículo 10.- Prohibiciones generales.</w:t>
      </w:r>
      <w:bookmarkEnd w:id="44"/>
      <w:r w:rsidRPr="00A156F4">
        <w:rPr>
          <w:sz w:val="22"/>
          <w:szCs w:val="22"/>
        </w:rPr>
        <w:t xml:space="preserve"> </w:t>
      </w:r>
    </w:p>
    <w:p w14:paraId="73B9DF5D" w14:textId="77777777" w:rsidR="00714CF4" w:rsidRPr="00A156F4" w:rsidRDefault="00714CF4" w:rsidP="00C1720E">
      <w:pPr>
        <w:ind w:left="851"/>
        <w:jc w:val="both"/>
        <w:rPr>
          <w:sz w:val="22"/>
          <w:szCs w:val="22"/>
        </w:rPr>
      </w:pPr>
    </w:p>
    <w:p w14:paraId="3CBAE1AE" w14:textId="1B288E9D" w:rsidR="00F5177A" w:rsidRPr="00A156F4" w:rsidRDefault="00F5177A" w:rsidP="00C1720E">
      <w:pPr>
        <w:ind w:left="851"/>
        <w:jc w:val="both"/>
        <w:rPr>
          <w:sz w:val="22"/>
          <w:szCs w:val="22"/>
        </w:rPr>
      </w:pPr>
      <w:r w:rsidRPr="00A156F4">
        <w:rPr>
          <w:sz w:val="22"/>
          <w:szCs w:val="22"/>
        </w:rPr>
        <w:t>Se prohíben y deben sancionarse</w:t>
      </w:r>
      <w:r w:rsidR="000A7091" w:rsidRPr="00A156F4">
        <w:rPr>
          <w:sz w:val="22"/>
          <w:szCs w:val="22"/>
        </w:rPr>
        <w:t>, cuando corresponda, de conformidad con la Ley de Fortalecimiento de las Autoridades de Competencia de Costa Rica</w:t>
      </w:r>
      <w:r w:rsidRPr="00A156F4">
        <w:rPr>
          <w:sz w:val="22"/>
          <w:szCs w:val="22"/>
        </w:rPr>
        <w:t xml:space="preserve"> las prácticas monopolísticas que impidan o limiten la competencia, el acceso de competidores al mercado o promuevan su salida de él</w:t>
      </w:r>
      <w:r w:rsidR="000A7091" w:rsidRPr="00A156F4">
        <w:rPr>
          <w:sz w:val="22"/>
          <w:szCs w:val="22"/>
        </w:rPr>
        <w:t>.</w:t>
      </w:r>
      <w:r w:rsidRPr="00A156F4">
        <w:rPr>
          <w:sz w:val="22"/>
          <w:szCs w:val="22"/>
        </w:rPr>
        <w:t>”</w:t>
      </w:r>
    </w:p>
    <w:p w14:paraId="3BB0052E" w14:textId="5BECCA27" w:rsidR="00DC102E" w:rsidRPr="00A156F4" w:rsidRDefault="00DC102E" w:rsidP="00C1720E">
      <w:pPr>
        <w:ind w:left="851"/>
        <w:jc w:val="both"/>
        <w:rPr>
          <w:sz w:val="22"/>
          <w:szCs w:val="22"/>
        </w:rPr>
      </w:pPr>
    </w:p>
    <w:p w14:paraId="26142A0A" w14:textId="59CAA74A" w:rsidR="00DC102E" w:rsidRPr="00A156F4" w:rsidRDefault="00DC102E" w:rsidP="00C1720E">
      <w:pPr>
        <w:ind w:left="851"/>
        <w:jc w:val="both"/>
        <w:rPr>
          <w:sz w:val="22"/>
          <w:szCs w:val="22"/>
        </w:rPr>
      </w:pPr>
      <w:r w:rsidRPr="00A156F4">
        <w:rPr>
          <w:b/>
          <w:sz w:val="22"/>
          <w:szCs w:val="22"/>
        </w:rPr>
        <w:t xml:space="preserve">“Artículo 11.- </w:t>
      </w:r>
      <w:r w:rsidR="00A156F4" w:rsidRPr="00A156F4">
        <w:rPr>
          <w:b/>
          <w:sz w:val="22"/>
          <w:szCs w:val="22"/>
        </w:rPr>
        <w:t>Prácticas monopolísticas absolutas</w:t>
      </w:r>
      <w:r w:rsidR="00A156F4" w:rsidRPr="00A156F4">
        <w:rPr>
          <w:sz w:val="22"/>
          <w:szCs w:val="22"/>
        </w:rPr>
        <w:t>.</w:t>
      </w:r>
    </w:p>
    <w:p w14:paraId="201FAC0A" w14:textId="77777777" w:rsidR="00A156F4" w:rsidRPr="00A156F4" w:rsidRDefault="00A156F4" w:rsidP="00A156F4">
      <w:pPr>
        <w:jc w:val="both"/>
        <w:rPr>
          <w:sz w:val="22"/>
          <w:szCs w:val="22"/>
        </w:rPr>
      </w:pPr>
    </w:p>
    <w:p w14:paraId="367B5E89" w14:textId="3A64D9E7" w:rsidR="00A156F4" w:rsidRPr="00A156F4" w:rsidRDefault="00A156F4" w:rsidP="00A156F4">
      <w:pPr>
        <w:ind w:left="851"/>
        <w:jc w:val="both"/>
        <w:rPr>
          <w:sz w:val="22"/>
          <w:szCs w:val="22"/>
        </w:rPr>
      </w:pPr>
      <w:r w:rsidRPr="00A156F4">
        <w:rPr>
          <w:sz w:val="22"/>
          <w:szCs w:val="22"/>
        </w:rPr>
        <w:t xml:space="preserve">Las prácticas monopolísticas absolutas son los actos, los contratos, los convenios, los arreglos o las combinaciones entre agentes económicos competidores actuales o potenciales entre sí, con cualquiera de los siguientes propósitos: </w:t>
      </w:r>
    </w:p>
    <w:p w14:paraId="4A084C75" w14:textId="77777777" w:rsidR="00A156F4" w:rsidRPr="00A156F4" w:rsidRDefault="00A156F4" w:rsidP="00A156F4">
      <w:pPr>
        <w:ind w:left="851"/>
        <w:jc w:val="both"/>
        <w:rPr>
          <w:sz w:val="22"/>
          <w:szCs w:val="22"/>
        </w:rPr>
      </w:pPr>
    </w:p>
    <w:p w14:paraId="6CA863A1" w14:textId="3ADF1E13" w:rsidR="00A156F4" w:rsidRPr="00A156F4" w:rsidRDefault="00A156F4" w:rsidP="00A156F4">
      <w:pPr>
        <w:pStyle w:val="Prrafodelista"/>
        <w:numPr>
          <w:ilvl w:val="0"/>
          <w:numId w:val="39"/>
        </w:numPr>
        <w:jc w:val="both"/>
        <w:rPr>
          <w:rFonts w:ascii="Times New Roman" w:hAnsi="Times New Roman"/>
        </w:rPr>
      </w:pPr>
      <w:r w:rsidRPr="00A156F4">
        <w:rPr>
          <w:rFonts w:ascii="Times New Roman" w:hAnsi="Times New Roman"/>
        </w:rPr>
        <w:t xml:space="preserve">Fijar, elevar, concertar o manipular el precio de compra o venta al que son ofrecidos o demandados los bienes o servicios en los mercados.   </w:t>
      </w:r>
    </w:p>
    <w:p w14:paraId="1A3B7013" w14:textId="6C49EF11" w:rsidR="00A156F4" w:rsidRPr="00A156F4" w:rsidRDefault="00A156F4" w:rsidP="00A156F4">
      <w:pPr>
        <w:pStyle w:val="Prrafodelista"/>
        <w:numPr>
          <w:ilvl w:val="0"/>
          <w:numId w:val="39"/>
        </w:numPr>
        <w:jc w:val="both"/>
        <w:rPr>
          <w:rFonts w:ascii="Times New Roman" w:hAnsi="Times New Roman"/>
        </w:rPr>
      </w:pPr>
      <w:r w:rsidRPr="00A156F4">
        <w:rPr>
          <w:rFonts w:ascii="Times New Roman" w:hAnsi="Times New Roman"/>
        </w:rPr>
        <w:t xml:space="preserve">Establecer la obligación de adquirir, producir, procesar, distribuir o comercializar solo una cantidad restringida o limitada de bienes o la prestación de un número, un volumen o una frecuencia restringida o limitada de servicios. </w:t>
      </w:r>
    </w:p>
    <w:p w14:paraId="26689345" w14:textId="3027177F" w:rsidR="00A156F4" w:rsidRPr="00A156F4" w:rsidRDefault="00A156F4" w:rsidP="00A156F4">
      <w:pPr>
        <w:pStyle w:val="Prrafodelista"/>
        <w:numPr>
          <w:ilvl w:val="0"/>
          <w:numId w:val="39"/>
        </w:numPr>
        <w:jc w:val="both"/>
        <w:rPr>
          <w:rFonts w:ascii="Times New Roman" w:hAnsi="Times New Roman"/>
        </w:rPr>
      </w:pPr>
      <w:r w:rsidRPr="00A156F4">
        <w:rPr>
          <w:rFonts w:ascii="Times New Roman" w:hAnsi="Times New Roman"/>
        </w:rPr>
        <w:t xml:space="preserve">Dividir, distribuir, asignar o imponer porciones o segmentos de un mercado, actual o futuro, </w:t>
      </w:r>
      <w:proofErr w:type="gramStart"/>
      <w:r w:rsidRPr="00A156F4">
        <w:rPr>
          <w:rFonts w:ascii="Times New Roman" w:hAnsi="Times New Roman"/>
        </w:rPr>
        <w:t>en razón de</w:t>
      </w:r>
      <w:proofErr w:type="gramEnd"/>
      <w:r w:rsidRPr="00A156F4">
        <w:rPr>
          <w:rFonts w:ascii="Times New Roman" w:hAnsi="Times New Roman"/>
        </w:rPr>
        <w:t xml:space="preserve"> la clientela, los proveedores, los tiempos, las zonas geográficas, o los espacios determinados o determinables. </w:t>
      </w:r>
    </w:p>
    <w:p w14:paraId="045D7A0F" w14:textId="62C1AF65" w:rsidR="00A156F4" w:rsidRPr="00A156F4" w:rsidRDefault="00A156F4" w:rsidP="00A156F4">
      <w:pPr>
        <w:pStyle w:val="Prrafodelista"/>
        <w:numPr>
          <w:ilvl w:val="0"/>
          <w:numId w:val="39"/>
        </w:numPr>
        <w:jc w:val="both"/>
        <w:rPr>
          <w:rFonts w:ascii="Times New Roman" w:hAnsi="Times New Roman"/>
        </w:rPr>
      </w:pPr>
      <w:r w:rsidRPr="00A156F4">
        <w:rPr>
          <w:rFonts w:ascii="Times New Roman" w:hAnsi="Times New Roman"/>
        </w:rPr>
        <w:t xml:space="preserve">Establecer, concertar o coordinar las ofertas o la abstención en las licitaciones, los concursos, los remates o las subastas públicos. </w:t>
      </w:r>
    </w:p>
    <w:p w14:paraId="390117A7" w14:textId="28AA7954" w:rsidR="00A156F4" w:rsidRPr="00A156F4" w:rsidRDefault="00A156F4" w:rsidP="00A156F4">
      <w:pPr>
        <w:pStyle w:val="Prrafodelista"/>
        <w:numPr>
          <w:ilvl w:val="0"/>
          <w:numId w:val="39"/>
        </w:numPr>
        <w:jc w:val="both"/>
        <w:rPr>
          <w:rFonts w:ascii="Times New Roman" w:hAnsi="Times New Roman"/>
        </w:rPr>
      </w:pPr>
      <w:r w:rsidRPr="00A156F4">
        <w:rPr>
          <w:rFonts w:ascii="Times New Roman" w:hAnsi="Times New Roman"/>
        </w:rPr>
        <w:t xml:space="preserve">Rehusarse a comprar o a vender bienes o servicios. </w:t>
      </w:r>
    </w:p>
    <w:p w14:paraId="456EDC0C" w14:textId="7E7EA760" w:rsidR="00A156F4" w:rsidRPr="00A156F4" w:rsidRDefault="00A156F4" w:rsidP="00A156F4">
      <w:pPr>
        <w:pStyle w:val="Prrafodelista"/>
        <w:numPr>
          <w:ilvl w:val="0"/>
          <w:numId w:val="39"/>
        </w:numPr>
        <w:jc w:val="both"/>
        <w:rPr>
          <w:rFonts w:ascii="Times New Roman" w:hAnsi="Times New Roman"/>
        </w:rPr>
      </w:pPr>
      <w:r w:rsidRPr="00A156F4">
        <w:rPr>
          <w:rFonts w:ascii="Times New Roman" w:hAnsi="Times New Roman"/>
        </w:rPr>
        <w:t>Intercambiar información con alguno de los objetos o efectos a que se refieren los anteriores incisos.</w:t>
      </w:r>
    </w:p>
    <w:p w14:paraId="6D917B0C" w14:textId="5BE7F979" w:rsidR="00A156F4" w:rsidRPr="00A156F4" w:rsidRDefault="00A156F4" w:rsidP="00A156F4">
      <w:pPr>
        <w:ind w:left="851"/>
        <w:jc w:val="both"/>
        <w:rPr>
          <w:sz w:val="22"/>
          <w:szCs w:val="22"/>
        </w:rPr>
      </w:pPr>
      <w:r w:rsidRPr="00A156F4">
        <w:rPr>
          <w:sz w:val="22"/>
          <w:szCs w:val="22"/>
        </w:rPr>
        <w:t xml:space="preserve">Para la aplicación de este artículo, la Comisión para Promover la Competencia, de oficio o a instancia de parte, ejercerá el control y la revisión del mercado, prestando especial atención a aquellos en que los suplidores sean pocos. </w:t>
      </w:r>
    </w:p>
    <w:p w14:paraId="6D5A760A" w14:textId="77777777" w:rsidR="00A156F4" w:rsidRPr="00A156F4" w:rsidRDefault="00A156F4" w:rsidP="00A156F4">
      <w:pPr>
        <w:ind w:left="851"/>
        <w:jc w:val="both"/>
        <w:rPr>
          <w:sz w:val="22"/>
          <w:szCs w:val="22"/>
        </w:rPr>
      </w:pPr>
    </w:p>
    <w:p w14:paraId="4E809906" w14:textId="75A70C25" w:rsidR="00A156F4" w:rsidRPr="00A156F4" w:rsidRDefault="00A156F4" w:rsidP="00A156F4">
      <w:pPr>
        <w:ind w:left="851"/>
        <w:jc w:val="both"/>
        <w:rPr>
          <w:sz w:val="22"/>
          <w:szCs w:val="22"/>
        </w:rPr>
      </w:pPr>
      <w:r w:rsidRPr="00A156F4">
        <w:rPr>
          <w:sz w:val="22"/>
          <w:szCs w:val="22"/>
        </w:rPr>
        <w:t>Los actos a los que se refiere este artículo serán nulos de pleno derecho y sancionarán, conforme a esta ley, a los agentes económicos que incurran en ellos.</w:t>
      </w:r>
      <w:r w:rsidR="00700641">
        <w:rPr>
          <w:sz w:val="22"/>
          <w:szCs w:val="22"/>
        </w:rPr>
        <w:t>”</w:t>
      </w:r>
    </w:p>
    <w:p w14:paraId="6870A374" w14:textId="77777777" w:rsidR="00F5177A" w:rsidRPr="00A156F4" w:rsidRDefault="00F5177A" w:rsidP="00C1720E">
      <w:pPr>
        <w:ind w:left="851"/>
        <w:jc w:val="both"/>
        <w:rPr>
          <w:sz w:val="22"/>
          <w:szCs w:val="22"/>
        </w:rPr>
      </w:pPr>
    </w:p>
    <w:p w14:paraId="443B91C6" w14:textId="3A7ECAFC" w:rsidR="00F5177A" w:rsidRPr="00A156F4" w:rsidRDefault="00F5177A" w:rsidP="00C1720E">
      <w:pPr>
        <w:ind w:left="851"/>
        <w:jc w:val="both"/>
        <w:rPr>
          <w:sz w:val="22"/>
          <w:szCs w:val="22"/>
        </w:rPr>
      </w:pPr>
      <w:bookmarkStart w:id="46" w:name="_Toc281427822"/>
      <w:r w:rsidRPr="00A156F4">
        <w:rPr>
          <w:b/>
          <w:bCs/>
          <w:sz w:val="22"/>
          <w:szCs w:val="22"/>
        </w:rPr>
        <w:t>“Artículo 14.- Mercado relevante.</w:t>
      </w:r>
      <w:bookmarkEnd w:id="46"/>
      <w:r w:rsidRPr="00A156F4">
        <w:rPr>
          <w:sz w:val="22"/>
          <w:szCs w:val="22"/>
        </w:rPr>
        <w:t xml:space="preserve"> </w:t>
      </w:r>
    </w:p>
    <w:p w14:paraId="3C5443B4" w14:textId="2D3DE9A8" w:rsidR="00714CF4" w:rsidRPr="00A156F4" w:rsidRDefault="00714CF4" w:rsidP="00C1720E">
      <w:pPr>
        <w:ind w:left="851"/>
        <w:jc w:val="both"/>
        <w:rPr>
          <w:sz w:val="22"/>
          <w:szCs w:val="22"/>
        </w:rPr>
      </w:pPr>
    </w:p>
    <w:p w14:paraId="07B62404" w14:textId="655EAA83" w:rsidR="00F5177A" w:rsidRPr="00A156F4" w:rsidRDefault="00F5177A" w:rsidP="00C1720E">
      <w:pPr>
        <w:ind w:left="851"/>
        <w:jc w:val="both"/>
        <w:rPr>
          <w:sz w:val="22"/>
          <w:szCs w:val="22"/>
        </w:rPr>
      </w:pPr>
      <w:r w:rsidRPr="00A156F4">
        <w:rPr>
          <w:sz w:val="22"/>
          <w:szCs w:val="22"/>
        </w:rPr>
        <w:t>Para determinar el mercado relevante pueden considerarse los siguientes criterios:</w:t>
      </w:r>
      <w:r w:rsidR="004952D7" w:rsidRPr="00A156F4">
        <w:rPr>
          <w:sz w:val="22"/>
          <w:szCs w:val="22"/>
        </w:rPr>
        <w:t>”</w:t>
      </w:r>
    </w:p>
    <w:p w14:paraId="719055D6" w14:textId="7BC04CC9" w:rsidR="00714CF4" w:rsidRPr="00A156F4" w:rsidRDefault="00714CF4" w:rsidP="00C1720E">
      <w:pPr>
        <w:ind w:left="851"/>
        <w:jc w:val="both"/>
        <w:rPr>
          <w:sz w:val="22"/>
          <w:szCs w:val="22"/>
        </w:rPr>
      </w:pPr>
    </w:p>
    <w:p w14:paraId="248D38A8" w14:textId="6487A3FC" w:rsidR="00A156F4" w:rsidRPr="00A156F4" w:rsidRDefault="00A156F4" w:rsidP="00A156F4">
      <w:pPr>
        <w:ind w:left="851"/>
        <w:jc w:val="both"/>
        <w:rPr>
          <w:sz w:val="22"/>
          <w:szCs w:val="22"/>
        </w:rPr>
      </w:pPr>
      <w:r w:rsidRPr="00A156F4">
        <w:rPr>
          <w:sz w:val="22"/>
          <w:szCs w:val="22"/>
        </w:rPr>
        <w:t xml:space="preserve">Para determinar el mercado relevante, deben considerarse los siguientes criterios: </w:t>
      </w:r>
    </w:p>
    <w:p w14:paraId="42AAE279" w14:textId="77777777" w:rsidR="00A156F4" w:rsidRPr="00A156F4" w:rsidRDefault="00A156F4" w:rsidP="00A156F4">
      <w:pPr>
        <w:ind w:left="851"/>
        <w:jc w:val="both"/>
        <w:rPr>
          <w:sz w:val="22"/>
          <w:szCs w:val="22"/>
        </w:rPr>
      </w:pPr>
    </w:p>
    <w:p w14:paraId="2D55290D" w14:textId="30680706" w:rsidR="00A156F4" w:rsidRPr="00A156F4" w:rsidRDefault="00A156F4" w:rsidP="00A156F4">
      <w:pPr>
        <w:pStyle w:val="Prrafodelista"/>
        <w:numPr>
          <w:ilvl w:val="0"/>
          <w:numId w:val="40"/>
        </w:numPr>
        <w:jc w:val="both"/>
        <w:rPr>
          <w:rFonts w:ascii="Times New Roman" w:hAnsi="Times New Roman"/>
        </w:rPr>
      </w:pPr>
      <w:r w:rsidRPr="00A156F4">
        <w:rPr>
          <w:rFonts w:ascii="Times New Roman" w:hAnsi="Times New Roman"/>
        </w:rPr>
        <w:t xml:space="preserve">Las posibilidades de sustituir el bien o el servicio de que se trate, por otro de origen nacional o extranjero, considerando las posibilidades tecnológicas, el grado en que los consumidores cuenten con sustitutos y el tiempo requerido para efectuar tal sustitución. </w:t>
      </w:r>
    </w:p>
    <w:p w14:paraId="158B3029" w14:textId="166271D5" w:rsidR="00A156F4" w:rsidRPr="00A156F4" w:rsidRDefault="00A156F4" w:rsidP="00A156F4">
      <w:pPr>
        <w:pStyle w:val="Prrafodelista"/>
        <w:numPr>
          <w:ilvl w:val="0"/>
          <w:numId w:val="40"/>
        </w:numPr>
        <w:jc w:val="both"/>
        <w:rPr>
          <w:rFonts w:ascii="Times New Roman" w:hAnsi="Times New Roman"/>
        </w:rPr>
      </w:pPr>
      <w:r w:rsidRPr="00A156F4">
        <w:rPr>
          <w:rFonts w:ascii="Times New Roman" w:hAnsi="Times New Roman"/>
        </w:rPr>
        <w:t>Los costos de distribución del bien mismo, sus insumos relevantes, sus complementos y sustitutos, desde otros lugares del territorio nacional y del extranjero.</w:t>
      </w:r>
    </w:p>
    <w:p w14:paraId="2A215BA3" w14:textId="32F030AF" w:rsidR="00A156F4" w:rsidRPr="00A156F4" w:rsidRDefault="00A156F4" w:rsidP="00A156F4">
      <w:pPr>
        <w:pStyle w:val="Prrafodelista"/>
        <w:numPr>
          <w:ilvl w:val="0"/>
          <w:numId w:val="40"/>
        </w:numPr>
        <w:jc w:val="both"/>
        <w:rPr>
          <w:rFonts w:ascii="Times New Roman" w:hAnsi="Times New Roman"/>
        </w:rPr>
      </w:pPr>
      <w:r w:rsidRPr="00A156F4">
        <w:rPr>
          <w:rFonts w:ascii="Times New Roman" w:hAnsi="Times New Roman"/>
        </w:rPr>
        <w:t xml:space="preserve">Los costos y las posibilidades de los consumidores para acudir a otros mercados. </w:t>
      </w:r>
    </w:p>
    <w:p w14:paraId="7EFC30C1" w14:textId="33E0ECED" w:rsidR="00A156F4" w:rsidRPr="00A156F4" w:rsidRDefault="00A156F4" w:rsidP="00A156F4">
      <w:pPr>
        <w:ind w:left="851"/>
        <w:jc w:val="both"/>
        <w:rPr>
          <w:sz w:val="22"/>
          <w:szCs w:val="22"/>
        </w:rPr>
      </w:pPr>
      <w:r w:rsidRPr="00A156F4">
        <w:rPr>
          <w:sz w:val="22"/>
          <w:szCs w:val="22"/>
        </w:rPr>
        <w:t>d) Las restricciones normativas, nacionales o internacionales, que limiten el acceso de los consumidores a las fuentes de abastecimiento alternativas, o el de los proveedores a los clientes alternativos.</w:t>
      </w:r>
      <w:r w:rsidRPr="00A156F4">
        <w:rPr>
          <w:sz w:val="22"/>
          <w:szCs w:val="22"/>
        </w:rPr>
        <w:t>”</w:t>
      </w:r>
      <w:r w:rsidRPr="00A156F4">
        <w:rPr>
          <w:sz w:val="22"/>
          <w:szCs w:val="22"/>
        </w:rPr>
        <w:t xml:space="preserve"> </w:t>
      </w:r>
    </w:p>
    <w:p w14:paraId="4939EF46" w14:textId="6D56587A" w:rsidR="004952D7" w:rsidRPr="00A156F4" w:rsidRDefault="004952D7" w:rsidP="00C1720E">
      <w:pPr>
        <w:ind w:left="851"/>
        <w:jc w:val="both"/>
        <w:rPr>
          <w:sz w:val="22"/>
          <w:szCs w:val="22"/>
        </w:rPr>
      </w:pPr>
    </w:p>
    <w:p w14:paraId="4E9D2612" w14:textId="77777777" w:rsidR="00200B37" w:rsidRPr="00A156F4" w:rsidRDefault="00200B37" w:rsidP="00C1720E">
      <w:pPr>
        <w:ind w:left="851"/>
        <w:jc w:val="both"/>
        <w:rPr>
          <w:sz w:val="22"/>
          <w:szCs w:val="22"/>
        </w:rPr>
      </w:pPr>
    </w:p>
    <w:p w14:paraId="7DCA71FA" w14:textId="77777777" w:rsidR="00714CF4" w:rsidRPr="00A156F4" w:rsidRDefault="00714CF4" w:rsidP="00C1720E">
      <w:pPr>
        <w:ind w:left="851"/>
        <w:jc w:val="both"/>
        <w:rPr>
          <w:sz w:val="22"/>
          <w:szCs w:val="22"/>
        </w:rPr>
      </w:pPr>
      <w:bookmarkStart w:id="47" w:name="_Toc281427832"/>
      <w:r w:rsidRPr="00A156F4">
        <w:rPr>
          <w:b/>
          <w:bCs/>
          <w:sz w:val="22"/>
          <w:szCs w:val="22"/>
        </w:rPr>
        <w:t>“Artículo 21.- Creación de la Comisión para promover la competencia.</w:t>
      </w:r>
      <w:bookmarkEnd w:id="47"/>
      <w:r w:rsidRPr="00A156F4">
        <w:rPr>
          <w:sz w:val="22"/>
          <w:szCs w:val="22"/>
        </w:rPr>
        <w:t xml:space="preserve"> </w:t>
      </w:r>
    </w:p>
    <w:p w14:paraId="5A83842C" w14:textId="77777777" w:rsidR="00714CF4" w:rsidRPr="00A156F4" w:rsidRDefault="00714CF4" w:rsidP="00C1720E">
      <w:pPr>
        <w:ind w:left="851"/>
        <w:jc w:val="both"/>
        <w:rPr>
          <w:sz w:val="22"/>
          <w:szCs w:val="22"/>
        </w:rPr>
      </w:pPr>
    </w:p>
    <w:p w14:paraId="02726BAC" w14:textId="77777777" w:rsidR="00714CF4" w:rsidRPr="00A156F4" w:rsidRDefault="00714CF4" w:rsidP="00C1720E">
      <w:pPr>
        <w:ind w:left="851"/>
        <w:jc w:val="both"/>
        <w:rPr>
          <w:sz w:val="22"/>
          <w:szCs w:val="22"/>
        </w:rPr>
      </w:pPr>
      <w:r w:rsidRPr="00A156F4">
        <w:rPr>
          <w:sz w:val="22"/>
          <w:szCs w:val="22"/>
        </w:rPr>
        <w:t>Se crea la Comisión para promover la competencia, como órgano de máxima desconcentración; adscrita al Ministerio de Economía, Industria y Comercio</w:t>
      </w:r>
      <w:r w:rsidR="00C13A48" w:rsidRPr="00A156F4">
        <w:rPr>
          <w:sz w:val="22"/>
          <w:szCs w:val="22"/>
        </w:rPr>
        <w:t xml:space="preserve"> con autonomía administrativa, presupuestaria y funcional. Tendrá personalidad jurídica instrumental para realizar actividad contractual; administrar sus recursos y su patrimonio; y suscribir contratos y convenios.</w:t>
      </w:r>
      <w:r w:rsidRPr="00A156F4">
        <w:rPr>
          <w:sz w:val="22"/>
          <w:szCs w:val="22"/>
        </w:rPr>
        <w:t xml:space="preserve"> Se encargará de conocer, de oficio o por denuncia, y sancionar, cuando proceda, todas las prácticas que constituyan impedimentos o dificultades para la libre competencia y entorpezcan innecesariamente la fluidez del mercado. </w:t>
      </w:r>
    </w:p>
    <w:p w14:paraId="7A99573C" w14:textId="77777777" w:rsidR="00714CF4" w:rsidRPr="00A156F4" w:rsidRDefault="00714CF4" w:rsidP="00C1720E">
      <w:pPr>
        <w:ind w:left="851"/>
        <w:jc w:val="both"/>
        <w:rPr>
          <w:b/>
          <w:sz w:val="22"/>
          <w:szCs w:val="22"/>
        </w:rPr>
      </w:pPr>
    </w:p>
    <w:p w14:paraId="67B48A04" w14:textId="77777777" w:rsidR="00714CF4" w:rsidRPr="00A156F4" w:rsidRDefault="00714CF4" w:rsidP="00C1720E">
      <w:pPr>
        <w:ind w:left="851"/>
        <w:jc w:val="both"/>
        <w:rPr>
          <w:sz w:val="22"/>
          <w:szCs w:val="22"/>
        </w:rPr>
      </w:pPr>
      <w:r w:rsidRPr="00A156F4">
        <w:rPr>
          <w:sz w:val="22"/>
          <w:szCs w:val="22"/>
        </w:rPr>
        <w:t>La instancia administrativa ante esta Comisión es obligatoria y de previo agotamiento para acudir a la vía judicial, salvo lo establecido en el artículo 17 de esta Ley.</w:t>
      </w:r>
      <w:r w:rsidR="00961C77" w:rsidRPr="00A156F4">
        <w:rPr>
          <w:sz w:val="22"/>
          <w:szCs w:val="22"/>
        </w:rPr>
        <w:t>”</w:t>
      </w:r>
    </w:p>
    <w:p w14:paraId="141F978B" w14:textId="77777777" w:rsidR="00200B37" w:rsidRPr="00A156F4" w:rsidRDefault="00200B37" w:rsidP="00C1720E">
      <w:pPr>
        <w:ind w:left="851"/>
        <w:jc w:val="both"/>
        <w:rPr>
          <w:sz w:val="22"/>
          <w:szCs w:val="22"/>
        </w:rPr>
      </w:pPr>
    </w:p>
    <w:p w14:paraId="7020F9E8" w14:textId="51B6B05A" w:rsidR="006F47ED" w:rsidRPr="00A156F4" w:rsidRDefault="005F5648" w:rsidP="006F47ED">
      <w:pPr>
        <w:pStyle w:val="NormalWeb"/>
        <w:spacing w:before="0" w:beforeAutospacing="0" w:after="0" w:afterAutospacing="0"/>
        <w:jc w:val="both"/>
        <w:rPr>
          <w:sz w:val="22"/>
          <w:szCs w:val="22"/>
        </w:rPr>
      </w:pPr>
      <w:r w:rsidRPr="00A156F4" w:rsidDel="005F5648">
        <w:rPr>
          <w:b/>
          <w:bCs/>
          <w:sz w:val="22"/>
          <w:szCs w:val="22"/>
          <w:u w:val="single"/>
        </w:rPr>
        <w:t xml:space="preserve"> </w:t>
      </w:r>
      <w:r w:rsidR="00762F13" w:rsidRPr="00A156F4">
        <w:rPr>
          <w:b/>
          <w:sz w:val="22"/>
          <w:szCs w:val="22"/>
          <w:u w:val="single"/>
        </w:rPr>
        <w:t>“</w:t>
      </w:r>
      <w:bookmarkStart w:id="48" w:name="_Hlk536706150"/>
      <w:r w:rsidR="006F47ED" w:rsidRPr="00A156F4">
        <w:rPr>
          <w:b/>
          <w:bCs/>
          <w:sz w:val="22"/>
          <w:szCs w:val="22"/>
        </w:rPr>
        <w:t xml:space="preserve">Artículo 27 </w:t>
      </w:r>
      <w:proofErr w:type="gramStart"/>
      <w:r w:rsidR="006F47ED" w:rsidRPr="00A156F4">
        <w:rPr>
          <w:b/>
          <w:bCs/>
          <w:sz w:val="22"/>
          <w:szCs w:val="22"/>
        </w:rPr>
        <w:t>bis.-</w:t>
      </w:r>
      <w:proofErr w:type="gramEnd"/>
      <w:r w:rsidR="006F47ED" w:rsidRPr="00A156F4">
        <w:rPr>
          <w:b/>
          <w:bCs/>
          <w:sz w:val="22"/>
          <w:szCs w:val="22"/>
        </w:rPr>
        <w:t xml:space="preserve"> Relación con los órganos de regulación y supervisión del sistema financiero</w:t>
      </w:r>
    </w:p>
    <w:p w14:paraId="3C20307E" w14:textId="77777777" w:rsidR="006F47ED" w:rsidRPr="00A156F4" w:rsidRDefault="006F47ED" w:rsidP="006F47ED">
      <w:pPr>
        <w:pStyle w:val="NormalWeb"/>
        <w:spacing w:before="0" w:beforeAutospacing="0" w:after="0" w:afterAutospacing="0"/>
        <w:jc w:val="both"/>
        <w:rPr>
          <w:sz w:val="22"/>
          <w:szCs w:val="22"/>
        </w:rPr>
      </w:pPr>
    </w:p>
    <w:p w14:paraId="39F12B50" w14:textId="2ACEC49A" w:rsidR="006F47ED" w:rsidRPr="00A156F4" w:rsidRDefault="006F47ED" w:rsidP="006F47ED">
      <w:pPr>
        <w:pStyle w:val="NormalWeb"/>
        <w:spacing w:before="0" w:beforeAutospacing="0" w:after="0" w:afterAutospacing="0"/>
        <w:jc w:val="both"/>
        <w:rPr>
          <w:sz w:val="22"/>
          <w:szCs w:val="22"/>
        </w:rPr>
      </w:pPr>
      <w:r w:rsidRPr="00A156F4">
        <w:rPr>
          <w:sz w:val="22"/>
          <w:szCs w:val="22"/>
        </w:rPr>
        <w:t xml:space="preserve">La relación entre la </w:t>
      </w:r>
      <w:proofErr w:type="spellStart"/>
      <w:r w:rsidRPr="00A156F4">
        <w:rPr>
          <w:sz w:val="22"/>
          <w:szCs w:val="22"/>
        </w:rPr>
        <w:t>Coprocom</w:t>
      </w:r>
      <w:proofErr w:type="spellEnd"/>
      <w:r w:rsidRPr="00A156F4">
        <w:rPr>
          <w:sz w:val="22"/>
          <w:szCs w:val="22"/>
        </w:rPr>
        <w:t xml:space="preserve"> y los órganos de regulación y supervisión del sistema </w:t>
      </w:r>
      <w:r w:rsidR="00873A18" w:rsidRPr="00A156F4">
        <w:rPr>
          <w:sz w:val="22"/>
          <w:szCs w:val="22"/>
        </w:rPr>
        <w:t>financiero</w:t>
      </w:r>
      <w:r w:rsidRPr="00A156F4">
        <w:rPr>
          <w:sz w:val="22"/>
          <w:szCs w:val="22"/>
        </w:rPr>
        <w:t xml:space="preserve"> se regirá por lo siguiente:</w:t>
      </w:r>
    </w:p>
    <w:p w14:paraId="74177839" w14:textId="77777777" w:rsidR="006F47ED" w:rsidRPr="00A156F4" w:rsidRDefault="006F47ED" w:rsidP="006F47ED">
      <w:pPr>
        <w:pStyle w:val="NormalWeb"/>
        <w:spacing w:before="0" w:beforeAutospacing="0" w:after="0" w:afterAutospacing="0"/>
        <w:jc w:val="both"/>
        <w:rPr>
          <w:sz w:val="22"/>
          <w:szCs w:val="22"/>
        </w:rPr>
      </w:pPr>
    </w:p>
    <w:p w14:paraId="436C0C95" w14:textId="77777777" w:rsidR="006F47ED" w:rsidRPr="00A156F4" w:rsidRDefault="006F47ED" w:rsidP="006F47ED">
      <w:pPr>
        <w:pStyle w:val="NormalWeb"/>
        <w:spacing w:before="0" w:beforeAutospacing="0" w:after="0" w:afterAutospacing="0"/>
        <w:jc w:val="both"/>
        <w:rPr>
          <w:b/>
          <w:bCs/>
          <w:iCs/>
          <w:sz w:val="22"/>
          <w:szCs w:val="22"/>
        </w:rPr>
      </w:pPr>
      <w:r w:rsidRPr="00A156F4">
        <w:rPr>
          <w:b/>
          <w:sz w:val="22"/>
          <w:szCs w:val="22"/>
        </w:rPr>
        <w:t xml:space="preserve">a) </w:t>
      </w:r>
      <w:r w:rsidRPr="00A156F4">
        <w:rPr>
          <w:b/>
          <w:bCs/>
          <w:iCs/>
          <w:sz w:val="22"/>
          <w:szCs w:val="22"/>
        </w:rPr>
        <w:t>Procesos de concentración</w:t>
      </w:r>
    </w:p>
    <w:p w14:paraId="232B7CEF" w14:textId="77777777" w:rsidR="006F47ED" w:rsidRPr="00A156F4" w:rsidRDefault="006F47ED" w:rsidP="006F47ED">
      <w:pPr>
        <w:pStyle w:val="NormalWeb"/>
        <w:jc w:val="both"/>
        <w:rPr>
          <w:sz w:val="22"/>
          <w:szCs w:val="22"/>
        </w:rPr>
      </w:pPr>
      <w:r w:rsidRPr="00A156F4">
        <w:rPr>
          <w:sz w:val="22"/>
          <w:szCs w:val="22"/>
        </w:rPr>
        <w:t xml:space="preserve">Corresponde a la </w:t>
      </w:r>
      <w:proofErr w:type="spellStart"/>
      <w:r w:rsidRPr="00A156F4">
        <w:rPr>
          <w:sz w:val="22"/>
          <w:szCs w:val="22"/>
        </w:rPr>
        <w:t>Coprocom</w:t>
      </w:r>
      <w:proofErr w:type="spellEnd"/>
      <w:r w:rsidRPr="00A156F4">
        <w:rPr>
          <w:sz w:val="22"/>
          <w:szCs w:val="22"/>
        </w:rPr>
        <w:t xml:space="preserve"> autorizar, condicionar o denegar las concentraciones que involucren entidades reguladas o supervisadas por las superintendencias del sistema financiero.</w:t>
      </w:r>
    </w:p>
    <w:p w14:paraId="56649744" w14:textId="47EFF71B" w:rsidR="006F47ED" w:rsidRPr="00A156F4" w:rsidRDefault="006F47ED" w:rsidP="006F47ED">
      <w:pPr>
        <w:pStyle w:val="NormalWeb"/>
        <w:jc w:val="both"/>
        <w:rPr>
          <w:sz w:val="22"/>
          <w:szCs w:val="22"/>
        </w:rPr>
      </w:pPr>
      <w:r w:rsidRPr="00A156F4">
        <w:rPr>
          <w:sz w:val="22"/>
          <w:szCs w:val="22"/>
        </w:rPr>
        <w:t xml:space="preserve">Las entidades reguladas o supervisadas deberán notificar las concentraciones a la </w:t>
      </w:r>
      <w:proofErr w:type="spellStart"/>
      <w:r w:rsidRPr="00A156F4">
        <w:rPr>
          <w:sz w:val="22"/>
          <w:szCs w:val="22"/>
        </w:rPr>
        <w:t>Coprocom</w:t>
      </w:r>
      <w:proofErr w:type="spellEnd"/>
      <w:r w:rsidRPr="00A156F4">
        <w:rPr>
          <w:sz w:val="22"/>
          <w:szCs w:val="22"/>
        </w:rPr>
        <w:t xml:space="preserve"> conforme se establece en los artículos </w:t>
      </w:r>
      <w:r w:rsidR="00704EA4" w:rsidRPr="00A156F4">
        <w:rPr>
          <w:sz w:val="22"/>
          <w:szCs w:val="22"/>
        </w:rPr>
        <w:t>89</w:t>
      </w:r>
      <w:r w:rsidRPr="00A156F4">
        <w:rPr>
          <w:sz w:val="22"/>
          <w:szCs w:val="22"/>
        </w:rPr>
        <w:t xml:space="preserve"> y siguientes de esta ley.</w:t>
      </w:r>
    </w:p>
    <w:p w14:paraId="6C0BFF9D" w14:textId="77777777" w:rsidR="006F47ED" w:rsidRPr="00A156F4" w:rsidRDefault="006F47ED" w:rsidP="006F47ED">
      <w:pPr>
        <w:pStyle w:val="NormalWeb"/>
        <w:jc w:val="both"/>
        <w:rPr>
          <w:sz w:val="22"/>
          <w:szCs w:val="22"/>
        </w:rPr>
      </w:pPr>
      <w:r w:rsidRPr="00A156F4">
        <w:rPr>
          <w:sz w:val="22"/>
          <w:szCs w:val="22"/>
        </w:rPr>
        <w:t>Una vez recibido el escrito de notificación, la autoridad de competencia deberá remitirle al CONASSIF, en un plazo máximo de tres días naturales, copia de la gestión, y solicitud de criterio sobre la transacción.</w:t>
      </w:r>
    </w:p>
    <w:p w14:paraId="235A2A2A" w14:textId="4B60AE78" w:rsidR="006F47ED" w:rsidRPr="00A156F4" w:rsidRDefault="006F47ED" w:rsidP="006F47ED">
      <w:pPr>
        <w:pStyle w:val="NormalWeb"/>
        <w:jc w:val="both"/>
        <w:rPr>
          <w:sz w:val="22"/>
          <w:szCs w:val="22"/>
        </w:rPr>
      </w:pPr>
      <w:r w:rsidRPr="00A156F4">
        <w:rPr>
          <w:sz w:val="22"/>
          <w:szCs w:val="22"/>
        </w:rPr>
        <w:t xml:space="preserve">El CONASSIF remitirá un criterio razonado a la </w:t>
      </w:r>
      <w:proofErr w:type="spellStart"/>
      <w:r w:rsidRPr="00A156F4">
        <w:rPr>
          <w:sz w:val="22"/>
          <w:szCs w:val="22"/>
        </w:rPr>
        <w:t>Coprocom</w:t>
      </w:r>
      <w:proofErr w:type="spellEnd"/>
      <w:r w:rsidRPr="00A156F4">
        <w:rPr>
          <w:sz w:val="22"/>
          <w:szCs w:val="22"/>
        </w:rPr>
        <w:t xml:space="preserve"> dentro de un plazo de 15 días naturales, contados a partir del recibo de la solicitud, en el que deberá indicar si, desde un punto de vista prudencial, la resolución final del proceso de concentración deberá ser emitida por el CONASSIF. Lo anterior con el fin de proteger y evitar riesgos a la solidez y estabilidad de las entidades o del sistema financiero, de conformidad con lo que establezca reglamentariamente este órgano regulador. Dicho plazo suspende aquellos establecidos</w:t>
      </w:r>
      <w:r w:rsidR="00704EA4" w:rsidRPr="00A156F4">
        <w:rPr>
          <w:sz w:val="22"/>
          <w:szCs w:val="22"/>
        </w:rPr>
        <w:t xml:space="preserve"> en </w:t>
      </w:r>
      <w:r w:rsidR="00F52065" w:rsidRPr="00A156F4">
        <w:rPr>
          <w:sz w:val="22"/>
          <w:szCs w:val="22"/>
        </w:rPr>
        <w:t xml:space="preserve">el Capítulo V de la </w:t>
      </w:r>
      <w:r w:rsidR="00704EA4" w:rsidRPr="00A156F4">
        <w:rPr>
          <w:sz w:val="22"/>
          <w:szCs w:val="22"/>
        </w:rPr>
        <w:t>Ley de Fortalecimiento de las Autoridades de Competencia de Costa Rica</w:t>
      </w:r>
      <w:r w:rsidRPr="00A156F4">
        <w:rPr>
          <w:sz w:val="22"/>
          <w:szCs w:val="22"/>
        </w:rPr>
        <w:t xml:space="preserve"> para el análisis de las concentraciones.</w:t>
      </w:r>
    </w:p>
    <w:p w14:paraId="5510581C" w14:textId="77777777" w:rsidR="006F47ED" w:rsidRPr="00A156F4" w:rsidRDefault="006F47ED" w:rsidP="006F47ED">
      <w:pPr>
        <w:pStyle w:val="NormalWeb"/>
        <w:jc w:val="both"/>
        <w:rPr>
          <w:sz w:val="22"/>
          <w:szCs w:val="22"/>
        </w:rPr>
      </w:pPr>
      <w:r w:rsidRPr="00A156F4">
        <w:rPr>
          <w:sz w:val="22"/>
          <w:szCs w:val="22"/>
        </w:rPr>
        <w:t xml:space="preserve">En los casos en los que el CONASSIF deba emitir la resolución final del proceso de concentración, según lo indicado en el párrafo anterior, la </w:t>
      </w:r>
      <w:proofErr w:type="spellStart"/>
      <w:r w:rsidRPr="00A156F4">
        <w:rPr>
          <w:sz w:val="22"/>
          <w:szCs w:val="22"/>
        </w:rPr>
        <w:t>Coprocom</w:t>
      </w:r>
      <w:proofErr w:type="spellEnd"/>
      <w:r w:rsidRPr="00A156F4">
        <w:rPr>
          <w:sz w:val="22"/>
          <w:szCs w:val="22"/>
        </w:rPr>
        <w:t xml:space="preserve"> archivará la gestión e informará a los agentes económicos involucrados que le corresponderá al CONASSIF el conocimiento de la gestión, conforme a sus competencias. </w:t>
      </w:r>
    </w:p>
    <w:p w14:paraId="6F11159E" w14:textId="0D32CE1C" w:rsidR="006F47ED" w:rsidRPr="00A156F4" w:rsidRDefault="006F47ED" w:rsidP="006F47ED">
      <w:pPr>
        <w:pStyle w:val="NormalWeb"/>
        <w:jc w:val="both"/>
        <w:rPr>
          <w:sz w:val="22"/>
          <w:szCs w:val="22"/>
        </w:rPr>
      </w:pPr>
      <w:r w:rsidRPr="00A156F4">
        <w:rPr>
          <w:sz w:val="22"/>
          <w:szCs w:val="22"/>
        </w:rPr>
        <w:t xml:space="preserve">En los casos en que el CONASSIF considere que no deba emitir la resolución final, el proceso deberá continuar conforme lo establecido en el Capítulo V de </w:t>
      </w:r>
      <w:r w:rsidR="00704EA4" w:rsidRPr="00A156F4">
        <w:rPr>
          <w:sz w:val="22"/>
          <w:szCs w:val="22"/>
        </w:rPr>
        <w:t>la Ley de Fortalecimiento de las Autoridades de Competencia de Costa Rica</w:t>
      </w:r>
      <w:r w:rsidRPr="00A156F4">
        <w:rPr>
          <w:sz w:val="22"/>
          <w:szCs w:val="22"/>
        </w:rPr>
        <w:t>.</w:t>
      </w:r>
    </w:p>
    <w:p w14:paraId="7D773A5E" w14:textId="77777777" w:rsidR="006F47ED" w:rsidRPr="00A156F4" w:rsidRDefault="006F47ED" w:rsidP="006F47ED">
      <w:pPr>
        <w:pStyle w:val="NormalWeb"/>
        <w:jc w:val="both"/>
        <w:rPr>
          <w:sz w:val="22"/>
          <w:szCs w:val="22"/>
        </w:rPr>
      </w:pPr>
      <w:r w:rsidRPr="00A156F4">
        <w:rPr>
          <w:sz w:val="22"/>
          <w:szCs w:val="22"/>
        </w:rPr>
        <w:t xml:space="preserve">Cuando la entidad regulada o supervisada se encuentre sujeta a un proceso de intervención o a un proceso de resolución, las entidades involucradas estarán exentas del deber de notificar las concentraciones, y quedarán excluidas de la revisión de la </w:t>
      </w:r>
      <w:proofErr w:type="spellStart"/>
      <w:r w:rsidRPr="00A156F4">
        <w:rPr>
          <w:sz w:val="22"/>
          <w:szCs w:val="22"/>
        </w:rPr>
        <w:t>Coprocom</w:t>
      </w:r>
      <w:proofErr w:type="spellEnd"/>
      <w:r w:rsidRPr="00A156F4">
        <w:rPr>
          <w:sz w:val="22"/>
          <w:szCs w:val="22"/>
        </w:rPr>
        <w:t>.</w:t>
      </w:r>
    </w:p>
    <w:p w14:paraId="62071E9C" w14:textId="77777777" w:rsidR="006F47ED" w:rsidRPr="00A156F4" w:rsidRDefault="006F47ED" w:rsidP="006F47ED">
      <w:pPr>
        <w:pStyle w:val="NormalWeb"/>
        <w:spacing w:before="0" w:beforeAutospacing="0" w:after="0" w:afterAutospacing="0"/>
        <w:jc w:val="both"/>
        <w:rPr>
          <w:b/>
          <w:bCs/>
          <w:iCs/>
          <w:sz w:val="22"/>
          <w:szCs w:val="22"/>
        </w:rPr>
      </w:pPr>
      <w:r w:rsidRPr="00A156F4">
        <w:rPr>
          <w:b/>
          <w:sz w:val="22"/>
          <w:szCs w:val="22"/>
        </w:rPr>
        <w:t xml:space="preserve">b) </w:t>
      </w:r>
      <w:r w:rsidRPr="00A156F4">
        <w:rPr>
          <w:b/>
          <w:bCs/>
          <w:iCs/>
          <w:sz w:val="22"/>
          <w:szCs w:val="22"/>
        </w:rPr>
        <w:t>Apertura de procedimientos sancionadores</w:t>
      </w:r>
    </w:p>
    <w:p w14:paraId="462E2741" w14:textId="77777777" w:rsidR="006F47ED" w:rsidRPr="00A156F4" w:rsidRDefault="006F47ED" w:rsidP="006F47ED">
      <w:pPr>
        <w:pStyle w:val="NormalWeb"/>
        <w:jc w:val="both"/>
        <w:rPr>
          <w:sz w:val="22"/>
          <w:szCs w:val="22"/>
        </w:rPr>
      </w:pPr>
      <w:r w:rsidRPr="00A156F4">
        <w:rPr>
          <w:sz w:val="22"/>
          <w:szCs w:val="22"/>
        </w:rPr>
        <w:t xml:space="preserve">Corresponden a la </w:t>
      </w:r>
      <w:proofErr w:type="spellStart"/>
      <w:r w:rsidRPr="00A156F4">
        <w:rPr>
          <w:sz w:val="22"/>
          <w:szCs w:val="22"/>
        </w:rPr>
        <w:t>Coprocom</w:t>
      </w:r>
      <w:proofErr w:type="spellEnd"/>
      <w:r w:rsidRPr="00A156F4">
        <w:rPr>
          <w:sz w:val="22"/>
          <w:szCs w:val="22"/>
        </w:rPr>
        <w:t xml:space="preserve"> las potestades para determinar y sancionar prácticas monopolísticas absolutas y relativas en los mercados regulados o supervisados por las Superintendencias del Sector Financiero.</w:t>
      </w:r>
    </w:p>
    <w:p w14:paraId="73A4C79F" w14:textId="77777777" w:rsidR="006F47ED" w:rsidRPr="00A156F4" w:rsidRDefault="006F47ED" w:rsidP="006F47ED">
      <w:pPr>
        <w:pStyle w:val="NormalWeb"/>
        <w:spacing w:before="0" w:beforeAutospacing="0" w:after="0" w:afterAutospacing="0"/>
        <w:jc w:val="both"/>
        <w:rPr>
          <w:b/>
          <w:bCs/>
          <w:iCs/>
          <w:sz w:val="22"/>
          <w:szCs w:val="22"/>
        </w:rPr>
      </w:pPr>
      <w:r w:rsidRPr="00A156F4">
        <w:rPr>
          <w:b/>
          <w:sz w:val="22"/>
          <w:szCs w:val="22"/>
        </w:rPr>
        <w:t xml:space="preserve">c) </w:t>
      </w:r>
      <w:r w:rsidRPr="00A156F4">
        <w:rPr>
          <w:b/>
          <w:bCs/>
          <w:iCs/>
          <w:sz w:val="22"/>
          <w:szCs w:val="22"/>
        </w:rPr>
        <w:t>Obligación de los superintendentes</w:t>
      </w:r>
    </w:p>
    <w:p w14:paraId="138B04E4" w14:textId="77777777" w:rsidR="006F47ED" w:rsidRPr="00A156F4" w:rsidRDefault="006F47ED" w:rsidP="006F47ED">
      <w:pPr>
        <w:pStyle w:val="NormalWeb"/>
        <w:spacing w:before="0" w:beforeAutospacing="0" w:after="0" w:afterAutospacing="0"/>
        <w:jc w:val="both"/>
        <w:rPr>
          <w:b/>
          <w:bCs/>
          <w:iCs/>
          <w:sz w:val="22"/>
          <w:szCs w:val="22"/>
        </w:rPr>
      </w:pPr>
    </w:p>
    <w:p w14:paraId="2AF8269D" w14:textId="0EB74361" w:rsidR="0041325B" w:rsidRPr="00A156F4" w:rsidRDefault="006F47ED" w:rsidP="004E014C">
      <w:pPr>
        <w:jc w:val="both"/>
        <w:rPr>
          <w:rFonts w:eastAsia="Times New Roman"/>
          <w:sz w:val="22"/>
          <w:szCs w:val="22"/>
        </w:rPr>
      </w:pPr>
      <w:r w:rsidRPr="00A156F4">
        <w:rPr>
          <w:sz w:val="22"/>
          <w:szCs w:val="22"/>
        </w:rPr>
        <w:t xml:space="preserve">Los superintendentes deberán denunciar ante la </w:t>
      </w:r>
      <w:proofErr w:type="spellStart"/>
      <w:r w:rsidRPr="00A156F4">
        <w:rPr>
          <w:sz w:val="22"/>
          <w:szCs w:val="22"/>
        </w:rPr>
        <w:t>Coprocom</w:t>
      </w:r>
      <w:proofErr w:type="spellEnd"/>
      <w:r w:rsidRPr="00A156F4">
        <w:rPr>
          <w:sz w:val="22"/>
          <w:szCs w:val="22"/>
        </w:rPr>
        <w:t xml:space="preserve"> las prácticas contrarias a la competencia, tipificadas en la presente ley. La Superintendencia podrá intervenir como parte interesada en los procedimientos correspondientes.</w:t>
      </w:r>
      <w:bookmarkEnd w:id="48"/>
      <w:r w:rsidR="00961C77" w:rsidRPr="00A156F4">
        <w:rPr>
          <w:rFonts w:eastAsia="Times New Roman"/>
          <w:sz w:val="22"/>
          <w:szCs w:val="22"/>
        </w:rPr>
        <w:t>”</w:t>
      </w:r>
    </w:p>
    <w:p w14:paraId="27A097D7" w14:textId="77777777" w:rsidR="004E014C" w:rsidRPr="00A156F4" w:rsidRDefault="004E014C" w:rsidP="004E014C">
      <w:pPr>
        <w:jc w:val="both"/>
        <w:rPr>
          <w:sz w:val="22"/>
          <w:szCs w:val="22"/>
        </w:rPr>
      </w:pPr>
    </w:p>
    <w:p w14:paraId="0CEE248A" w14:textId="77777777" w:rsidR="0041325B" w:rsidRPr="00A156F4" w:rsidRDefault="00961C77" w:rsidP="00C1720E">
      <w:pPr>
        <w:ind w:left="851"/>
        <w:jc w:val="both"/>
        <w:rPr>
          <w:sz w:val="22"/>
          <w:szCs w:val="22"/>
        </w:rPr>
      </w:pPr>
      <w:bookmarkStart w:id="49" w:name="_Toc281427880"/>
      <w:r w:rsidRPr="00A156F4">
        <w:rPr>
          <w:b/>
          <w:bCs/>
          <w:sz w:val="22"/>
          <w:szCs w:val="22"/>
        </w:rPr>
        <w:t>“</w:t>
      </w:r>
      <w:r w:rsidR="0041325B" w:rsidRPr="00A156F4">
        <w:rPr>
          <w:b/>
          <w:bCs/>
          <w:sz w:val="22"/>
          <w:szCs w:val="22"/>
        </w:rPr>
        <w:t>Artículo 64.-</w:t>
      </w:r>
      <w:bookmarkEnd w:id="49"/>
      <w:r w:rsidR="0041325B" w:rsidRPr="00A156F4">
        <w:rPr>
          <w:sz w:val="22"/>
          <w:szCs w:val="22"/>
        </w:rPr>
        <w:t xml:space="preserve"> </w:t>
      </w:r>
      <w:r w:rsidR="0041325B" w:rsidRPr="00A156F4">
        <w:rPr>
          <w:b/>
          <w:sz w:val="22"/>
          <w:szCs w:val="22"/>
        </w:rPr>
        <w:t>Resoluciones de la Comisión para promover la competencia y de la Comisión nacional del consumidor.</w:t>
      </w:r>
      <w:r w:rsidR="0041325B" w:rsidRPr="00A156F4">
        <w:rPr>
          <w:sz w:val="22"/>
          <w:szCs w:val="22"/>
        </w:rPr>
        <w:t xml:space="preserve"> </w:t>
      </w:r>
    </w:p>
    <w:p w14:paraId="26FC6AE5" w14:textId="77777777" w:rsidR="0041325B" w:rsidRPr="00A156F4" w:rsidRDefault="0041325B" w:rsidP="00C1720E">
      <w:pPr>
        <w:ind w:left="851"/>
        <w:jc w:val="both"/>
        <w:rPr>
          <w:sz w:val="22"/>
          <w:szCs w:val="22"/>
        </w:rPr>
      </w:pPr>
    </w:p>
    <w:p w14:paraId="3C9DA5D6" w14:textId="758F50A7" w:rsidR="0041325B" w:rsidRPr="00A156F4" w:rsidRDefault="0041325B" w:rsidP="00C1720E">
      <w:pPr>
        <w:ind w:left="851"/>
        <w:jc w:val="both"/>
        <w:rPr>
          <w:b/>
          <w:bCs/>
          <w:sz w:val="22"/>
          <w:szCs w:val="22"/>
          <w:u w:val="single"/>
        </w:rPr>
      </w:pPr>
      <w:r w:rsidRPr="00A156F4">
        <w:rPr>
          <w:sz w:val="22"/>
          <w:szCs w:val="22"/>
        </w:rPr>
        <w:t xml:space="preserve">Las resoluciones emanadas de la Comisión Nacional del </w:t>
      </w:r>
      <w:proofErr w:type="gramStart"/>
      <w:r w:rsidRPr="00A156F4">
        <w:rPr>
          <w:sz w:val="22"/>
          <w:szCs w:val="22"/>
        </w:rPr>
        <w:t>Consumidor,</w:t>
      </w:r>
      <w:proofErr w:type="gramEnd"/>
      <w:r w:rsidRPr="00A156F4">
        <w:rPr>
          <w:sz w:val="22"/>
          <w:szCs w:val="22"/>
        </w:rPr>
        <w:t xml:space="preserve"> deberán reunir los requisitos establecidos en los artículos 128 y siguientes de la Ley general de la Administración Pública. </w:t>
      </w:r>
    </w:p>
    <w:p w14:paraId="06EFE9FF" w14:textId="77777777" w:rsidR="003E7A2F" w:rsidRPr="00A156F4" w:rsidRDefault="003E7A2F" w:rsidP="00C1720E">
      <w:pPr>
        <w:ind w:left="851"/>
        <w:jc w:val="both"/>
        <w:rPr>
          <w:sz w:val="22"/>
          <w:szCs w:val="22"/>
        </w:rPr>
      </w:pPr>
    </w:p>
    <w:p w14:paraId="3CF09AA7" w14:textId="77777777" w:rsidR="0041325B" w:rsidRPr="00A156F4" w:rsidRDefault="0041325B" w:rsidP="00C1720E">
      <w:pPr>
        <w:ind w:left="851"/>
        <w:jc w:val="both"/>
        <w:rPr>
          <w:sz w:val="22"/>
          <w:szCs w:val="22"/>
        </w:rPr>
      </w:pPr>
      <w:r w:rsidRPr="00A156F4">
        <w:rPr>
          <w:sz w:val="22"/>
          <w:szCs w:val="22"/>
        </w:rPr>
        <w:t xml:space="preserve">Contra </w:t>
      </w:r>
      <w:r w:rsidR="009C0B7B" w:rsidRPr="00A156F4">
        <w:rPr>
          <w:sz w:val="22"/>
          <w:szCs w:val="22"/>
        </w:rPr>
        <w:t xml:space="preserve">las </w:t>
      </w:r>
      <w:r w:rsidRPr="00A156F4">
        <w:rPr>
          <w:sz w:val="22"/>
          <w:szCs w:val="22"/>
        </w:rPr>
        <w:t xml:space="preserve">resoluciones </w:t>
      </w:r>
      <w:r w:rsidR="009C0B7B" w:rsidRPr="00A156F4">
        <w:rPr>
          <w:sz w:val="22"/>
          <w:szCs w:val="22"/>
        </w:rPr>
        <w:t xml:space="preserve">de la Comisión Nacional del Consumidor </w:t>
      </w:r>
      <w:r w:rsidRPr="00A156F4">
        <w:rPr>
          <w:sz w:val="22"/>
          <w:szCs w:val="22"/>
        </w:rPr>
        <w:t>podrá interponerse el recurso de reposición, según lo dispuesto por el Código Procesal Contencioso-Administrativo.</w:t>
      </w:r>
      <w:r w:rsidR="004952D7" w:rsidRPr="00A156F4">
        <w:rPr>
          <w:sz w:val="22"/>
          <w:szCs w:val="22"/>
        </w:rPr>
        <w:t>”</w:t>
      </w:r>
    </w:p>
    <w:p w14:paraId="7569C94A" w14:textId="77777777" w:rsidR="0041325B" w:rsidRPr="00A156F4" w:rsidRDefault="0041325B" w:rsidP="00C1720E">
      <w:pPr>
        <w:ind w:left="851"/>
        <w:jc w:val="both"/>
        <w:rPr>
          <w:sz w:val="22"/>
          <w:szCs w:val="22"/>
        </w:rPr>
      </w:pPr>
    </w:p>
    <w:p w14:paraId="765C06CD" w14:textId="77777777" w:rsidR="0041325B" w:rsidRPr="00A156F4" w:rsidRDefault="00961C77" w:rsidP="00C1720E">
      <w:pPr>
        <w:ind w:left="851"/>
        <w:jc w:val="both"/>
        <w:rPr>
          <w:sz w:val="22"/>
          <w:szCs w:val="22"/>
        </w:rPr>
      </w:pPr>
      <w:bookmarkStart w:id="50" w:name="_Toc281427883"/>
      <w:r w:rsidRPr="00A156F4">
        <w:rPr>
          <w:b/>
          <w:bCs/>
          <w:sz w:val="22"/>
          <w:szCs w:val="22"/>
        </w:rPr>
        <w:t>“</w:t>
      </w:r>
      <w:r w:rsidR="0041325B" w:rsidRPr="00A156F4">
        <w:rPr>
          <w:b/>
          <w:bCs/>
          <w:sz w:val="22"/>
          <w:szCs w:val="22"/>
        </w:rPr>
        <w:t>Artículo 67.- Documentos e información.</w:t>
      </w:r>
      <w:bookmarkEnd w:id="50"/>
      <w:r w:rsidR="0041325B" w:rsidRPr="00A156F4">
        <w:rPr>
          <w:sz w:val="22"/>
          <w:szCs w:val="22"/>
        </w:rPr>
        <w:t xml:space="preserve"> </w:t>
      </w:r>
    </w:p>
    <w:p w14:paraId="437DEE78" w14:textId="77777777" w:rsidR="003E7A2F" w:rsidRPr="00A156F4" w:rsidRDefault="003E7A2F" w:rsidP="00C1720E">
      <w:pPr>
        <w:ind w:left="851"/>
        <w:jc w:val="both"/>
        <w:rPr>
          <w:sz w:val="22"/>
          <w:szCs w:val="22"/>
        </w:rPr>
      </w:pPr>
    </w:p>
    <w:p w14:paraId="51323F25" w14:textId="77777777" w:rsidR="0041325B" w:rsidRPr="00A156F4" w:rsidRDefault="0041325B" w:rsidP="00C1720E">
      <w:pPr>
        <w:spacing w:after="120"/>
        <w:ind w:left="851"/>
        <w:jc w:val="both"/>
        <w:rPr>
          <w:sz w:val="22"/>
          <w:szCs w:val="22"/>
        </w:rPr>
      </w:pPr>
      <w:r w:rsidRPr="00A156F4">
        <w:rPr>
          <w:sz w:val="22"/>
          <w:szCs w:val="22"/>
        </w:rPr>
        <w:t xml:space="preserve">Los comerciantes, a requerimiento de la Comisión nacional del consumidor y del Ministerio de Economía, Industria y Comercio, están obligados a: </w:t>
      </w:r>
    </w:p>
    <w:p w14:paraId="0FAD4835" w14:textId="77777777" w:rsidR="0041325B" w:rsidRPr="00A156F4" w:rsidRDefault="0041325B" w:rsidP="00C1720E">
      <w:pPr>
        <w:spacing w:after="120"/>
        <w:ind w:left="851"/>
        <w:jc w:val="both"/>
        <w:rPr>
          <w:sz w:val="22"/>
          <w:szCs w:val="22"/>
        </w:rPr>
      </w:pPr>
      <w:r w:rsidRPr="00A156F4">
        <w:rPr>
          <w:sz w:val="22"/>
          <w:szCs w:val="22"/>
        </w:rPr>
        <w:t xml:space="preserve">a) Entregar, con carácter de declaración jurada, los informes y los documentos que se consideren necesarios para garantizar el ejercicio de sus funciones. La información suministrada es confidencial y el funcionario que viole el secreto de los datos confidenciales incurre en falta grave en el ejercicio de sus funciones. </w:t>
      </w:r>
    </w:p>
    <w:p w14:paraId="05B7E3F6" w14:textId="77777777" w:rsidR="0041325B" w:rsidRPr="00A156F4" w:rsidRDefault="0041325B" w:rsidP="00C1720E">
      <w:pPr>
        <w:spacing w:after="120"/>
        <w:ind w:left="851"/>
        <w:jc w:val="both"/>
        <w:rPr>
          <w:sz w:val="22"/>
          <w:szCs w:val="22"/>
        </w:rPr>
      </w:pPr>
      <w:r w:rsidRPr="00A156F4">
        <w:rPr>
          <w:sz w:val="22"/>
          <w:szCs w:val="22"/>
        </w:rPr>
        <w:t xml:space="preserve">b) Permitir, en forma gratuita, la toma de muestras de los productos para verificar la calidad o la exactitud de la información suministrada al consumidor. </w:t>
      </w:r>
    </w:p>
    <w:p w14:paraId="7AB10B83" w14:textId="77777777" w:rsidR="0041325B" w:rsidRPr="00A156F4" w:rsidRDefault="0041325B" w:rsidP="00C1720E">
      <w:pPr>
        <w:spacing w:after="120"/>
        <w:ind w:left="851"/>
        <w:jc w:val="both"/>
        <w:rPr>
          <w:sz w:val="22"/>
          <w:szCs w:val="22"/>
        </w:rPr>
      </w:pPr>
      <w:r w:rsidRPr="00A156F4">
        <w:rPr>
          <w:sz w:val="22"/>
          <w:szCs w:val="22"/>
        </w:rPr>
        <w:t xml:space="preserve">La negativa de entrega, la falsedad o la inclusión de datos inexactos o incompletos, en los documentos requeridos, debe ser sancionada como falta grave por las respectivas comisiones, según proceda. Cuando las faltas se cometan en virtud de la solicitud formulada por el Ministerio de Economía, Industria y Comercio, este remitirá esos documentos a la comisión competente para la sanción. </w:t>
      </w:r>
    </w:p>
    <w:p w14:paraId="751394CD" w14:textId="77777777" w:rsidR="0041325B" w:rsidRPr="00A156F4" w:rsidRDefault="0041325B" w:rsidP="00C1720E">
      <w:pPr>
        <w:spacing w:after="120"/>
        <w:ind w:left="851"/>
        <w:jc w:val="both"/>
        <w:rPr>
          <w:sz w:val="22"/>
          <w:szCs w:val="22"/>
        </w:rPr>
      </w:pPr>
      <w:r w:rsidRPr="00A156F4">
        <w:rPr>
          <w:sz w:val="22"/>
          <w:szCs w:val="22"/>
        </w:rPr>
        <w:t xml:space="preserve">Las facturas de las ventas a mayoristas deben consignar el nombre del vendedor y del comprador, sus respectivos números de cédula, de persona física o jurídica, así como la identificación de los productos o los servicios transados. </w:t>
      </w:r>
    </w:p>
    <w:p w14:paraId="0B407230" w14:textId="77777777" w:rsidR="0041325B" w:rsidRPr="00A156F4" w:rsidRDefault="0041325B" w:rsidP="00C1720E">
      <w:pPr>
        <w:ind w:left="851"/>
        <w:jc w:val="both"/>
        <w:rPr>
          <w:sz w:val="22"/>
          <w:szCs w:val="22"/>
        </w:rPr>
      </w:pPr>
      <w:r w:rsidRPr="00A156F4">
        <w:rPr>
          <w:sz w:val="22"/>
          <w:szCs w:val="22"/>
        </w:rPr>
        <w:t>Los órganos y los entes de la Administración Pública deben suministrar la información que les solicite la</w:t>
      </w:r>
      <w:r w:rsidR="00BA0885" w:rsidRPr="00A156F4">
        <w:rPr>
          <w:sz w:val="22"/>
          <w:szCs w:val="22"/>
        </w:rPr>
        <w:t xml:space="preserve"> </w:t>
      </w:r>
      <w:r w:rsidRPr="00A156F4">
        <w:rPr>
          <w:sz w:val="22"/>
          <w:szCs w:val="22"/>
        </w:rPr>
        <w:t>Comisión nacional del consumidor para el ejercicio de sus funciones.</w:t>
      </w:r>
      <w:r w:rsidR="00961C77" w:rsidRPr="00A156F4">
        <w:rPr>
          <w:sz w:val="22"/>
          <w:szCs w:val="22"/>
        </w:rPr>
        <w:t>”</w:t>
      </w:r>
    </w:p>
    <w:p w14:paraId="42695CB3" w14:textId="77777777" w:rsidR="0041325B" w:rsidRPr="00A156F4" w:rsidRDefault="0041325B" w:rsidP="00C1720E">
      <w:pPr>
        <w:ind w:left="851"/>
        <w:jc w:val="both"/>
        <w:rPr>
          <w:sz w:val="22"/>
          <w:szCs w:val="22"/>
        </w:rPr>
      </w:pPr>
    </w:p>
    <w:p w14:paraId="5F1620E2" w14:textId="77777777" w:rsidR="003E7A2F" w:rsidRPr="00A156F4" w:rsidRDefault="003E7A2F" w:rsidP="00C1720E">
      <w:pPr>
        <w:ind w:left="851"/>
        <w:jc w:val="both"/>
        <w:rPr>
          <w:sz w:val="22"/>
          <w:szCs w:val="22"/>
        </w:rPr>
      </w:pPr>
      <w:bookmarkStart w:id="51" w:name="_Toc281427888"/>
      <w:bookmarkStart w:id="52" w:name="_Hlk536711582"/>
      <w:r w:rsidRPr="00A156F4">
        <w:rPr>
          <w:b/>
          <w:bCs/>
          <w:sz w:val="22"/>
          <w:szCs w:val="22"/>
        </w:rPr>
        <w:t>“Artículo 72.-</w:t>
      </w:r>
      <w:r w:rsidR="00BA0885" w:rsidRPr="00A156F4">
        <w:rPr>
          <w:b/>
          <w:bCs/>
          <w:sz w:val="22"/>
          <w:szCs w:val="22"/>
        </w:rPr>
        <w:t xml:space="preserve"> </w:t>
      </w:r>
      <w:r w:rsidRPr="00A156F4">
        <w:rPr>
          <w:b/>
          <w:bCs/>
          <w:sz w:val="22"/>
          <w:szCs w:val="22"/>
        </w:rPr>
        <w:t>Alcance.</w:t>
      </w:r>
      <w:bookmarkEnd w:id="51"/>
      <w:r w:rsidRPr="00A156F4">
        <w:rPr>
          <w:sz w:val="22"/>
          <w:szCs w:val="22"/>
        </w:rPr>
        <w:t xml:space="preserve"> </w:t>
      </w:r>
    </w:p>
    <w:p w14:paraId="6EF8607B" w14:textId="77777777" w:rsidR="003E7A2F" w:rsidRPr="00A156F4" w:rsidRDefault="003E7A2F" w:rsidP="00C1720E">
      <w:pPr>
        <w:ind w:left="851"/>
        <w:jc w:val="both"/>
        <w:rPr>
          <w:sz w:val="22"/>
          <w:szCs w:val="22"/>
        </w:rPr>
      </w:pPr>
    </w:p>
    <w:p w14:paraId="499A3B7B" w14:textId="77777777" w:rsidR="003E7A2F" w:rsidRPr="00A156F4" w:rsidRDefault="003E7A2F" w:rsidP="00C1720E">
      <w:pPr>
        <w:ind w:left="851"/>
        <w:jc w:val="both"/>
        <w:rPr>
          <w:sz w:val="22"/>
          <w:szCs w:val="22"/>
        </w:rPr>
      </w:pPr>
      <w:r w:rsidRPr="00A156F4">
        <w:rPr>
          <w:sz w:val="22"/>
          <w:szCs w:val="22"/>
        </w:rPr>
        <w:t xml:space="preserve">Esta Ley es de orden público; sus disposiciones son irrenunciables por las partes y de aplicación sobre cualesquiera costumbres, prácticas, usos o estipulaciones contractuales en contrario, especiales o generales. </w:t>
      </w:r>
    </w:p>
    <w:p w14:paraId="3CE8ADA2" w14:textId="77777777" w:rsidR="003E7A2F" w:rsidRPr="00A156F4" w:rsidRDefault="003E7A2F" w:rsidP="00C1720E">
      <w:pPr>
        <w:ind w:left="851"/>
        <w:jc w:val="both"/>
        <w:rPr>
          <w:sz w:val="22"/>
          <w:szCs w:val="22"/>
        </w:rPr>
      </w:pPr>
    </w:p>
    <w:p w14:paraId="4559F26C" w14:textId="77777777" w:rsidR="003E7A2F" w:rsidRPr="00A156F4" w:rsidRDefault="003E7A2F" w:rsidP="00C1720E">
      <w:pPr>
        <w:ind w:left="851"/>
        <w:jc w:val="both"/>
        <w:rPr>
          <w:sz w:val="22"/>
          <w:szCs w:val="22"/>
        </w:rPr>
      </w:pPr>
      <w:r w:rsidRPr="00A156F4">
        <w:rPr>
          <w:sz w:val="22"/>
          <w:szCs w:val="22"/>
        </w:rPr>
        <w:t>Asimismo, son nulos los actos realizados como fraude en contra de esta Ley, de conformidad con el artículo 20 del Código Civil.”</w:t>
      </w:r>
    </w:p>
    <w:bookmarkEnd w:id="52"/>
    <w:p w14:paraId="26B5F985" w14:textId="77777777" w:rsidR="003E7A2F" w:rsidRPr="00A156F4" w:rsidRDefault="003E7A2F" w:rsidP="001F4208">
      <w:pPr>
        <w:ind w:left="1418"/>
        <w:jc w:val="both"/>
        <w:rPr>
          <w:sz w:val="22"/>
          <w:szCs w:val="22"/>
        </w:rPr>
      </w:pPr>
    </w:p>
    <w:p w14:paraId="2E322674" w14:textId="77777777" w:rsidR="00714CF4" w:rsidRPr="00A156F4" w:rsidRDefault="00714CF4" w:rsidP="00117EE5">
      <w:pPr>
        <w:pStyle w:val="Prrafodelista1"/>
        <w:numPr>
          <w:ilvl w:val="0"/>
          <w:numId w:val="25"/>
        </w:numPr>
        <w:spacing w:after="0" w:line="240" w:lineRule="auto"/>
        <w:ind w:left="0" w:firstLine="0"/>
        <w:jc w:val="both"/>
        <w:rPr>
          <w:rFonts w:ascii="Times New Roman" w:hAnsi="Times New Roman"/>
          <w:lang w:val="es-ES_tradnl" w:eastAsia="es-CR"/>
        </w:rPr>
      </w:pPr>
      <w:r w:rsidRPr="00A156F4">
        <w:rPr>
          <w:rFonts w:ascii="Times New Roman" w:hAnsi="Times New Roman"/>
          <w:lang w:val="es-ES_tradnl" w:eastAsia="es-CR"/>
        </w:rPr>
        <w:t>Adiciónense un inciso n) al artículo 12</w:t>
      </w:r>
      <w:r w:rsidR="00BA0885" w:rsidRPr="00A156F4">
        <w:rPr>
          <w:rFonts w:ascii="Times New Roman" w:hAnsi="Times New Roman"/>
          <w:lang w:val="es-ES_tradnl" w:eastAsia="es-CR"/>
        </w:rPr>
        <w:t xml:space="preserve"> </w:t>
      </w:r>
      <w:r w:rsidRPr="00A156F4">
        <w:rPr>
          <w:rFonts w:ascii="Times New Roman" w:hAnsi="Times New Roman"/>
          <w:lang w:val="es-ES_tradnl" w:eastAsia="es-CR"/>
        </w:rPr>
        <w:t xml:space="preserve">a la Ley de Promoción de la Competencia y Defensa Efectiva del Consumidor, Ley </w:t>
      </w:r>
      <w:proofErr w:type="spellStart"/>
      <w:r w:rsidRPr="00A156F4">
        <w:rPr>
          <w:rFonts w:ascii="Times New Roman" w:hAnsi="Times New Roman"/>
          <w:lang w:val="es-ES_tradnl" w:eastAsia="es-CR"/>
        </w:rPr>
        <w:t>N°</w:t>
      </w:r>
      <w:proofErr w:type="spellEnd"/>
      <w:r w:rsidRPr="00A156F4">
        <w:rPr>
          <w:rFonts w:ascii="Times New Roman" w:hAnsi="Times New Roman"/>
          <w:lang w:val="es-ES_tradnl" w:eastAsia="es-CR"/>
        </w:rPr>
        <w:t>. 7472, del 20 de diciembre de 1994, sus reformas y sus reglamentos, para que en adelante se lean:</w:t>
      </w:r>
    </w:p>
    <w:p w14:paraId="54FA0063" w14:textId="77777777" w:rsidR="00714CF4" w:rsidRPr="00A156F4" w:rsidRDefault="00714CF4" w:rsidP="00C1720E">
      <w:pPr>
        <w:ind w:left="851"/>
        <w:jc w:val="both"/>
        <w:rPr>
          <w:b/>
          <w:sz w:val="22"/>
          <w:szCs w:val="22"/>
        </w:rPr>
      </w:pPr>
    </w:p>
    <w:p w14:paraId="15EDC469" w14:textId="77777777" w:rsidR="00714CF4" w:rsidRPr="00A156F4" w:rsidRDefault="00714CF4" w:rsidP="00C1720E">
      <w:pPr>
        <w:ind w:left="851"/>
        <w:jc w:val="both"/>
        <w:rPr>
          <w:b/>
          <w:bCs/>
          <w:sz w:val="22"/>
          <w:szCs w:val="22"/>
          <w:u w:val="single"/>
        </w:rPr>
      </w:pPr>
      <w:r w:rsidRPr="00A156F4">
        <w:rPr>
          <w:b/>
          <w:bCs/>
          <w:sz w:val="22"/>
          <w:szCs w:val="22"/>
          <w:u w:val="single"/>
        </w:rPr>
        <w:t>“Artículo 12.-Prácticas monopolísticas relativas</w:t>
      </w:r>
    </w:p>
    <w:p w14:paraId="5D94BFF1" w14:textId="77777777" w:rsidR="00714CF4" w:rsidRPr="00A156F4" w:rsidRDefault="00714CF4" w:rsidP="00C1720E">
      <w:pPr>
        <w:widowControl w:val="0"/>
        <w:ind w:left="851"/>
        <w:jc w:val="both"/>
        <w:rPr>
          <w:sz w:val="22"/>
          <w:szCs w:val="22"/>
        </w:rPr>
      </w:pPr>
      <w:r w:rsidRPr="00A156F4">
        <w:rPr>
          <w:sz w:val="22"/>
          <w:szCs w:val="22"/>
        </w:rPr>
        <w:t>“[…]</w:t>
      </w:r>
    </w:p>
    <w:p w14:paraId="2E946B8D" w14:textId="77777777" w:rsidR="00714CF4" w:rsidRPr="00A156F4" w:rsidRDefault="00714CF4" w:rsidP="00C1720E">
      <w:pPr>
        <w:widowControl w:val="0"/>
        <w:ind w:left="851"/>
        <w:jc w:val="both"/>
        <w:rPr>
          <w:sz w:val="22"/>
          <w:szCs w:val="22"/>
        </w:rPr>
      </w:pPr>
    </w:p>
    <w:p w14:paraId="0EEEC263" w14:textId="5EC520F1" w:rsidR="00714CF4" w:rsidRPr="00A156F4" w:rsidRDefault="00714CF4" w:rsidP="00C1720E">
      <w:pPr>
        <w:widowControl w:val="0"/>
        <w:ind w:left="851"/>
        <w:jc w:val="both"/>
        <w:rPr>
          <w:sz w:val="22"/>
          <w:szCs w:val="22"/>
        </w:rPr>
      </w:pPr>
      <w:r w:rsidRPr="00A156F4">
        <w:rPr>
          <w:sz w:val="22"/>
          <w:szCs w:val="22"/>
        </w:rPr>
        <w:t>n)</w:t>
      </w:r>
      <w:r w:rsidR="00873A18" w:rsidRPr="00A156F4">
        <w:rPr>
          <w:sz w:val="22"/>
          <w:szCs w:val="22"/>
        </w:rPr>
        <w:t xml:space="preserve"> </w:t>
      </w:r>
      <w:r w:rsidRPr="00A156F4">
        <w:rPr>
          <w:sz w:val="22"/>
          <w:szCs w:val="22"/>
        </w:rPr>
        <w:t>El establecimiento de subsidios cruzados entre diferentes bienes o servicios ofrecidos por el agente económico</w:t>
      </w:r>
      <w:r w:rsidR="001D26B9" w:rsidRPr="00A156F4">
        <w:rPr>
          <w:sz w:val="22"/>
          <w:szCs w:val="22"/>
        </w:rPr>
        <w:t>.</w:t>
      </w:r>
    </w:p>
    <w:p w14:paraId="22B7975D" w14:textId="78369569" w:rsidR="009B4E02" w:rsidRPr="00A156F4" w:rsidRDefault="009B4E02" w:rsidP="00C1720E">
      <w:pPr>
        <w:widowControl w:val="0"/>
        <w:ind w:left="851"/>
        <w:jc w:val="both"/>
        <w:rPr>
          <w:sz w:val="22"/>
          <w:szCs w:val="22"/>
        </w:rPr>
      </w:pPr>
    </w:p>
    <w:p w14:paraId="6A79BB87" w14:textId="6EEF60F8" w:rsidR="00C82B74" w:rsidRPr="00A156F4" w:rsidRDefault="00C82B74" w:rsidP="00AF4F21">
      <w:pPr>
        <w:widowControl w:val="0"/>
        <w:ind w:left="851"/>
        <w:jc w:val="both"/>
        <w:rPr>
          <w:sz w:val="22"/>
          <w:szCs w:val="22"/>
        </w:rPr>
      </w:pPr>
      <w:r w:rsidRPr="00A156F4">
        <w:rPr>
          <w:sz w:val="22"/>
          <w:szCs w:val="22"/>
        </w:rPr>
        <w:t>ñ</w:t>
      </w:r>
      <w:r w:rsidR="009B4E02" w:rsidRPr="00A156F4">
        <w:rPr>
          <w:sz w:val="22"/>
          <w:szCs w:val="22"/>
        </w:rPr>
        <w:t>)</w:t>
      </w:r>
      <w:r w:rsidRPr="00A156F4">
        <w:rPr>
          <w:sz w:val="22"/>
          <w:szCs w:val="22"/>
        </w:rPr>
        <w:t xml:space="preserve"> </w:t>
      </w:r>
      <w:r w:rsidR="00F52065" w:rsidRPr="00A156F4">
        <w:rPr>
          <w:sz w:val="22"/>
          <w:szCs w:val="22"/>
        </w:rPr>
        <w:t>La diferencia negativa o insuficiente entre el precio que un proveedor integrado verticalmente cobra a sus competidores por un insumo, y el precio al que vende a sus clientes un bien o servicio para el cual dicho insumo sea esencial, de forma tal que impida a un competidor igualmente eficiente subsistir en el mercado o competir de forma efectiva</w:t>
      </w:r>
      <w:r w:rsidR="00AF4F21" w:rsidRPr="00A156F4">
        <w:rPr>
          <w:sz w:val="22"/>
          <w:szCs w:val="22"/>
        </w:rPr>
        <w:t xml:space="preserve">. </w:t>
      </w:r>
    </w:p>
    <w:p w14:paraId="78A41259" w14:textId="77777777" w:rsidR="00714CF4" w:rsidRPr="00A156F4" w:rsidRDefault="00714CF4" w:rsidP="00C1720E">
      <w:pPr>
        <w:widowControl w:val="0"/>
        <w:ind w:left="851"/>
        <w:jc w:val="both"/>
        <w:outlineLvl w:val="0"/>
        <w:rPr>
          <w:sz w:val="22"/>
          <w:szCs w:val="22"/>
        </w:rPr>
      </w:pPr>
    </w:p>
    <w:p w14:paraId="4960DDFD" w14:textId="77777777" w:rsidR="00714CF4" w:rsidRPr="00A156F4" w:rsidRDefault="00714CF4" w:rsidP="00C1720E">
      <w:pPr>
        <w:widowControl w:val="0"/>
        <w:ind w:left="851"/>
        <w:jc w:val="both"/>
        <w:outlineLvl w:val="0"/>
        <w:rPr>
          <w:sz w:val="22"/>
          <w:szCs w:val="22"/>
        </w:rPr>
      </w:pPr>
      <w:r w:rsidRPr="00A156F4">
        <w:rPr>
          <w:sz w:val="22"/>
          <w:szCs w:val="22"/>
        </w:rPr>
        <w:t>[…].”</w:t>
      </w:r>
    </w:p>
    <w:p w14:paraId="2430FDEA" w14:textId="77777777" w:rsidR="00714CF4" w:rsidRPr="00A156F4" w:rsidRDefault="00714CF4" w:rsidP="00C1720E">
      <w:pPr>
        <w:widowControl w:val="0"/>
        <w:ind w:left="851"/>
        <w:jc w:val="both"/>
        <w:outlineLvl w:val="0"/>
        <w:rPr>
          <w:sz w:val="22"/>
          <w:szCs w:val="22"/>
        </w:rPr>
      </w:pPr>
    </w:p>
    <w:p w14:paraId="0689CD08" w14:textId="77777777" w:rsidR="00714CF4" w:rsidRPr="00A156F4" w:rsidRDefault="00714CF4" w:rsidP="00C1720E">
      <w:pPr>
        <w:widowControl w:val="0"/>
        <w:ind w:left="851"/>
        <w:jc w:val="both"/>
        <w:outlineLvl w:val="0"/>
        <w:rPr>
          <w:sz w:val="22"/>
          <w:szCs w:val="22"/>
        </w:rPr>
      </w:pPr>
      <w:r w:rsidRPr="00A156F4">
        <w:rPr>
          <w:sz w:val="22"/>
          <w:szCs w:val="22"/>
        </w:rPr>
        <w:t>El resto se mantiene igual.</w:t>
      </w:r>
    </w:p>
    <w:p w14:paraId="6F8B6945" w14:textId="77777777" w:rsidR="00714CF4" w:rsidRPr="00A156F4" w:rsidRDefault="00714CF4" w:rsidP="0082752D">
      <w:pPr>
        <w:pStyle w:val="articulo1"/>
        <w:widowControl w:val="0"/>
        <w:spacing w:before="0" w:after="0"/>
        <w:jc w:val="both"/>
        <w:outlineLvl w:val="0"/>
        <w:rPr>
          <w:rFonts w:eastAsiaTheme="minorHAnsi"/>
          <w:b w:val="0"/>
          <w:bCs w:val="0"/>
          <w:sz w:val="22"/>
          <w:szCs w:val="22"/>
          <w:lang w:eastAsia="en-US"/>
        </w:rPr>
      </w:pPr>
    </w:p>
    <w:p w14:paraId="52527334" w14:textId="77777777" w:rsidR="002048B3" w:rsidRPr="00A156F4" w:rsidRDefault="002048B3" w:rsidP="00117EE5">
      <w:pPr>
        <w:pStyle w:val="Prrafodelista1"/>
        <w:numPr>
          <w:ilvl w:val="0"/>
          <w:numId w:val="25"/>
        </w:numPr>
        <w:spacing w:after="0" w:line="240" w:lineRule="auto"/>
        <w:ind w:left="0" w:firstLine="0"/>
        <w:jc w:val="both"/>
        <w:rPr>
          <w:rFonts w:ascii="Times New Roman" w:hAnsi="Times New Roman"/>
        </w:rPr>
      </w:pPr>
      <w:r w:rsidRPr="00A156F4">
        <w:rPr>
          <w:rFonts w:ascii="Times New Roman" w:hAnsi="Times New Roman"/>
        </w:rPr>
        <w:t>Deróguese los artículos 16, 16 bis, 16 ter, 22, 23, 24, 25, 26, 27, 28, 29</w:t>
      </w:r>
      <w:r w:rsidR="00610930" w:rsidRPr="00A156F4">
        <w:rPr>
          <w:rFonts w:ascii="Times New Roman" w:hAnsi="Times New Roman"/>
        </w:rPr>
        <w:t xml:space="preserve"> y </w:t>
      </w:r>
      <w:r w:rsidRPr="00A156F4">
        <w:rPr>
          <w:rFonts w:ascii="Times New Roman" w:hAnsi="Times New Roman"/>
        </w:rPr>
        <w:t xml:space="preserve">30 de la Ley de Promoción de la Competencia y Defensa Efectiva del Consumidor, Ley </w:t>
      </w:r>
      <w:proofErr w:type="spellStart"/>
      <w:r w:rsidRPr="00A156F4">
        <w:rPr>
          <w:rFonts w:ascii="Times New Roman" w:hAnsi="Times New Roman"/>
        </w:rPr>
        <w:t>N°</w:t>
      </w:r>
      <w:proofErr w:type="spellEnd"/>
      <w:r w:rsidRPr="00A156F4">
        <w:rPr>
          <w:rFonts w:ascii="Times New Roman" w:hAnsi="Times New Roman"/>
        </w:rPr>
        <w:t>. 7472, del 20 de diciembre de 1994.</w:t>
      </w:r>
    </w:p>
    <w:p w14:paraId="401A6489" w14:textId="30EE7DCE" w:rsidR="00011E0E" w:rsidRPr="00A156F4" w:rsidRDefault="00011E0E" w:rsidP="00B525D1">
      <w:pPr>
        <w:pStyle w:val="Prrafodelista1"/>
        <w:spacing w:after="0" w:line="240" w:lineRule="auto"/>
        <w:ind w:left="0"/>
        <w:jc w:val="both"/>
        <w:rPr>
          <w:rFonts w:ascii="Times New Roman" w:hAnsi="Times New Roman"/>
        </w:rPr>
      </w:pPr>
    </w:p>
    <w:p w14:paraId="485D2678" w14:textId="686897AF" w:rsidR="00D5749F" w:rsidRPr="00A156F4" w:rsidRDefault="00D5749F" w:rsidP="00D5749F">
      <w:pPr>
        <w:pStyle w:val="Prrafodelista1"/>
        <w:spacing w:after="0" w:line="240" w:lineRule="auto"/>
        <w:ind w:left="0"/>
        <w:jc w:val="both"/>
        <w:rPr>
          <w:rFonts w:ascii="Times New Roman" w:hAnsi="Times New Roman"/>
          <w:b/>
        </w:rPr>
      </w:pPr>
      <w:r w:rsidRPr="00A156F4">
        <w:rPr>
          <w:rFonts w:ascii="Times New Roman" w:hAnsi="Times New Roman"/>
          <w:b/>
        </w:rPr>
        <w:t xml:space="preserve">Artículo </w:t>
      </w:r>
      <w:r w:rsidR="00701AF7" w:rsidRPr="00A156F4">
        <w:rPr>
          <w:rFonts w:ascii="Times New Roman" w:hAnsi="Times New Roman"/>
          <w:b/>
        </w:rPr>
        <w:t>13</w:t>
      </w:r>
      <w:r w:rsidR="00D80091" w:rsidRPr="00A156F4">
        <w:rPr>
          <w:rFonts w:ascii="Times New Roman" w:hAnsi="Times New Roman"/>
          <w:b/>
        </w:rPr>
        <w:t>7</w:t>
      </w:r>
      <w:r w:rsidRPr="00A156F4">
        <w:rPr>
          <w:rFonts w:ascii="Times New Roman" w:hAnsi="Times New Roman"/>
          <w:b/>
        </w:rPr>
        <w:t xml:space="preserve">.- Modificación a la Ley Reguladora del Mercado de Seguros </w:t>
      </w:r>
    </w:p>
    <w:p w14:paraId="77B224E5" w14:textId="083E6D57" w:rsidR="00D5749F" w:rsidRPr="00A156F4" w:rsidRDefault="00D5749F" w:rsidP="00D5749F">
      <w:pPr>
        <w:pStyle w:val="Prrafodelista1"/>
        <w:spacing w:after="0" w:line="240" w:lineRule="auto"/>
        <w:ind w:left="0"/>
        <w:jc w:val="both"/>
        <w:rPr>
          <w:rFonts w:ascii="Times New Roman" w:hAnsi="Times New Roman"/>
        </w:rPr>
      </w:pPr>
    </w:p>
    <w:p w14:paraId="44DB2E96" w14:textId="70949F9C" w:rsidR="00D5749F" w:rsidRPr="00A156F4" w:rsidRDefault="00D5749F" w:rsidP="00D5749F">
      <w:pPr>
        <w:widowControl w:val="0"/>
        <w:jc w:val="both"/>
        <w:rPr>
          <w:sz w:val="22"/>
          <w:szCs w:val="22"/>
          <w:lang w:eastAsia="es-CR"/>
        </w:rPr>
      </w:pPr>
      <w:r w:rsidRPr="00A156F4">
        <w:rPr>
          <w:sz w:val="22"/>
          <w:szCs w:val="22"/>
          <w:lang w:eastAsia="es-CR"/>
        </w:rPr>
        <w:t xml:space="preserve">Modifíquese al artículo </w:t>
      </w:r>
      <w:r w:rsidR="00F45E6A" w:rsidRPr="00A156F4">
        <w:rPr>
          <w:sz w:val="22"/>
          <w:szCs w:val="22"/>
          <w:lang w:eastAsia="es-CR"/>
        </w:rPr>
        <w:t>XX</w:t>
      </w:r>
      <w:r w:rsidRPr="00A156F4">
        <w:rPr>
          <w:sz w:val="22"/>
          <w:szCs w:val="22"/>
          <w:lang w:eastAsia="es-CR"/>
        </w:rPr>
        <w:t xml:space="preserve"> de la Ley Reguladora del Mercado de Seguros, Ley </w:t>
      </w:r>
      <w:proofErr w:type="spellStart"/>
      <w:r w:rsidRPr="00A156F4">
        <w:rPr>
          <w:sz w:val="22"/>
          <w:szCs w:val="22"/>
          <w:lang w:eastAsia="es-CR"/>
        </w:rPr>
        <w:t>N°</w:t>
      </w:r>
      <w:proofErr w:type="spellEnd"/>
      <w:r w:rsidRPr="00A156F4">
        <w:rPr>
          <w:sz w:val="22"/>
          <w:szCs w:val="22"/>
          <w:lang w:eastAsia="es-CR"/>
        </w:rPr>
        <w:t xml:space="preserve">. 8653, del </w:t>
      </w:r>
      <w:r w:rsidR="00C77085" w:rsidRPr="00A156F4">
        <w:rPr>
          <w:sz w:val="22"/>
          <w:szCs w:val="22"/>
          <w:lang w:eastAsia="es-CR"/>
        </w:rPr>
        <w:t>22</w:t>
      </w:r>
      <w:r w:rsidRPr="00A156F4">
        <w:rPr>
          <w:sz w:val="22"/>
          <w:szCs w:val="22"/>
          <w:lang w:eastAsia="es-CR"/>
        </w:rPr>
        <w:t xml:space="preserve"> de julio de 2008, para que se lea:</w:t>
      </w:r>
    </w:p>
    <w:p w14:paraId="4F8FC305" w14:textId="77777777" w:rsidR="002048B3" w:rsidRPr="00A156F4" w:rsidRDefault="002048B3" w:rsidP="003425BD">
      <w:pPr>
        <w:pStyle w:val="articulo1"/>
        <w:widowControl w:val="0"/>
        <w:spacing w:before="0" w:after="0"/>
        <w:jc w:val="both"/>
        <w:outlineLvl w:val="0"/>
        <w:rPr>
          <w:rFonts w:eastAsiaTheme="minorHAnsi"/>
          <w:b w:val="0"/>
          <w:bCs w:val="0"/>
          <w:sz w:val="22"/>
          <w:szCs w:val="22"/>
          <w:lang w:eastAsia="en-US"/>
        </w:rPr>
      </w:pPr>
    </w:p>
    <w:p w14:paraId="59397C31" w14:textId="20A2FFB5" w:rsidR="00762F13" w:rsidRPr="00A156F4" w:rsidRDefault="00762F13" w:rsidP="00762F13">
      <w:pPr>
        <w:widowControl w:val="0"/>
        <w:jc w:val="both"/>
        <w:outlineLvl w:val="0"/>
        <w:rPr>
          <w:b/>
          <w:sz w:val="22"/>
          <w:szCs w:val="22"/>
          <w:lang w:val="es-ES" w:eastAsia="es-CR"/>
        </w:rPr>
      </w:pPr>
      <w:r w:rsidRPr="00A156F4">
        <w:rPr>
          <w:b/>
          <w:sz w:val="22"/>
          <w:szCs w:val="22"/>
        </w:rPr>
        <w:t>Artículo</w:t>
      </w:r>
      <w:r w:rsidRPr="00A156F4">
        <w:rPr>
          <w:b/>
          <w:bCs/>
          <w:sz w:val="22"/>
          <w:szCs w:val="22"/>
        </w:rPr>
        <w:t xml:space="preserve"> </w:t>
      </w:r>
      <w:r w:rsidR="000A7091" w:rsidRPr="00A156F4">
        <w:rPr>
          <w:b/>
          <w:sz w:val="22"/>
          <w:szCs w:val="22"/>
          <w:lang w:val="es-ES" w:eastAsia="es-CR"/>
        </w:rPr>
        <w:t>1</w:t>
      </w:r>
      <w:r w:rsidR="00701AF7" w:rsidRPr="00A156F4">
        <w:rPr>
          <w:b/>
          <w:sz w:val="22"/>
          <w:szCs w:val="22"/>
          <w:lang w:val="es-ES" w:eastAsia="es-CR"/>
        </w:rPr>
        <w:t>3</w:t>
      </w:r>
      <w:r w:rsidR="00D80091" w:rsidRPr="00A156F4">
        <w:rPr>
          <w:b/>
          <w:sz w:val="22"/>
          <w:szCs w:val="22"/>
          <w:lang w:val="es-ES" w:eastAsia="es-CR"/>
        </w:rPr>
        <w:t>8</w:t>
      </w:r>
      <w:r w:rsidRPr="00A156F4">
        <w:rPr>
          <w:b/>
          <w:sz w:val="22"/>
          <w:szCs w:val="22"/>
          <w:lang w:val="es-ES" w:eastAsia="es-CR"/>
        </w:rPr>
        <w:t>.-</w:t>
      </w:r>
      <w:r w:rsidR="00F153AC" w:rsidRPr="00A156F4">
        <w:rPr>
          <w:b/>
          <w:sz w:val="22"/>
          <w:szCs w:val="22"/>
          <w:lang w:val="es-ES" w:eastAsia="es-CR"/>
        </w:rPr>
        <w:t xml:space="preserve"> </w:t>
      </w:r>
      <w:r w:rsidRPr="00A156F4">
        <w:rPr>
          <w:b/>
          <w:sz w:val="22"/>
          <w:szCs w:val="22"/>
          <w:lang w:val="es-ES" w:eastAsia="es-CR"/>
        </w:rPr>
        <w:t>Modificación de la Ley Orgánica del Banco Central</w:t>
      </w:r>
    </w:p>
    <w:p w14:paraId="0D5E5ACA" w14:textId="77777777" w:rsidR="00762F13" w:rsidRPr="00A156F4" w:rsidRDefault="00762F13" w:rsidP="00762F13">
      <w:pPr>
        <w:widowControl w:val="0"/>
        <w:jc w:val="both"/>
        <w:rPr>
          <w:sz w:val="22"/>
          <w:szCs w:val="22"/>
          <w:lang w:eastAsia="es-CR"/>
        </w:rPr>
      </w:pPr>
    </w:p>
    <w:p w14:paraId="77CDBBF0" w14:textId="77777777" w:rsidR="00762F13" w:rsidRPr="00A156F4" w:rsidRDefault="00762F13" w:rsidP="00762F13">
      <w:pPr>
        <w:widowControl w:val="0"/>
        <w:jc w:val="both"/>
        <w:rPr>
          <w:sz w:val="22"/>
          <w:szCs w:val="22"/>
          <w:lang w:eastAsia="es-CR"/>
        </w:rPr>
      </w:pPr>
      <w:r w:rsidRPr="00A156F4">
        <w:rPr>
          <w:sz w:val="22"/>
          <w:szCs w:val="22"/>
          <w:lang w:eastAsia="es-CR"/>
        </w:rPr>
        <w:t xml:space="preserve">Adiciónese al artículo 132 de la Ley Orgánica del Banco Central, Ley </w:t>
      </w:r>
      <w:proofErr w:type="spellStart"/>
      <w:r w:rsidRPr="00A156F4">
        <w:rPr>
          <w:sz w:val="22"/>
          <w:szCs w:val="22"/>
          <w:lang w:eastAsia="es-CR"/>
        </w:rPr>
        <w:t>N°</w:t>
      </w:r>
      <w:proofErr w:type="spellEnd"/>
      <w:r w:rsidRPr="00A156F4">
        <w:rPr>
          <w:sz w:val="22"/>
          <w:szCs w:val="22"/>
          <w:lang w:eastAsia="es-CR"/>
        </w:rPr>
        <w:t>. 7558, del 3 de noviembre de 1995, para que se lea:</w:t>
      </w:r>
    </w:p>
    <w:p w14:paraId="2AAFEE1C" w14:textId="77777777" w:rsidR="00762F13" w:rsidRPr="00A156F4" w:rsidRDefault="00762F13" w:rsidP="00762F13">
      <w:pPr>
        <w:widowControl w:val="0"/>
        <w:ind w:firstLine="709"/>
        <w:jc w:val="both"/>
        <w:rPr>
          <w:sz w:val="22"/>
          <w:szCs w:val="22"/>
          <w:lang w:eastAsia="es-CR"/>
        </w:rPr>
      </w:pPr>
    </w:p>
    <w:p w14:paraId="3A4E6ED4" w14:textId="77777777" w:rsidR="00762F13" w:rsidRPr="00A156F4" w:rsidRDefault="00762F13" w:rsidP="00762F13">
      <w:pPr>
        <w:ind w:left="850"/>
        <w:jc w:val="both"/>
        <w:rPr>
          <w:b/>
          <w:sz w:val="22"/>
          <w:szCs w:val="22"/>
          <w:lang w:eastAsia="es-CR"/>
        </w:rPr>
      </w:pPr>
      <w:r w:rsidRPr="00A156F4">
        <w:rPr>
          <w:sz w:val="22"/>
          <w:szCs w:val="22"/>
          <w:u w:val="single"/>
          <w:lang w:eastAsia="es-CR"/>
        </w:rPr>
        <w:t>“</w:t>
      </w:r>
      <w:r w:rsidRPr="00A156F4">
        <w:rPr>
          <w:b/>
          <w:sz w:val="22"/>
          <w:szCs w:val="22"/>
          <w:u w:val="single"/>
          <w:lang w:eastAsia="es-CR"/>
        </w:rPr>
        <w:t>Artículo 132.-</w:t>
      </w:r>
      <w:r w:rsidRPr="00A156F4">
        <w:rPr>
          <w:b/>
          <w:sz w:val="22"/>
          <w:szCs w:val="22"/>
          <w:lang w:eastAsia="es-CR"/>
        </w:rPr>
        <w:tab/>
        <w:t>Prohibición</w:t>
      </w:r>
    </w:p>
    <w:p w14:paraId="6DFE9FDE" w14:textId="77777777" w:rsidR="00762F13" w:rsidRPr="00A156F4" w:rsidRDefault="00762F13" w:rsidP="00762F13">
      <w:pPr>
        <w:ind w:left="1400"/>
        <w:jc w:val="both"/>
        <w:rPr>
          <w:b/>
          <w:sz w:val="22"/>
          <w:szCs w:val="22"/>
        </w:rPr>
      </w:pPr>
      <w:r w:rsidRPr="00A156F4">
        <w:rPr>
          <w:b/>
          <w:sz w:val="22"/>
          <w:szCs w:val="22"/>
        </w:rPr>
        <w:t>[…]</w:t>
      </w:r>
    </w:p>
    <w:p w14:paraId="5C47F438" w14:textId="77777777" w:rsidR="00762F13" w:rsidRPr="00A156F4" w:rsidRDefault="00762F13" w:rsidP="00762F13">
      <w:pPr>
        <w:ind w:left="1400"/>
        <w:jc w:val="both"/>
        <w:rPr>
          <w:sz w:val="22"/>
          <w:szCs w:val="22"/>
          <w:lang w:eastAsia="es-CR"/>
        </w:rPr>
      </w:pPr>
    </w:p>
    <w:p w14:paraId="4F70E9D3" w14:textId="77777777" w:rsidR="00762F13" w:rsidRPr="00A156F4" w:rsidRDefault="00762F13" w:rsidP="00762F13">
      <w:pPr>
        <w:ind w:left="2127" w:hanging="727"/>
        <w:jc w:val="both"/>
        <w:rPr>
          <w:sz w:val="22"/>
          <w:szCs w:val="22"/>
          <w:lang w:eastAsia="es-CR"/>
        </w:rPr>
      </w:pPr>
      <w:r w:rsidRPr="00A156F4">
        <w:rPr>
          <w:b/>
          <w:sz w:val="22"/>
          <w:szCs w:val="22"/>
          <w:lang w:eastAsia="es-CR"/>
        </w:rPr>
        <w:t>g)</w:t>
      </w:r>
      <w:r w:rsidRPr="00A156F4">
        <w:rPr>
          <w:sz w:val="22"/>
          <w:szCs w:val="22"/>
          <w:lang w:eastAsia="es-CR"/>
        </w:rPr>
        <w:tab/>
        <w:t xml:space="preserve">La información que requiera la </w:t>
      </w:r>
      <w:proofErr w:type="spellStart"/>
      <w:r w:rsidRPr="00A156F4">
        <w:rPr>
          <w:sz w:val="22"/>
          <w:szCs w:val="22"/>
          <w:lang w:eastAsia="es-CR"/>
        </w:rPr>
        <w:t>Coprocom</w:t>
      </w:r>
      <w:proofErr w:type="spellEnd"/>
      <w:r w:rsidRPr="00A156F4">
        <w:rPr>
          <w:sz w:val="22"/>
          <w:szCs w:val="22"/>
          <w:lang w:eastAsia="es-CR"/>
        </w:rPr>
        <w:t xml:space="preserve"> en ejercicio de sus atribuciones.”</w:t>
      </w:r>
    </w:p>
    <w:p w14:paraId="39C7298E" w14:textId="77777777" w:rsidR="00762F13" w:rsidRPr="00A156F4" w:rsidRDefault="00762F13" w:rsidP="00762F13">
      <w:pPr>
        <w:ind w:left="1400"/>
        <w:jc w:val="both"/>
        <w:rPr>
          <w:sz w:val="22"/>
          <w:szCs w:val="22"/>
          <w:lang w:eastAsia="es-CR"/>
        </w:rPr>
      </w:pPr>
    </w:p>
    <w:p w14:paraId="289207A0" w14:textId="008625EA" w:rsidR="00762F13" w:rsidRPr="00A156F4" w:rsidRDefault="00762F13" w:rsidP="00762F13">
      <w:pPr>
        <w:ind w:left="850"/>
        <w:jc w:val="both"/>
        <w:rPr>
          <w:sz w:val="22"/>
          <w:szCs w:val="22"/>
          <w:lang w:val="es-ES" w:eastAsia="es-CR"/>
        </w:rPr>
      </w:pPr>
      <w:r w:rsidRPr="00A156F4">
        <w:rPr>
          <w:sz w:val="22"/>
          <w:szCs w:val="22"/>
          <w:lang w:val="es-ES" w:eastAsia="es-CR"/>
        </w:rPr>
        <w:t>El resto se mantiene igual.</w:t>
      </w:r>
    </w:p>
    <w:p w14:paraId="6C72DCD4" w14:textId="0D8E9BCB" w:rsidR="000E7AFA" w:rsidRPr="00A156F4" w:rsidRDefault="000E7AFA" w:rsidP="004E014C">
      <w:pPr>
        <w:jc w:val="both"/>
        <w:rPr>
          <w:sz w:val="22"/>
          <w:szCs w:val="22"/>
          <w:lang w:val="es-ES" w:eastAsia="es-CR"/>
        </w:rPr>
      </w:pPr>
    </w:p>
    <w:p w14:paraId="42F7907B" w14:textId="7A4728DF" w:rsidR="00D5749F" w:rsidRPr="00A156F4" w:rsidRDefault="00D5749F" w:rsidP="00D5749F">
      <w:pPr>
        <w:widowControl w:val="0"/>
        <w:jc w:val="both"/>
        <w:outlineLvl w:val="0"/>
        <w:rPr>
          <w:b/>
          <w:sz w:val="22"/>
          <w:szCs w:val="22"/>
          <w:lang w:val="es-ES" w:eastAsia="es-CR"/>
        </w:rPr>
      </w:pPr>
      <w:r w:rsidRPr="00A156F4">
        <w:rPr>
          <w:b/>
          <w:sz w:val="22"/>
          <w:szCs w:val="22"/>
        </w:rPr>
        <w:t>Artículo</w:t>
      </w:r>
      <w:r w:rsidRPr="00A156F4">
        <w:rPr>
          <w:b/>
          <w:bCs/>
          <w:sz w:val="22"/>
          <w:szCs w:val="22"/>
        </w:rPr>
        <w:t xml:space="preserve"> </w:t>
      </w:r>
      <w:r w:rsidRPr="00A156F4">
        <w:rPr>
          <w:b/>
          <w:sz w:val="22"/>
          <w:szCs w:val="22"/>
          <w:lang w:val="es-ES" w:eastAsia="es-CR"/>
        </w:rPr>
        <w:t>1</w:t>
      </w:r>
      <w:r w:rsidR="00D80091" w:rsidRPr="00A156F4">
        <w:rPr>
          <w:b/>
          <w:sz w:val="22"/>
          <w:szCs w:val="22"/>
          <w:lang w:val="es-ES" w:eastAsia="es-CR"/>
        </w:rPr>
        <w:t>39</w:t>
      </w:r>
      <w:r w:rsidRPr="00A156F4">
        <w:rPr>
          <w:b/>
          <w:sz w:val="22"/>
          <w:szCs w:val="22"/>
          <w:lang w:val="es-ES" w:eastAsia="es-CR"/>
        </w:rPr>
        <w:t>.-</w:t>
      </w:r>
      <w:r w:rsidRPr="00A156F4">
        <w:rPr>
          <w:b/>
          <w:sz w:val="22"/>
          <w:szCs w:val="22"/>
          <w:lang w:val="es-ES" w:eastAsia="es-CR"/>
        </w:rPr>
        <w:tab/>
        <w:t>Modificación de la Ley de Protección al Trabajador</w:t>
      </w:r>
    </w:p>
    <w:p w14:paraId="2E6E8B7D" w14:textId="77777777" w:rsidR="00D5749F" w:rsidRPr="00A156F4" w:rsidRDefault="00D5749F" w:rsidP="00D5749F">
      <w:pPr>
        <w:widowControl w:val="0"/>
        <w:jc w:val="both"/>
        <w:rPr>
          <w:sz w:val="22"/>
          <w:szCs w:val="22"/>
          <w:lang w:eastAsia="es-CR"/>
        </w:rPr>
      </w:pPr>
    </w:p>
    <w:p w14:paraId="61E9F4DA" w14:textId="53E4E21C" w:rsidR="00D5749F" w:rsidRPr="00A156F4" w:rsidRDefault="00D5749F" w:rsidP="00D5749F">
      <w:pPr>
        <w:widowControl w:val="0"/>
        <w:jc w:val="both"/>
        <w:rPr>
          <w:sz w:val="22"/>
          <w:szCs w:val="22"/>
          <w:lang w:eastAsia="es-CR"/>
        </w:rPr>
      </w:pPr>
      <w:r w:rsidRPr="00A156F4">
        <w:rPr>
          <w:sz w:val="22"/>
          <w:szCs w:val="22"/>
          <w:lang w:eastAsia="es-CR"/>
        </w:rPr>
        <w:t xml:space="preserve">Modifíquese el artículo 47 de la Ley de Protección al Trabajador, Ley </w:t>
      </w:r>
      <w:proofErr w:type="spellStart"/>
      <w:r w:rsidRPr="00A156F4">
        <w:rPr>
          <w:sz w:val="22"/>
          <w:szCs w:val="22"/>
          <w:lang w:eastAsia="es-CR"/>
        </w:rPr>
        <w:t>N°</w:t>
      </w:r>
      <w:proofErr w:type="spellEnd"/>
      <w:r w:rsidRPr="00A156F4">
        <w:rPr>
          <w:sz w:val="22"/>
          <w:szCs w:val="22"/>
          <w:lang w:eastAsia="es-CR"/>
        </w:rPr>
        <w:t>. 7983, del 16 de febrero de 2000, para que se lea:</w:t>
      </w:r>
    </w:p>
    <w:p w14:paraId="0EC325A4" w14:textId="6F87B368" w:rsidR="00D5749F" w:rsidRPr="00A156F4" w:rsidRDefault="00D5749F" w:rsidP="00D5749F">
      <w:pPr>
        <w:widowControl w:val="0"/>
        <w:jc w:val="both"/>
        <w:rPr>
          <w:sz w:val="22"/>
          <w:szCs w:val="22"/>
          <w:lang w:eastAsia="es-CR"/>
        </w:rPr>
      </w:pPr>
    </w:p>
    <w:p w14:paraId="359089E3" w14:textId="36FB34B3" w:rsidR="00D5749F" w:rsidRPr="00A156F4" w:rsidRDefault="00D5749F" w:rsidP="00D5749F">
      <w:pPr>
        <w:widowControl w:val="0"/>
        <w:jc w:val="both"/>
        <w:rPr>
          <w:sz w:val="22"/>
          <w:szCs w:val="22"/>
          <w:lang w:eastAsia="es-CR"/>
        </w:rPr>
      </w:pPr>
      <w:r w:rsidRPr="00A156F4">
        <w:rPr>
          <w:sz w:val="22"/>
          <w:szCs w:val="22"/>
          <w:lang w:eastAsia="es-CR"/>
        </w:rPr>
        <w:t>“</w:t>
      </w:r>
      <w:r w:rsidRPr="00A156F4">
        <w:rPr>
          <w:b/>
          <w:sz w:val="22"/>
          <w:szCs w:val="22"/>
          <w:lang w:eastAsia="es-CR"/>
        </w:rPr>
        <w:t>Artículo 47.- Cambio de operadora por fusión</w:t>
      </w:r>
    </w:p>
    <w:p w14:paraId="6B910F0C" w14:textId="77777777" w:rsidR="00D5749F" w:rsidRPr="00A156F4" w:rsidRDefault="00D5749F" w:rsidP="00D5749F">
      <w:pPr>
        <w:widowControl w:val="0"/>
        <w:jc w:val="both"/>
        <w:rPr>
          <w:sz w:val="22"/>
          <w:szCs w:val="22"/>
          <w:lang w:eastAsia="es-CR"/>
        </w:rPr>
      </w:pPr>
    </w:p>
    <w:p w14:paraId="21B3F7D3" w14:textId="744F44D3" w:rsidR="00D5749F" w:rsidRPr="00A156F4" w:rsidRDefault="00D5749F" w:rsidP="00D5749F">
      <w:pPr>
        <w:widowControl w:val="0"/>
        <w:jc w:val="both"/>
        <w:rPr>
          <w:sz w:val="22"/>
          <w:szCs w:val="22"/>
          <w:lang w:eastAsia="es-CR"/>
        </w:rPr>
      </w:pPr>
      <w:r w:rsidRPr="00A156F4">
        <w:rPr>
          <w:sz w:val="22"/>
          <w:szCs w:val="22"/>
          <w:lang w:eastAsia="es-CR"/>
        </w:rPr>
        <w:t xml:space="preserve"> En caso de fusión de operadoras u organizaciones sociales o de fondos, los afiliados tendrán derecho a solicitar la transferencia de sus cuentas a una operadora u organización social autorizada de su elección, aun cuando no hayan cumplido con el tiempo mínimo de permanencia fijado por la superintendencia.”</w:t>
      </w:r>
    </w:p>
    <w:p w14:paraId="053B5334" w14:textId="77777777" w:rsidR="00584C1E" w:rsidRPr="00A156F4" w:rsidRDefault="00584C1E" w:rsidP="004E014C">
      <w:pPr>
        <w:widowControl w:val="0"/>
        <w:jc w:val="both"/>
        <w:outlineLvl w:val="0"/>
        <w:rPr>
          <w:b/>
          <w:sz w:val="22"/>
          <w:szCs w:val="22"/>
        </w:rPr>
      </w:pPr>
    </w:p>
    <w:p w14:paraId="639AD525" w14:textId="391A94FF" w:rsidR="00564E13" w:rsidRPr="00A156F4" w:rsidRDefault="00564E13" w:rsidP="00564E13">
      <w:pPr>
        <w:jc w:val="both"/>
        <w:rPr>
          <w:b/>
          <w:bCs/>
          <w:sz w:val="22"/>
          <w:szCs w:val="22"/>
          <w:lang w:val="es-ES" w:eastAsia="es-CR"/>
        </w:rPr>
      </w:pPr>
      <w:r w:rsidRPr="00A156F4">
        <w:rPr>
          <w:b/>
          <w:sz w:val="22"/>
          <w:szCs w:val="22"/>
        </w:rPr>
        <w:t>Artículo</w:t>
      </w:r>
      <w:r w:rsidRPr="00A156F4">
        <w:rPr>
          <w:b/>
          <w:bCs/>
          <w:sz w:val="22"/>
          <w:szCs w:val="22"/>
        </w:rPr>
        <w:t xml:space="preserve"> </w:t>
      </w:r>
      <w:r w:rsidRPr="00A156F4">
        <w:rPr>
          <w:b/>
          <w:bCs/>
          <w:sz w:val="22"/>
          <w:szCs w:val="22"/>
          <w:lang w:val="es-ES" w:eastAsia="es-CR"/>
        </w:rPr>
        <w:t>1</w:t>
      </w:r>
      <w:r w:rsidR="00701AF7" w:rsidRPr="00A156F4">
        <w:rPr>
          <w:b/>
          <w:bCs/>
          <w:sz w:val="22"/>
          <w:szCs w:val="22"/>
          <w:lang w:val="es-ES" w:eastAsia="es-CR"/>
        </w:rPr>
        <w:t>4</w:t>
      </w:r>
      <w:r w:rsidRPr="00A156F4">
        <w:rPr>
          <w:b/>
          <w:bCs/>
          <w:sz w:val="22"/>
          <w:szCs w:val="22"/>
          <w:lang w:val="es-ES" w:eastAsia="es-CR"/>
        </w:rPr>
        <w:t>1.</w:t>
      </w:r>
      <w:r w:rsidR="00F153AC" w:rsidRPr="00A156F4">
        <w:rPr>
          <w:b/>
          <w:bCs/>
          <w:sz w:val="22"/>
          <w:szCs w:val="22"/>
          <w:lang w:val="es-ES" w:eastAsia="es-CR"/>
        </w:rPr>
        <w:t>-</w:t>
      </w:r>
      <w:r w:rsidRPr="00A156F4">
        <w:rPr>
          <w:b/>
          <w:bCs/>
          <w:sz w:val="22"/>
          <w:szCs w:val="22"/>
          <w:lang w:val="es-ES" w:eastAsia="es-CR"/>
        </w:rPr>
        <w:t xml:space="preserve"> </w:t>
      </w:r>
      <w:r w:rsidRPr="00A156F4">
        <w:rPr>
          <w:b/>
          <w:bCs/>
          <w:sz w:val="22"/>
          <w:szCs w:val="22"/>
        </w:rPr>
        <w:t>Modificaciones y adiciones de la Ley General de Telecomunicaciones</w:t>
      </w:r>
    </w:p>
    <w:p w14:paraId="45EFCE99" w14:textId="77777777" w:rsidR="00564E13" w:rsidRPr="00A156F4" w:rsidRDefault="00564E13" w:rsidP="00564E13">
      <w:pPr>
        <w:jc w:val="both"/>
        <w:rPr>
          <w:sz w:val="22"/>
          <w:szCs w:val="22"/>
          <w:lang w:val="es-ES" w:eastAsia="es-CR"/>
        </w:rPr>
      </w:pPr>
    </w:p>
    <w:p w14:paraId="1BD59B7A" w14:textId="77777777"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 w:eastAsia="es-CR"/>
        </w:rPr>
        <w:t xml:space="preserve">Adiciónese los incisos g), h), i), j), k), l) y m) y una última frase al penúltimo párrafo del artículo 52 de la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 de la siguiente forma:</w:t>
      </w:r>
    </w:p>
    <w:p w14:paraId="6CBA4D44" w14:textId="77777777" w:rsidR="00564E13" w:rsidRPr="00A156F4" w:rsidRDefault="00564E13" w:rsidP="00564E13">
      <w:pPr>
        <w:ind w:left="850"/>
        <w:jc w:val="both"/>
        <w:rPr>
          <w:b/>
          <w:bCs/>
          <w:sz w:val="22"/>
          <w:szCs w:val="22"/>
          <w:u w:val="single"/>
          <w:lang w:eastAsia="en-US"/>
        </w:rPr>
      </w:pPr>
    </w:p>
    <w:p w14:paraId="42332183" w14:textId="77777777" w:rsidR="00564E13" w:rsidRPr="00A156F4" w:rsidRDefault="00564E13" w:rsidP="00564E13">
      <w:pPr>
        <w:ind w:left="851"/>
        <w:jc w:val="both"/>
        <w:rPr>
          <w:b/>
          <w:bCs/>
          <w:sz w:val="22"/>
          <w:szCs w:val="22"/>
        </w:rPr>
      </w:pPr>
      <w:r w:rsidRPr="00A156F4">
        <w:rPr>
          <w:b/>
          <w:bCs/>
          <w:sz w:val="22"/>
          <w:szCs w:val="22"/>
          <w:u w:val="single"/>
        </w:rPr>
        <w:t>“Artículo 52.-</w:t>
      </w:r>
      <w:r w:rsidRPr="00A156F4">
        <w:rPr>
          <w:b/>
          <w:bCs/>
          <w:sz w:val="22"/>
          <w:szCs w:val="22"/>
        </w:rPr>
        <w:t xml:space="preserve"> Autoridad sectorial de competencia</w:t>
      </w:r>
    </w:p>
    <w:p w14:paraId="3E998983" w14:textId="77777777" w:rsidR="00564E13" w:rsidRPr="00A156F4" w:rsidRDefault="00564E13" w:rsidP="00564E13">
      <w:pPr>
        <w:ind w:left="851"/>
        <w:jc w:val="both"/>
        <w:rPr>
          <w:sz w:val="22"/>
          <w:szCs w:val="22"/>
        </w:rPr>
      </w:pPr>
    </w:p>
    <w:p w14:paraId="233D4826" w14:textId="77777777" w:rsidR="00564E13" w:rsidRPr="00A156F4" w:rsidRDefault="00564E13" w:rsidP="00564E13">
      <w:pPr>
        <w:ind w:left="851"/>
        <w:jc w:val="both"/>
        <w:rPr>
          <w:sz w:val="22"/>
          <w:szCs w:val="22"/>
        </w:rPr>
      </w:pPr>
      <w:r w:rsidRPr="00A156F4">
        <w:rPr>
          <w:sz w:val="22"/>
          <w:szCs w:val="22"/>
        </w:rPr>
        <w:t xml:space="preserve">A la </w:t>
      </w:r>
      <w:proofErr w:type="spellStart"/>
      <w:r w:rsidRPr="00A156F4">
        <w:rPr>
          <w:sz w:val="22"/>
          <w:szCs w:val="22"/>
        </w:rPr>
        <w:t>Sutel</w:t>
      </w:r>
      <w:proofErr w:type="spellEnd"/>
      <w:r w:rsidRPr="00A156F4">
        <w:rPr>
          <w:sz w:val="22"/>
          <w:szCs w:val="22"/>
        </w:rPr>
        <w:t xml:space="preserve"> le corresponde:</w:t>
      </w:r>
    </w:p>
    <w:p w14:paraId="0105A051" w14:textId="77777777" w:rsidR="00564E13" w:rsidRPr="00A156F4" w:rsidRDefault="00564E13" w:rsidP="00564E13">
      <w:pPr>
        <w:ind w:left="851"/>
        <w:jc w:val="both"/>
        <w:rPr>
          <w:sz w:val="22"/>
          <w:szCs w:val="22"/>
        </w:rPr>
      </w:pPr>
    </w:p>
    <w:p w14:paraId="4FE3F3FB" w14:textId="77777777" w:rsidR="00564E13" w:rsidRPr="00A156F4" w:rsidRDefault="00564E13" w:rsidP="00564E13">
      <w:pPr>
        <w:ind w:left="851"/>
        <w:jc w:val="both"/>
        <w:rPr>
          <w:b/>
          <w:bCs/>
          <w:sz w:val="22"/>
          <w:szCs w:val="22"/>
        </w:rPr>
      </w:pPr>
      <w:r w:rsidRPr="00A156F4">
        <w:rPr>
          <w:b/>
          <w:bCs/>
          <w:sz w:val="22"/>
          <w:szCs w:val="22"/>
        </w:rPr>
        <w:t>[…]</w:t>
      </w:r>
    </w:p>
    <w:p w14:paraId="7713B2A2" w14:textId="77777777" w:rsidR="00564E13" w:rsidRPr="00A156F4" w:rsidRDefault="00564E13" w:rsidP="00564E13">
      <w:pPr>
        <w:ind w:left="851"/>
        <w:jc w:val="both"/>
        <w:rPr>
          <w:sz w:val="22"/>
          <w:szCs w:val="22"/>
        </w:rPr>
      </w:pPr>
    </w:p>
    <w:p w14:paraId="49B8DCF9" w14:textId="77777777" w:rsidR="00564E13" w:rsidRPr="00A156F4" w:rsidRDefault="00564E13" w:rsidP="00564E13">
      <w:pPr>
        <w:ind w:left="851"/>
        <w:jc w:val="both"/>
        <w:rPr>
          <w:sz w:val="22"/>
          <w:szCs w:val="22"/>
        </w:rPr>
      </w:pPr>
      <w:r w:rsidRPr="00A156F4">
        <w:rPr>
          <w:sz w:val="22"/>
          <w:szCs w:val="22"/>
        </w:rPr>
        <w:t>g) Investigar, prevenir y detectar los monopolios, los carteles, las prácticas monopolísticas, las concentraciones ilícitas y demás restricciones al funcionamiento eficiente del mercado de las telecomunicaciones, e imponer las medidas y sanciones dispuestas en el ordenamiento jurídico.</w:t>
      </w:r>
    </w:p>
    <w:p w14:paraId="54021A7E" w14:textId="77777777" w:rsidR="00564E13" w:rsidRPr="00A156F4" w:rsidRDefault="00564E13" w:rsidP="00564E13">
      <w:pPr>
        <w:ind w:left="851"/>
        <w:jc w:val="both"/>
        <w:rPr>
          <w:sz w:val="22"/>
          <w:szCs w:val="22"/>
        </w:rPr>
      </w:pPr>
    </w:p>
    <w:p w14:paraId="6FBF2C09" w14:textId="77777777" w:rsidR="00564E13" w:rsidRPr="00A156F4" w:rsidRDefault="00564E13" w:rsidP="00564E13">
      <w:pPr>
        <w:ind w:left="851"/>
        <w:jc w:val="both"/>
        <w:rPr>
          <w:sz w:val="22"/>
          <w:szCs w:val="22"/>
        </w:rPr>
      </w:pPr>
      <w:r w:rsidRPr="00A156F4">
        <w:rPr>
          <w:sz w:val="22"/>
          <w:szCs w:val="22"/>
        </w:rPr>
        <w:t xml:space="preserve">h) Autorizar o denegar concentraciones en el sector telecomunicaciones y redes que sirvan de soporte a los servicios de radiodifusión sonora y televisiva e imponer las condiciones que considere necesarias para contrarrestar los posibles efectos anticompetitivos derivados de una concentración o estimular los efectos </w:t>
      </w:r>
      <w:proofErr w:type="spellStart"/>
      <w:r w:rsidRPr="00A156F4">
        <w:rPr>
          <w:sz w:val="22"/>
          <w:szCs w:val="22"/>
        </w:rPr>
        <w:t>procompetitivos</w:t>
      </w:r>
      <w:proofErr w:type="spellEnd"/>
      <w:r w:rsidRPr="00A156F4">
        <w:rPr>
          <w:sz w:val="22"/>
          <w:szCs w:val="22"/>
        </w:rPr>
        <w:t>.</w:t>
      </w:r>
    </w:p>
    <w:p w14:paraId="1409546D" w14:textId="77777777" w:rsidR="00564E13" w:rsidRPr="00A156F4" w:rsidRDefault="00564E13" w:rsidP="00564E13">
      <w:pPr>
        <w:ind w:left="851"/>
        <w:jc w:val="both"/>
        <w:rPr>
          <w:sz w:val="22"/>
          <w:szCs w:val="22"/>
        </w:rPr>
      </w:pPr>
    </w:p>
    <w:p w14:paraId="44F89684" w14:textId="77777777" w:rsidR="00564E13" w:rsidRPr="00A156F4" w:rsidRDefault="00564E13" w:rsidP="00564E13">
      <w:pPr>
        <w:ind w:left="851"/>
        <w:jc w:val="both"/>
        <w:rPr>
          <w:sz w:val="22"/>
          <w:szCs w:val="22"/>
        </w:rPr>
      </w:pPr>
      <w:r w:rsidRPr="00A156F4">
        <w:rPr>
          <w:sz w:val="22"/>
          <w:szCs w:val="22"/>
        </w:rPr>
        <w:t>i) Solicitar a cualquier persona física o jurídica, entidad de hecho o de derecho, pública o privada, nacional o extranjera, la información y la documentación que requiera para atender sus funciones e indagar sobre posibles violaciones a la presente ley, sus reformas y sus reglamentos y a la Ley de Fortalecimiento de las Autoridades de Competencia de Costa Rica.</w:t>
      </w:r>
    </w:p>
    <w:p w14:paraId="0FB31348" w14:textId="77777777" w:rsidR="00564E13" w:rsidRPr="00A156F4" w:rsidRDefault="00564E13" w:rsidP="00564E13">
      <w:pPr>
        <w:ind w:left="851"/>
        <w:jc w:val="both"/>
        <w:rPr>
          <w:sz w:val="22"/>
          <w:szCs w:val="22"/>
        </w:rPr>
      </w:pPr>
    </w:p>
    <w:p w14:paraId="63F77603" w14:textId="77777777" w:rsidR="00564E13" w:rsidRPr="00A156F4" w:rsidRDefault="00564E13" w:rsidP="00564E13">
      <w:pPr>
        <w:ind w:left="851"/>
        <w:jc w:val="both"/>
        <w:rPr>
          <w:sz w:val="22"/>
          <w:szCs w:val="22"/>
        </w:rPr>
      </w:pPr>
      <w:r w:rsidRPr="00A156F4">
        <w:rPr>
          <w:sz w:val="22"/>
          <w:szCs w:val="22"/>
        </w:rPr>
        <w:t>j) Inspeccionar y obtener copias de documentos y registros físicos o electrónicos, previa autorización fundada de un juez de lo contencioso-administrativo, los establecimientos industriales, comerciales y demás propiedades muebles e inmuebles de los operadores y proveedores, cuando esto sea indispensable para recabar, evitar que se pierda o destruya evidencia útil para la investigación de prácticas monopolísticas absolutas o relativas contempladas en la presente ley, sus reformas y sus reglamentos.</w:t>
      </w:r>
    </w:p>
    <w:p w14:paraId="27774E86" w14:textId="77777777" w:rsidR="00564E13" w:rsidRPr="00A156F4" w:rsidRDefault="00564E13" w:rsidP="00564E13">
      <w:pPr>
        <w:ind w:left="851"/>
        <w:jc w:val="both"/>
        <w:rPr>
          <w:sz w:val="22"/>
          <w:szCs w:val="22"/>
        </w:rPr>
      </w:pPr>
    </w:p>
    <w:p w14:paraId="270C20B4" w14:textId="77777777" w:rsidR="00564E13" w:rsidRPr="00A156F4" w:rsidRDefault="00564E13" w:rsidP="00564E13">
      <w:pPr>
        <w:ind w:left="851"/>
        <w:jc w:val="both"/>
        <w:rPr>
          <w:sz w:val="22"/>
          <w:szCs w:val="22"/>
        </w:rPr>
      </w:pPr>
      <w:r w:rsidRPr="00A156F4">
        <w:rPr>
          <w:sz w:val="22"/>
          <w:szCs w:val="22"/>
        </w:rPr>
        <w:t>k) Realizar actividades de promoción y abogacía de la competencia en el sector telecomunicaciones y redes que sirvan de soporte a los servicios de radiodifusión sonora y televisiva.</w:t>
      </w:r>
    </w:p>
    <w:p w14:paraId="174F71CF" w14:textId="77777777" w:rsidR="00564E13" w:rsidRPr="00A156F4" w:rsidRDefault="00564E13" w:rsidP="00564E13">
      <w:pPr>
        <w:ind w:left="851"/>
        <w:jc w:val="both"/>
        <w:rPr>
          <w:sz w:val="22"/>
          <w:szCs w:val="22"/>
        </w:rPr>
      </w:pPr>
    </w:p>
    <w:p w14:paraId="5DCDD290" w14:textId="77777777" w:rsidR="00564E13" w:rsidRPr="00A156F4" w:rsidRDefault="00564E13" w:rsidP="00564E13">
      <w:pPr>
        <w:ind w:left="851"/>
        <w:jc w:val="both"/>
        <w:rPr>
          <w:sz w:val="22"/>
          <w:szCs w:val="22"/>
        </w:rPr>
      </w:pPr>
      <w:r w:rsidRPr="00A156F4">
        <w:rPr>
          <w:sz w:val="22"/>
          <w:szCs w:val="22"/>
        </w:rPr>
        <w:t>l) Emitir opinión, en materia de competencia y libre concurrencia, respecto de las leyes, los reglamentos, los acuerdos, las circulares y los demás actos administrativos relacionados con el sector telecomunicaciones y redes que sirvan de soporte a los servicios de radiodifusión sonora y televisiva, sin que tales criterios tengan ningún efecto jurídico.</w:t>
      </w:r>
    </w:p>
    <w:p w14:paraId="3C13B947" w14:textId="77777777" w:rsidR="00564E13" w:rsidRPr="00A156F4" w:rsidRDefault="00564E13" w:rsidP="00564E13">
      <w:pPr>
        <w:ind w:left="851"/>
        <w:jc w:val="both"/>
        <w:rPr>
          <w:sz w:val="22"/>
          <w:szCs w:val="22"/>
        </w:rPr>
      </w:pPr>
    </w:p>
    <w:p w14:paraId="5BB79FE6" w14:textId="77777777" w:rsidR="00564E13" w:rsidRPr="00A156F4" w:rsidRDefault="00564E13" w:rsidP="00564E13">
      <w:pPr>
        <w:ind w:left="851"/>
        <w:jc w:val="both"/>
        <w:rPr>
          <w:sz w:val="22"/>
          <w:szCs w:val="22"/>
        </w:rPr>
      </w:pPr>
      <w:r w:rsidRPr="00A156F4">
        <w:rPr>
          <w:sz w:val="22"/>
          <w:szCs w:val="22"/>
        </w:rPr>
        <w:t>m) Las demás que le confiera la Ley de Fortalecimiento de las Autoridades de Competencia de Costa Rica y demás normativa que regule la materia.</w:t>
      </w:r>
    </w:p>
    <w:p w14:paraId="2E7E22DB" w14:textId="77777777" w:rsidR="00564E13" w:rsidRPr="00A156F4" w:rsidRDefault="00564E13" w:rsidP="00564E13">
      <w:pPr>
        <w:ind w:left="851"/>
        <w:jc w:val="both"/>
        <w:rPr>
          <w:sz w:val="22"/>
          <w:szCs w:val="22"/>
        </w:rPr>
      </w:pPr>
    </w:p>
    <w:p w14:paraId="380BFF67" w14:textId="4F655647" w:rsidR="00564E13" w:rsidRPr="00A156F4" w:rsidRDefault="00564E13" w:rsidP="00564E13">
      <w:pPr>
        <w:ind w:left="851"/>
        <w:jc w:val="both"/>
        <w:rPr>
          <w:sz w:val="22"/>
          <w:szCs w:val="22"/>
        </w:rPr>
      </w:pPr>
      <w:r w:rsidRPr="00A156F4">
        <w:rPr>
          <w:sz w:val="22"/>
          <w:szCs w:val="22"/>
        </w:rPr>
        <w:t xml:space="preserve">La </w:t>
      </w:r>
      <w:proofErr w:type="spellStart"/>
      <w:r w:rsidRPr="00A156F4">
        <w:rPr>
          <w:sz w:val="22"/>
          <w:szCs w:val="22"/>
        </w:rPr>
        <w:t>Sutel</w:t>
      </w:r>
      <w:proofErr w:type="spellEnd"/>
      <w:r w:rsidRPr="00A156F4">
        <w:rPr>
          <w:sz w:val="22"/>
          <w:szCs w:val="22"/>
        </w:rPr>
        <w:t xml:space="preserve"> tendrá la competencia exclusiva para conocer de oficio o por denuncia, así como para corregir y sancionar, cuando proceda, las prácticas monopolísticas cometidas por operadores o proveedores que tengan por objeto o efecto limitar, disminuir o eliminar la competencia en el mercado de las telecomunicaciones.</w:t>
      </w:r>
      <w:r w:rsidR="002B7D29" w:rsidRPr="00A156F4">
        <w:rPr>
          <w:sz w:val="22"/>
          <w:szCs w:val="22"/>
        </w:rPr>
        <w:t xml:space="preserve"> </w:t>
      </w:r>
      <w:r w:rsidRPr="00A156F4">
        <w:rPr>
          <w:sz w:val="22"/>
          <w:szCs w:val="22"/>
        </w:rPr>
        <w:t xml:space="preserve">Para ello, previa autorización fundada de un juez de lo contencioso administrativo, cuando sea indispensable para recabar, evitar que se pierda o destruya evidencia para la investigación de prácticas monopolísticas absolutas o relativas contempladas en la presente ley, tendrán la potestad de inspeccionar las oficinas y los establecimientos industriales, comerciales y demás propiedades muebles e inmuebles de los agentes económicos, para revisar y reproducir libros de contabilidad, contratos, correspondencia, correos electrónicos, respaldos digitales de almacenamiento externo y cualesquiera otros documentos y medios electrónicos relacionados con las estrategias de producción, distribución, promoción, comercialización y venta de sus productos. Asimismo, podrán entrevistar a cualquier trabajador, representante, director y accionista que se encuentre presente durante la visita”. </w:t>
      </w:r>
    </w:p>
    <w:p w14:paraId="3F51F613" w14:textId="77777777" w:rsidR="00564E13" w:rsidRPr="00A156F4" w:rsidRDefault="00564E13" w:rsidP="00564E13">
      <w:pPr>
        <w:ind w:left="851"/>
        <w:jc w:val="both"/>
        <w:rPr>
          <w:sz w:val="22"/>
          <w:szCs w:val="22"/>
        </w:rPr>
      </w:pPr>
    </w:p>
    <w:p w14:paraId="465A00B5" w14:textId="77777777" w:rsidR="00564E13" w:rsidRPr="00A156F4" w:rsidRDefault="00564E13" w:rsidP="00564E13">
      <w:pPr>
        <w:ind w:left="851"/>
        <w:jc w:val="both"/>
        <w:rPr>
          <w:sz w:val="22"/>
          <w:szCs w:val="22"/>
        </w:rPr>
      </w:pPr>
      <w:r w:rsidRPr="00A156F4">
        <w:rPr>
          <w:b/>
          <w:bCs/>
          <w:sz w:val="22"/>
          <w:szCs w:val="22"/>
        </w:rPr>
        <w:t>[…].</w:t>
      </w:r>
      <w:r w:rsidRPr="00A156F4">
        <w:rPr>
          <w:sz w:val="22"/>
          <w:szCs w:val="22"/>
        </w:rPr>
        <w:t>”</w:t>
      </w:r>
    </w:p>
    <w:p w14:paraId="05D9F660" w14:textId="77777777" w:rsidR="00564E13" w:rsidRPr="00A156F4" w:rsidRDefault="00564E13" w:rsidP="00564E13">
      <w:pPr>
        <w:ind w:left="851"/>
        <w:jc w:val="both"/>
        <w:rPr>
          <w:sz w:val="22"/>
          <w:szCs w:val="22"/>
        </w:rPr>
      </w:pPr>
    </w:p>
    <w:p w14:paraId="2D3AC6A7" w14:textId="36317D06" w:rsidR="00A156F4" w:rsidRPr="00A156F4" w:rsidRDefault="00564E13" w:rsidP="00A156F4">
      <w:pPr>
        <w:ind w:left="851"/>
        <w:jc w:val="both"/>
        <w:rPr>
          <w:sz w:val="22"/>
          <w:szCs w:val="22"/>
        </w:rPr>
      </w:pPr>
      <w:r w:rsidRPr="00A156F4">
        <w:rPr>
          <w:sz w:val="22"/>
          <w:szCs w:val="22"/>
        </w:rPr>
        <w:t>El resto se mantiene igual.</w:t>
      </w:r>
    </w:p>
    <w:p w14:paraId="23961D08" w14:textId="232C30B3" w:rsidR="00A156F4" w:rsidRPr="00A156F4" w:rsidRDefault="00A156F4" w:rsidP="00A156F4">
      <w:pPr>
        <w:jc w:val="both"/>
        <w:rPr>
          <w:sz w:val="22"/>
          <w:szCs w:val="22"/>
        </w:rPr>
      </w:pPr>
    </w:p>
    <w:p w14:paraId="7154F826" w14:textId="77777777" w:rsidR="00A156F4" w:rsidRPr="00A156F4" w:rsidRDefault="00A156F4" w:rsidP="00A156F4">
      <w:pPr>
        <w:jc w:val="both"/>
        <w:rPr>
          <w:sz w:val="22"/>
          <w:szCs w:val="22"/>
        </w:rPr>
      </w:pPr>
    </w:p>
    <w:p w14:paraId="6ABC444B" w14:textId="4F2F1A3F" w:rsidR="00A156F4" w:rsidRPr="00A156F4" w:rsidRDefault="00A156F4" w:rsidP="00A156F4">
      <w:pPr>
        <w:pStyle w:val="Prrafodelista"/>
        <w:numPr>
          <w:ilvl w:val="0"/>
          <w:numId w:val="24"/>
        </w:numPr>
        <w:spacing w:after="0" w:line="240" w:lineRule="auto"/>
        <w:ind w:left="0" w:firstLine="0"/>
        <w:jc w:val="both"/>
        <w:rPr>
          <w:rFonts w:ascii="Times New Roman" w:hAnsi="Times New Roman"/>
          <w:i/>
          <w:iCs/>
          <w:lang w:eastAsia="es-CR"/>
        </w:rPr>
      </w:pPr>
      <w:r w:rsidRPr="00A156F4">
        <w:rPr>
          <w:rFonts w:ascii="Times New Roman" w:hAnsi="Times New Roman"/>
          <w:lang w:val="es-ES" w:eastAsia="es-CR"/>
        </w:rPr>
        <w:t>Modifíquense</w:t>
      </w:r>
      <w:r w:rsidRPr="00A156F4">
        <w:rPr>
          <w:rFonts w:ascii="Times New Roman" w:hAnsi="Times New Roman"/>
          <w:lang w:val="es-ES"/>
        </w:rPr>
        <w:t xml:space="preserve"> los incisos a) y c) y adiciónese el inciso e) del artículo 53 de la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 de la siguiente forma:</w:t>
      </w:r>
    </w:p>
    <w:p w14:paraId="5D0EBAED" w14:textId="764A92B3" w:rsidR="00A156F4" w:rsidRPr="00A156F4" w:rsidRDefault="00A156F4" w:rsidP="00A156F4">
      <w:pPr>
        <w:jc w:val="both"/>
        <w:rPr>
          <w:i/>
          <w:iCs/>
          <w:sz w:val="22"/>
          <w:szCs w:val="22"/>
          <w:lang w:eastAsia="es-CR"/>
        </w:rPr>
      </w:pPr>
    </w:p>
    <w:p w14:paraId="33C05538" w14:textId="77777777" w:rsidR="00A156F4" w:rsidRPr="00A156F4" w:rsidRDefault="00A156F4" w:rsidP="00A156F4">
      <w:pPr>
        <w:ind w:left="851"/>
        <w:jc w:val="both"/>
        <w:rPr>
          <w:b/>
          <w:bCs/>
          <w:sz w:val="22"/>
          <w:szCs w:val="22"/>
          <w:lang w:eastAsia="en-US"/>
        </w:rPr>
      </w:pPr>
      <w:r w:rsidRPr="00A156F4">
        <w:rPr>
          <w:b/>
          <w:bCs/>
          <w:sz w:val="22"/>
          <w:szCs w:val="22"/>
        </w:rPr>
        <w:t>“ARTÍCULO 53.- Prácticas monopolísticas absolutas</w:t>
      </w:r>
    </w:p>
    <w:p w14:paraId="74920C39" w14:textId="77777777" w:rsidR="00A156F4" w:rsidRPr="00A156F4" w:rsidRDefault="00A156F4" w:rsidP="00A156F4">
      <w:pPr>
        <w:ind w:left="851"/>
        <w:jc w:val="both"/>
        <w:rPr>
          <w:sz w:val="22"/>
          <w:szCs w:val="22"/>
        </w:rPr>
      </w:pPr>
    </w:p>
    <w:p w14:paraId="21EBE078" w14:textId="77777777" w:rsidR="00A156F4" w:rsidRPr="00A156F4" w:rsidRDefault="00A156F4" w:rsidP="00A156F4">
      <w:pPr>
        <w:ind w:left="851"/>
        <w:jc w:val="both"/>
        <w:rPr>
          <w:b/>
          <w:bCs/>
          <w:sz w:val="22"/>
          <w:szCs w:val="22"/>
          <w:lang w:eastAsia="en-US"/>
        </w:rPr>
      </w:pPr>
      <w:r w:rsidRPr="00A156F4">
        <w:rPr>
          <w:b/>
          <w:bCs/>
          <w:sz w:val="22"/>
          <w:szCs w:val="22"/>
        </w:rPr>
        <w:t>[…]</w:t>
      </w:r>
    </w:p>
    <w:p w14:paraId="710F1583" w14:textId="77777777" w:rsidR="00A156F4" w:rsidRPr="00A156F4" w:rsidRDefault="00A156F4" w:rsidP="00A156F4">
      <w:pPr>
        <w:ind w:left="851"/>
        <w:jc w:val="both"/>
        <w:rPr>
          <w:sz w:val="22"/>
          <w:szCs w:val="22"/>
        </w:rPr>
      </w:pPr>
      <w:r w:rsidRPr="00A156F4">
        <w:rPr>
          <w:sz w:val="22"/>
          <w:szCs w:val="22"/>
        </w:rPr>
        <w:t>a) Fijar, elevar, concertar o manipular el precio de compra o venta al que son ofrecidos o demandados los servicios de telecomunicaciones en los mercados.</w:t>
      </w:r>
    </w:p>
    <w:p w14:paraId="6AB92C16" w14:textId="77777777" w:rsidR="00A156F4" w:rsidRPr="00A156F4" w:rsidRDefault="00A156F4" w:rsidP="00A156F4">
      <w:pPr>
        <w:ind w:left="851"/>
        <w:jc w:val="both"/>
        <w:rPr>
          <w:b/>
          <w:bCs/>
          <w:sz w:val="22"/>
          <w:szCs w:val="22"/>
        </w:rPr>
      </w:pPr>
      <w:r w:rsidRPr="00A156F4">
        <w:rPr>
          <w:b/>
          <w:bCs/>
          <w:sz w:val="22"/>
          <w:szCs w:val="22"/>
        </w:rPr>
        <w:t>[…]</w:t>
      </w:r>
    </w:p>
    <w:p w14:paraId="5CDD3E9A" w14:textId="77777777" w:rsidR="00A156F4" w:rsidRPr="00A156F4" w:rsidRDefault="00A156F4" w:rsidP="00A156F4">
      <w:pPr>
        <w:ind w:left="851"/>
        <w:jc w:val="both"/>
        <w:rPr>
          <w:sz w:val="22"/>
          <w:szCs w:val="22"/>
        </w:rPr>
      </w:pPr>
      <w:r w:rsidRPr="00A156F4">
        <w:rPr>
          <w:sz w:val="22"/>
          <w:szCs w:val="22"/>
        </w:rPr>
        <w:t>c) Dividir, distribuir, asignar o imponer porciones o segmentos de un mercado de servicios de telecomunicaciones, actual o futuro, por medio de la clientela, los proveedores, los tiempos, las zonas geográficas, o los espacios determinados o determinables.</w:t>
      </w:r>
    </w:p>
    <w:p w14:paraId="2EB78864" w14:textId="77777777" w:rsidR="00A156F4" w:rsidRPr="00A156F4" w:rsidRDefault="00A156F4" w:rsidP="00A156F4">
      <w:pPr>
        <w:ind w:left="851"/>
        <w:jc w:val="both"/>
        <w:rPr>
          <w:b/>
          <w:bCs/>
          <w:sz w:val="22"/>
          <w:szCs w:val="22"/>
        </w:rPr>
      </w:pPr>
      <w:r w:rsidRPr="00A156F4">
        <w:rPr>
          <w:b/>
          <w:bCs/>
          <w:sz w:val="22"/>
          <w:szCs w:val="22"/>
        </w:rPr>
        <w:t>[…]</w:t>
      </w:r>
    </w:p>
    <w:p w14:paraId="51F83420" w14:textId="77777777" w:rsidR="00A156F4" w:rsidRPr="00A156F4" w:rsidRDefault="00A156F4" w:rsidP="00A156F4">
      <w:pPr>
        <w:ind w:left="851"/>
        <w:jc w:val="both"/>
        <w:rPr>
          <w:sz w:val="22"/>
          <w:szCs w:val="22"/>
        </w:rPr>
      </w:pPr>
      <w:r w:rsidRPr="00A156F4">
        <w:rPr>
          <w:sz w:val="22"/>
          <w:szCs w:val="22"/>
        </w:rPr>
        <w:t>e) Intercambiar información con alguno de los objetos o efectos a que se refieren los anteriores incisos.</w:t>
      </w:r>
    </w:p>
    <w:p w14:paraId="39F49AA0" w14:textId="77777777" w:rsidR="00A156F4" w:rsidRPr="00A156F4" w:rsidRDefault="00A156F4" w:rsidP="00A156F4">
      <w:pPr>
        <w:ind w:left="851"/>
        <w:jc w:val="both"/>
        <w:rPr>
          <w:sz w:val="22"/>
          <w:szCs w:val="22"/>
        </w:rPr>
      </w:pPr>
      <w:r w:rsidRPr="00A156F4">
        <w:rPr>
          <w:b/>
          <w:bCs/>
          <w:sz w:val="22"/>
          <w:szCs w:val="22"/>
        </w:rPr>
        <w:t>[…]”</w:t>
      </w:r>
    </w:p>
    <w:p w14:paraId="77DCAE49" w14:textId="77777777" w:rsidR="00A156F4" w:rsidRPr="00A156F4" w:rsidRDefault="00A156F4" w:rsidP="00A156F4">
      <w:pPr>
        <w:ind w:left="851"/>
        <w:jc w:val="both"/>
        <w:rPr>
          <w:sz w:val="22"/>
          <w:szCs w:val="22"/>
        </w:rPr>
      </w:pPr>
    </w:p>
    <w:p w14:paraId="05D2F3EC" w14:textId="5F9B4987" w:rsidR="00564E13" w:rsidRPr="00A156F4" w:rsidRDefault="00A156F4" w:rsidP="00A156F4">
      <w:pPr>
        <w:ind w:left="851"/>
        <w:jc w:val="both"/>
        <w:rPr>
          <w:sz w:val="22"/>
          <w:szCs w:val="22"/>
        </w:rPr>
      </w:pPr>
      <w:r w:rsidRPr="00A156F4">
        <w:rPr>
          <w:sz w:val="22"/>
          <w:szCs w:val="22"/>
        </w:rPr>
        <w:t>El resto se mantiene igual.</w:t>
      </w:r>
    </w:p>
    <w:p w14:paraId="08E462DB" w14:textId="77777777" w:rsidR="00564E13" w:rsidRPr="00A156F4" w:rsidRDefault="00564E13" w:rsidP="00564E13">
      <w:pPr>
        <w:ind w:left="850"/>
        <w:jc w:val="both"/>
        <w:rPr>
          <w:sz w:val="22"/>
          <w:szCs w:val="22"/>
          <w:lang w:val="es-CR"/>
        </w:rPr>
      </w:pPr>
    </w:p>
    <w:p w14:paraId="3CB10EED" w14:textId="77777777"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 w:eastAsia="es-CR"/>
        </w:rPr>
        <w:t xml:space="preserve">Modifíquese el inciso d) y adiciónense los incisos j) y k) y córrase la numeración del artículo 54 de la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 de la siguiente forma:</w:t>
      </w:r>
    </w:p>
    <w:p w14:paraId="6F9669BE" w14:textId="77777777" w:rsidR="00564E13" w:rsidRPr="00A156F4" w:rsidRDefault="00564E13" w:rsidP="00564E13">
      <w:pPr>
        <w:ind w:left="850"/>
        <w:jc w:val="both"/>
        <w:rPr>
          <w:sz w:val="22"/>
          <w:szCs w:val="22"/>
          <w:lang w:val="es-CR"/>
        </w:rPr>
      </w:pPr>
    </w:p>
    <w:p w14:paraId="7863A172" w14:textId="77777777" w:rsidR="00564E13" w:rsidRPr="00A156F4" w:rsidRDefault="00564E13" w:rsidP="00564E13">
      <w:pPr>
        <w:ind w:left="851"/>
        <w:jc w:val="both"/>
        <w:rPr>
          <w:b/>
          <w:bCs/>
          <w:sz w:val="22"/>
          <w:szCs w:val="22"/>
          <w:lang w:val="es-ES"/>
        </w:rPr>
      </w:pPr>
      <w:r w:rsidRPr="00A156F4">
        <w:rPr>
          <w:b/>
          <w:bCs/>
          <w:sz w:val="22"/>
          <w:szCs w:val="22"/>
        </w:rPr>
        <w:t>“ARTÍCULO 54.- Prácticas monopolísticas relativas</w:t>
      </w:r>
    </w:p>
    <w:p w14:paraId="21358355" w14:textId="77777777" w:rsidR="00564E13" w:rsidRPr="00A156F4" w:rsidRDefault="00564E13" w:rsidP="00564E13">
      <w:pPr>
        <w:ind w:left="851"/>
        <w:jc w:val="both"/>
        <w:rPr>
          <w:sz w:val="22"/>
          <w:szCs w:val="22"/>
          <w:lang w:val="es-CR"/>
        </w:rPr>
      </w:pPr>
    </w:p>
    <w:p w14:paraId="1CFC2388" w14:textId="77777777" w:rsidR="00564E13" w:rsidRPr="00A156F4" w:rsidRDefault="00564E13" w:rsidP="00564E13">
      <w:pPr>
        <w:ind w:left="851"/>
        <w:jc w:val="both"/>
        <w:rPr>
          <w:sz w:val="22"/>
          <w:szCs w:val="22"/>
        </w:rPr>
      </w:pPr>
      <w:r w:rsidRPr="00A156F4">
        <w:rPr>
          <w:b/>
          <w:bCs/>
          <w:sz w:val="22"/>
          <w:szCs w:val="22"/>
        </w:rPr>
        <w:t>[…]</w:t>
      </w:r>
    </w:p>
    <w:p w14:paraId="0FEBCF1B" w14:textId="5E017D8E" w:rsidR="00564E13" w:rsidRPr="00A156F4" w:rsidRDefault="00564E13" w:rsidP="00564E13">
      <w:pPr>
        <w:ind w:left="851"/>
        <w:jc w:val="both"/>
        <w:rPr>
          <w:sz w:val="22"/>
          <w:szCs w:val="22"/>
        </w:rPr>
      </w:pPr>
      <w:r w:rsidRPr="00A156F4">
        <w:rPr>
          <w:sz w:val="22"/>
          <w:szCs w:val="22"/>
        </w:rPr>
        <w:t xml:space="preserve">d) La fijación, la imposición o el establecimiento de la compra, venta o distribución exclusiva de servicios de telecomunicaciones, por razón del sujeto, la situación geográfica o por períodos de tiempo determinados, incluso la división, la distribución o la asignación de clientes o proveedores, entre operadores y proveedores de </w:t>
      </w:r>
      <w:r w:rsidR="00DE0983" w:rsidRPr="00A156F4">
        <w:rPr>
          <w:sz w:val="22"/>
          <w:szCs w:val="22"/>
        </w:rPr>
        <w:t>telecomunicaciones</w:t>
      </w:r>
      <w:r w:rsidRPr="00A156F4">
        <w:rPr>
          <w:sz w:val="22"/>
          <w:szCs w:val="22"/>
        </w:rPr>
        <w:t xml:space="preserve"> y otros agentes económicos que no sean competidores entre sí. </w:t>
      </w:r>
    </w:p>
    <w:p w14:paraId="64750936" w14:textId="7DABCF42" w:rsidR="00564E13" w:rsidRPr="00A156F4" w:rsidRDefault="00564E13" w:rsidP="00564E13">
      <w:pPr>
        <w:ind w:left="851"/>
        <w:jc w:val="both"/>
        <w:rPr>
          <w:b/>
          <w:bCs/>
          <w:sz w:val="22"/>
          <w:szCs w:val="22"/>
        </w:rPr>
      </w:pPr>
      <w:r w:rsidRPr="00A156F4">
        <w:rPr>
          <w:b/>
          <w:bCs/>
          <w:sz w:val="22"/>
          <w:szCs w:val="22"/>
        </w:rPr>
        <w:t>[…]</w:t>
      </w:r>
    </w:p>
    <w:p w14:paraId="433B25A4" w14:textId="77777777" w:rsidR="002B7D29" w:rsidRPr="00A156F4" w:rsidRDefault="002B7D29" w:rsidP="00564E13">
      <w:pPr>
        <w:ind w:left="851"/>
        <w:jc w:val="both"/>
        <w:rPr>
          <w:sz w:val="22"/>
          <w:szCs w:val="22"/>
        </w:rPr>
      </w:pPr>
    </w:p>
    <w:p w14:paraId="78EF449D" w14:textId="4D5A3D06" w:rsidR="00564E13" w:rsidRPr="00A156F4" w:rsidRDefault="00564E13" w:rsidP="00564E13">
      <w:pPr>
        <w:ind w:left="851"/>
        <w:jc w:val="both"/>
        <w:rPr>
          <w:sz w:val="22"/>
          <w:szCs w:val="22"/>
        </w:rPr>
      </w:pPr>
      <w:r w:rsidRPr="00A156F4">
        <w:rPr>
          <w:sz w:val="22"/>
          <w:szCs w:val="22"/>
        </w:rPr>
        <w:t xml:space="preserve">j) </w:t>
      </w:r>
      <w:r w:rsidR="006F25EE" w:rsidRPr="00A156F4">
        <w:rPr>
          <w:sz w:val="22"/>
          <w:szCs w:val="22"/>
        </w:rPr>
        <w:t>La diferencia negativa o insuficiente entre el precio que un proveedor integrado verticalmente cobra a sus competidores por un insumo, y el precio al que vende a sus clientes un bien o servicio para el cual dicho insumo sea esencial, de forma tal que impida a un competidor igualmente eficiente subsistir en el mercado o competir de forma efectiva.</w:t>
      </w:r>
    </w:p>
    <w:p w14:paraId="0E283FBD" w14:textId="77777777" w:rsidR="00564E13" w:rsidRPr="00A156F4" w:rsidRDefault="00564E13" w:rsidP="00564E13">
      <w:pPr>
        <w:ind w:left="851"/>
        <w:jc w:val="both"/>
        <w:rPr>
          <w:sz w:val="22"/>
          <w:szCs w:val="22"/>
        </w:rPr>
      </w:pPr>
    </w:p>
    <w:p w14:paraId="3921DD26" w14:textId="77777777" w:rsidR="00564E13" w:rsidRPr="00A156F4" w:rsidRDefault="00564E13" w:rsidP="00564E13">
      <w:pPr>
        <w:ind w:left="851"/>
        <w:jc w:val="both"/>
        <w:rPr>
          <w:sz w:val="22"/>
          <w:szCs w:val="22"/>
        </w:rPr>
      </w:pPr>
      <w:r w:rsidRPr="00A156F4">
        <w:rPr>
          <w:sz w:val="22"/>
          <w:szCs w:val="22"/>
        </w:rPr>
        <w:t>k) Las acciones injustificadas para incrementar los costos u obstaculizar el proceso productivo de algún competidor.</w:t>
      </w:r>
    </w:p>
    <w:p w14:paraId="632DCA14" w14:textId="77777777" w:rsidR="00564E13" w:rsidRPr="00A156F4" w:rsidRDefault="00564E13" w:rsidP="00564E13">
      <w:pPr>
        <w:ind w:left="851"/>
        <w:jc w:val="both"/>
        <w:rPr>
          <w:sz w:val="22"/>
          <w:szCs w:val="22"/>
        </w:rPr>
      </w:pPr>
    </w:p>
    <w:p w14:paraId="6EAE41D8" w14:textId="77777777" w:rsidR="00564E13" w:rsidRPr="00A156F4" w:rsidRDefault="00564E13" w:rsidP="00564E13">
      <w:pPr>
        <w:ind w:left="851"/>
        <w:jc w:val="both"/>
        <w:rPr>
          <w:sz w:val="22"/>
          <w:szCs w:val="22"/>
        </w:rPr>
      </w:pPr>
      <w:r w:rsidRPr="00A156F4">
        <w:rPr>
          <w:sz w:val="22"/>
          <w:szCs w:val="22"/>
        </w:rPr>
        <w:t>l) Todo acto deliberado que tenga como único fin procurar la salida de operadores o proveedores del mercado, o implique un obstáculo para su entrada.</w:t>
      </w:r>
    </w:p>
    <w:p w14:paraId="2E2100D8" w14:textId="77777777" w:rsidR="00564E13" w:rsidRPr="00A156F4" w:rsidRDefault="00564E13" w:rsidP="00564E13">
      <w:pPr>
        <w:ind w:left="851"/>
        <w:jc w:val="both"/>
        <w:rPr>
          <w:sz w:val="22"/>
          <w:szCs w:val="22"/>
        </w:rPr>
      </w:pPr>
      <w:r w:rsidRPr="00A156F4">
        <w:rPr>
          <w:b/>
          <w:bCs/>
          <w:sz w:val="22"/>
          <w:szCs w:val="22"/>
        </w:rPr>
        <w:t>[…]”</w:t>
      </w:r>
    </w:p>
    <w:p w14:paraId="432A1E3C" w14:textId="77777777" w:rsidR="00564E13" w:rsidRPr="00A156F4" w:rsidRDefault="00564E13" w:rsidP="00564E13">
      <w:pPr>
        <w:ind w:left="851"/>
        <w:jc w:val="both"/>
        <w:rPr>
          <w:sz w:val="22"/>
          <w:szCs w:val="22"/>
        </w:rPr>
      </w:pPr>
    </w:p>
    <w:p w14:paraId="41D6AD60" w14:textId="77777777" w:rsidR="00564E13" w:rsidRPr="00A156F4" w:rsidRDefault="00564E13" w:rsidP="00564E13">
      <w:pPr>
        <w:ind w:left="851"/>
        <w:jc w:val="both"/>
        <w:rPr>
          <w:sz w:val="22"/>
          <w:szCs w:val="22"/>
        </w:rPr>
      </w:pPr>
      <w:r w:rsidRPr="00A156F4">
        <w:rPr>
          <w:sz w:val="22"/>
          <w:szCs w:val="22"/>
        </w:rPr>
        <w:t>El resto se mantiene igual.</w:t>
      </w:r>
    </w:p>
    <w:p w14:paraId="63C623F3" w14:textId="77777777" w:rsidR="00564E13" w:rsidRPr="00A156F4" w:rsidRDefault="00564E13" w:rsidP="00564E13">
      <w:pPr>
        <w:ind w:left="1570" w:hanging="720"/>
        <w:jc w:val="both"/>
        <w:rPr>
          <w:color w:val="FF0000"/>
          <w:sz w:val="22"/>
          <w:szCs w:val="22"/>
        </w:rPr>
      </w:pPr>
    </w:p>
    <w:p w14:paraId="435E0695" w14:textId="77777777"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 w:eastAsia="es-CR"/>
        </w:rPr>
        <w:t xml:space="preserve">Modifíquese y adiciónese una frase final al primer párrafo del artículo 55 de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 de la siguiente forma:</w:t>
      </w:r>
    </w:p>
    <w:p w14:paraId="092F4BC9" w14:textId="77777777" w:rsidR="00564E13" w:rsidRPr="00A156F4" w:rsidRDefault="00564E13" w:rsidP="00564E13">
      <w:pPr>
        <w:ind w:left="850"/>
        <w:jc w:val="both"/>
        <w:rPr>
          <w:b/>
          <w:sz w:val="22"/>
          <w:szCs w:val="22"/>
          <w:u w:val="single"/>
          <w:lang w:val="es-CR"/>
        </w:rPr>
      </w:pPr>
    </w:p>
    <w:p w14:paraId="767B26B2" w14:textId="77777777" w:rsidR="00564E13" w:rsidRPr="00A156F4" w:rsidRDefault="00564E13" w:rsidP="00564E13">
      <w:pPr>
        <w:ind w:left="851"/>
        <w:jc w:val="both"/>
        <w:rPr>
          <w:b/>
          <w:sz w:val="22"/>
          <w:szCs w:val="22"/>
        </w:rPr>
      </w:pPr>
      <w:r w:rsidRPr="00A156F4">
        <w:rPr>
          <w:b/>
          <w:sz w:val="22"/>
          <w:szCs w:val="22"/>
        </w:rPr>
        <w:t>“ARTÍCULO 55.- Criterio técnico de la Comisión para Promover la Competencia</w:t>
      </w:r>
    </w:p>
    <w:p w14:paraId="6D888235" w14:textId="77777777" w:rsidR="00564E13" w:rsidRPr="00A156F4" w:rsidRDefault="00564E13" w:rsidP="00564E13">
      <w:pPr>
        <w:ind w:left="851"/>
        <w:jc w:val="both"/>
        <w:rPr>
          <w:sz w:val="22"/>
          <w:szCs w:val="22"/>
        </w:rPr>
      </w:pPr>
    </w:p>
    <w:p w14:paraId="28F81BB9" w14:textId="77777777" w:rsidR="00564E13" w:rsidRPr="00A156F4" w:rsidRDefault="00564E13" w:rsidP="00564E13">
      <w:pPr>
        <w:ind w:left="851"/>
        <w:jc w:val="both"/>
        <w:rPr>
          <w:sz w:val="22"/>
          <w:szCs w:val="22"/>
        </w:rPr>
      </w:pPr>
      <w:r w:rsidRPr="00A156F4">
        <w:rPr>
          <w:sz w:val="22"/>
          <w:szCs w:val="22"/>
        </w:rPr>
        <w:t xml:space="preserve">Las prácticas monopolísticas serán sancionadas por la </w:t>
      </w:r>
      <w:proofErr w:type="spellStart"/>
      <w:r w:rsidRPr="00A156F4">
        <w:rPr>
          <w:sz w:val="22"/>
          <w:szCs w:val="22"/>
        </w:rPr>
        <w:t>Sutel</w:t>
      </w:r>
      <w:proofErr w:type="spellEnd"/>
      <w:r w:rsidRPr="00A156F4">
        <w:rPr>
          <w:sz w:val="22"/>
          <w:szCs w:val="22"/>
        </w:rPr>
        <w:t xml:space="preserve">, de conformidad con esta Ley. Previo a dictar la resolución final, la </w:t>
      </w:r>
      <w:proofErr w:type="spellStart"/>
      <w:r w:rsidRPr="00A156F4">
        <w:rPr>
          <w:sz w:val="22"/>
          <w:szCs w:val="22"/>
        </w:rPr>
        <w:t>Sutel</w:t>
      </w:r>
      <w:proofErr w:type="spellEnd"/>
      <w:r w:rsidRPr="00A156F4">
        <w:rPr>
          <w:sz w:val="22"/>
          <w:szCs w:val="22"/>
        </w:rPr>
        <w:t xml:space="preserve"> solicitará a la Comisión para Promover la Competencia el criterio técnico correspondiente. Dicho criterio se rendirá en un plazo de 15 días hábiles, contado a partir del recibo de la solicitud de la </w:t>
      </w:r>
      <w:proofErr w:type="spellStart"/>
      <w:r w:rsidRPr="00A156F4">
        <w:rPr>
          <w:sz w:val="22"/>
          <w:szCs w:val="22"/>
        </w:rPr>
        <w:t>Sutel</w:t>
      </w:r>
      <w:proofErr w:type="spellEnd"/>
      <w:r w:rsidRPr="00A156F4">
        <w:rPr>
          <w:sz w:val="22"/>
          <w:szCs w:val="22"/>
        </w:rPr>
        <w:t xml:space="preserve">. Cumplido este plazo sin que la </w:t>
      </w:r>
      <w:proofErr w:type="spellStart"/>
      <w:r w:rsidRPr="00A156F4">
        <w:rPr>
          <w:sz w:val="22"/>
          <w:szCs w:val="22"/>
        </w:rPr>
        <w:t>Coprocom</w:t>
      </w:r>
      <w:proofErr w:type="spellEnd"/>
      <w:r w:rsidRPr="00A156F4">
        <w:rPr>
          <w:sz w:val="22"/>
          <w:szCs w:val="22"/>
        </w:rPr>
        <w:t xml:space="preserve"> haya notificado su criterio técnico a la </w:t>
      </w:r>
      <w:proofErr w:type="spellStart"/>
      <w:r w:rsidRPr="00A156F4">
        <w:rPr>
          <w:sz w:val="22"/>
          <w:szCs w:val="22"/>
        </w:rPr>
        <w:t>Sutel</w:t>
      </w:r>
      <w:proofErr w:type="spellEnd"/>
      <w:r w:rsidRPr="00A156F4">
        <w:rPr>
          <w:sz w:val="22"/>
          <w:szCs w:val="22"/>
        </w:rPr>
        <w:t xml:space="preserve">, esta deberá continuar con el trámite correspondiente. Mientras la </w:t>
      </w:r>
      <w:proofErr w:type="spellStart"/>
      <w:r w:rsidRPr="00A156F4">
        <w:rPr>
          <w:sz w:val="22"/>
          <w:szCs w:val="22"/>
        </w:rPr>
        <w:t>Coprocom</w:t>
      </w:r>
      <w:proofErr w:type="spellEnd"/>
      <w:r w:rsidRPr="00A156F4">
        <w:rPr>
          <w:sz w:val="22"/>
          <w:szCs w:val="22"/>
        </w:rPr>
        <w:t xml:space="preserve"> rinda su criterio se tendrá por suspendido el plazo de los procedimientos que se tramiten ante la </w:t>
      </w:r>
      <w:proofErr w:type="spellStart"/>
      <w:r w:rsidRPr="00A156F4">
        <w:rPr>
          <w:sz w:val="22"/>
          <w:szCs w:val="22"/>
        </w:rPr>
        <w:t>Sutel</w:t>
      </w:r>
      <w:proofErr w:type="spellEnd"/>
      <w:r w:rsidRPr="00A156F4">
        <w:rPr>
          <w:sz w:val="22"/>
          <w:szCs w:val="22"/>
        </w:rPr>
        <w:t>.</w:t>
      </w:r>
    </w:p>
    <w:p w14:paraId="514C5469" w14:textId="77777777" w:rsidR="00564E13" w:rsidRPr="00A156F4" w:rsidRDefault="00564E13" w:rsidP="00564E13">
      <w:pPr>
        <w:ind w:left="851"/>
        <w:jc w:val="both"/>
        <w:rPr>
          <w:sz w:val="22"/>
          <w:szCs w:val="22"/>
        </w:rPr>
      </w:pPr>
      <w:r w:rsidRPr="00A156F4">
        <w:rPr>
          <w:b/>
          <w:bCs/>
          <w:sz w:val="22"/>
          <w:szCs w:val="22"/>
        </w:rPr>
        <w:t>[…]”</w:t>
      </w:r>
    </w:p>
    <w:p w14:paraId="784F0F91" w14:textId="77777777" w:rsidR="00564E13" w:rsidRPr="00A156F4" w:rsidRDefault="00564E13" w:rsidP="00564E13">
      <w:pPr>
        <w:ind w:left="851"/>
        <w:jc w:val="both"/>
        <w:rPr>
          <w:sz w:val="22"/>
          <w:szCs w:val="22"/>
        </w:rPr>
      </w:pPr>
    </w:p>
    <w:p w14:paraId="0C151C33" w14:textId="77777777" w:rsidR="00564E13" w:rsidRPr="00A156F4" w:rsidRDefault="00564E13" w:rsidP="00564E13">
      <w:pPr>
        <w:ind w:left="851"/>
        <w:jc w:val="both"/>
        <w:rPr>
          <w:sz w:val="22"/>
          <w:szCs w:val="22"/>
        </w:rPr>
      </w:pPr>
      <w:r w:rsidRPr="00A156F4">
        <w:rPr>
          <w:sz w:val="22"/>
          <w:szCs w:val="22"/>
        </w:rPr>
        <w:t>El resto se mantiene igual.</w:t>
      </w:r>
    </w:p>
    <w:p w14:paraId="20E78102" w14:textId="77777777" w:rsidR="00564E13" w:rsidRPr="00A156F4" w:rsidRDefault="00564E13" w:rsidP="00564E13">
      <w:pPr>
        <w:jc w:val="both"/>
        <w:rPr>
          <w:sz w:val="22"/>
          <w:szCs w:val="22"/>
        </w:rPr>
      </w:pPr>
    </w:p>
    <w:p w14:paraId="6C4CF135" w14:textId="77777777"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 w:eastAsia="es-CR"/>
        </w:rPr>
        <w:t xml:space="preserve">Modifíquense el primer y tercer párrafo del artículo 56 de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 de la siguiente forma:</w:t>
      </w:r>
    </w:p>
    <w:p w14:paraId="5ECE6308" w14:textId="77777777" w:rsidR="00564E13" w:rsidRPr="00A156F4" w:rsidRDefault="00564E13" w:rsidP="00564E13">
      <w:pPr>
        <w:pStyle w:val="Prrafodelista"/>
        <w:ind w:left="720"/>
        <w:jc w:val="both"/>
        <w:rPr>
          <w:rFonts w:ascii="Times New Roman" w:hAnsi="Times New Roman"/>
        </w:rPr>
      </w:pPr>
    </w:p>
    <w:p w14:paraId="2EBA0F96" w14:textId="77777777" w:rsidR="00564E13" w:rsidRPr="00A156F4" w:rsidRDefault="00564E13" w:rsidP="00564E13">
      <w:pPr>
        <w:ind w:left="851"/>
        <w:jc w:val="both"/>
        <w:rPr>
          <w:b/>
          <w:sz w:val="22"/>
          <w:szCs w:val="22"/>
        </w:rPr>
      </w:pPr>
      <w:r w:rsidRPr="00A156F4">
        <w:rPr>
          <w:b/>
          <w:sz w:val="22"/>
          <w:szCs w:val="22"/>
        </w:rPr>
        <w:t>“ARTÍCULO 56.- Concentraciones</w:t>
      </w:r>
    </w:p>
    <w:p w14:paraId="32F4B3A0" w14:textId="77777777" w:rsidR="00564E13" w:rsidRPr="00A156F4" w:rsidRDefault="00564E13" w:rsidP="00564E13">
      <w:pPr>
        <w:ind w:left="851"/>
        <w:jc w:val="both"/>
        <w:rPr>
          <w:sz w:val="22"/>
          <w:szCs w:val="22"/>
        </w:rPr>
      </w:pPr>
    </w:p>
    <w:p w14:paraId="709BDB90" w14:textId="77777777" w:rsidR="00564E13" w:rsidRPr="00A156F4" w:rsidRDefault="00564E13" w:rsidP="00564E13">
      <w:pPr>
        <w:ind w:left="851"/>
        <w:jc w:val="both"/>
        <w:rPr>
          <w:sz w:val="22"/>
          <w:szCs w:val="22"/>
        </w:rPr>
      </w:pPr>
      <w:r w:rsidRPr="00A156F4">
        <w:rPr>
          <w:sz w:val="22"/>
          <w:szCs w:val="22"/>
        </w:rPr>
        <w:t>Se entiende por concentración la fusión, la adquisición, la compraventa del establecimiento mercantil, la alianza estratégica, o cualquier otro acto o contrato, en virtud del cual se concentren las sociedades, las asociaciones, las acciones, el capital social, los fideicomisos, los poderes de dirección o los activos en general; que se realicen entre operadores de redes y proveedores de servicios de telecomunicaciones, que han sido independientes entre sí y que resulten en la adquisición duradera del control económico por parte de uno de ellos sobre el otro u otros, o en la formación de un nuevo agente económico bajo el control conjunto de dos o más agentes económicos; así como cualquier transacción mediante la cual cualquier persona física o jurídica, pública o privada, adquiera el control de dos o más agentes económicos independientes entre sí.</w:t>
      </w:r>
    </w:p>
    <w:p w14:paraId="2643065F" w14:textId="77777777" w:rsidR="00564E13" w:rsidRPr="00A156F4" w:rsidRDefault="00564E13" w:rsidP="00564E13">
      <w:pPr>
        <w:ind w:left="851"/>
        <w:jc w:val="both"/>
        <w:rPr>
          <w:sz w:val="22"/>
          <w:szCs w:val="22"/>
        </w:rPr>
      </w:pPr>
    </w:p>
    <w:p w14:paraId="74582314" w14:textId="77777777" w:rsidR="00564E13" w:rsidRPr="00A156F4" w:rsidRDefault="00564E13" w:rsidP="00564E13">
      <w:pPr>
        <w:ind w:left="851"/>
        <w:jc w:val="both"/>
        <w:rPr>
          <w:sz w:val="22"/>
          <w:szCs w:val="22"/>
        </w:rPr>
      </w:pPr>
      <w:r w:rsidRPr="00A156F4">
        <w:rPr>
          <w:sz w:val="22"/>
          <w:szCs w:val="22"/>
        </w:rPr>
        <w:t xml:space="preserve">Previo a realizar una concentración, los operadores de redes y los proveedores de servicios de telecomunicaciones deberán solicitar la autorización de la </w:t>
      </w:r>
      <w:proofErr w:type="spellStart"/>
      <w:r w:rsidRPr="00A156F4">
        <w:rPr>
          <w:sz w:val="22"/>
          <w:szCs w:val="22"/>
        </w:rPr>
        <w:t>Sutel</w:t>
      </w:r>
      <w:proofErr w:type="spellEnd"/>
      <w:r w:rsidRPr="00A156F4">
        <w:rPr>
          <w:sz w:val="22"/>
          <w:szCs w:val="22"/>
        </w:rPr>
        <w:t>, a fin de que esta evalúe el impacto de la concentración sobre el mercado. Dicha autorización se requerirá con el fin de evitar formas de prestación conjunta que se consideren nocivas a la competencia, los intereses de los usuarios o la libre concurrencia en el mercado de las telecomunicaciones.</w:t>
      </w:r>
    </w:p>
    <w:p w14:paraId="7446BBC9" w14:textId="77777777" w:rsidR="00564E13" w:rsidRPr="00A156F4" w:rsidRDefault="00564E13" w:rsidP="00564E13">
      <w:pPr>
        <w:ind w:left="851"/>
        <w:jc w:val="both"/>
        <w:rPr>
          <w:sz w:val="22"/>
          <w:szCs w:val="22"/>
        </w:rPr>
      </w:pPr>
    </w:p>
    <w:p w14:paraId="589F023B" w14:textId="5638DD55" w:rsidR="00564E13" w:rsidRPr="00A156F4" w:rsidRDefault="00564E13" w:rsidP="00564E13">
      <w:pPr>
        <w:ind w:left="851"/>
        <w:jc w:val="both"/>
        <w:rPr>
          <w:sz w:val="22"/>
          <w:szCs w:val="22"/>
        </w:rPr>
      </w:pPr>
      <w:r w:rsidRPr="00A156F4">
        <w:rPr>
          <w:sz w:val="22"/>
          <w:szCs w:val="22"/>
        </w:rPr>
        <w:t xml:space="preserve">Para emitir su resolución de primera fase, la </w:t>
      </w:r>
      <w:proofErr w:type="spellStart"/>
      <w:r w:rsidRPr="00A156F4">
        <w:rPr>
          <w:sz w:val="22"/>
          <w:szCs w:val="22"/>
        </w:rPr>
        <w:t>Sutel</w:t>
      </w:r>
      <w:proofErr w:type="spellEnd"/>
      <w:r w:rsidRPr="00A156F4">
        <w:rPr>
          <w:sz w:val="22"/>
          <w:szCs w:val="22"/>
        </w:rPr>
        <w:t xml:space="preserve"> tendrá un plazo de treinta días hábiles, contado a partir de la presentación de la solicitud de autorización con la información requerida en la ley y el reglamento respectivo o, en su defecto, desde la fecha de la presentación completa de la información solicitada por la </w:t>
      </w:r>
      <w:proofErr w:type="spellStart"/>
      <w:r w:rsidRPr="00A156F4">
        <w:rPr>
          <w:sz w:val="22"/>
          <w:szCs w:val="22"/>
        </w:rPr>
        <w:t>Sutel</w:t>
      </w:r>
      <w:proofErr w:type="spellEnd"/>
      <w:r w:rsidRPr="00A156F4">
        <w:rPr>
          <w:sz w:val="22"/>
          <w:szCs w:val="22"/>
        </w:rPr>
        <w:t xml:space="preserve">. En casos de concentraciones que pasen al análisis de segunda fase, la </w:t>
      </w:r>
      <w:proofErr w:type="spellStart"/>
      <w:r w:rsidRPr="00A156F4">
        <w:rPr>
          <w:sz w:val="22"/>
          <w:szCs w:val="22"/>
        </w:rPr>
        <w:t>Sutel</w:t>
      </w:r>
      <w:proofErr w:type="spellEnd"/>
      <w:r w:rsidRPr="00A156F4">
        <w:rPr>
          <w:sz w:val="22"/>
          <w:szCs w:val="22"/>
        </w:rPr>
        <w:t xml:space="preserve"> podrá ampliar ese plazo, por una sola vez, hasta por noventa días naturales adicionales, asimismo contará con 30 días naturales para resolver sobre los compromisos presentadas por las partes notificantes de la concentración. Para el control de concentraciones la </w:t>
      </w:r>
      <w:proofErr w:type="spellStart"/>
      <w:r w:rsidRPr="00A156F4">
        <w:rPr>
          <w:sz w:val="22"/>
          <w:szCs w:val="22"/>
        </w:rPr>
        <w:t>Sutel</w:t>
      </w:r>
      <w:proofErr w:type="spellEnd"/>
      <w:r w:rsidRPr="00A156F4">
        <w:rPr>
          <w:sz w:val="22"/>
          <w:szCs w:val="22"/>
        </w:rPr>
        <w:t xml:space="preserve"> estará ante el procedimiento dispuesto en el Capítulo V de la Ley de Fortalecimiento de las Autoridades de Competencia de Costa Rica y su reglamento.</w:t>
      </w:r>
    </w:p>
    <w:p w14:paraId="67258725" w14:textId="77777777" w:rsidR="00564E13" w:rsidRPr="00A156F4" w:rsidRDefault="00564E13" w:rsidP="00564E13">
      <w:pPr>
        <w:ind w:left="851"/>
        <w:jc w:val="both"/>
        <w:rPr>
          <w:sz w:val="22"/>
          <w:szCs w:val="22"/>
        </w:rPr>
      </w:pPr>
      <w:r w:rsidRPr="00A156F4">
        <w:rPr>
          <w:b/>
          <w:bCs/>
          <w:sz w:val="22"/>
          <w:szCs w:val="22"/>
        </w:rPr>
        <w:t>[…]”</w:t>
      </w:r>
    </w:p>
    <w:p w14:paraId="25BE7DFF" w14:textId="77777777" w:rsidR="00564E13" w:rsidRPr="00A156F4" w:rsidRDefault="00564E13" w:rsidP="00564E13">
      <w:pPr>
        <w:ind w:left="2136" w:hanging="720"/>
        <w:jc w:val="both"/>
        <w:rPr>
          <w:sz w:val="22"/>
          <w:szCs w:val="22"/>
        </w:rPr>
      </w:pPr>
    </w:p>
    <w:p w14:paraId="17F4542A" w14:textId="77777777" w:rsidR="00564E13" w:rsidRPr="00A156F4" w:rsidRDefault="00564E13" w:rsidP="00564E13">
      <w:pPr>
        <w:ind w:left="851"/>
        <w:jc w:val="both"/>
        <w:rPr>
          <w:sz w:val="22"/>
          <w:szCs w:val="22"/>
        </w:rPr>
      </w:pPr>
      <w:r w:rsidRPr="00A156F4">
        <w:rPr>
          <w:sz w:val="22"/>
          <w:szCs w:val="22"/>
        </w:rPr>
        <w:t>El resto se mantiene igual.</w:t>
      </w:r>
    </w:p>
    <w:p w14:paraId="134D8F66" w14:textId="77777777" w:rsidR="00564E13" w:rsidRPr="00A156F4" w:rsidRDefault="00564E13" w:rsidP="00564E13">
      <w:pPr>
        <w:jc w:val="both"/>
        <w:rPr>
          <w:sz w:val="22"/>
          <w:szCs w:val="22"/>
        </w:rPr>
      </w:pPr>
    </w:p>
    <w:p w14:paraId="2183021D" w14:textId="77777777"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 w:eastAsia="es-CR"/>
        </w:rPr>
        <w:t xml:space="preserve">Sustitúyase el artículo 57 de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 de la siguiente forma:</w:t>
      </w:r>
    </w:p>
    <w:p w14:paraId="39F4E602" w14:textId="77777777" w:rsidR="00564E13" w:rsidRPr="00A156F4" w:rsidRDefault="00564E13" w:rsidP="00564E13">
      <w:pPr>
        <w:jc w:val="both"/>
        <w:rPr>
          <w:sz w:val="22"/>
          <w:szCs w:val="22"/>
        </w:rPr>
      </w:pPr>
    </w:p>
    <w:p w14:paraId="03289B8B" w14:textId="77777777" w:rsidR="00564E13" w:rsidRPr="00A156F4" w:rsidRDefault="00564E13" w:rsidP="00564E13">
      <w:pPr>
        <w:ind w:left="851"/>
        <w:jc w:val="both"/>
        <w:rPr>
          <w:b/>
          <w:sz w:val="22"/>
          <w:szCs w:val="22"/>
        </w:rPr>
      </w:pPr>
      <w:r w:rsidRPr="00A156F4">
        <w:rPr>
          <w:b/>
          <w:sz w:val="22"/>
          <w:szCs w:val="22"/>
        </w:rPr>
        <w:t>“ARTÍCULO 57.- Condiciones para la autorización de concentraciones</w:t>
      </w:r>
    </w:p>
    <w:p w14:paraId="47E3DB8B" w14:textId="77777777" w:rsidR="00564E13" w:rsidRPr="00A156F4" w:rsidRDefault="00564E13" w:rsidP="00564E13">
      <w:pPr>
        <w:ind w:left="851"/>
        <w:jc w:val="both"/>
        <w:rPr>
          <w:sz w:val="22"/>
          <w:szCs w:val="22"/>
        </w:rPr>
      </w:pPr>
    </w:p>
    <w:p w14:paraId="0B6A383F" w14:textId="08DED3E7" w:rsidR="00564E13" w:rsidRPr="00A156F4" w:rsidRDefault="00564E13" w:rsidP="00564E13">
      <w:pPr>
        <w:ind w:left="851"/>
        <w:jc w:val="both"/>
        <w:rPr>
          <w:sz w:val="22"/>
          <w:szCs w:val="22"/>
        </w:rPr>
      </w:pPr>
      <w:r w:rsidRPr="00A156F4">
        <w:rPr>
          <w:sz w:val="22"/>
          <w:szCs w:val="22"/>
        </w:rPr>
        <w:t xml:space="preserve">Al autorizar una concentración, la </w:t>
      </w:r>
      <w:proofErr w:type="spellStart"/>
      <w:r w:rsidRPr="00A156F4">
        <w:rPr>
          <w:sz w:val="22"/>
          <w:szCs w:val="22"/>
        </w:rPr>
        <w:t>Sutel</w:t>
      </w:r>
      <w:proofErr w:type="spellEnd"/>
      <w:r w:rsidRPr="00A156F4">
        <w:rPr>
          <w:sz w:val="22"/>
          <w:szCs w:val="22"/>
        </w:rPr>
        <w:t xml:space="preserve"> podrá imponer al operador o proveedor algunas de las condiciones establecidas en el artículo </w:t>
      </w:r>
      <w:r w:rsidR="009E0C5B" w:rsidRPr="00A156F4">
        <w:rPr>
          <w:sz w:val="22"/>
          <w:szCs w:val="22"/>
        </w:rPr>
        <w:t>103</w:t>
      </w:r>
      <w:r w:rsidRPr="00A156F4">
        <w:rPr>
          <w:sz w:val="22"/>
          <w:szCs w:val="22"/>
        </w:rPr>
        <w:t xml:space="preserve"> de la Ley de Fortalecimiento de las Autoridades de Competencia de Costa Rica.”</w:t>
      </w:r>
    </w:p>
    <w:p w14:paraId="04FC7DB7" w14:textId="77777777" w:rsidR="00564E13" w:rsidRPr="00A156F4" w:rsidRDefault="00564E13" w:rsidP="00564E13">
      <w:pPr>
        <w:ind w:left="851"/>
        <w:jc w:val="both"/>
        <w:rPr>
          <w:sz w:val="22"/>
          <w:szCs w:val="22"/>
        </w:rPr>
      </w:pPr>
    </w:p>
    <w:p w14:paraId="656F8B21" w14:textId="77777777"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 w:eastAsia="es-CR"/>
        </w:rPr>
        <w:t xml:space="preserve">Sustitúyase el artículo 58 de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 de la siguiente forma:</w:t>
      </w:r>
    </w:p>
    <w:p w14:paraId="03394CEE" w14:textId="77777777" w:rsidR="00564E13" w:rsidRPr="00A156F4" w:rsidRDefault="00564E13" w:rsidP="00564E13">
      <w:pPr>
        <w:jc w:val="both"/>
        <w:rPr>
          <w:sz w:val="22"/>
          <w:szCs w:val="22"/>
        </w:rPr>
      </w:pPr>
    </w:p>
    <w:p w14:paraId="4848F511" w14:textId="77777777" w:rsidR="00564E13" w:rsidRPr="00A156F4" w:rsidRDefault="00564E13" w:rsidP="00564E13">
      <w:pPr>
        <w:ind w:left="851"/>
        <w:jc w:val="both"/>
        <w:rPr>
          <w:b/>
          <w:sz w:val="22"/>
          <w:szCs w:val="22"/>
        </w:rPr>
      </w:pPr>
      <w:r w:rsidRPr="00A156F4">
        <w:rPr>
          <w:b/>
          <w:sz w:val="22"/>
          <w:szCs w:val="22"/>
        </w:rPr>
        <w:t>“ARTÍCULO 58.- Medidas correctivas</w:t>
      </w:r>
    </w:p>
    <w:p w14:paraId="31EE6645" w14:textId="77777777" w:rsidR="00564E13" w:rsidRPr="00A156F4" w:rsidRDefault="00564E13" w:rsidP="00564E13">
      <w:pPr>
        <w:ind w:left="851"/>
        <w:jc w:val="both"/>
        <w:rPr>
          <w:sz w:val="22"/>
          <w:szCs w:val="22"/>
        </w:rPr>
      </w:pPr>
    </w:p>
    <w:p w14:paraId="21D62E6C" w14:textId="77C44288" w:rsidR="00564E13" w:rsidRPr="00A156F4" w:rsidRDefault="00564E13" w:rsidP="00564E13">
      <w:pPr>
        <w:ind w:left="851"/>
        <w:jc w:val="both"/>
        <w:rPr>
          <w:sz w:val="22"/>
          <w:szCs w:val="22"/>
        </w:rPr>
      </w:pPr>
      <w:r w:rsidRPr="00A156F4">
        <w:rPr>
          <w:sz w:val="22"/>
          <w:szCs w:val="22"/>
        </w:rPr>
        <w:t xml:space="preserve">Sin perjuicio de la sanción que corresponda, la </w:t>
      </w:r>
      <w:proofErr w:type="spellStart"/>
      <w:r w:rsidRPr="00A156F4">
        <w:rPr>
          <w:sz w:val="22"/>
          <w:szCs w:val="22"/>
        </w:rPr>
        <w:t>Sutel</w:t>
      </w:r>
      <w:proofErr w:type="spellEnd"/>
      <w:r w:rsidRPr="00A156F4">
        <w:rPr>
          <w:sz w:val="22"/>
          <w:szCs w:val="22"/>
        </w:rPr>
        <w:t xml:space="preserve"> podrá imponer a los operadores y proveedores las medidas correctivas establecidas en los incisos a) y b) y f) del artículo </w:t>
      </w:r>
      <w:r w:rsidR="009E0C5B" w:rsidRPr="00A156F4">
        <w:rPr>
          <w:sz w:val="22"/>
          <w:szCs w:val="22"/>
        </w:rPr>
        <w:t>103</w:t>
      </w:r>
      <w:r w:rsidRPr="00A156F4">
        <w:rPr>
          <w:sz w:val="22"/>
          <w:szCs w:val="22"/>
        </w:rPr>
        <w:t xml:space="preserve"> de la Ley de Fortalecimiento de las Autoridades de Competencia de Costa Rica, cuando realicen prácticas monopolísticas o concentraciones no autorizadas en esta Ley.”</w:t>
      </w:r>
    </w:p>
    <w:p w14:paraId="30BFB868" w14:textId="77777777" w:rsidR="00564E13" w:rsidRPr="00A156F4" w:rsidRDefault="00564E13" w:rsidP="00564E13">
      <w:pPr>
        <w:ind w:left="1416"/>
        <w:jc w:val="both"/>
        <w:rPr>
          <w:sz w:val="22"/>
          <w:szCs w:val="22"/>
        </w:rPr>
      </w:pPr>
    </w:p>
    <w:p w14:paraId="46123916" w14:textId="77777777"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_tradnl" w:eastAsia="es-CR"/>
        </w:rPr>
        <w:t>Adiciónese una frase final al segundo</w:t>
      </w:r>
      <w:r w:rsidRPr="00A156F4">
        <w:rPr>
          <w:rFonts w:ascii="Times New Roman" w:hAnsi="Times New Roman"/>
          <w:lang w:val="es-ES" w:eastAsia="es-CR"/>
        </w:rPr>
        <w:t xml:space="preserve"> párrafo del artículo 65 de </w:t>
      </w:r>
      <w:r w:rsidRPr="00A156F4">
        <w:rPr>
          <w:rFonts w:ascii="Times New Roman" w:hAnsi="Times New Roman"/>
        </w:rPr>
        <w:t xml:space="preserve">la Ley General de Telecomunicaciones, Ley </w:t>
      </w:r>
      <w:proofErr w:type="spellStart"/>
      <w:r w:rsidRPr="00A156F4">
        <w:rPr>
          <w:rFonts w:ascii="Times New Roman" w:hAnsi="Times New Roman"/>
        </w:rPr>
        <w:t>N°</w:t>
      </w:r>
      <w:proofErr w:type="spellEnd"/>
      <w:r w:rsidRPr="00A156F4">
        <w:rPr>
          <w:rFonts w:ascii="Times New Roman" w:hAnsi="Times New Roman"/>
        </w:rPr>
        <w:t>. 8642, del 4 de junio de 2008, sus reformas y sus reglamentos, para que se lean de la siguiente forma:</w:t>
      </w:r>
    </w:p>
    <w:p w14:paraId="4424C986" w14:textId="77777777" w:rsidR="00564E13" w:rsidRPr="00A156F4" w:rsidRDefault="00564E13" w:rsidP="00564E13">
      <w:pPr>
        <w:jc w:val="both"/>
        <w:rPr>
          <w:sz w:val="22"/>
          <w:szCs w:val="22"/>
          <w:lang w:val="es-CR"/>
        </w:rPr>
      </w:pPr>
    </w:p>
    <w:p w14:paraId="5253ECED" w14:textId="77777777" w:rsidR="00564E13" w:rsidRPr="00A156F4" w:rsidRDefault="00564E13" w:rsidP="00564E13">
      <w:pPr>
        <w:ind w:left="851"/>
        <w:jc w:val="both"/>
        <w:rPr>
          <w:b/>
          <w:sz w:val="22"/>
          <w:szCs w:val="22"/>
        </w:rPr>
      </w:pPr>
      <w:r w:rsidRPr="00A156F4">
        <w:rPr>
          <w:b/>
          <w:sz w:val="22"/>
          <w:szCs w:val="22"/>
        </w:rPr>
        <w:t>“ARTÍCULO 65.- Potestad sancionatoria</w:t>
      </w:r>
    </w:p>
    <w:p w14:paraId="78B5125E" w14:textId="77777777" w:rsidR="00564E13" w:rsidRPr="00A156F4" w:rsidRDefault="00564E13" w:rsidP="00564E13">
      <w:pPr>
        <w:ind w:left="851"/>
        <w:jc w:val="both"/>
        <w:rPr>
          <w:sz w:val="22"/>
          <w:szCs w:val="22"/>
        </w:rPr>
      </w:pPr>
      <w:r w:rsidRPr="00A156F4">
        <w:rPr>
          <w:b/>
          <w:bCs/>
          <w:sz w:val="22"/>
          <w:szCs w:val="22"/>
        </w:rPr>
        <w:t>[…]</w:t>
      </w:r>
    </w:p>
    <w:p w14:paraId="558E8AEC" w14:textId="77777777" w:rsidR="00564E13" w:rsidRPr="00A156F4" w:rsidRDefault="00564E13" w:rsidP="00564E13">
      <w:pPr>
        <w:ind w:left="851"/>
        <w:jc w:val="both"/>
        <w:rPr>
          <w:sz w:val="22"/>
          <w:szCs w:val="22"/>
        </w:rPr>
      </w:pPr>
    </w:p>
    <w:p w14:paraId="5874536E" w14:textId="77777777" w:rsidR="00564E13" w:rsidRPr="00A156F4" w:rsidRDefault="00564E13" w:rsidP="00564E13">
      <w:pPr>
        <w:ind w:left="851"/>
        <w:jc w:val="both"/>
        <w:rPr>
          <w:sz w:val="22"/>
          <w:szCs w:val="22"/>
        </w:rPr>
      </w:pPr>
      <w:r w:rsidRPr="00A156F4">
        <w:rPr>
          <w:sz w:val="22"/>
          <w:szCs w:val="22"/>
        </w:rPr>
        <w:t xml:space="preserve">Para la determinar las infracciones y sanciones a las que se refiere el presente capítulo, se estará a lo dispuesto en el libro segundo de la Ley general de la Administración Pública, </w:t>
      </w:r>
      <w:proofErr w:type="spellStart"/>
      <w:r w:rsidRPr="00A156F4">
        <w:rPr>
          <w:sz w:val="22"/>
          <w:szCs w:val="22"/>
        </w:rPr>
        <w:t>N.°</w:t>
      </w:r>
      <w:proofErr w:type="spellEnd"/>
      <w:r w:rsidRPr="00A156F4">
        <w:rPr>
          <w:sz w:val="22"/>
          <w:szCs w:val="22"/>
        </w:rPr>
        <w:t xml:space="preserve"> 6227, de 2 de mayo de 1978, y sus reformas. En el caso de lo dispuesto en el Régimen Sectorial de Competencia, para determinar las infracciones y sanciones a las que se refieren los </w:t>
      </w:r>
      <w:proofErr w:type="spellStart"/>
      <w:r w:rsidRPr="00A156F4">
        <w:rPr>
          <w:sz w:val="22"/>
          <w:szCs w:val="22"/>
        </w:rPr>
        <w:t>subincisos</w:t>
      </w:r>
      <w:proofErr w:type="spellEnd"/>
      <w:r w:rsidRPr="00A156F4">
        <w:rPr>
          <w:sz w:val="22"/>
          <w:szCs w:val="22"/>
        </w:rPr>
        <w:t xml:space="preserve"> 17 del inciso a), 12) del inciso b) y 2) del inciso c) del artículo 67 de esta Ley se estará a lo dispuesto en el procedimiento especial dispuesto en el Título III de la Ley de Fortalecimiento de las Autoridades de Competencia de Costa Rica.</w:t>
      </w:r>
    </w:p>
    <w:p w14:paraId="01B178AF" w14:textId="77777777" w:rsidR="00564E13" w:rsidRPr="00A156F4" w:rsidRDefault="00564E13" w:rsidP="00564E13">
      <w:pPr>
        <w:pStyle w:val="Prrafodelista"/>
        <w:spacing w:after="0" w:line="240" w:lineRule="auto"/>
        <w:ind w:left="851"/>
        <w:jc w:val="both"/>
        <w:rPr>
          <w:rFonts w:ascii="Times New Roman" w:hAnsi="Times New Roman"/>
          <w:i/>
          <w:iCs/>
          <w:lang w:val="es-ES_tradnl"/>
        </w:rPr>
      </w:pPr>
    </w:p>
    <w:p w14:paraId="106F7D43" w14:textId="77777777" w:rsidR="00564E13" w:rsidRPr="00A156F4" w:rsidRDefault="00564E13" w:rsidP="00564E13">
      <w:pPr>
        <w:ind w:left="851"/>
        <w:jc w:val="both"/>
        <w:rPr>
          <w:sz w:val="22"/>
          <w:szCs w:val="22"/>
        </w:rPr>
      </w:pPr>
      <w:r w:rsidRPr="00A156F4">
        <w:rPr>
          <w:sz w:val="22"/>
          <w:szCs w:val="22"/>
        </w:rPr>
        <w:t>El resto se mantiene igual.</w:t>
      </w:r>
    </w:p>
    <w:p w14:paraId="202522D9" w14:textId="77777777" w:rsidR="00564E13" w:rsidRPr="00A156F4" w:rsidRDefault="00564E13" w:rsidP="00564E13">
      <w:pPr>
        <w:ind w:left="851"/>
        <w:jc w:val="both"/>
        <w:rPr>
          <w:i/>
          <w:iCs/>
          <w:sz w:val="22"/>
          <w:szCs w:val="22"/>
        </w:rPr>
      </w:pPr>
    </w:p>
    <w:p w14:paraId="4BB6AF74" w14:textId="1C8621DD" w:rsidR="00564E13" w:rsidRPr="00A156F4" w:rsidRDefault="00564E13" w:rsidP="00117EE5">
      <w:pPr>
        <w:pStyle w:val="Prrafodelista"/>
        <w:numPr>
          <w:ilvl w:val="0"/>
          <w:numId w:val="24"/>
        </w:numPr>
        <w:spacing w:after="0" w:line="240" w:lineRule="auto"/>
        <w:ind w:left="0" w:firstLine="0"/>
        <w:jc w:val="both"/>
        <w:rPr>
          <w:rFonts w:ascii="Times New Roman" w:hAnsi="Times New Roman"/>
          <w:i/>
          <w:iCs/>
        </w:rPr>
      </w:pPr>
      <w:r w:rsidRPr="00A156F4">
        <w:rPr>
          <w:rFonts w:ascii="Times New Roman" w:hAnsi="Times New Roman"/>
          <w:lang w:val="es-ES_tradnl" w:eastAsia="es-CR"/>
        </w:rPr>
        <w:t>Modifíquese en el artículo 67, inciso a), los acápites 13),</w:t>
      </w:r>
      <w:r w:rsidR="00FA74D3" w:rsidRPr="00A156F4">
        <w:rPr>
          <w:rFonts w:ascii="Times New Roman" w:hAnsi="Times New Roman"/>
          <w:lang w:val="es-ES_tradnl" w:eastAsia="es-CR"/>
        </w:rPr>
        <w:t xml:space="preserve"> </w:t>
      </w:r>
      <w:r w:rsidRPr="00A156F4">
        <w:rPr>
          <w:rFonts w:ascii="Times New Roman" w:hAnsi="Times New Roman"/>
          <w:lang w:val="es-ES_tradnl" w:eastAsia="es-CR"/>
        </w:rPr>
        <w:t xml:space="preserve">elimínese el acápite14) sin correr la numeración y adiciónese un nuevo acápite en el inciso b) y un nuevo acápite en el inciso c), </w:t>
      </w:r>
      <w:r w:rsidRPr="00A156F4">
        <w:rPr>
          <w:rFonts w:ascii="Times New Roman" w:hAnsi="Times New Roman"/>
        </w:rPr>
        <w:t>para que se lean de la siguiente forma:</w:t>
      </w:r>
    </w:p>
    <w:p w14:paraId="3A75E010" w14:textId="77777777" w:rsidR="00564E13" w:rsidRPr="00A156F4" w:rsidRDefault="00564E13" w:rsidP="00564E13">
      <w:pPr>
        <w:jc w:val="both"/>
        <w:rPr>
          <w:sz w:val="22"/>
          <w:szCs w:val="22"/>
          <w:lang w:val="es-CR"/>
        </w:rPr>
      </w:pPr>
    </w:p>
    <w:p w14:paraId="5721A75E" w14:textId="77777777" w:rsidR="00564E13" w:rsidRPr="00A156F4" w:rsidRDefault="00564E13" w:rsidP="00564E13">
      <w:pPr>
        <w:ind w:left="851"/>
        <w:jc w:val="both"/>
        <w:rPr>
          <w:sz w:val="22"/>
          <w:szCs w:val="22"/>
        </w:rPr>
      </w:pPr>
      <w:r w:rsidRPr="00A156F4">
        <w:rPr>
          <w:b/>
          <w:sz w:val="22"/>
          <w:szCs w:val="22"/>
        </w:rPr>
        <w:t>“ARTÍCULO 67.- Clases de infracciones</w:t>
      </w:r>
    </w:p>
    <w:p w14:paraId="411EAE05" w14:textId="77777777" w:rsidR="00564E13" w:rsidRPr="00A156F4" w:rsidRDefault="00564E13" w:rsidP="00564E13">
      <w:pPr>
        <w:ind w:left="851"/>
        <w:jc w:val="both"/>
        <w:rPr>
          <w:sz w:val="22"/>
          <w:szCs w:val="22"/>
        </w:rPr>
      </w:pPr>
    </w:p>
    <w:p w14:paraId="5106CCBC" w14:textId="77777777" w:rsidR="00564E13" w:rsidRPr="00A156F4" w:rsidRDefault="00564E13" w:rsidP="00564E13">
      <w:pPr>
        <w:ind w:left="851"/>
        <w:jc w:val="both"/>
        <w:rPr>
          <w:sz w:val="22"/>
          <w:szCs w:val="22"/>
        </w:rPr>
      </w:pPr>
      <w:r w:rsidRPr="00A156F4">
        <w:rPr>
          <w:sz w:val="22"/>
          <w:szCs w:val="22"/>
        </w:rPr>
        <w:t>Las infracciones en materia de telecomunicaciones pueden ser muy graves o graves.</w:t>
      </w:r>
    </w:p>
    <w:p w14:paraId="0CE916C0" w14:textId="77777777" w:rsidR="00564E13" w:rsidRPr="00A156F4" w:rsidRDefault="00564E13" w:rsidP="00564E13">
      <w:pPr>
        <w:ind w:left="851"/>
        <w:jc w:val="both"/>
        <w:rPr>
          <w:sz w:val="22"/>
          <w:szCs w:val="22"/>
        </w:rPr>
      </w:pPr>
    </w:p>
    <w:p w14:paraId="651A7E0B" w14:textId="77777777" w:rsidR="00564E13" w:rsidRPr="00A156F4" w:rsidRDefault="00564E13" w:rsidP="00564E13">
      <w:pPr>
        <w:ind w:left="851"/>
        <w:jc w:val="both"/>
        <w:rPr>
          <w:sz w:val="22"/>
          <w:szCs w:val="22"/>
        </w:rPr>
      </w:pPr>
      <w:r w:rsidRPr="00A156F4">
        <w:rPr>
          <w:sz w:val="22"/>
          <w:szCs w:val="22"/>
        </w:rPr>
        <w:t>a)</w:t>
      </w:r>
      <w:r w:rsidRPr="00A156F4">
        <w:rPr>
          <w:sz w:val="22"/>
          <w:szCs w:val="22"/>
        </w:rPr>
        <w:tab/>
        <w:t>Son infracciones muy graves:</w:t>
      </w:r>
    </w:p>
    <w:p w14:paraId="446251F9" w14:textId="77777777" w:rsidR="00564E13" w:rsidRPr="00A156F4" w:rsidRDefault="00564E13" w:rsidP="00564E13">
      <w:pPr>
        <w:ind w:left="851"/>
        <w:jc w:val="both"/>
        <w:rPr>
          <w:sz w:val="22"/>
          <w:szCs w:val="22"/>
        </w:rPr>
      </w:pPr>
    </w:p>
    <w:p w14:paraId="0AEF9F78" w14:textId="77777777" w:rsidR="00564E13" w:rsidRPr="00A156F4" w:rsidRDefault="00564E13" w:rsidP="00564E13">
      <w:pPr>
        <w:ind w:left="851"/>
        <w:jc w:val="both"/>
        <w:rPr>
          <w:sz w:val="22"/>
          <w:szCs w:val="22"/>
        </w:rPr>
      </w:pPr>
      <w:r w:rsidRPr="00A156F4">
        <w:rPr>
          <w:b/>
          <w:bCs/>
          <w:sz w:val="22"/>
          <w:szCs w:val="22"/>
        </w:rPr>
        <w:t>[…]</w:t>
      </w:r>
    </w:p>
    <w:p w14:paraId="25C56230" w14:textId="77777777" w:rsidR="00564E13" w:rsidRPr="00A156F4" w:rsidRDefault="00564E13" w:rsidP="00564E13">
      <w:pPr>
        <w:ind w:left="851"/>
        <w:jc w:val="both"/>
        <w:rPr>
          <w:sz w:val="22"/>
          <w:szCs w:val="22"/>
        </w:rPr>
      </w:pPr>
    </w:p>
    <w:p w14:paraId="205489A1" w14:textId="22905B07" w:rsidR="00564E13" w:rsidRPr="00A156F4" w:rsidRDefault="00564E13" w:rsidP="00564E13">
      <w:pPr>
        <w:ind w:left="851"/>
        <w:jc w:val="both"/>
        <w:rPr>
          <w:sz w:val="22"/>
          <w:szCs w:val="22"/>
        </w:rPr>
      </w:pPr>
      <w:r w:rsidRPr="00A156F4">
        <w:rPr>
          <w:sz w:val="22"/>
          <w:szCs w:val="22"/>
        </w:rPr>
        <w:t>13)</w:t>
      </w:r>
      <w:r w:rsidRPr="00A156F4">
        <w:rPr>
          <w:sz w:val="22"/>
          <w:szCs w:val="22"/>
        </w:rPr>
        <w:tab/>
        <w:t xml:space="preserve">Cometer las infracciones a las que se refiere el artículo </w:t>
      </w:r>
      <w:r w:rsidR="009E0C5B" w:rsidRPr="00A156F4">
        <w:rPr>
          <w:sz w:val="22"/>
          <w:szCs w:val="22"/>
        </w:rPr>
        <w:t>117</w:t>
      </w:r>
      <w:r w:rsidRPr="00A156F4">
        <w:rPr>
          <w:sz w:val="22"/>
          <w:szCs w:val="22"/>
        </w:rPr>
        <w:t xml:space="preserve"> de la Ley de Fortalecimiento de las Autoridades de Competencia de Costa Rica.</w:t>
      </w:r>
    </w:p>
    <w:p w14:paraId="6630B62F" w14:textId="77777777" w:rsidR="00564E13" w:rsidRPr="00A156F4" w:rsidRDefault="00564E13" w:rsidP="00564E13">
      <w:pPr>
        <w:ind w:left="851"/>
        <w:jc w:val="both"/>
        <w:rPr>
          <w:i/>
          <w:iCs/>
          <w:sz w:val="22"/>
          <w:szCs w:val="22"/>
        </w:rPr>
      </w:pPr>
    </w:p>
    <w:p w14:paraId="75CA1AF6" w14:textId="77777777" w:rsidR="00564E13" w:rsidRPr="00A156F4" w:rsidRDefault="00564E13" w:rsidP="00564E13">
      <w:pPr>
        <w:ind w:left="851"/>
        <w:jc w:val="both"/>
        <w:rPr>
          <w:i/>
          <w:iCs/>
          <w:sz w:val="22"/>
          <w:szCs w:val="22"/>
        </w:rPr>
      </w:pPr>
    </w:p>
    <w:p w14:paraId="6579532A" w14:textId="77777777" w:rsidR="00564E13" w:rsidRPr="00A156F4" w:rsidRDefault="00564E13" w:rsidP="00564E13">
      <w:pPr>
        <w:ind w:left="851"/>
        <w:jc w:val="both"/>
        <w:rPr>
          <w:sz w:val="22"/>
          <w:szCs w:val="22"/>
        </w:rPr>
      </w:pPr>
      <w:r w:rsidRPr="00A156F4">
        <w:rPr>
          <w:sz w:val="22"/>
          <w:szCs w:val="22"/>
        </w:rPr>
        <w:t>14)</w:t>
      </w:r>
      <w:r w:rsidRPr="00A156F4">
        <w:rPr>
          <w:sz w:val="22"/>
          <w:szCs w:val="22"/>
        </w:rPr>
        <w:tab/>
        <w:t xml:space="preserve">Derogado. </w:t>
      </w:r>
    </w:p>
    <w:p w14:paraId="7A785F93" w14:textId="77777777" w:rsidR="00564E13" w:rsidRPr="00A156F4" w:rsidRDefault="00564E13" w:rsidP="00564E13">
      <w:pPr>
        <w:ind w:left="851"/>
        <w:jc w:val="both"/>
        <w:rPr>
          <w:sz w:val="22"/>
          <w:szCs w:val="22"/>
        </w:rPr>
      </w:pPr>
    </w:p>
    <w:p w14:paraId="76F78B20" w14:textId="77777777" w:rsidR="00564E13" w:rsidRPr="00A156F4" w:rsidRDefault="00564E13" w:rsidP="00564E13">
      <w:pPr>
        <w:ind w:left="851"/>
        <w:jc w:val="both"/>
        <w:rPr>
          <w:sz w:val="22"/>
          <w:szCs w:val="22"/>
        </w:rPr>
      </w:pPr>
      <w:r w:rsidRPr="00A156F4">
        <w:rPr>
          <w:sz w:val="22"/>
          <w:szCs w:val="22"/>
        </w:rPr>
        <w:t>b) Son infracciones graves:</w:t>
      </w:r>
    </w:p>
    <w:p w14:paraId="11A14D3A" w14:textId="77777777" w:rsidR="00564E13" w:rsidRPr="00A156F4" w:rsidRDefault="00564E13" w:rsidP="00564E13">
      <w:pPr>
        <w:ind w:left="851"/>
        <w:jc w:val="both"/>
        <w:rPr>
          <w:sz w:val="22"/>
          <w:szCs w:val="22"/>
        </w:rPr>
      </w:pPr>
    </w:p>
    <w:p w14:paraId="741C749F" w14:textId="77777777" w:rsidR="00564E13" w:rsidRPr="00A156F4" w:rsidRDefault="00564E13" w:rsidP="00564E13">
      <w:pPr>
        <w:ind w:left="851"/>
        <w:jc w:val="both"/>
        <w:rPr>
          <w:sz w:val="22"/>
          <w:szCs w:val="22"/>
        </w:rPr>
      </w:pPr>
      <w:r w:rsidRPr="00A156F4">
        <w:rPr>
          <w:b/>
          <w:bCs/>
          <w:sz w:val="22"/>
          <w:szCs w:val="22"/>
        </w:rPr>
        <w:t>[…]</w:t>
      </w:r>
    </w:p>
    <w:p w14:paraId="02B2EDB4" w14:textId="77777777" w:rsidR="00564E13" w:rsidRPr="00A156F4" w:rsidRDefault="00564E13" w:rsidP="00564E13">
      <w:pPr>
        <w:ind w:left="851"/>
        <w:jc w:val="both"/>
        <w:rPr>
          <w:sz w:val="22"/>
          <w:szCs w:val="22"/>
        </w:rPr>
      </w:pPr>
    </w:p>
    <w:p w14:paraId="2555C246" w14:textId="62E3AF90" w:rsidR="00564E13" w:rsidRPr="00A156F4" w:rsidRDefault="00564E13" w:rsidP="00564E13">
      <w:pPr>
        <w:ind w:left="851"/>
        <w:jc w:val="both"/>
        <w:rPr>
          <w:sz w:val="22"/>
          <w:szCs w:val="22"/>
        </w:rPr>
      </w:pPr>
      <w:r w:rsidRPr="00A156F4">
        <w:rPr>
          <w:sz w:val="22"/>
          <w:szCs w:val="22"/>
        </w:rPr>
        <w:t xml:space="preserve">12. Cometer las infracciones a las que se refiere el artículo </w:t>
      </w:r>
      <w:r w:rsidR="009E0C5B" w:rsidRPr="00A156F4">
        <w:rPr>
          <w:sz w:val="22"/>
          <w:szCs w:val="22"/>
        </w:rPr>
        <w:t>116</w:t>
      </w:r>
      <w:r w:rsidRPr="00A156F4">
        <w:rPr>
          <w:sz w:val="22"/>
          <w:szCs w:val="22"/>
        </w:rPr>
        <w:t xml:space="preserve"> de la Ley de Fortalecimiento de las Autoridades de Competencia de Costa Rica.</w:t>
      </w:r>
    </w:p>
    <w:p w14:paraId="660AAD87" w14:textId="77777777" w:rsidR="00564E13" w:rsidRPr="00A156F4" w:rsidRDefault="00564E13" w:rsidP="00564E13">
      <w:pPr>
        <w:ind w:left="851"/>
        <w:jc w:val="both"/>
        <w:rPr>
          <w:i/>
          <w:iCs/>
          <w:sz w:val="22"/>
          <w:szCs w:val="22"/>
        </w:rPr>
      </w:pPr>
    </w:p>
    <w:p w14:paraId="42B00A6E" w14:textId="77777777" w:rsidR="00564E13" w:rsidRPr="00A156F4" w:rsidRDefault="00564E13" w:rsidP="00564E13">
      <w:pPr>
        <w:ind w:left="851"/>
        <w:jc w:val="both"/>
        <w:rPr>
          <w:sz w:val="22"/>
          <w:szCs w:val="22"/>
        </w:rPr>
      </w:pPr>
      <w:r w:rsidRPr="00A156F4">
        <w:rPr>
          <w:sz w:val="22"/>
          <w:szCs w:val="22"/>
        </w:rPr>
        <w:t>c)</w:t>
      </w:r>
      <w:r w:rsidRPr="00A156F4">
        <w:rPr>
          <w:sz w:val="22"/>
          <w:szCs w:val="22"/>
        </w:rPr>
        <w:tab/>
        <w:t>Son infracciones leves:</w:t>
      </w:r>
    </w:p>
    <w:p w14:paraId="768CF77F" w14:textId="77777777" w:rsidR="00564E13" w:rsidRPr="00A156F4" w:rsidRDefault="00564E13" w:rsidP="00564E13">
      <w:pPr>
        <w:ind w:left="851"/>
        <w:jc w:val="both"/>
        <w:rPr>
          <w:i/>
          <w:iCs/>
          <w:sz w:val="22"/>
          <w:szCs w:val="22"/>
        </w:rPr>
      </w:pPr>
    </w:p>
    <w:p w14:paraId="18FFC5AA" w14:textId="77777777" w:rsidR="00564E13" w:rsidRPr="00A156F4" w:rsidRDefault="00564E13" w:rsidP="00564E13">
      <w:pPr>
        <w:ind w:left="851"/>
        <w:jc w:val="both"/>
        <w:rPr>
          <w:sz w:val="22"/>
          <w:szCs w:val="22"/>
        </w:rPr>
      </w:pPr>
      <w:r w:rsidRPr="00A156F4">
        <w:rPr>
          <w:b/>
          <w:bCs/>
          <w:sz w:val="22"/>
          <w:szCs w:val="22"/>
        </w:rPr>
        <w:t>[…]</w:t>
      </w:r>
    </w:p>
    <w:p w14:paraId="274ECE6B" w14:textId="77777777" w:rsidR="00564E13" w:rsidRPr="00A156F4" w:rsidRDefault="00564E13" w:rsidP="00564E13">
      <w:pPr>
        <w:ind w:left="851"/>
        <w:jc w:val="both"/>
        <w:rPr>
          <w:i/>
          <w:iCs/>
          <w:sz w:val="22"/>
          <w:szCs w:val="22"/>
        </w:rPr>
      </w:pPr>
    </w:p>
    <w:p w14:paraId="1551B98A" w14:textId="76257E48" w:rsidR="00564E13" w:rsidRPr="00A156F4" w:rsidRDefault="00564E13" w:rsidP="00564E13">
      <w:pPr>
        <w:ind w:left="851"/>
        <w:jc w:val="both"/>
        <w:rPr>
          <w:sz w:val="22"/>
          <w:szCs w:val="22"/>
        </w:rPr>
      </w:pPr>
      <w:r w:rsidRPr="00A156F4">
        <w:rPr>
          <w:sz w:val="22"/>
          <w:szCs w:val="22"/>
        </w:rPr>
        <w:t>2)</w:t>
      </w:r>
      <w:r w:rsidRPr="00A156F4">
        <w:rPr>
          <w:sz w:val="22"/>
          <w:szCs w:val="22"/>
        </w:rPr>
        <w:tab/>
        <w:t xml:space="preserve">Cometer las infracciones a las que se refiere el artículo </w:t>
      </w:r>
      <w:r w:rsidR="009E0C5B" w:rsidRPr="00A156F4">
        <w:rPr>
          <w:sz w:val="22"/>
          <w:szCs w:val="22"/>
        </w:rPr>
        <w:t>115</w:t>
      </w:r>
      <w:r w:rsidRPr="00A156F4">
        <w:rPr>
          <w:sz w:val="22"/>
          <w:szCs w:val="22"/>
        </w:rPr>
        <w:t xml:space="preserve"> de la Ley de Fortalecimiento de las Autoridades de Competencia de Costa Rica”.</w:t>
      </w:r>
    </w:p>
    <w:p w14:paraId="7B478E5D" w14:textId="77777777" w:rsidR="00564E13" w:rsidRPr="00A156F4" w:rsidRDefault="00564E13" w:rsidP="00564E13">
      <w:pPr>
        <w:ind w:left="851"/>
        <w:jc w:val="both"/>
        <w:rPr>
          <w:i/>
          <w:iCs/>
          <w:sz w:val="22"/>
          <w:szCs w:val="22"/>
        </w:rPr>
      </w:pPr>
    </w:p>
    <w:p w14:paraId="032D7E93" w14:textId="77777777" w:rsidR="00564E13" w:rsidRPr="00A156F4" w:rsidRDefault="00564E13" w:rsidP="00564E13">
      <w:pPr>
        <w:ind w:left="851"/>
        <w:jc w:val="both"/>
        <w:rPr>
          <w:sz w:val="22"/>
          <w:szCs w:val="22"/>
        </w:rPr>
      </w:pPr>
      <w:r w:rsidRPr="00A156F4">
        <w:rPr>
          <w:sz w:val="22"/>
          <w:szCs w:val="22"/>
        </w:rPr>
        <w:t>El resto se mantiene igual.</w:t>
      </w:r>
    </w:p>
    <w:p w14:paraId="035D7964" w14:textId="77777777" w:rsidR="00564E13" w:rsidRPr="00A156F4" w:rsidRDefault="00564E13" w:rsidP="00564E13">
      <w:pPr>
        <w:jc w:val="both"/>
        <w:rPr>
          <w:b/>
          <w:sz w:val="22"/>
          <w:szCs w:val="22"/>
        </w:rPr>
      </w:pPr>
    </w:p>
    <w:p w14:paraId="34069659" w14:textId="3D8E60F1" w:rsidR="00564E13" w:rsidRPr="00A156F4" w:rsidRDefault="00564E13" w:rsidP="00564E13">
      <w:pPr>
        <w:jc w:val="both"/>
        <w:rPr>
          <w:b/>
          <w:sz w:val="22"/>
          <w:szCs w:val="22"/>
        </w:rPr>
      </w:pPr>
      <w:r w:rsidRPr="00A156F4">
        <w:rPr>
          <w:b/>
          <w:sz w:val="22"/>
          <w:szCs w:val="22"/>
        </w:rPr>
        <w:t>Artículo</w:t>
      </w:r>
      <w:r w:rsidRPr="00A156F4">
        <w:rPr>
          <w:b/>
          <w:bCs/>
          <w:sz w:val="22"/>
          <w:szCs w:val="22"/>
        </w:rPr>
        <w:t xml:space="preserve"> </w:t>
      </w:r>
      <w:r w:rsidRPr="00A156F4">
        <w:rPr>
          <w:b/>
          <w:sz w:val="22"/>
          <w:szCs w:val="22"/>
        </w:rPr>
        <w:t>1</w:t>
      </w:r>
      <w:r w:rsidR="00701AF7" w:rsidRPr="00A156F4">
        <w:rPr>
          <w:b/>
          <w:sz w:val="22"/>
          <w:szCs w:val="22"/>
        </w:rPr>
        <w:t>4</w:t>
      </w:r>
      <w:r w:rsidR="00D80091" w:rsidRPr="00A156F4">
        <w:rPr>
          <w:b/>
          <w:sz w:val="22"/>
          <w:szCs w:val="22"/>
        </w:rPr>
        <w:t>0</w:t>
      </w:r>
      <w:r w:rsidRPr="00A156F4">
        <w:rPr>
          <w:b/>
          <w:sz w:val="22"/>
          <w:szCs w:val="22"/>
        </w:rPr>
        <w:t>.- Reglamentación</w:t>
      </w:r>
    </w:p>
    <w:p w14:paraId="7BC29475" w14:textId="77777777" w:rsidR="00564E13" w:rsidRPr="00A156F4" w:rsidRDefault="00564E13" w:rsidP="00564E13">
      <w:pPr>
        <w:jc w:val="both"/>
        <w:rPr>
          <w:sz w:val="22"/>
          <w:szCs w:val="22"/>
        </w:rPr>
      </w:pPr>
    </w:p>
    <w:p w14:paraId="2EF7969E" w14:textId="5739606D" w:rsidR="0082752D" w:rsidRPr="00A156F4" w:rsidRDefault="00564E13" w:rsidP="0082752D">
      <w:pPr>
        <w:widowControl w:val="0"/>
        <w:tabs>
          <w:tab w:val="left" w:pos="5103"/>
        </w:tabs>
        <w:jc w:val="both"/>
        <w:outlineLvl w:val="0"/>
        <w:rPr>
          <w:sz w:val="22"/>
          <w:szCs w:val="22"/>
        </w:rPr>
      </w:pPr>
      <w:r w:rsidRPr="00A156F4">
        <w:rPr>
          <w:sz w:val="22"/>
          <w:szCs w:val="22"/>
        </w:rPr>
        <w:t xml:space="preserve">El Poder Ejecutivo, con la participación de las autoridades de competencia reglamentará la presente ley dentro de un plazo de seis meses contado desde la integración la </w:t>
      </w:r>
      <w:proofErr w:type="spellStart"/>
      <w:r w:rsidRPr="00A156F4">
        <w:rPr>
          <w:sz w:val="22"/>
          <w:szCs w:val="22"/>
        </w:rPr>
        <w:t>Coprocom</w:t>
      </w:r>
      <w:proofErr w:type="spellEnd"/>
      <w:r w:rsidRPr="00A156F4">
        <w:rPr>
          <w:sz w:val="22"/>
          <w:szCs w:val="22"/>
        </w:rPr>
        <w:t>. La falta de reglamentación no impedirá su aplicación.</w:t>
      </w:r>
      <w:bookmarkStart w:id="53" w:name="_Hlk523045664"/>
    </w:p>
    <w:p w14:paraId="6B59E7DD" w14:textId="77777777" w:rsidR="0082752D" w:rsidRPr="00A156F4" w:rsidRDefault="0082752D" w:rsidP="00762F13">
      <w:pPr>
        <w:widowControl w:val="0"/>
        <w:tabs>
          <w:tab w:val="left" w:pos="5103"/>
        </w:tabs>
        <w:jc w:val="center"/>
        <w:outlineLvl w:val="0"/>
        <w:rPr>
          <w:b/>
          <w:sz w:val="22"/>
          <w:szCs w:val="22"/>
        </w:rPr>
      </w:pPr>
    </w:p>
    <w:p w14:paraId="7320F986" w14:textId="77777777" w:rsidR="00762F13" w:rsidRPr="00A156F4" w:rsidRDefault="00762F13" w:rsidP="00762F13">
      <w:pPr>
        <w:widowControl w:val="0"/>
        <w:tabs>
          <w:tab w:val="left" w:pos="5103"/>
        </w:tabs>
        <w:jc w:val="center"/>
        <w:outlineLvl w:val="0"/>
        <w:rPr>
          <w:b/>
          <w:sz w:val="22"/>
          <w:szCs w:val="22"/>
        </w:rPr>
      </w:pPr>
      <w:r w:rsidRPr="00A156F4">
        <w:rPr>
          <w:b/>
          <w:sz w:val="22"/>
          <w:szCs w:val="22"/>
        </w:rPr>
        <w:t>CAPÍTULO II</w:t>
      </w:r>
    </w:p>
    <w:p w14:paraId="53118DC7" w14:textId="77777777" w:rsidR="00B62B4A" w:rsidRPr="00A156F4" w:rsidRDefault="00762F13" w:rsidP="00C1402A">
      <w:pPr>
        <w:widowControl w:val="0"/>
        <w:tabs>
          <w:tab w:val="left" w:pos="5103"/>
        </w:tabs>
        <w:jc w:val="center"/>
        <w:rPr>
          <w:b/>
          <w:sz w:val="22"/>
          <w:szCs w:val="22"/>
        </w:rPr>
      </w:pPr>
      <w:r w:rsidRPr="00A156F4">
        <w:rPr>
          <w:b/>
          <w:sz w:val="22"/>
          <w:szCs w:val="22"/>
        </w:rPr>
        <w:t>Disposiciones transitorias</w:t>
      </w:r>
      <w:bookmarkEnd w:id="53"/>
    </w:p>
    <w:p w14:paraId="6378EE1F" w14:textId="77777777" w:rsidR="00762F13" w:rsidRPr="00A156F4" w:rsidRDefault="00762F13" w:rsidP="00762F13">
      <w:pPr>
        <w:widowControl w:val="0"/>
        <w:tabs>
          <w:tab w:val="left" w:pos="5103"/>
        </w:tabs>
        <w:jc w:val="both"/>
        <w:outlineLvl w:val="0"/>
        <w:rPr>
          <w:b/>
          <w:sz w:val="22"/>
          <w:szCs w:val="22"/>
        </w:rPr>
      </w:pPr>
      <w:r w:rsidRPr="00A156F4">
        <w:rPr>
          <w:b/>
          <w:sz w:val="22"/>
          <w:szCs w:val="22"/>
        </w:rPr>
        <w:t>Transitorio I.-</w:t>
      </w:r>
    </w:p>
    <w:p w14:paraId="31540B81" w14:textId="77777777" w:rsidR="00762F13" w:rsidRPr="00A156F4" w:rsidRDefault="00762F13" w:rsidP="00762F13">
      <w:pPr>
        <w:widowControl w:val="0"/>
        <w:jc w:val="both"/>
        <w:rPr>
          <w:sz w:val="22"/>
          <w:szCs w:val="22"/>
        </w:rPr>
      </w:pPr>
    </w:p>
    <w:p w14:paraId="004A3174" w14:textId="01F7EEDB" w:rsidR="00762F13" w:rsidRPr="00A156F4" w:rsidRDefault="00762F13" w:rsidP="00762F13">
      <w:pPr>
        <w:widowControl w:val="0"/>
        <w:jc w:val="both"/>
        <w:rPr>
          <w:sz w:val="22"/>
          <w:szCs w:val="22"/>
        </w:rPr>
      </w:pPr>
      <w:r w:rsidRPr="00A156F4">
        <w:rPr>
          <w:sz w:val="22"/>
          <w:szCs w:val="22"/>
        </w:rPr>
        <w:t xml:space="preserve">La vigencia del periodo de los nombramientos de los actuales comisionados de la Comisión para Promover la Competencia se mantendrá hasta que la nueva Comisión se encuentre conformada. Ante ausencia permanente de algún comisionado actual de la Comisión para Promover la Competencia, si la nueva Comisión aún no se encuentra conformada, éste podrá ser sustituido mediante los procedimientos previstos en la normativa vigente antes de la publicación de </w:t>
      </w:r>
      <w:r w:rsidR="00700641">
        <w:rPr>
          <w:sz w:val="22"/>
          <w:szCs w:val="22"/>
        </w:rPr>
        <w:t>la presente</w:t>
      </w:r>
      <w:r w:rsidRPr="00A156F4">
        <w:rPr>
          <w:sz w:val="22"/>
          <w:szCs w:val="22"/>
        </w:rPr>
        <w:t xml:space="preserve"> ley, en cuyo caso el nombramiento será por el plazo necesario hasta que se conforme la nueva Comisión. Los comisionados actuales de la Comisión para Promover la </w:t>
      </w:r>
      <w:proofErr w:type="gramStart"/>
      <w:r w:rsidRPr="00A156F4">
        <w:rPr>
          <w:sz w:val="22"/>
          <w:szCs w:val="22"/>
        </w:rPr>
        <w:t>Competencia,</w:t>
      </w:r>
      <w:proofErr w:type="gramEnd"/>
      <w:r w:rsidRPr="00A156F4">
        <w:rPr>
          <w:sz w:val="22"/>
          <w:szCs w:val="22"/>
        </w:rPr>
        <w:t xml:space="preserve"> podrán participar en el concurso público de selección de los nuevos miembros permanentes o suplentes la </w:t>
      </w:r>
      <w:proofErr w:type="spellStart"/>
      <w:r w:rsidRPr="00A156F4">
        <w:rPr>
          <w:sz w:val="22"/>
          <w:szCs w:val="22"/>
        </w:rPr>
        <w:t>Coprocom</w:t>
      </w:r>
      <w:proofErr w:type="spellEnd"/>
      <w:r w:rsidRPr="00A156F4">
        <w:rPr>
          <w:sz w:val="22"/>
          <w:szCs w:val="22"/>
        </w:rPr>
        <w:t xml:space="preserve">. </w:t>
      </w:r>
    </w:p>
    <w:p w14:paraId="3957DD99" w14:textId="77777777" w:rsidR="00762F13" w:rsidRPr="00A156F4" w:rsidRDefault="00762F13" w:rsidP="00762F13">
      <w:pPr>
        <w:widowControl w:val="0"/>
        <w:tabs>
          <w:tab w:val="left" w:pos="5103"/>
        </w:tabs>
        <w:jc w:val="both"/>
        <w:rPr>
          <w:sz w:val="22"/>
          <w:szCs w:val="22"/>
        </w:rPr>
      </w:pPr>
    </w:p>
    <w:p w14:paraId="7ADD01BC" w14:textId="77777777" w:rsidR="00762F13" w:rsidRPr="00A156F4" w:rsidRDefault="00762F13" w:rsidP="00762F13">
      <w:pPr>
        <w:widowControl w:val="0"/>
        <w:tabs>
          <w:tab w:val="left" w:pos="5103"/>
        </w:tabs>
        <w:jc w:val="both"/>
        <w:rPr>
          <w:b/>
          <w:sz w:val="22"/>
          <w:szCs w:val="22"/>
        </w:rPr>
      </w:pPr>
      <w:r w:rsidRPr="00A156F4">
        <w:rPr>
          <w:b/>
          <w:sz w:val="22"/>
          <w:szCs w:val="22"/>
        </w:rPr>
        <w:t>Transitorio II.-</w:t>
      </w:r>
    </w:p>
    <w:p w14:paraId="0B9878A5" w14:textId="77777777" w:rsidR="00762F13" w:rsidRPr="00A156F4" w:rsidRDefault="00762F13" w:rsidP="00762F13">
      <w:pPr>
        <w:widowControl w:val="0"/>
        <w:tabs>
          <w:tab w:val="left" w:pos="5103"/>
        </w:tabs>
        <w:jc w:val="both"/>
        <w:rPr>
          <w:sz w:val="22"/>
          <w:szCs w:val="22"/>
        </w:rPr>
      </w:pPr>
    </w:p>
    <w:p w14:paraId="7359026B" w14:textId="744E0829" w:rsidR="00762F13" w:rsidRPr="00A156F4" w:rsidRDefault="00762F13" w:rsidP="00762F13">
      <w:pPr>
        <w:widowControl w:val="0"/>
        <w:jc w:val="both"/>
        <w:rPr>
          <w:sz w:val="22"/>
          <w:szCs w:val="22"/>
        </w:rPr>
      </w:pPr>
      <w:r w:rsidRPr="00A156F4">
        <w:rPr>
          <w:sz w:val="22"/>
          <w:szCs w:val="22"/>
        </w:rPr>
        <w:t xml:space="preserve">Al </w:t>
      </w:r>
      <w:proofErr w:type="gramStart"/>
      <w:r w:rsidRPr="00A156F4">
        <w:rPr>
          <w:sz w:val="22"/>
          <w:szCs w:val="22"/>
        </w:rPr>
        <w:t>entrar en vigencia</w:t>
      </w:r>
      <w:proofErr w:type="gramEnd"/>
      <w:r w:rsidRPr="00A156F4">
        <w:rPr>
          <w:sz w:val="22"/>
          <w:szCs w:val="22"/>
        </w:rPr>
        <w:t xml:space="preserve"> </w:t>
      </w:r>
      <w:r w:rsidR="00700641">
        <w:rPr>
          <w:sz w:val="22"/>
          <w:szCs w:val="22"/>
        </w:rPr>
        <w:t>la presente</w:t>
      </w:r>
      <w:r w:rsidRPr="00A156F4">
        <w:rPr>
          <w:sz w:val="22"/>
          <w:szCs w:val="22"/>
        </w:rPr>
        <w:t xml:space="preserve"> ley, y considerando las regulaciones hacendarias, el presupuesto, los activos,</w:t>
      </w:r>
      <w:r w:rsidR="00BA0885" w:rsidRPr="00A156F4">
        <w:rPr>
          <w:sz w:val="22"/>
          <w:szCs w:val="22"/>
        </w:rPr>
        <w:t xml:space="preserve"> </w:t>
      </w:r>
      <w:r w:rsidRPr="00A156F4">
        <w:rPr>
          <w:sz w:val="22"/>
          <w:szCs w:val="22"/>
        </w:rPr>
        <w:t xml:space="preserve">el patrimonio y los expedientes administrativos de la Unidad Técnica de Apoyo a la </w:t>
      </w:r>
      <w:proofErr w:type="spellStart"/>
      <w:r w:rsidRPr="00A156F4">
        <w:rPr>
          <w:sz w:val="22"/>
          <w:szCs w:val="22"/>
        </w:rPr>
        <w:t>Coprocom</w:t>
      </w:r>
      <w:proofErr w:type="spellEnd"/>
      <w:r w:rsidRPr="00A156F4">
        <w:rPr>
          <w:sz w:val="22"/>
          <w:szCs w:val="22"/>
        </w:rPr>
        <w:t xml:space="preserve"> se transferirán a la </w:t>
      </w:r>
      <w:proofErr w:type="spellStart"/>
      <w:r w:rsidRPr="00A156F4">
        <w:rPr>
          <w:sz w:val="22"/>
          <w:szCs w:val="22"/>
        </w:rPr>
        <w:t>Coprocom</w:t>
      </w:r>
      <w:proofErr w:type="spellEnd"/>
      <w:r w:rsidRPr="00A156F4">
        <w:rPr>
          <w:sz w:val="22"/>
          <w:szCs w:val="22"/>
        </w:rPr>
        <w:t>.</w:t>
      </w:r>
    </w:p>
    <w:p w14:paraId="38BEB0B7" w14:textId="77777777" w:rsidR="00762F13" w:rsidRPr="00A156F4" w:rsidRDefault="00762F13" w:rsidP="00762F13">
      <w:pPr>
        <w:widowControl w:val="0"/>
        <w:jc w:val="both"/>
        <w:rPr>
          <w:sz w:val="22"/>
          <w:szCs w:val="22"/>
        </w:rPr>
      </w:pPr>
    </w:p>
    <w:p w14:paraId="068E416A" w14:textId="77777777" w:rsidR="00762F13" w:rsidRPr="00A156F4" w:rsidRDefault="00762F13" w:rsidP="00762F13">
      <w:pPr>
        <w:widowControl w:val="0"/>
        <w:jc w:val="both"/>
        <w:rPr>
          <w:sz w:val="22"/>
          <w:szCs w:val="22"/>
        </w:rPr>
      </w:pPr>
      <w:r w:rsidRPr="00A156F4">
        <w:rPr>
          <w:sz w:val="22"/>
          <w:szCs w:val="22"/>
        </w:rPr>
        <w:t xml:space="preserve">El programa presupuestario 224 del Ministerio de Economía, Industria y Comercio se mantendrá hasta que se le asigne un presupuesto autónomo y necesario para el cumplimiento de las funciones la </w:t>
      </w:r>
      <w:proofErr w:type="spellStart"/>
      <w:r w:rsidRPr="00A156F4">
        <w:rPr>
          <w:sz w:val="22"/>
          <w:szCs w:val="22"/>
        </w:rPr>
        <w:t>Coprocom</w:t>
      </w:r>
      <w:proofErr w:type="spellEnd"/>
      <w:r w:rsidRPr="00A156F4">
        <w:rPr>
          <w:sz w:val="22"/>
          <w:szCs w:val="22"/>
        </w:rPr>
        <w:t xml:space="preserve">. </w:t>
      </w:r>
    </w:p>
    <w:p w14:paraId="1A702653" w14:textId="77777777" w:rsidR="00762F13" w:rsidRPr="00A156F4" w:rsidRDefault="00762F13" w:rsidP="00762F13">
      <w:pPr>
        <w:widowControl w:val="0"/>
        <w:jc w:val="both"/>
        <w:rPr>
          <w:sz w:val="22"/>
          <w:szCs w:val="22"/>
        </w:rPr>
      </w:pPr>
    </w:p>
    <w:p w14:paraId="5B7AF513" w14:textId="77777777" w:rsidR="00762F13" w:rsidRPr="00A156F4" w:rsidRDefault="00762F13" w:rsidP="00762F13">
      <w:pPr>
        <w:widowControl w:val="0"/>
        <w:jc w:val="both"/>
        <w:rPr>
          <w:sz w:val="22"/>
          <w:szCs w:val="22"/>
        </w:rPr>
      </w:pPr>
      <w:r w:rsidRPr="00A156F4">
        <w:rPr>
          <w:b/>
          <w:sz w:val="22"/>
          <w:szCs w:val="22"/>
        </w:rPr>
        <w:t>Transitorio III.-</w:t>
      </w:r>
    </w:p>
    <w:p w14:paraId="1718B937" w14:textId="77777777" w:rsidR="00762F13" w:rsidRPr="00A156F4" w:rsidRDefault="00762F13" w:rsidP="00762F13">
      <w:pPr>
        <w:widowControl w:val="0"/>
        <w:jc w:val="both"/>
        <w:rPr>
          <w:sz w:val="22"/>
          <w:szCs w:val="22"/>
        </w:rPr>
      </w:pPr>
    </w:p>
    <w:p w14:paraId="2A862842" w14:textId="77777777" w:rsidR="00762F13" w:rsidRPr="00A156F4" w:rsidRDefault="00762F13" w:rsidP="00762F13">
      <w:pPr>
        <w:widowControl w:val="0"/>
        <w:jc w:val="both"/>
        <w:rPr>
          <w:sz w:val="22"/>
          <w:szCs w:val="22"/>
        </w:rPr>
      </w:pPr>
      <w:r w:rsidRPr="00A156F4">
        <w:rPr>
          <w:sz w:val="22"/>
          <w:szCs w:val="22"/>
        </w:rPr>
        <w:t xml:space="preserve">El Ministerio de Economía, Industria y Comercio continuará brindando el espacio físico y los servicios que requiera la </w:t>
      </w:r>
      <w:proofErr w:type="spellStart"/>
      <w:r w:rsidRPr="00A156F4">
        <w:rPr>
          <w:sz w:val="22"/>
          <w:szCs w:val="22"/>
        </w:rPr>
        <w:t>Coprocom</w:t>
      </w:r>
      <w:proofErr w:type="spellEnd"/>
      <w:r w:rsidRPr="00A156F4">
        <w:rPr>
          <w:sz w:val="22"/>
          <w:szCs w:val="22"/>
        </w:rPr>
        <w:t>, a título gratuito, según sea necesario.</w:t>
      </w:r>
    </w:p>
    <w:p w14:paraId="77C32512" w14:textId="77777777" w:rsidR="00762F13" w:rsidRPr="00A156F4" w:rsidRDefault="00762F13" w:rsidP="00762F13">
      <w:pPr>
        <w:widowControl w:val="0"/>
        <w:jc w:val="both"/>
        <w:rPr>
          <w:sz w:val="22"/>
          <w:szCs w:val="22"/>
        </w:rPr>
      </w:pPr>
    </w:p>
    <w:p w14:paraId="14720D1E" w14:textId="2FDA2A25" w:rsidR="00762F13" w:rsidRPr="00A156F4" w:rsidRDefault="00762F13" w:rsidP="00762F13">
      <w:pPr>
        <w:widowControl w:val="0"/>
        <w:jc w:val="both"/>
        <w:rPr>
          <w:sz w:val="22"/>
          <w:szCs w:val="22"/>
        </w:rPr>
      </w:pPr>
      <w:r w:rsidRPr="00A156F4">
        <w:rPr>
          <w:sz w:val="22"/>
          <w:szCs w:val="22"/>
        </w:rPr>
        <w:t xml:space="preserve">Asimismo, el Ministerio de Economía, Industria y Comercio prestará a la </w:t>
      </w:r>
      <w:proofErr w:type="spellStart"/>
      <w:r w:rsidRPr="00A156F4">
        <w:rPr>
          <w:sz w:val="22"/>
          <w:szCs w:val="22"/>
        </w:rPr>
        <w:t>Coprocom</w:t>
      </w:r>
      <w:proofErr w:type="spellEnd"/>
      <w:r w:rsidRPr="00A156F4">
        <w:rPr>
          <w:sz w:val="22"/>
          <w:szCs w:val="22"/>
        </w:rPr>
        <w:t xml:space="preserve"> los servicios auxiliares que este le requiera. Esta colaboración se dará hasta por un máximo de cuatro años a partir de la </w:t>
      </w:r>
      <w:proofErr w:type="gramStart"/>
      <w:r w:rsidRPr="00A156F4">
        <w:rPr>
          <w:sz w:val="22"/>
          <w:szCs w:val="22"/>
        </w:rPr>
        <w:t>entrada en vigencia</w:t>
      </w:r>
      <w:proofErr w:type="gramEnd"/>
      <w:r w:rsidRPr="00A156F4">
        <w:rPr>
          <w:sz w:val="22"/>
          <w:szCs w:val="22"/>
        </w:rPr>
        <w:t xml:space="preserve"> de </w:t>
      </w:r>
      <w:r w:rsidR="00700641">
        <w:rPr>
          <w:sz w:val="22"/>
          <w:szCs w:val="22"/>
        </w:rPr>
        <w:t>la presente</w:t>
      </w:r>
      <w:r w:rsidRPr="00A156F4">
        <w:rPr>
          <w:sz w:val="22"/>
          <w:szCs w:val="22"/>
        </w:rPr>
        <w:t xml:space="preserve"> ley, pudiendo la </w:t>
      </w:r>
      <w:proofErr w:type="spellStart"/>
      <w:r w:rsidRPr="00A156F4">
        <w:rPr>
          <w:sz w:val="22"/>
          <w:szCs w:val="22"/>
        </w:rPr>
        <w:t>Coprocom</w:t>
      </w:r>
      <w:proofErr w:type="spellEnd"/>
      <w:r w:rsidRPr="00A156F4">
        <w:rPr>
          <w:sz w:val="22"/>
          <w:szCs w:val="22"/>
        </w:rPr>
        <w:t xml:space="preserve"> terminar esta relación con el Ministerio de Economía, Industria y Comercio en cualquier momento.</w:t>
      </w:r>
      <w:r w:rsidR="00BA0885" w:rsidRPr="00A156F4">
        <w:rPr>
          <w:sz w:val="22"/>
          <w:szCs w:val="22"/>
        </w:rPr>
        <w:t xml:space="preserve"> </w:t>
      </w:r>
      <w:r w:rsidRPr="00A156F4">
        <w:rPr>
          <w:sz w:val="22"/>
          <w:szCs w:val="22"/>
        </w:rPr>
        <w:t xml:space="preserve">Una vez vencido el plazo, es facultad de las partes suscribir un convenio para continuar con esta colaboración. </w:t>
      </w:r>
    </w:p>
    <w:p w14:paraId="766DE8D3" w14:textId="77777777" w:rsidR="00762F13" w:rsidRPr="00A156F4" w:rsidRDefault="00762F13" w:rsidP="00762F13">
      <w:pPr>
        <w:widowControl w:val="0"/>
        <w:tabs>
          <w:tab w:val="left" w:pos="5103"/>
        </w:tabs>
        <w:jc w:val="both"/>
        <w:rPr>
          <w:sz w:val="22"/>
          <w:szCs w:val="22"/>
        </w:rPr>
      </w:pPr>
    </w:p>
    <w:p w14:paraId="7189D7F1" w14:textId="77777777" w:rsidR="00762F13" w:rsidRPr="00A156F4" w:rsidRDefault="00762F13" w:rsidP="00762F13">
      <w:pPr>
        <w:widowControl w:val="0"/>
        <w:jc w:val="both"/>
        <w:rPr>
          <w:b/>
          <w:sz w:val="22"/>
          <w:szCs w:val="22"/>
        </w:rPr>
      </w:pPr>
      <w:r w:rsidRPr="00A156F4">
        <w:rPr>
          <w:b/>
          <w:sz w:val="22"/>
          <w:szCs w:val="22"/>
        </w:rPr>
        <w:t>Transitorio IV.-</w:t>
      </w:r>
    </w:p>
    <w:p w14:paraId="502E2AF7" w14:textId="77777777" w:rsidR="00762F13" w:rsidRPr="00A156F4" w:rsidRDefault="00762F13" w:rsidP="00762F13">
      <w:pPr>
        <w:widowControl w:val="0"/>
        <w:jc w:val="both"/>
        <w:rPr>
          <w:sz w:val="22"/>
          <w:szCs w:val="22"/>
        </w:rPr>
      </w:pPr>
    </w:p>
    <w:p w14:paraId="16332DA9" w14:textId="540355CC" w:rsidR="00762F13" w:rsidRPr="00A156F4" w:rsidRDefault="00762F13" w:rsidP="00762F13">
      <w:pPr>
        <w:widowControl w:val="0"/>
        <w:jc w:val="both"/>
        <w:rPr>
          <w:sz w:val="22"/>
          <w:szCs w:val="22"/>
        </w:rPr>
      </w:pPr>
      <w:r w:rsidRPr="00A156F4">
        <w:rPr>
          <w:sz w:val="22"/>
          <w:szCs w:val="22"/>
        </w:rPr>
        <w:t xml:space="preserve">La Unidad Técnica de Apoyo a la </w:t>
      </w:r>
      <w:proofErr w:type="spellStart"/>
      <w:r w:rsidRPr="00A156F4">
        <w:rPr>
          <w:sz w:val="22"/>
          <w:szCs w:val="22"/>
        </w:rPr>
        <w:t>Coprocom</w:t>
      </w:r>
      <w:proofErr w:type="spellEnd"/>
      <w:r w:rsidRPr="00A156F4">
        <w:rPr>
          <w:sz w:val="22"/>
          <w:szCs w:val="22"/>
        </w:rPr>
        <w:t xml:space="preserve">, creada en la Ley de Promoción de la Competencia y Defensa Efectiva del Consumidor, Ley </w:t>
      </w:r>
      <w:proofErr w:type="spellStart"/>
      <w:r w:rsidRPr="00A156F4">
        <w:rPr>
          <w:sz w:val="22"/>
          <w:szCs w:val="22"/>
        </w:rPr>
        <w:t>N°</w:t>
      </w:r>
      <w:proofErr w:type="spellEnd"/>
      <w:r w:rsidRPr="00A156F4">
        <w:rPr>
          <w:sz w:val="22"/>
          <w:szCs w:val="22"/>
        </w:rPr>
        <w:t xml:space="preserve">. 7472, de 20 de diciembre de 1994, sus reformas y sus reglamentos, seguirá funcionando hasta que se implemente el estudio que se menciona en los transitorios VII y IX de </w:t>
      </w:r>
      <w:r w:rsidR="00700641">
        <w:rPr>
          <w:sz w:val="22"/>
          <w:szCs w:val="22"/>
        </w:rPr>
        <w:t>la presente</w:t>
      </w:r>
      <w:r w:rsidRPr="00A156F4">
        <w:rPr>
          <w:sz w:val="22"/>
          <w:szCs w:val="22"/>
        </w:rPr>
        <w:t xml:space="preserve"> ley, conforme al transitorio X y </w:t>
      </w:r>
      <w:r w:rsidR="00E869FD" w:rsidRPr="00A156F4">
        <w:rPr>
          <w:sz w:val="22"/>
          <w:szCs w:val="22"/>
        </w:rPr>
        <w:t xml:space="preserve">que </w:t>
      </w:r>
      <w:r w:rsidRPr="00A156F4">
        <w:rPr>
          <w:sz w:val="22"/>
          <w:szCs w:val="22"/>
        </w:rPr>
        <w:t>se traslade el personal.</w:t>
      </w:r>
    </w:p>
    <w:p w14:paraId="446B5D66" w14:textId="77777777" w:rsidR="00762F13" w:rsidRPr="00A156F4" w:rsidRDefault="00762F13" w:rsidP="00762F13">
      <w:pPr>
        <w:widowControl w:val="0"/>
        <w:jc w:val="both"/>
        <w:rPr>
          <w:sz w:val="22"/>
          <w:szCs w:val="22"/>
        </w:rPr>
      </w:pPr>
    </w:p>
    <w:p w14:paraId="65EAE3F3" w14:textId="77777777" w:rsidR="00762F13" w:rsidRPr="00A156F4" w:rsidRDefault="00762F13" w:rsidP="00762F13">
      <w:pPr>
        <w:widowControl w:val="0"/>
        <w:jc w:val="both"/>
        <w:outlineLvl w:val="0"/>
        <w:rPr>
          <w:b/>
          <w:sz w:val="22"/>
          <w:szCs w:val="22"/>
        </w:rPr>
      </w:pPr>
      <w:r w:rsidRPr="00A156F4">
        <w:rPr>
          <w:b/>
          <w:sz w:val="22"/>
          <w:szCs w:val="22"/>
        </w:rPr>
        <w:t>Transitorio V.-</w:t>
      </w:r>
    </w:p>
    <w:p w14:paraId="7F37CF91" w14:textId="77777777" w:rsidR="00762F13" w:rsidRPr="00A156F4" w:rsidRDefault="00762F13" w:rsidP="00762F13">
      <w:pPr>
        <w:widowControl w:val="0"/>
        <w:jc w:val="both"/>
        <w:outlineLvl w:val="0"/>
        <w:rPr>
          <w:b/>
          <w:sz w:val="22"/>
          <w:szCs w:val="22"/>
        </w:rPr>
      </w:pPr>
    </w:p>
    <w:p w14:paraId="1B22FC44" w14:textId="437A318D" w:rsidR="00762F13" w:rsidRPr="00A156F4" w:rsidRDefault="00762F13" w:rsidP="00762F13">
      <w:pPr>
        <w:widowControl w:val="0"/>
        <w:jc w:val="both"/>
        <w:rPr>
          <w:sz w:val="22"/>
          <w:szCs w:val="22"/>
        </w:rPr>
      </w:pPr>
      <w:r w:rsidRPr="00A156F4">
        <w:rPr>
          <w:sz w:val="22"/>
          <w:szCs w:val="22"/>
        </w:rPr>
        <w:t xml:space="preserve">Todos los casos de denuncias presentadas, procedimientos iniciados y notificaciones de concentración presentadas a la </w:t>
      </w:r>
      <w:proofErr w:type="spellStart"/>
      <w:r w:rsidRPr="00A156F4">
        <w:rPr>
          <w:sz w:val="22"/>
          <w:szCs w:val="22"/>
        </w:rPr>
        <w:t>Coprocom</w:t>
      </w:r>
      <w:proofErr w:type="spellEnd"/>
      <w:r w:rsidRPr="00A156F4">
        <w:rPr>
          <w:sz w:val="22"/>
          <w:szCs w:val="22"/>
        </w:rPr>
        <w:t xml:space="preserve"> y </w:t>
      </w:r>
      <w:proofErr w:type="spellStart"/>
      <w:r w:rsidRPr="00A156F4">
        <w:rPr>
          <w:sz w:val="22"/>
          <w:szCs w:val="22"/>
        </w:rPr>
        <w:t>Sutel</w:t>
      </w:r>
      <w:proofErr w:type="spellEnd"/>
      <w:r w:rsidRPr="00A156F4">
        <w:rPr>
          <w:sz w:val="22"/>
          <w:szCs w:val="22"/>
        </w:rPr>
        <w:t xml:space="preserve"> antes de la publicación de la presente ley, se concluirán de conformidad con las normas que se encontraban vigentes</w:t>
      </w:r>
      <w:r w:rsidR="007374DA" w:rsidRPr="00A156F4">
        <w:rPr>
          <w:sz w:val="22"/>
          <w:szCs w:val="22"/>
        </w:rPr>
        <w:t>.</w:t>
      </w:r>
      <w:r w:rsidRPr="00A156F4">
        <w:rPr>
          <w:sz w:val="22"/>
          <w:szCs w:val="22"/>
        </w:rPr>
        <w:t xml:space="preserve"> </w:t>
      </w:r>
      <w:r w:rsidR="007374DA" w:rsidRPr="00A156F4">
        <w:rPr>
          <w:sz w:val="22"/>
          <w:szCs w:val="22"/>
        </w:rPr>
        <w:t>L</w:t>
      </w:r>
      <w:r w:rsidRPr="00A156F4">
        <w:rPr>
          <w:sz w:val="22"/>
          <w:szCs w:val="22"/>
        </w:rPr>
        <w:t>a reducción y eliminación de multas</w:t>
      </w:r>
      <w:r w:rsidR="007374DA" w:rsidRPr="00A156F4">
        <w:rPr>
          <w:sz w:val="22"/>
          <w:szCs w:val="22"/>
        </w:rPr>
        <w:t xml:space="preserve"> </w:t>
      </w:r>
      <w:r w:rsidRPr="00A156F4">
        <w:rPr>
          <w:sz w:val="22"/>
          <w:szCs w:val="22"/>
        </w:rPr>
        <w:t xml:space="preserve">y la terminación anticipada podrán ser invocados por el agente económico objeto de una denuncia o un procedimiento administrativo. </w:t>
      </w:r>
    </w:p>
    <w:p w14:paraId="283489A8" w14:textId="77777777" w:rsidR="00762F13" w:rsidRPr="00A156F4" w:rsidRDefault="00762F13" w:rsidP="00762F13">
      <w:pPr>
        <w:widowControl w:val="0"/>
        <w:jc w:val="both"/>
        <w:rPr>
          <w:sz w:val="22"/>
          <w:szCs w:val="22"/>
        </w:rPr>
      </w:pPr>
    </w:p>
    <w:p w14:paraId="0291BA6B" w14:textId="77777777" w:rsidR="00762F13" w:rsidRPr="00A156F4" w:rsidRDefault="00762F13" w:rsidP="00762F13">
      <w:pPr>
        <w:widowControl w:val="0"/>
        <w:jc w:val="both"/>
        <w:outlineLvl w:val="0"/>
        <w:rPr>
          <w:b/>
          <w:sz w:val="22"/>
          <w:szCs w:val="22"/>
        </w:rPr>
      </w:pPr>
      <w:r w:rsidRPr="00A156F4">
        <w:rPr>
          <w:b/>
          <w:sz w:val="22"/>
          <w:szCs w:val="22"/>
        </w:rPr>
        <w:t xml:space="preserve">Transitorio </w:t>
      </w:r>
      <w:proofErr w:type="gramStart"/>
      <w:r w:rsidRPr="00A156F4">
        <w:rPr>
          <w:b/>
          <w:sz w:val="22"/>
          <w:szCs w:val="22"/>
        </w:rPr>
        <w:t>VI.-</w:t>
      </w:r>
      <w:proofErr w:type="gramEnd"/>
    </w:p>
    <w:p w14:paraId="2BA939D1" w14:textId="77777777" w:rsidR="00762F13" w:rsidRPr="00A156F4" w:rsidRDefault="00762F13" w:rsidP="00762F13">
      <w:pPr>
        <w:widowControl w:val="0"/>
        <w:jc w:val="both"/>
        <w:rPr>
          <w:sz w:val="22"/>
          <w:szCs w:val="22"/>
        </w:rPr>
      </w:pPr>
    </w:p>
    <w:p w14:paraId="161BE172" w14:textId="4B94C2EC" w:rsidR="00762F13" w:rsidRPr="00A156F4" w:rsidRDefault="00762F13" w:rsidP="00762F13">
      <w:pPr>
        <w:widowControl w:val="0"/>
        <w:jc w:val="both"/>
        <w:rPr>
          <w:sz w:val="22"/>
          <w:szCs w:val="22"/>
        </w:rPr>
      </w:pPr>
      <w:r w:rsidRPr="00A156F4">
        <w:rPr>
          <w:sz w:val="22"/>
          <w:szCs w:val="22"/>
        </w:rPr>
        <w:t xml:space="preserve">El Poder Ejecutivo, dentro del plazo máximo de 12 meses a partir de la publicación de la presente ley, deberá haber elevado a conocimiento de la Asamblea Legislativa la designación de los miembros permanentes y suplentes </w:t>
      </w:r>
      <w:r w:rsidR="007374DA" w:rsidRPr="00A156F4">
        <w:rPr>
          <w:sz w:val="22"/>
          <w:szCs w:val="22"/>
        </w:rPr>
        <w:t xml:space="preserve">de </w:t>
      </w:r>
      <w:r w:rsidRPr="00A156F4">
        <w:rPr>
          <w:sz w:val="22"/>
          <w:szCs w:val="22"/>
        </w:rPr>
        <w:t xml:space="preserve">la </w:t>
      </w:r>
      <w:proofErr w:type="spellStart"/>
      <w:r w:rsidRPr="00A156F4">
        <w:rPr>
          <w:sz w:val="22"/>
          <w:szCs w:val="22"/>
        </w:rPr>
        <w:t>Coprocom</w:t>
      </w:r>
      <w:proofErr w:type="spellEnd"/>
      <w:r w:rsidRPr="00A156F4">
        <w:rPr>
          <w:sz w:val="22"/>
          <w:szCs w:val="22"/>
        </w:rPr>
        <w:t xml:space="preserve">. </w:t>
      </w:r>
    </w:p>
    <w:p w14:paraId="46A486B7" w14:textId="77777777" w:rsidR="00762F13" w:rsidRPr="00A156F4" w:rsidRDefault="00762F13" w:rsidP="00762F13">
      <w:pPr>
        <w:widowControl w:val="0"/>
        <w:jc w:val="both"/>
        <w:rPr>
          <w:sz w:val="22"/>
          <w:szCs w:val="22"/>
        </w:rPr>
      </w:pPr>
    </w:p>
    <w:p w14:paraId="30D0EC14" w14:textId="77777777" w:rsidR="00762F13" w:rsidRPr="00A156F4" w:rsidRDefault="00762F13" w:rsidP="00762F13">
      <w:pPr>
        <w:widowControl w:val="0"/>
        <w:jc w:val="both"/>
        <w:outlineLvl w:val="0"/>
        <w:rPr>
          <w:b/>
          <w:sz w:val="22"/>
          <w:szCs w:val="22"/>
        </w:rPr>
      </w:pPr>
      <w:r w:rsidRPr="00A156F4">
        <w:rPr>
          <w:b/>
          <w:sz w:val="22"/>
          <w:szCs w:val="22"/>
        </w:rPr>
        <w:t>Transitorio VII.-</w:t>
      </w:r>
    </w:p>
    <w:p w14:paraId="59FD8DAF" w14:textId="77777777" w:rsidR="00762F13" w:rsidRPr="00A156F4" w:rsidRDefault="00762F13" w:rsidP="00762F13">
      <w:pPr>
        <w:widowControl w:val="0"/>
        <w:jc w:val="both"/>
        <w:rPr>
          <w:sz w:val="22"/>
          <w:szCs w:val="22"/>
        </w:rPr>
      </w:pPr>
    </w:p>
    <w:p w14:paraId="3627D543" w14:textId="46B58DFE" w:rsidR="007374DA" w:rsidRPr="00A156F4" w:rsidRDefault="00762F13" w:rsidP="00762F13">
      <w:pPr>
        <w:widowControl w:val="0"/>
        <w:jc w:val="both"/>
        <w:rPr>
          <w:sz w:val="22"/>
          <w:szCs w:val="22"/>
        </w:rPr>
      </w:pPr>
      <w:r w:rsidRPr="00A156F4">
        <w:rPr>
          <w:sz w:val="22"/>
          <w:szCs w:val="22"/>
        </w:rPr>
        <w:t xml:space="preserve">El Ministerio de Economía, Industria y Comercio y el Ministerio de Hacienda </w:t>
      </w:r>
      <w:r w:rsidR="00B525D1" w:rsidRPr="00A156F4">
        <w:rPr>
          <w:sz w:val="22"/>
          <w:szCs w:val="22"/>
        </w:rPr>
        <w:t>en el plazo de</w:t>
      </w:r>
      <w:r w:rsidR="009B1B33" w:rsidRPr="00A156F4">
        <w:rPr>
          <w:sz w:val="22"/>
          <w:szCs w:val="22"/>
        </w:rPr>
        <w:t>l</w:t>
      </w:r>
      <w:r w:rsidR="00B525D1" w:rsidRPr="00A156F4">
        <w:rPr>
          <w:sz w:val="22"/>
          <w:szCs w:val="22"/>
        </w:rPr>
        <w:t xml:space="preserve"> año</w:t>
      </w:r>
      <w:r w:rsidR="009B1B33" w:rsidRPr="00A156F4">
        <w:rPr>
          <w:sz w:val="22"/>
          <w:szCs w:val="22"/>
        </w:rPr>
        <w:t xml:space="preserve"> presupuestario inmediato</w:t>
      </w:r>
      <w:r w:rsidR="00B525D1" w:rsidRPr="00A156F4">
        <w:rPr>
          <w:sz w:val="22"/>
          <w:szCs w:val="22"/>
        </w:rPr>
        <w:t xml:space="preserve"> a partir de la promulgación de </w:t>
      </w:r>
      <w:r w:rsidR="00700641">
        <w:rPr>
          <w:sz w:val="22"/>
          <w:szCs w:val="22"/>
        </w:rPr>
        <w:t>la presente</w:t>
      </w:r>
      <w:r w:rsidR="00B525D1" w:rsidRPr="00A156F4">
        <w:rPr>
          <w:sz w:val="22"/>
          <w:szCs w:val="22"/>
        </w:rPr>
        <w:t xml:space="preserve"> ley, contará con la adición de los recursos financieros necesarios para </w:t>
      </w:r>
      <w:r w:rsidR="00712EF6" w:rsidRPr="00A156F4">
        <w:rPr>
          <w:sz w:val="22"/>
          <w:szCs w:val="22"/>
        </w:rPr>
        <w:t xml:space="preserve">el funcionamiento de la </w:t>
      </w:r>
      <w:proofErr w:type="spellStart"/>
      <w:r w:rsidR="00712EF6" w:rsidRPr="00A156F4">
        <w:rPr>
          <w:sz w:val="22"/>
          <w:szCs w:val="22"/>
        </w:rPr>
        <w:t>C</w:t>
      </w:r>
      <w:r w:rsidR="00730DDC" w:rsidRPr="00A156F4">
        <w:rPr>
          <w:sz w:val="22"/>
          <w:szCs w:val="22"/>
        </w:rPr>
        <w:t>oprocom</w:t>
      </w:r>
      <w:proofErr w:type="spellEnd"/>
      <w:r w:rsidR="00BA0885" w:rsidRPr="00A156F4">
        <w:rPr>
          <w:sz w:val="22"/>
          <w:szCs w:val="22"/>
        </w:rPr>
        <w:t xml:space="preserve"> </w:t>
      </w:r>
      <w:r w:rsidR="00B525D1" w:rsidRPr="00A156F4">
        <w:rPr>
          <w:sz w:val="22"/>
          <w:szCs w:val="22"/>
        </w:rPr>
        <w:t>y</w:t>
      </w:r>
      <w:r w:rsidR="00A3690E" w:rsidRPr="00A156F4">
        <w:rPr>
          <w:sz w:val="22"/>
          <w:szCs w:val="22"/>
        </w:rPr>
        <w:t xml:space="preserve"> para </w:t>
      </w:r>
      <w:r w:rsidRPr="00A156F4">
        <w:rPr>
          <w:sz w:val="22"/>
          <w:szCs w:val="22"/>
        </w:rPr>
        <w:t>la implementación de las reformas establecidas en la presente</w:t>
      </w:r>
      <w:r w:rsidR="00A45067" w:rsidRPr="00A156F4">
        <w:rPr>
          <w:sz w:val="22"/>
          <w:szCs w:val="22"/>
        </w:rPr>
        <w:t xml:space="preserve"> </w:t>
      </w:r>
      <w:r w:rsidRPr="00A156F4">
        <w:rPr>
          <w:sz w:val="22"/>
          <w:szCs w:val="22"/>
        </w:rPr>
        <w:t>ley</w:t>
      </w:r>
      <w:r w:rsidR="007374DA" w:rsidRPr="00A156F4">
        <w:rPr>
          <w:sz w:val="22"/>
          <w:szCs w:val="22"/>
        </w:rPr>
        <w:t xml:space="preserve">; </w:t>
      </w:r>
      <w:r w:rsidRPr="00A156F4">
        <w:rPr>
          <w:sz w:val="22"/>
          <w:szCs w:val="22"/>
        </w:rPr>
        <w:t xml:space="preserve">considerando la nueva estructura de la Comisión, los requerimientos de recursos humanos y demás alcances de la presente ley. </w:t>
      </w:r>
    </w:p>
    <w:p w14:paraId="2DBBAA4D" w14:textId="77777777" w:rsidR="007374DA" w:rsidRPr="00A156F4" w:rsidRDefault="007374DA" w:rsidP="00762F13">
      <w:pPr>
        <w:widowControl w:val="0"/>
        <w:jc w:val="both"/>
        <w:rPr>
          <w:sz w:val="22"/>
          <w:szCs w:val="22"/>
        </w:rPr>
      </w:pPr>
    </w:p>
    <w:p w14:paraId="6F316B48" w14:textId="3F82399C" w:rsidR="00762F13" w:rsidRPr="00A156F4" w:rsidRDefault="00712EF6" w:rsidP="00762F13">
      <w:pPr>
        <w:widowControl w:val="0"/>
        <w:jc w:val="both"/>
        <w:rPr>
          <w:sz w:val="22"/>
          <w:szCs w:val="22"/>
        </w:rPr>
      </w:pPr>
      <w:r w:rsidRPr="00A156F4">
        <w:rPr>
          <w:sz w:val="22"/>
          <w:szCs w:val="22"/>
        </w:rPr>
        <w:t>E</w:t>
      </w:r>
      <w:r w:rsidR="00B525D1" w:rsidRPr="00A156F4">
        <w:rPr>
          <w:sz w:val="22"/>
          <w:szCs w:val="22"/>
        </w:rPr>
        <w:t xml:space="preserve">l </w:t>
      </w:r>
      <w:r w:rsidR="00762F13" w:rsidRPr="00A156F4">
        <w:rPr>
          <w:sz w:val="22"/>
          <w:szCs w:val="22"/>
        </w:rPr>
        <w:t>deber</w:t>
      </w:r>
      <w:r w:rsidR="00BA0885" w:rsidRPr="00A156F4">
        <w:rPr>
          <w:sz w:val="22"/>
          <w:szCs w:val="22"/>
        </w:rPr>
        <w:t xml:space="preserve"> </w:t>
      </w:r>
      <w:r w:rsidR="00B525D1" w:rsidRPr="00A156F4">
        <w:rPr>
          <w:sz w:val="22"/>
          <w:szCs w:val="22"/>
        </w:rPr>
        <w:t xml:space="preserve">de dotar de recursos necesarios </w:t>
      </w:r>
      <w:r w:rsidRPr="00A156F4">
        <w:rPr>
          <w:sz w:val="22"/>
          <w:szCs w:val="22"/>
        </w:rPr>
        <w:t xml:space="preserve">a la </w:t>
      </w:r>
      <w:proofErr w:type="spellStart"/>
      <w:r w:rsidRPr="00A156F4">
        <w:rPr>
          <w:sz w:val="22"/>
          <w:szCs w:val="22"/>
        </w:rPr>
        <w:t>C</w:t>
      </w:r>
      <w:r w:rsidR="00730DDC" w:rsidRPr="00A156F4">
        <w:rPr>
          <w:sz w:val="22"/>
          <w:szCs w:val="22"/>
        </w:rPr>
        <w:t>oprocom</w:t>
      </w:r>
      <w:proofErr w:type="spellEnd"/>
      <w:r w:rsidRPr="00A156F4">
        <w:rPr>
          <w:sz w:val="22"/>
          <w:szCs w:val="22"/>
        </w:rPr>
        <w:t xml:space="preserve"> </w:t>
      </w:r>
      <w:r w:rsidR="00762F13" w:rsidRPr="00A156F4">
        <w:rPr>
          <w:sz w:val="22"/>
          <w:szCs w:val="22"/>
        </w:rPr>
        <w:t xml:space="preserve">será el mismo para cada periodo presupuestario. Además, deberán dotar </w:t>
      </w:r>
      <w:r w:rsidRPr="00A156F4">
        <w:rPr>
          <w:sz w:val="22"/>
          <w:szCs w:val="22"/>
        </w:rPr>
        <w:t>al órgano una vez nombrado, de</w:t>
      </w:r>
      <w:r w:rsidR="00BA0885" w:rsidRPr="00A156F4">
        <w:rPr>
          <w:sz w:val="22"/>
          <w:szCs w:val="22"/>
        </w:rPr>
        <w:t xml:space="preserve"> </w:t>
      </w:r>
      <w:r w:rsidR="00762F13" w:rsidRPr="00A156F4">
        <w:rPr>
          <w:sz w:val="22"/>
          <w:szCs w:val="22"/>
        </w:rPr>
        <w:t xml:space="preserve">los recursos para el pago del estudio que deberá realizar la </w:t>
      </w:r>
      <w:proofErr w:type="spellStart"/>
      <w:r w:rsidR="00762F13" w:rsidRPr="00A156F4">
        <w:rPr>
          <w:sz w:val="22"/>
          <w:szCs w:val="22"/>
        </w:rPr>
        <w:t>Coprocom</w:t>
      </w:r>
      <w:proofErr w:type="spellEnd"/>
      <w:r w:rsidR="00762F13" w:rsidRPr="00A156F4">
        <w:rPr>
          <w:sz w:val="22"/>
          <w:szCs w:val="22"/>
        </w:rPr>
        <w:t xml:space="preserve">, conforme </w:t>
      </w:r>
      <w:r w:rsidR="007374DA" w:rsidRPr="00A156F4">
        <w:rPr>
          <w:sz w:val="22"/>
          <w:szCs w:val="22"/>
        </w:rPr>
        <w:t>e</w:t>
      </w:r>
      <w:r w:rsidR="00762F13" w:rsidRPr="00A156F4">
        <w:rPr>
          <w:sz w:val="22"/>
          <w:szCs w:val="22"/>
        </w:rPr>
        <w:t xml:space="preserve">ste lo decida, con el fin de determinar los requerimientos de personal y la estructura organizativa necesarios para la atención eficiente de las funciones que le corresponden en virtud de la presente Ley y de la Ley de Promoción de la Competencia y Defensa Efectiva del Consumidor, Ley </w:t>
      </w:r>
      <w:proofErr w:type="spellStart"/>
      <w:r w:rsidR="00762F13" w:rsidRPr="00A156F4">
        <w:rPr>
          <w:sz w:val="22"/>
          <w:szCs w:val="22"/>
        </w:rPr>
        <w:t>N°</w:t>
      </w:r>
      <w:proofErr w:type="spellEnd"/>
      <w:r w:rsidR="00762F13" w:rsidRPr="00A156F4">
        <w:rPr>
          <w:sz w:val="22"/>
          <w:szCs w:val="22"/>
        </w:rPr>
        <w:t>. 7472, del 20 de diciembre de 1994,</w:t>
      </w:r>
      <w:r w:rsidR="00BA0885" w:rsidRPr="00A156F4">
        <w:rPr>
          <w:sz w:val="22"/>
          <w:szCs w:val="22"/>
        </w:rPr>
        <w:t xml:space="preserve"> </w:t>
      </w:r>
      <w:r w:rsidR="00762F13" w:rsidRPr="00A156F4">
        <w:rPr>
          <w:sz w:val="22"/>
          <w:szCs w:val="22"/>
        </w:rPr>
        <w:t xml:space="preserve">sus reformas y sus reglamentos. </w:t>
      </w:r>
    </w:p>
    <w:p w14:paraId="55ED9AE5" w14:textId="77777777" w:rsidR="00762F13" w:rsidRPr="00A156F4" w:rsidRDefault="00762F13" w:rsidP="00762F13">
      <w:pPr>
        <w:widowControl w:val="0"/>
        <w:jc w:val="both"/>
        <w:rPr>
          <w:sz w:val="22"/>
          <w:szCs w:val="22"/>
        </w:rPr>
      </w:pPr>
    </w:p>
    <w:p w14:paraId="175C3935" w14:textId="77777777" w:rsidR="00762F13" w:rsidRPr="00A156F4" w:rsidRDefault="00762F13" w:rsidP="00762F13">
      <w:pPr>
        <w:widowControl w:val="0"/>
        <w:jc w:val="both"/>
        <w:outlineLvl w:val="0"/>
        <w:rPr>
          <w:b/>
          <w:sz w:val="22"/>
          <w:szCs w:val="22"/>
        </w:rPr>
      </w:pPr>
      <w:r w:rsidRPr="00A156F4">
        <w:rPr>
          <w:b/>
          <w:sz w:val="22"/>
          <w:szCs w:val="22"/>
        </w:rPr>
        <w:t>Transitorio VIII.-</w:t>
      </w:r>
    </w:p>
    <w:p w14:paraId="480B5CF4" w14:textId="77777777" w:rsidR="00762F13" w:rsidRPr="00A156F4" w:rsidRDefault="00762F13" w:rsidP="00762F13">
      <w:pPr>
        <w:widowControl w:val="0"/>
        <w:jc w:val="both"/>
        <w:rPr>
          <w:b/>
          <w:sz w:val="22"/>
          <w:szCs w:val="22"/>
        </w:rPr>
      </w:pPr>
    </w:p>
    <w:p w14:paraId="2F07DCC2" w14:textId="3E8787FA" w:rsidR="00FD05F7" w:rsidRPr="00A156F4" w:rsidRDefault="00FD05F7" w:rsidP="00FD05F7">
      <w:pPr>
        <w:jc w:val="both"/>
        <w:rPr>
          <w:sz w:val="22"/>
          <w:szCs w:val="22"/>
        </w:rPr>
      </w:pPr>
      <w:r w:rsidRPr="00A156F4">
        <w:rPr>
          <w:sz w:val="22"/>
          <w:szCs w:val="22"/>
        </w:rPr>
        <w:t xml:space="preserve">A partir de la fecha de </w:t>
      </w:r>
      <w:proofErr w:type="gramStart"/>
      <w:r w:rsidRPr="00A156F4">
        <w:rPr>
          <w:sz w:val="22"/>
          <w:szCs w:val="22"/>
        </w:rPr>
        <w:t>entrada en vigencia</w:t>
      </w:r>
      <w:proofErr w:type="gramEnd"/>
      <w:r w:rsidRPr="00A156F4">
        <w:rPr>
          <w:sz w:val="22"/>
          <w:szCs w:val="22"/>
        </w:rPr>
        <w:t xml:space="preserve"> de esta </w:t>
      </w:r>
      <w:r w:rsidR="00B65AE4" w:rsidRPr="00A156F4">
        <w:rPr>
          <w:sz w:val="22"/>
          <w:szCs w:val="22"/>
        </w:rPr>
        <w:t>l</w:t>
      </w:r>
      <w:r w:rsidRPr="00A156F4">
        <w:rPr>
          <w:sz w:val="22"/>
          <w:szCs w:val="22"/>
        </w:rPr>
        <w:t xml:space="preserve">ey, se iniciará el proceso de conformación e integración de la </w:t>
      </w:r>
      <w:proofErr w:type="spellStart"/>
      <w:r w:rsidRPr="00A156F4">
        <w:rPr>
          <w:sz w:val="22"/>
          <w:szCs w:val="22"/>
        </w:rPr>
        <w:t>Coprocom</w:t>
      </w:r>
      <w:proofErr w:type="spellEnd"/>
      <w:r w:rsidRPr="00A156F4">
        <w:rPr>
          <w:sz w:val="22"/>
          <w:szCs w:val="22"/>
        </w:rPr>
        <w:t xml:space="preserve"> de conformidad con el Transitorio VI de esta Ley. El procedimiento para dichos nombramientos será conforme a esta Ley. </w:t>
      </w:r>
    </w:p>
    <w:p w14:paraId="063408ED" w14:textId="77777777" w:rsidR="00FD05F7" w:rsidRPr="00A156F4" w:rsidRDefault="00FD05F7" w:rsidP="00FD05F7">
      <w:pPr>
        <w:jc w:val="both"/>
        <w:rPr>
          <w:sz w:val="22"/>
          <w:szCs w:val="22"/>
        </w:rPr>
      </w:pPr>
    </w:p>
    <w:p w14:paraId="5BACC85B" w14:textId="5887544D" w:rsidR="00FD05F7" w:rsidRPr="00A156F4" w:rsidRDefault="00FD05F7" w:rsidP="00FD05F7">
      <w:pPr>
        <w:jc w:val="both"/>
        <w:rPr>
          <w:sz w:val="22"/>
          <w:szCs w:val="22"/>
        </w:rPr>
      </w:pPr>
      <w:r w:rsidRPr="00A156F4">
        <w:rPr>
          <w:sz w:val="22"/>
          <w:szCs w:val="22"/>
        </w:rPr>
        <w:t xml:space="preserve">Para la primera designación de los tres miembros de la </w:t>
      </w:r>
      <w:proofErr w:type="spellStart"/>
      <w:r w:rsidRPr="00A156F4">
        <w:rPr>
          <w:sz w:val="22"/>
          <w:szCs w:val="22"/>
        </w:rPr>
        <w:t>Coprocom</w:t>
      </w:r>
      <w:proofErr w:type="spellEnd"/>
      <w:r w:rsidRPr="00A156F4">
        <w:rPr>
          <w:sz w:val="22"/>
          <w:szCs w:val="22"/>
        </w:rPr>
        <w:t>, el Consejo de Gobierno escogerá, por rifa, el plazo de los nombramientos, en la siguiente forma: un miembro por tres años, uno por cuatro años y otro por cinco años. Los nombramientos subsecuentes se harán por el plazo fijado en esta Ley.</w:t>
      </w:r>
    </w:p>
    <w:p w14:paraId="66C682B9" w14:textId="77777777" w:rsidR="00FD05F7" w:rsidRPr="00A156F4" w:rsidRDefault="00FD05F7" w:rsidP="00FD05F7">
      <w:pPr>
        <w:jc w:val="both"/>
        <w:rPr>
          <w:sz w:val="22"/>
          <w:szCs w:val="22"/>
        </w:rPr>
      </w:pPr>
    </w:p>
    <w:p w14:paraId="0E8F28A6" w14:textId="209D67F5" w:rsidR="00FD05F7" w:rsidRPr="00A156F4" w:rsidRDefault="00FD05F7" w:rsidP="00FD05F7">
      <w:pPr>
        <w:jc w:val="both"/>
        <w:rPr>
          <w:sz w:val="22"/>
          <w:szCs w:val="22"/>
        </w:rPr>
      </w:pPr>
      <w:r w:rsidRPr="00A156F4">
        <w:rPr>
          <w:sz w:val="22"/>
          <w:szCs w:val="22"/>
        </w:rPr>
        <w:t xml:space="preserve">Para la primera designación de los dos miembros suplentes de la </w:t>
      </w:r>
      <w:proofErr w:type="spellStart"/>
      <w:r w:rsidRPr="00A156F4">
        <w:rPr>
          <w:sz w:val="22"/>
          <w:szCs w:val="22"/>
        </w:rPr>
        <w:t>Coprocom</w:t>
      </w:r>
      <w:proofErr w:type="spellEnd"/>
      <w:r w:rsidRPr="00A156F4">
        <w:rPr>
          <w:sz w:val="22"/>
          <w:szCs w:val="22"/>
        </w:rPr>
        <w:t>, el Consejo de Gobierno escogerá</w:t>
      </w:r>
      <w:r w:rsidR="00683320" w:rsidRPr="00A156F4">
        <w:rPr>
          <w:sz w:val="22"/>
          <w:szCs w:val="22"/>
        </w:rPr>
        <w:t xml:space="preserve"> de forma aleatoria</w:t>
      </w:r>
      <w:r w:rsidR="007D2193" w:rsidRPr="00A156F4">
        <w:rPr>
          <w:sz w:val="22"/>
          <w:szCs w:val="22"/>
        </w:rPr>
        <w:t xml:space="preserve"> </w:t>
      </w:r>
      <w:r w:rsidRPr="00A156F4">
        <w:rPr>
          <w:sz w:val="22"/>
          <w:szCs w:val="22"/>
        </w:rPr>
        <w:t>el plazo de los nombramientos</w:t>
      </w:r>
      <w:r w:rsidR="00683320" w:rsidRPr="00A156F4">
        <w:rPr>
          <w:sz w:val="22"/>
          <w:szCs w:val="22"/>
        </w:rPr>
        <w:t xml:space="preserve"> de cada miembro</w:t>
      </w:r>
      <w:r w:rsidRPr="00A156F4">
        <w:rPr>
          <w:sz w:val="22"/>
          <w:szCs w:val="22"/>
        </w:rPr>
        <w:t xml:space="preserve">, en la siguiente forma: un miembro por cuatro años y otro por cinco años. Los nombramientos subsecuentes se harán por el plazo fijado en esta Ley.              </w:t>
      </w:r>
    </w:p>
    <w:p w14:paraId="3C7A0226" w14:textId="581F37B8" w:rsidR="00762F13" w:rsidRPr="00A156F4" w:rsidRDefault="00762F13" w:rsidP="00762F13">
      <w:pPr>
        <w:widowControl w:val="0"/>
        <w:jc w:val="both"/>
        <w:rPr>
          <w:sz w:val="22"/>
          <w:szCs w:val="22"/>
        </w:rPr>
      </w:pPr>
      <w:r w:rsidRPr="00A156F4">
        <w:rPr>
          <w:sz w:val="22"/>
          <w:szCs w:val="22"/>
        </w:rPr>
        <w:t xml:space="preserve"> </w:t>
      </w:r>
    </w:p>
    <w:p w14:paraId="2FB14A71" w14:textId="77777777" w:rsidR="00762F13" w:rsidRPr="00A156F4" w:rsidRDefault="00762F13" w:rsidP="001F4208">
      <w:pPr>
        <w:widowControl w:val="0"/>
        <w:tabs>
          <w:tab w:val="right" w:pos="8838"/>
        </w:tabs>
        <w:jc w:val="both"/>
        <w:outlineLvl w:val="0"/>
        <w:rPr>
          <w:b/>
          <w:sz w:val="22"/>
          <w:szCs w:val="22"/>
        </w:rPr>
      </w:pPr>
      <w:r w:rsidRPr="00A156F4">
        <w:rPr>
          <w:b/>
          <w:sz w:val="22"/>
          <w:szCs w:val="22"/>
        </w:rPr>
        <w:t xml:space="preserve">Transitorio IX.- </w:t>
      </w:r>
    </w:p>
    <w:p w14:paraId="3F819456" w14:textId="77777777" w:rsidR="00762F13" w:rsidRPr="00A156F4" w:rsidRDefault="00762F13" w:rsidP="00762F13">
      <w:pPr>
        <w:widowControl w:val="0"/>
        <w:jc w:val="both"/>
        <w:rPr>
          <w:sz w:val="22"/>
          <w:szCs w:val="22"/>
        </w:rPr>
      </w:pPr>
    </w:p>
    <w:p w14:paraId="6924856D" w14:textId="00547C26" w:rsidR="00762F13" w:rsidRPr="00A156F4" w:rsidRDefault="00762F13" w:rsidP="00095341">
      <w:pPr>
        <w:widowControl w:val="0"/>
        <w:jc w:val="both"/>
        <w:rPr>
          <w:sz w:val="22"/>
          <w:szCs w:val="22"/>
        </w:rPr>
      </w:pPr>
      <w:r w:rsidRPr="00A156F4">
        <w:rPr>
          <w:sz w:val="22"/>
          <w:szCs w:val="22"/>
        </w:rPr>
        <w:t xml:space="preserve">La </w:t>
      </w:r>
      <w:proofErr w:type="spellStart"/>
      <w:r w:rsidR="00095341" w:rsidRPr="00A156F4">
        <w:rPr>
          <w:sz w:val="22"/>
          <w:szCs w:val="22"/>
        </w:rPr>
        <w:t>Coprocom</w:t>
      </w:r>
      <w:proofErr w:type="spellEnd"/>
      <w:r w:rsidRPr="00A156F4">
        <w:rPr>
          <w:sz w:val="22"/>
          <w:szCs w:val="22"/>
        </w:rPr>
        <w:t xml:space="preserve">, en un plazo máximo de seis meses a partir de su nueva conformación, contratará un estudio de organización a efectos de determinar la estructura organizativa idónea para dar cumplimiento a lo establecido en la presente ley. El Ministerio de Planificación Nacional y la Secretaría Técnica Presupuestaria darán el asesoramiento y la colaboración necesaria para el desarrollo de este estudio. </w:t>
      </w:r>
      <w:r w:rsidR="00095341" w:rsidRPr="00A156F4">
        <w:rPr>
          <w:sz w:val="22"/>
          <w:szCs w:val="22"/>
        </w:rPr>
        <w:t xml:space="preserve">La </w:t>
      </w:r>
      <w:proofErr w:type="spellStart"/>
      <w:r w:rsidR="00095341" w:rsidRPr="00A156F4">
        <w:rPr>
          <w:sz w:val="22"/>
          <w:szCs w:val="22"/>
        </w:rPr>
        <w:t>S</w:t>
      </w:r>
      <w:r w:rsidR="002535A7" w:rsidRPr="00A156F4">
        <w:rPr>
          <w:sz w:val="22"/>
          <w:szCs w:val="22"/>
        </w:rPr>
        <w:t>utel</w:t>
      </w:r>
      <w:proofErr w:type="spellEnd"/>
      <w:r w:rsidR="00095341" w:rsidRPr="00A156F4">
        <w:rPr>
          <w:sz w:val="22"/>
          <w:szCs w:val="22"/>
        </w:rPr>
        <w:t>, en un plazo máximo de seis meses a partir de la aprobación de la ley contará con el estudio de organización a efectos de determinar la estructura organizativa idónea para dar cumplimiento a lo establecido en la presente Ley.</w:t>
      </w:r>
      <w:r w:rsidR="00BA0885" w:rsidRPr="00A156F4">
        <w:rPr>
          <w:sz w:val="22"/>
          <w:szCs w:val="22"/>
        </w:rPr>
        <w:t xml:space="preserve"> </w:t>
      </w:r>
    </w:p>
    <w:p w14:paraId="391F8CCD" w14:textId="77777777" w:rsidR="00762F13" w:rsidRPr="00A156F4" w:rsidRDefault="00762F13" w:rsidP="00762F13">
      <w:pPr>
        <w:widowControl w:val="0"/>
        <w:jc w:val="both"/>
        <w:outlineLvl w:val="0"/>
        <w:rPr>
          <w:b/>
          <w:sz w:val="22"/>
          <w:szCs w:val="22"/>
        </w:rPr>
      </w:pPr>
    </w:p>
    <w:p w14:paraId="0A696506" w14:textId="77777777" w:rsidR="00762F13" w:rsidRPr="00A156F4" w:rsidRDefault="00762F13" w:rsidP="00762F13">
      <w:pPr>
        <w:widowControl w:val="0"/>
        <w:jc w:val="both"/>
        <w:outlineLvl w:val="0"/>
        <w:rPr>
          <w:b/>
          <w:sz w:val="22"/>
          <w:szCs w:val="22"/>
        </w:rPr>
      </w:pPr>
      <w:r w:rsidRPr="00A156F4">
        <w:rPr>
          <w:b/>
          <w:sz w:val="22"/>
          <w:szCs w:val="22"/>
        </w:rPr>
        <w:t>Transitorio X.-</w:t>
      </w:r>
    </w:p>
    <w:p w14:paraId="085554C6" w14:textId="77777777" w:rsidR="00762F13" w:rsidRPr="00A156F4" w:rsidRDefault="00762F13" w:rsidP="00762F13">
      <w:pPr>
        <w:widowControl w:val="0"/>
        <w:jc w:val="both"/>
        <w:rPr>
          <w:sz w:val="22"/>
          <w:szCs w:val="22"/>
        </w:rPr>
      </w:pPr>
    </w:p>
    <w:p w14:paraId="4CA1EF3E" w14:textId="5B30BA8C" w:rsidR="00762F13" w:rsidRPr="00A156F4" w:rsidRDefault="00762F13" w:rsidP="00762F13">
      <w:pPr>
        <w:widowControl w:val="0"/>
        <w:jc w:val="both"/>
        <w:rPr>
          <w:sz w:val="22"/>
          <w:szCs w:val="22"/>
        </w:rPr>
      </w:pPr>
      <w:r w:rsidRPr="00A156F4">
        <w:rPr>
          <w:sz w:val="22"/>
          <w:szCs w:val="22"/>
        </w:rPr>
        <w:t xml:space="preserve">Los funcionarios que conforman la Unidad Técnica de Apoyo a la </w:t>
      </w:r>
      <w:proofErr w:type="spellStart"/>
      <w:r w:rsidRPr="00A156F4">
        <w:rPr>
          <w:sz w:val="22"/>
          <w:szCs w:val="22"/>
        </w:rPr>
        <w:t>Coprocom</w:t>
      </w:r>
      <w:proofErr w:type="spellEnd"/>
      <w:r w:rsidR="00BA0885" w:rsidRPr="00A156F4">
        <w:rPr>
          <w:sz w:val="22"/>
          <w:szCs w:val="22"/>
        </w:rPr>
        <w:t xml:space="preserve"> </w:t>
      </w:r>
      <w:r w:rsidRPr="00A156F4">
        <w:rPr>
          <w:sz w:val="22"/>
          <w:szCs w:val="22"/>
        </w:rPr>
        <w:t>que así lo deseen</w:t>
      </w:r>
      <w:r w:rsidR="00BA0885" w:rsidRPr="00A156F4">
        <w:rPr>
          <w:sz w:val="22"/>
          <w:szCs w:val="22"/>
        </w:rPr>
        <w:t xml:space="preserve"> </w:t>
      </w:r>
      <w:r w:rsidRPr="00A156F4">
        <w:rPr>
          <w:sz w:val="22"/>
          <w:szCs w:val="22"/>
        </w:rPr>
        <w:t xml:space="preserve">y que tengan al menos un año de nombramiento en tal Unidad a la hora de publicación de la presente ley continuarán brindando sus servicios a la </w:t>
      </w:r>
      <w:proofErr w:type="spellStart"/>
      <w:r w:rsidRPr="00A156F4">
        <w:rPr>
          <w:sz w:val="22"/>
          <w:szCs w:val="22"/>
        </w:rPr>
        <w:t>Coprocom</w:t>
      </w:r>
      <w:proofErr w:type="spellEnd"/>
      <w:r w:rsidRPr="00A156F4">
        <w:rPr>
          <w:sz w:val="22"/>
          <w:szCs w:val="22"/>
        </w:rPr>
        <w:t xml:space="preserve">. </w:t>
      </w:r>
    </w:p>
    <w:p w14:paraId="7B640A04" w14:textId="77777777" w:rsidR="00762F13" w:rsidRPr="00A156F4" w:rsidRDefault="00762F13" w:rsidP="00762F13">
      <w:pPr>
        <w:widowControl w:val="0"/>
        <w:jc w:val="both"/>
        <w:rPr>
          <w:sz w:val="22"/>
          <w:szCs w:val="22"/>
        </w:rPr>
      </w:pPr>
    </w:p>
    <w:p w14:paraId="47E13C41" w14:textId="77777777" w:rsidR="00762F13" w:rsidRPr="00A156F4" w:rsidRDefault="00762F13" w:rsidP="00762F13">
      <w:pPr>
        <w:widowControl w:val="0"/>
        <w:jc w:val="both"/>
        <w:rPr>
          <w:sz w:val="22"/>
          <w:szCs w:val="22"/>
        </w:rPr>
      </w:pPr>
      <w:r w:rsidRPr="00A156F4">
        <w:rPr>
          <w:sz w:val="22"/>
          <w:szCs w:val="22"/>
        </w:rPr>
        <w:t xml:space="preserve">Estos funcionarios, en caso de trasladarse, conservarán todos sus derechos laborales. En caso de no trasladarse, deberán ser reubicados en el Ministerio de Economía, Industria y Comercio conservando sus derechos laborales. Si el funcionario no desea trasladarse a la nueva estructura de la </w:t>
      </w:r>
      <w:proofErr w:type="spellStart"/>
      <w:r w:rsidRPr="00A156F4">
        <w:rPr>
          <w:sz w:val="22"/>
          <w:szCs w:val="22"/>
        </w:rPr>
        <w:t>Coprocom</w:t>
      </w:r>
      <w:proofErr w:type="spellEnd"/>
      <w:r w:rsidRPr="00A156F4">
        <w:rPr>
          <w:sz w:val="22"/>
          <w:szCs w:val="22"/>
        </w:rPr>
        <w:t xml:space="preserve"> o no desea permanecer en el Ministerio de Economía, Industria y Comercio, deberá manifestarlo, en cuyo caso el Ministerio de Economía, Industria y Comercio deberá cancelarles los extremos laborales que por ley les correspondan. </w:t>
      </w:r>
    </w:p>
    <w:p w14:paraId="26D16CBF" w14:textId="77777777" w:rsidR="00762F13" w:rsidRPr="00A156F4" w:rsidRDefault="00762F13" w:rsidP="00762F13">
      <w:pPr>
        <w:widowControl w:val="0"/>
        <w:jc w:val="both"/>
        <w:rPr>
          <w:sz w:val="22"/>
          <w:szCs w:val="22"/>
        </w:rPr>
      </w:pPr>
    </w:p>
    <w:p w14:paraId="4B459AC7" w14:textId="77777777" w:rsidR="00762F13" w:rsidRPr="00A156F4" w:rsidRDefault="00762F13" w:rsidP="00762F13">
      <w:pPr>
        <w:widowControl w:val="0"/>
        <w:jc w:val="both"/>
        <w:outlineLvl w:val="0"/>
        <w:rPr>
          <w:b/>
          <w:sz w:val="22"/>
          <w:szCs w:val="22"/>
        </w:rPr>
      </w:pPr>
      <w:r w:rsidRPr="00A156F4">
        <w:rPr>
          <w:b/>
          <w:sz w:val="22"/>
          <w:szCs w:val="22"/>
        </w:rPr>
        <w:t>Transitorio XI.-</w:t>
      </w:r>
    </w:p>
    <w:p w14:paraId="484F9165" w14:textId="77777777" w:rsidR="00762F13" w:rsidRPr="00A156F4" w:rsidRDefault="00762F13" w:rsidP="00762F13">
      <w:pPr>
        <w:widowControl w:val="0"/>
        <w:jc w:val="both"/>
        <w:rPr>
          <w:sz w:val="22"/>
          <w:szCs w:val="22"/>
        </w:rPr>
      </w:pPr>
    </w:p>
    <w:p w14:paraId="2F89A603" w14:textId="77777777" w:rsidR="00762F13" w:rsidRPr="00A156F4" w:rsidRDefault="00762F13" w:rsidP="00762F13">
      <w:pPr>
        <w:widowControl w:val="0"/>
        <w:jc w:val="both"/>
        <w:rPr>
          <w:sz w:val="22"/>
          <w:szCs w:val="22"/>
        </w:rPr>
      </w:pPr>
      <w:r w:rsidRPr="00A156F4">
        <w:rPr>
          <w:sz w:val="22"/>
          <w:szCs w:val="22"/>
        </w:rPr>
        <w:t xml:space="preserve">La Procuraduría General de la República continuará representando y concluirá la defensa de los casos que contra la Comisión para Promover la Competencia hayan iniciado de manera previa a la </w:t>
      </w:r>
      <w:proofErr w:type="gramStart"/>
      <w:r w:rsidRPr="00A156F4">
        <w:rPr>
          <w:sz w:val="22"/>
          <w:szCs w:val="22"/>
        </w:rPr>
        <w:t>entrada en vigencia</w:t>
      </w:r>
      <w:proofErr w:type="gramEnd"/>
      <w:r w:rsidRPr="00A156F4">
        <w:rPr>
          <w:sz w:val="22"/>
          <w:szCs w:val="22"/>
        </w:rPr>
        <w:t xml:space="preserve"> de la presente ley. Asimismo, concluirá las gestiones de cobro de multas iniciadas. Lo anterior salvo que la propia Comisión resuelva lo contrario. </w:t>
      </w:r>
    </w:p>
    <w:p w14:paraId="4EB27E28" w14:textId="77777777" w:rsidR="00762F13" w:rsidRPr="00A156F4" w:rsidRDefault="00762F13" w:rsidP="00762F13">
      <w:pPr>
        <w:widowControl w:val="0"/>
        <w:jc w:val="both"/>
        <w:rPr>
          <w:sz w:val="22"/>
          <w:szCs w:val="22"/>
        </w:rPr>
      </w:pPr>
    </w:p>
    <w:p w14:paraId="309E9FCC" w14:textId="40A96AE8" w:rsidR="00762F13" w:rsidRPr="00A156F4" w:rsidRDefault="00762F13" w:rsidP="00762F13">
      <w:pPr>
        <w:widowControl w:val="0"/>
        <w:jc w:val="both"/>
        <w:rPr>
          <w:sz w:val="22"/>
          <w:szCs w:val="22"/>
        </w:rPr>
      </w:pPr>
      <w:r w:rsidRPr="00A156F4">
        <w:rPr>
          <w:sz w:val="22"/>
          <w:szCs w:val="22"/>
        </w:rPr>
        <w:t xml:space="preserve">Igualmente, mientras se conforma la nueva </w:t>
      </w:r>
      <w:r w:rsidR="00DF0A21" w:rsidRPr="00A156F4">
        <w:rPr>
          <w:sz w:val="22"/>
          <w:szCs w:val="22"/>
        </w:rPr>
        <w:t>Comisión</w:t>
      </w:r>
      <w:r w:rsidRPr="00A156F4">
        <w:rPr>
          <w:sz w:val="22"/>
          <w:szCs w:val="22"/>
        </w:rPr>
        <w:t>, la Procuraduría General de la República asumirá la representación en los asuntos judiciales que se presenten a partir de la publicación de esta Ley.</w:t>
      </w:r>
    </w:p>
    <w:p w14:paraId="7FAB4E53" w14:textId="77777777" w:rsidR="00A45067" w:rsidRPr="00A156F4" w:rsidRDefault="00A45067" w:rsidP="00762F13">
      <w:pPr>
        <w:widowControl w:val="0"/>
        <w:jc w:val="both"/>
        <w:rPr>
          <w:b/>
          <w:sz w:val="22"/>
          <w:szCs w:val="22"/>
        </w:rPr>
      </w:pPr>
    </w:p>
    <w:p w14:paraId="69E8B232" w14:textId="61CDDC7A" w:rsidR="00A45067" w:rsidRPr="00A156F4" w:rsidRDefault="00A45067" w:rsidP="00762F13">
      <w:pPr>
        <w:widowControl w:val="0"/>
        <w:jc w:val="both"/>
        <w:rPr>
          <w:b/>
          <w:sz w:val="22"/>
          <w:szCs w:val="22"/>
        </w:rPr>
      </w:pPr>
      <w:r w:rsidRPr="00A156F4">
        <w:rPr>
          <w:b/>
          <w:sz w:val="22"/>
          <w:szCs w:val="22"/>
        </w:rPr>
        <w:t>Transitorio XII.-</w:t>
      </w:r>
    </w:p>
    <w:p w14:paraId="1F0925AC" w14:textId="77777777" w:rsidR="00A45067" w:rsidRPr="00A156F4" w:rsidRDefault="00A45067" w:rsidP="00762F13">
      <w:pPr>
        <w:widowControl w:val="0"/>
        <w:jc w:val="both"/>
        <w:rPr>
          <w:sz w:val="22"/>
          <w:szCs w:val="22"/>
        </w:rPr>
      </w:pPr>
    </w:p>
    <w:p w14:paraId="3CF6F47A" w14:textId="113B78F9" w:rsidR="00762F13" w:rsidRPr="00A156F4" w:rsidRDefault="00002C2C" w:rsidP="00762F13">
      <w:pPr>
        <w:widowControl w:val="0"/>
        <w:jc w:val="both"/>
        <w:rPr>
          <w:sz w:val="22"/>
          <w:szCs w:val="22"/>
        </w:rPr>
      </w:pPr>
      <w:r w:rsidRPr="00A156F4">
        <w:rPr>
          <w:sz w:val="22"/>
          <w:szCs w:val="22"/>
        </w:rPr>
        <w:t xml:space="preserve">En </w:t>
      </w:r>
      <w:proofErr w:type="spellStart"/>
      <w:r w:rsidRPr="00A156F4">
        <w:rPr>
          <w:sz w:val="22"/>
          <w:szCs w:val="22"/>
        </w:rPr>
        <w:t>en</w:t>
      </w:r>
      <w:proofErr w:type="spellEnd"/>
      <w:r w:rsidRPr="00A156F4">
        <w:rPr>
          <w:sz w:val="22"/>
          <w:szCs w:val="22"/>
        </w:rPr>
        <w:t xml:space="preserve"> el caso de la </w:t>
      </w:r>
      <w:proofErr w:type="spellStart"/>
      <w:r w:rsidRPr="00A156F4">
        <w:rPr>
          <w:sz w:val="22"/>
          <w:szCs w:val="22"/>
        </w:rPr>
        <w:t>Coprocom</w:t>
      </w:r>
      <w:proofErr w:type="spellEnd"/>
      <w:r w:rsidRPr="00A156F4">
        <w:rPr>
          <w:sz w:val="22"/>
          <w:szCs w:val="22"/>
        </w:rPr>
        <w:t>, l</w:t>
      </w:r>
      <w:r w:rsidR="00A45067" w:rsidRPr="00A156F4">
        <w:rPr>
          <w:sz w:val="22"/>
          <w:szCs w:val="22"/>
        </w:rPr>
        <w:t>os plazos y procedimientos previstos en la presente ley, empezarán a aplicarse hasta tanto se cuente con la conformación de</w:t>
      </w:r>
      <w:r w:rsidRPr="00A156F4">
        <w:rPr>
          <w:sz w:val="22"/>
          <w:szCs w:val="22"/>
        </w:rPr>
        <w:t>l Órgano Superior.</w:t>
      </w:r>
    </w:p>
    <w:p w14:paraId="690DC09D" w14:textId="77777777" w:rsidR="00DC2CE6" w:rsidRPr="00A156F4" w:rsidRDefault="00DC2CE6" w:rsidP="00762F13">
      <w:pPr>
        <w:widowControl w:val="0"/>
        <w:jc w:val="both"/>
        <w:rPr>
          <w:sz w:val="22"/>
          <w:szCs w:val="22"/>
        </w:rPr>
      </w:pPr>
    </w:p>
    <w:p w14:paraId="4FA32E23" w14:textId="77777777" w:rsidR="00DC2CE6" w:rsidRPr="00A156F4" w:rsidRDefault="00DC2CE6" w:rsidP="00762F13">
      <w:pPr>
        <w:widowControl w:val="0"/>
        <w:jc w:val="both"/>
        <w:rPr>
          <w:b/>
          <w:sz w:val="22"/>
          <w:szCs w:val="22"/>
        </w:rPr>
      </w:pPr>
      <w:r w:rsidRPr="00A156F4">
        <w:rPr>
          <w:b/>
          <w:sz w:val="22"/>
          <w:szCs w:val="22"/>
        </w:rPr>
        <w:t>Transitorio XIV.-</w:t>
      </w:r>
    </w:p>
    <w:p w14:paraId="422DCC28" w14:textId="3820E342" w:rsidR="00DC2CE6" w:rsidRPr="00A156F4" w:rsidRDefault="00DC2CE6" w:rsidP="00762F13">
      <w:pPr>
        <w:widowControl w:val="0"/>
        <w:jc w:val="both"/>
        <w:rPr>
          <w:sz w:val="22"/>
          <w:szCs w:val="22"/>
        </w:rPr>
      </w:pPr>
      <w:r w:rsidRPr="00A156F4">
        <w:rPr>
          <w:sz w:val="22"/>
          <w:szCs w:val="22"/>
        </w:rPr>
        <w:t>Las autoridades de competencia contarán con un plazo de hasta 12 meses</w:t>
      </w:r>
      <w:r w:rsidR="00402476" w:rsidRPr="00A156F4">
        <w:rPr>
          <w:sz w:val="22"/>
          <w:szCs w:val="22"/>
        </w:rPr>
        <w:t xml:space="preserve"> a partir de la conformación del Órgano Superior,</w:t>
      </w:r>
      <w:r w:rsidRPr="00A156F4">
        <w:rPr>
          <w:sz w:val="22"/>
          <w:szCs w:val="22"/>
        </w:rPr>
        <w:t xml:space="preserve"> para dictar las </w:t>
      </w:r>
      <w:r w:rsidR="00D0744C" w:rsidRPr="00A156F4">
        <w:rPr>
          <w:sz w:val="22"/>
          <w:szCs w:val="22"/>
        </w:rPr>
        <w:t xml:space="preserve">siguientes guías técnicas: </w:t>
      </w:r>
      <w:r w:rsidR="00D0744C" w:rsidRPr="00A156F4">
        <w:rPr>
          <w:sz w:val="22"/>
          <w:szCs w:val="22"/>
          <w:lang w:val="es-CR"/>
        </w:rPr>
        <w:t xml:space="preserve">análisis de prácticas anticompetitivas, análisis de </w:t>
      </w:r>
      <w:r w:rsidR="000231C7" w:rsidRPr="00A156F4">
        <w:rPr>
          <w:sz w:val="22"/>
          <w:szCs w:val="22"/>
          <w:lang w:val="es-CR"/>
        </w:rPr>
        <w:t>concentraciones, los</w:t>
      </w:r>
      <w:r w:rsidR="00D0744C" w:rsidRPr="00A156F4">
        <w:rPr>
          <w:sz w:val="22"/>
          <w:szCs w:val="22"/>
          <w:lang w:val="es-CR"/>
        </w:rPr>
        <w:t xml:space="preserve"> procedimientos sancionatorios ante la autoridad de competencia correspondiente y programas de cumplimiento.</w:t>
      </w:r>
      <w:r w:rsidRPr="00A156F4">
        <w:rPr>
          <w:sz w:val="22"/>
          <w:szCs w:val="22"/>
        </w:rPr>
        <w:t xml:space="preserve"> </w:t>
      </w:r>
    </w:p>
    <w:p w14:paraId="5EB28188" w14:textId="77777777" w:rsidR="00F2139B" w:rsidRPr="00A156F4" w:rsidRDefault="00F2139B" w:rsidP="00762F13">
      <w:pPr>
        <w:widowControl w:val="0"/>
        <w:jc w:val="both"/>
        <w:rPr>
          <w:sz w:val="22"/>
          <w:szCs w:val="22"/>
          <w:lang w:val="es-CR"/>
        </w:rPr>
      </w:pPr>
    </w:p>
    <w:p w14:paraId="67F12DF5" w14:textId="05D4A631" w:rsidR="003C5B99" w:rsidRPr="00A156F4" w:rsidRDefault="00762F13" w:rsidP="004B2F8B">
      <w:pPr>
        <w:widowControl w:val="0"/>
        <w:jc w:val="both"/>
        <w:rPr>
          <w:sz w:val="22"/>
          <w:szCs w:val="22"/>
        </w:rPr>
      </w:pPr>
      <w:r w:rsidRPr="00A156F4">
        <w:rPr>
          <w:sz w:val="22"/>
          <w:szCs w:val="22"/>
        </w:rPr>
        <w:t>Rige a partir</w:t>
      </w:r>
      <w:r w:rsidR="00BA0885" w:rsidRPr="00A156F4">
        <w:rPr>
          <w:sz w:val="22"/>
          <w:szCs w:val="22"/>
        </w:rPr>
        <w:t xml:space="preserve"> </w:t>
      </w:r>
      <w:r w:rsidRPr="00A156F4">
        <w:rPr>
          <w:sz w:val="22"/>
          <w:szCs w:val="22"/>
        </w:rPr>
        <w:t xml:space="preserve">de su publicación en el </w:t>
      </w:r>
      <w:r w:rsidR="00A45067" w:rsidRPr="00A156F4">
        <w:rPr>
          <w:sz w:val="22"/>
          <w:szCs w:val="22"/>
        </w:rPr>
        <w:t>D</w:t>
      </w:r>
      <w:r w:rsidRPr="00A156F4">
        <w:rPr>
          <w:sz w:val="22"/>
          <w:szCs w:val="22"/>
        </w:rPr>
        <w:t xml:space="preserve">iario </w:t>
      </w:r>
      <w:r w:rsidR="00A45067" w:rsidRPr="00A156F4">
        <w:rPr>
          <w:sz w:val="22"/>
          <w:szCs w:val="22"/>
        </w:rPr>
        <w:t>O</w:t>
      </w:r>
      <w:r w:rsidRPr="00A156F4">
        <w:rPr>
          <w:sz w:val="22"/>
          <w:szCs w:val="22"/>
        </w:rPr>
        <w:t>ficial La Gaceta.</w:t>
      </w:r>
    </w:p>
    <w:sectPr w:rsidR="003C5B99" w:rsidRPr="00A156F4" w:rsidSect="0053180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1E59" w14:textId="77777777" w:rsidR="002E1091" w:rsidRDefault="002E1091" w:rsidP="006D6C05">
      <w:r>
        <w:separator/>
      </w:r>
    </w:p>
  </w:endnote>
  <w:endnote w:type="continuationSeparator" w:id="0">
    <w:p w14:paraId="08C02D9C" w14:textId="77777777" w:rsidR="002E1091" w:rsidRDefault="002E1091" w:rsidP="006D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AB51" w14:textId="77777777" w:rsidR="002E1091" w:rsidRDefault="002E1091" w:rsidP="006D6C05">
      <w:r>
        <w:separator/>
      </w:r>
    </w:p>
  </w:footnote>
  <w:footnote w:type="continuationSeparator" w:id="0">
    <w:p w14:paraId="49B08988" w14:textId="77777777" w:rsidR="002E1091" w:rsidRDefault="002E1091" w:rsidP="006D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3068"/>
      <w:docPartObj>
        <w:docPartGallery w:val="Watermarks"/>
        <w:docPartUnique/>
      </w:docPartObj>
    </w:sdtPr>
    <w:sdtContent>
      <w:p w14:paraId="00A7A958" w14:textId="7F28359B" w:rsidR="00DA0C3B" w:rsidRDefault="00DA0C3B">
        <w:pPr>
          <w:pStyle w:val="Encabezado"/>
        </w:pPr>
        <w:r>
          <w:pict w14:anchorId="6643E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496484" o:spid="_x0000_s2052" type="#_x0000_t136" style="position:absolute;margin-left:0;margin-top:0;width:453.1pt;height:169.9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33B"/>
    <w:multiLevelType w:val="hybridMultilevel"/>
    <w:tmpl w:val="C110130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FE3FAD"/>
    <w:multiLevelType w:val="hybridMultilevel"/>
    <w:tmpl w:val="1618109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C62557"/>
    <w:multiLevelType w:val="hybridMultilevel"/>
    <w:tmpl w:val="96D4D4E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7314E8"/>
    <w:multiLevelType w:val="hybridMultilevel"/>
    <w:tmpl w:val="CCEE6C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6E6BD9"/>
    <w:multiLevelType w:val="hybridMultilevel"/>
    <w:tmpl w:val="970E8752"/>
    <w:lvl w:ilvl="0" w:tplc="329840B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195B686F"/>
    <w:multiLevelType w:val="hybridMultilevel"/>
    <w:tmpl w:val="FD3C895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32721E"/>
    <w:multiLevelType w:val="hybridMultilevel"/>
    <w:tmpl w:val="EF3678E2"/>
    <w:lvl w:ilvl="0" w:tplc="146A98F0">
      <w:start w:val="1"/>
      <w:numFmt w:val="lowerLetter"/>
      <w:lvlText w:val="%1)"/>
      <w:lvlJc w:val="left"/>
      <w:pPr>
        <w:ind w:left="360" w:hanging="360"/>
      </w:pPr>
      <w:rPr>
        <w:rFonts w:ascii="Times New Roman" w:hAnsi="Times New Roman" w:cs="Times New Roman" w:hint="default"/>
        <w:b w:val="0"/>
        <w:i w:val="0"/>
        <w:strike w:val="0"/>
        <w:dstrike w:val="0"/>
        <w:color w:val="auto"/>
        <w:sz w:val="24"/>
        <w:szCs w:val="24"/>
        <w:vertAlign w:val="baseline"/>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1D1A2A5F"/>
    <w:multiLevelType w:val="hybridMultilevel"/>
    <w:tmpl w:val="37BA5A78"/>
    <w:lvl w:ilvl="0" w:tplc="2D9404A0">
      <w:start w:val="1"/>
      <w:numFmt w:val="lowerLetter"/>
      <w:lvlText w:val="%1)"/>
      <w:lvlJc w:val="left"/>
      <w:pPr>
        <w:ind w:left="720" w:hanging="360"/>
      </w:pPr>
      <w:rPr>
        <w:rFonts w:hint="default"/>
        <w:b w:val="0"/>
      </w:rPr>
    </w:lvl>
    <w:lvl w:ilvl="1" w:tplc="BC1AB702">
      <w:start w:val="1"/>
      <w:numFmt w:val="lowerLetter"/>
      <w:lvlText w:val="%2)"/>
      <w:lvlJc w:val="left"/>
      <w:pPr>
        <w:ind w:left="1440" w:hanging="360"/>
      </w:pPr>
      <w:rPr>
        <w:rFonts w:hint="default"/>
      </w:rPr>
    </w:lvl>
    <w:lvl w:ilvl="2" w:tplc="91C2387C">
      <w:start w:val="1"/>
      <w:numFmt w:val="decimal"/>
      <w:lvlText w:val="%3."/>
      <w:lvlJc w:val="left"/>
      <w:pPr>
        <w:ind w:left="2690" w:hanging="71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A46B5D"/>
    <w:multiLevelType w:val="hybridMultilevel"/>
    <w:tmpl w:val="0EAC18D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CD6537"/>
    <w:multiLevelType w:val="hybridMultilevel"/>
    <w:tmpl w:val="94B2FC4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D3D32DE"/>
    <w:multiLevelType w:val="hybridMultilevel"/>
    <w:tmpl w:val="0B96E868"/>
    <w:lvl w:ilvl="0" w:tplc="6CA2E91A">
      <w:start w:val="1"/>
      <w:numFmt w:val="lowerLetter"/>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1" w15:restartNumberingAfterBreak="0">
    <w:nsid w:val="2ED85AA5"/>
    <w:multiLevelType w:val="hybridMultilevel"/>
    <w:tmpl w:val="8C96D1C0"/>
    <w:lvl w:ilvl="0" w:tplc="369EC26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D7622F"/>
    <w:multiLevelType w:val="hybridMultilevel"/>
    <w:tmpl w:val="F7A8B03C"/>
    <w:lvl w:ilvl="0" w:tplc="382C6452">
      <w:start w:val="1"/>
      <w:numFmt w:val="lowerLetter"/>
      <w:lvlText w:val="%1)"/>
      <w:lvlJc w:val="left"/>
      <w:pPr>
        <w:ind w:left="720" w:hanging="360"/>
      </w:pPr>
      <w:rPr>
        <w:rFonts w:ascii="Times New Roman" w:eastAsia="Calibri" w:hAnsi="Times New Roman"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3A62C3A"/>
    <w:multiLevelType w:val="hybridMultilevel"/>
    <w:tmpl w:val="E4B4780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B3A63CB"/>
    <w:multiLevelType w:val="hybridMultilevel"/>
    <w:tmpl w:val="CCEE6C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1FF0E33"/>
    <w:multiLevelType w:val="hybridMultilevel"/>
    <w:tmpl w:val="F3BE561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41114B5"/>
    <w:multiLevelType w:val="hybridMultilevel"/>
    <w:tmpl w:val="FC34E04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A171B4F"/>
    <w:multiLevelType w:val="hybridMultilevel"/>
    <w:tmpl w:val="CCEE6C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C7C0955"/>
    <w:multiLevelType w:val="hybridMultilevel"/>
    <w:tmpl w:val="970E8752"/>
    <w:lvl w:ilvl="0" w:tplc="329840B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15:restartNumberingAfterBreak="0">
    <w:nsid w:val="4E8102A5"/>
    <w:multiLevelType w:val="hybridMultilevel"/>
    <w:tmpl w:val="1594148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FF64545"/>
    <w:multiLevelType w:val="hybridMultilevel"/>
    <w:tmpl w:val="1A0A4C3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5350AC0"/>
    <w:multiLevelType w:val="hybridMultilevel"/>
    <w:tmpl w:val="1A0A4C3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8A02B7D"/>
    <w:multiLevelType w:val="hybridMultilevel"/>
    <w:tmpl w:val="4F2488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9513079"/>
    <w:multiLevelType w:val="hybridMultilevel"/>
    <w:tmpl w:val="B4384318"/>
    <w:lvl w:ilvl="0" w:tplc="7AF698DA">
      <w:start w:val="1"/>
      <w:numFmt w:val="decimal"/>
      <w:lvlText w:val="Artículo %1.- "/>
      <w:lvlJc w:val="left"/>
      <w:pPr>
        <w:ind w:left="0" w:firstLine="0"/>
      </w:pPr>
      <w:rPr>
        <w:rFonts w:ascii="Times New Roman" w:hAnsi="Times New Roman" w:hint="default"/>
        <w:b/>
        <w:i w:val="0"/>
        <w:sz w:val="22"/>
      </w:rPr>
    </w:lvl>
    <w:lvl w:ilvl="1" w:tplc="B9522EA4">
      <w:start w:val="1"/>
      <w:numFmt w:val="lowerLetter"/>
      <w:lvlText w:val="%2)"/>
      <w:lvlJc w:val="left"/>
      <w:pPr>
        <w:ind w:left="1790" w:hanging="710"/>
      </w:pPr>
      <w:rPr>
        <w:rFonts w:hint="default"/>
        <w:b w:val="0"/>
        <w:i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9EB5205"/>
    <w:multiLevelType w:val="hybridMultilevel"/>
    <w:tmpl w:val="8C96D1C0"/>
    <w:lvl w:ilvl="0" w:tplc="369EC26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830D9B"/>
    <w:multiLevelType w:val="hybridMultilevel"/>
    <w:tmpl w:val="0EA67D2C"/>
    <w:lvl w:ilvl="0" w:tplc="CC264716">
      <w:start w:val="1"/>
      <w:numFmt w:val="lowerLetter"/>
      <w:lvlText w:val="%1)"/>
      <w:lvlJc w:val="left"/>
      <w:pPr>
        <w:ind w:left="720" w:hanging="360"/>
      </w:pPr>
      <w:rPr>
        <w:rFonts w:cs="Times New Roman"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47D6108"/>
    <w:multiLevelType w:val="hybridMultilevel"/>
    <w:tmpl w:val="EC24AF7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6A7463"/>
    <w:multiLevelType w:val="hybridMultilevel"/>
    <w:tmpl w:val="9E8021B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8B12ED1"/>
    <w:multiLevelType w:val="hybridMultilevel"/>
    <w:tmpl w:val="9E103254"/>
    <w:lvl w:ilvl="0" w:tplc="140A0017">
      <w:start w:val="1"/>
      <w:numFmt w:val="lowerLetter"/>
      <w:lvlText w:val="%1)"/>
      <w:lvlJc w:val="left"/>
      <w:pPr>
        <w:ind w:left="1530" w:hanging="360"/>
      </w:pPr>
    </w:lvl>
    <w:lvl w:ilvl="1" w:tplc="140A0019" w:tentative="1">
      <w:start w:val="1"/>
      <w:numFmt w:val="lowerLetter"/>
      <w:lvlText w:val="%2."/>
      <w:lvlJc w:val="left"/>
      <w:pPr>
        <w:ind w:left="2250" w:hanging="360"/>
      </w:pPr>
    </w:lvl>
    <w:lvl w:ilvl="2" w:tplc="140A001B" w:tentative="1">
      <w:start w:val="1"/>
      <w:numFmt w:val="lowerRoman"/>
      <w:lvlText w:val="%3."/>
      <w:lvlJc w:val="right"/>
      <w:pPr>
        <w:ind w:left="2970" w:hanging="180"/>
      </w:pPr>
    </w:lvl>
    <w:lvl w:ilvl="3" w:tplc="140A000F" w:tentative="1">
      <w:start w:val="1"/>
      <w:numFmt w:val="decimal"/>
      <w:lvlText w:val="%4."/>
      <w:lvlJc w:val="left"/>
      <w:pPr>
        <w:ind w:left="3690" w:hanging="360"/>
      </w:pPr>
    </w:lvl>
    <w:lvl w:ilvl="4" w:tplc="140A0019" w:tentative="1">
      <w:start w:val="1"/>
      <w:numFmt w:val="lowerLetter"/>
      <w:lvlText w:val="%5."/>
      <w:lvlJc w:val="left"/>
      <w:pPr>
        <w:ind w:left="4410" w:hanging="360"/>
      </w:pPr>
    </w:lvl>
    <w:lvl w:ilvl="5" w:tplc="140A001B" w:tentative="1">
      <w:start w:val="1"/>
      <w:numFmt w:val="lowerRoman"/>
      <w:lvlText w:val="%6."/>
      <w:lvlJc w:val="right"/>
      <w:pPr>
        <w:ind w:left="5130" w:hanging="180"/>
      </w:pPr>
    </w:lvl>
    <w:lvl w:ilvl="6" w:tplc="140A000F" w:tentative="1">
      <w:start w:val="1"/>
      <w:numFmt w:val="decimal"/>
      <w:lvlText w:val="%7."/>
      <w:lvlJc w:val="left"/>
      <w:pPr>
        <w:ind w:left="5850" w:hanging="360"/>
      </w:pPr>
    </w:lvl>
    <w:lvl w:ilvl="7" w:tplc="140A0019" w:tentative="1">
      <w:start w:val="1"/>
      <w:numFmt w:val="lowerLetter"/>
      <w:lvlText w:val="%8."/>
      <w:lvlJc w:val="left"/>
      <w:pPr>
        <w:ind w:left="6570" w:hanging="360"/>
      </w:pPr>
    </w:lvl>
    <w:lvl w:ilvl="8" w:tplc="140A001B" w:tentative="1">
      <w:start w:val="1"/>
      <w:numFmt w:val="lowerRoman"/>
      <w:lvlText w:val="%9."/>
      <w:lvlJc w:val="right"/>
      <w:pPr>
        <w:ind w:left="7290" w:hanging="180"/>
      </w:pPr>
    </w:lvl>
  </w:abstractNum>
  <w:abstractNum w:abstractNumId="29" w15:restartNumberingAfterBreak="0">
    <w:nsid w:val="6B196D55"/>
    <w:multiLevelType w:val="hybridMultilevel"/>
    <w:tmpl w:val="D0524F0A"/>
    <w:lvl w:ilvl="0" w:tplc="B83A00BA">
      <w:start w:val="1"/>
      <w:numFmt w:val="lowerLetter"/>
      <w:lvlText w:val="%1)"/>
      <w:lvlJc w:val="left"/>
      <w:pPr>
        <w:ind w:left="720" w:hanging="360"/>
      </w:pPr>
      <w:rPr>
        <w:rFonts w:ascii="Times New Roman" w:hAnsi="Times New Roman" w:cs="Times New Roman"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B5A3873"/>
    <w:multiLevelType w:val="hybridMultilevel"/>
    <w:tmpl w:val="6F8A8BF2"/>
    <w:lvl w:ilvl="0" w:tplc="7C88CD46">
      <w:start w:val="2"/>
      <w:numFmt w:val="lowerLetter"/>
      <w:lvlText w:val="%1)"/>
      <w:lvlJc w:val="left"/>
      <w:pPr>
        <w:ind w:left="720" w:hanging="360"/>
      </w:pPr>
      <w:rPr>
        <w:rFonts w:eastAsia="Calibri" w:cs="Calibri"/>
        <w:i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1" w15:restartNumberingAfterBreak="0">
    <w:nsid w:val="6DC31247"/>
    <w:multiLevelType w:val="hybridMultilevel"/>
    <w:tmpl w:val="E73C706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E0A427C"/>
    <w:multiLevelType w:val="hybridMultilevel"/>
    <w:tmpl w:val="970E8752"/>
    <w:lvl w:ilvl="0" w:tplc="329840B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15:restartNumberingAfterBreak="0">
    <w:nsid w:val="70BA5683"/>
    <w:multiLevelType w:val="hybridMultilevel"/>
    <w:tmpl w:val="FDCE872C"/>
    <w:lvl w:ilvl="0" w:tplc="4C443C76">
      <w:start w:val="1"/>
      <w:numFmt w:val="lowerRoman"/>
      <w:lvlText w:val="%1)"/>
      <w:lvlJc w:val="left"/>
      <w:pPr>
        <w:ind w:left="1440" w:hanging="720"/>
      </w:pPr>
      <w:rPr>
        <w:rFonts w:hint="default"/>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15:restartNumberingAfterBreak="0">
    <w:nsid w:val="752131B7"/>
    <w:multiLevelType w:val="hybridMultilevel"/>
    <w:tmpl w:val="1286E0CA"/>
    <w:lvl w:ilvl="0" w:tplc="440A88E2">
      <w:start w:val="1"/>
      <w:numFmt w:val="lowerLetter"/>
      <w:lvlText w:val="%1)"/>
      <w:lvlJc w:val="left"/>
      <w:pPr>
        <w:ind w:left="720" w:hanging="360"/>
      </w:pPr>
      <w:rPr>
        <w:rFonts w:ascii="Times New Roman" w:hAnsi="Times New Roman" w:cs="Arial" w:hint="default"/>
        <w:b w:val="0"/>
        <w:i w:val="0"/>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6B84BAB"/>
    <w:multiLevelType w:val="hybridMultilevel"/>
    <w:tmpl w:val="9914279C"/>
    <w:lvl w:ilvl="0" w:tplc="4D22917A">
      <w:start w:val="1"/>
      <w:numFmt w:val="lowerLetter"/>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36" w15:restartNumberingAfterBreak="0">
    <w:nsid w:val="79690057"/>
    <w:multiLevelType w:val="hybridMultilevel"/>
    <w:tmpl w:val="88B27974"/>
    <w:lvl w:ilvl="0" w:tplc="09045E20">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7" w15:restartNumberingAfterBreak="0">
    <w:nsid w:val="7BBD6616"/>
    <w:multiLevelType w:val="hybridMultilevel"/>
    <w:tmpl w:val="3DD46A8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CFE7CA2"/>
    <w:multiLevelType w:val="hybridMultilevel"/>
    <w:tmpl w:val="5286436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E932222"/>
    <w:multiLevelType w:val="hybridMultilevel"/>
    <w:tmpl w:val="CCEE6C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EEE4B3D"/>
    <w:multiLevelType w:val="hybridMultilevel"/>
    <w:tmpl w:val="3CCA86A2"/>
    <w:lvl w:ilvl="0" w:tplc="6938152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4"/>
  </w:num>
  <w:num w:numId="2">
    <w:abstractNumId w:val="6"/>
  </w:num>
  <w:num w:numId="3">
    <w:abstractNumId w:val="13"/>
  </w:num>
  <w:num w:numId="4">
    <w:abstractNumId w:val="23"/>
  </w:num>
  <w:num w:numId="5">
    <w:abstractNumId w:val="7"/>
  </w:num>
  <w:num w:numId="6">
    <w:abstractNumId w:val="16"/>
  </w:num>
  <w:num w:numId="7">
    <w:abstractNumId w:val="9"/>
  </w:num>
  <w:num w:numId="8">
    <w:abstractNumId w:val="31"/>
  </w:num>
  <w:num w:numId="9">
    <w:abstractNumId w:val="0"/>
  </w:num>
  <w:num w:numId="10">
    <w:abstractNumId w:val="12"/>
  </w:num>
  <w:num w:numId="11">
    <w:abstractNumId w:val="28"/>
  </w:num>
  <w:num w:numId="12">
    <w:abstractNumId w:val="2"/>
  </w:num>
  <w:num w:numId="13">
    <w:abstractNumId w:val="38"/>
  </w:num>
  <w:num w:numId="14">
    <w:abstractNumId w:val="1"/>
  </w:num>
  <w:num w:numId="15">
    <w:abstractNumId w:val="22"/>
  </w:num>
  <w:num w:numId="16">
    <w:abstractNumId w:val="17"/>
  </w:num>
  <w:num w:numId="17">
    <w:abstractNumId w:val="11"/>
  </w:num>
  <w:num w:numId="18">
    <w:abstractNumId w:val="26"/>
  </w:num>
  <w:num w:numId="19">
    <w:abstractNumId w:val="15"/>
  </w:num>
  <w:num w:numId="20">
    <w:abstractNumId w:val="36"/>
  </w:num>
  <w:num w:numId="21">
    <w:abstractNumId w:val="39"/>
  </w:num>
  <w:num w:numId="22">
    <w:abstractNumId w:val="3"/>
  </w:num>
  <w:num w:numId="23">
    <w:abstractNumId w:val="14"/>
  </w:num>
  <w:num w:numId="24">
    <w:abstractNumId w:val="40"/>
  </w:num>
  <w:num w:numId="25">
    <w:abstractNumId w:val="25"/>
  </w:num>
  <w:num w:numId="26">
    <w:abstractNumId w:val="29"/>
  </w:num>
  <w:num w:numId="27">
    <w:abstractNumId w:val="4"/>
  </w:num>
  <w:num w:numId="28">
    <w:abstractNumId w:val="19"/>
  </w:num>
  <w:num w:numId="29">
    <w:abstractNumId w:val="27"/>
  </w:num>
  <w:num w:numId="30">
    <w:abstractNumId w:val="21"/>
  </w:num>
  <w:num w:numId="31">
    <w:abstractNumId w:val="18"/>
  </w:num>
  <w:num w:numId="32">
    <w:abstractNumId w:val="33"/>
  </w:num>
  <w:num w:numId="33">
    <w:abstractNumId w:val="24"/>
  </w:num>
  <w:num w:numId="34">
    <w:abstractNumId w:val="37"/>
  </w:num>
  <w:num w:numId="35">
    <w:abstractNumId w:val="8"/>
  </w:num>
  <w:num w:numId="36">
    <w:abstractNumId w:val="20"/>
  </w:num>
  <w:num w:numId="37">
    <w:abstractNumId w:val="5"/>
  </w:num>
  <w:num w:numId="38">
    <w:abstractNumId w:val="32"/>
  </w:num>
  <w:num w:numId="39">
    <w:abstractNumId w:val="35"/>
  </w:num>
  <w:num w:numId="40">
    <w:abstractNumId w:val="10"/>
  </w:num>
  <w:num w:numId="4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99"/>
    <w:rsid w:val="000005DA"/>
    <w:rsid w:val="000011E4"/>
    <w:rsid w:val="0000175B"/>
    <w:rsid w:val="00001DCB"/>
    <w:rsid w:val="00002C2C"/>
    <w:rsid w:val="00004A67"/>
    <w:rsid w:val="0000513E"/>
    <w:rsid w:val="00005BEB"/>
    <w:rsid w:val="00006034"/>
    <w:rsid w:val="00006B06"/>
    <w:rsid w:val="00007810"/>
    <w:rsid w:val="000078F9"/>
    <w:rsid w:val="00007BFA"/>
    <w:rsid w:val="0001043C"/>
    <w:rsid w:val="00010615"/>
    <w:rsid w:val="0001080C"/>
    <w:rsid w:val="00010B5D"/>
    <w:rsid w:val="00011E0E"/>
    <w:rsid w:val="000128E8"/>
    <w:rsid w:val="00012E30"/>
    <w:rsid w:val="000135A0"/>
    <w:rsid w:val="00013A61"/>
    <w:rsid w:val="00013E79"/>
    <w:rsid w:val="00013F0F"/>
    <w:rsid w:val="00013F27"/>
    <w:rsid w:val="0001420B"/>
    <w:rsid w:val="00014215"/>
    <w:rsid w:val="000145A6"/>
    <w:rsid w:val="000147F0"/>
    <w:rsid w:val="0001532F"/>
    <w:rsid w:val="000159B3"/>
    <w:rsid w:val="00015C1B"/>
    <w:rsid w:val="00016316"/>
    <w:rsid w:val="0001723E"/>
    <w:rsid w:val="00017296"/>
    <w:rsid w:val="00017388"/>
    <w:rsid w:val="00017883"/>
    <w:rsid w:val="000179AF"/>
    <w:rsid w:val="00017E6A"/>
    <w:rsid w:val="000201DF"/>
    <w:rsid w:val="00020B5A"/>
    <w:rsid w:val="00020C1B"/>
    <w:rsid w:val="00020F77"/>
    <w:rsid w:val="00021208"/>
    <w:rsid w:val="00021B78"/>
    <w:rsid w:val="00021DAD"/>
    <w:rsid w:val="00022FCA"/>
    <w:rsid w:val="000231C7"/>
    <w:rsid w:val="000237B1"/>
    <w:rsid w:val="00024FBA"/>
    <w:rsid w:val="000250C6"/>
    <w:rsid w:val="000258AD"/>
    <w:rsid w:val="00026000"/>
    <w:rsid w:val="0002624E"/>
    <w:rsid w:val="000262C4"/>
    <w:rsid w:val="00027396"/>
    <w:rsid w:val="00027994"/>
    <w:rsid w:val="00027C92"/>
    <w:rsid w:val="00030092"/>
    <w:rsid w:val="00030352"/>
    <w:rsid w:val="00030851"/>
    <w:rsid w:val="00031B08"/>
    <w:rsid w:val="000321BD"/>
    <w:rsid w:val="00033699"/>
    <w:rsid w:val="00033924"/>
    <w:rsid w:val="00033E43"/>
    <w:rsid w:val="0003449C"/>
    <w:rsid w:val="000351F5"/>
    <w:rsid w:val="00035E21"/>
    <w:rsid w:val="00037341"/>
    <w:rsid w:val="00037796"/>
    <w:rsid w:val="00037BA6"/>
    <w:rsid w:val="00037BB9"/>
    <w:rsid w:val="0004016F"/>
    <w:rsid w:val="00040619"/>
    <w:rsid w:val="000414A8"/>
    <w:rsid w:val="00041AB8"/>
    <w:rsid w:val="00041BB9"/>
    <w:rsid w:val="00041BC4"/>
    <w:rsid w:val="000424E3"/>
    <w:rsid w:val="00042757"/>
    <w:rsid w:val="00042F1D"/>
    <w:rsid w:val="000443C1"/>
    <w:rsid w:val="000445D9"/>
    <w:rsid w:val="000451BB"/>
    <w:rsid w:val="00045BF2"/>
    <w:rsid w:val="00046204"/>
    <w:rsid w:val="000467C5"/>
    <w:rsid w:val="000468A5"/>
    <w:rsid w:val="00046F0B"/>
    <w:rsid w:val="00047C37"/>
    <w:rsid w:val="00047C39"/>
    <w:rsid w:val="00047D1B"/>
    <w:rsid w:val="00047EAB"/>
    <w:rsid w:val="0005010F"/>
    <w:rsid w:val="00051182"/>
    <w:rsid w:val="00051498"/>
    <w:rsid w:val="00051A86"/>
    <w:rsid w:val="00052C69"/>
    <w:rsid w:val="00053063"/>
    <w:rsid w:val="00053065"/>
    <w:rsid w:val="000548F4"/>
    <w:rsid w:val="00055A43"/>
    <w:rsid w:val="00055A5F"/>
    <w:rsid w:val="0005622C"/>
    <w:rsid w:val="000569DD"/>
    <w:rsid w:val="00056BD6"/>
    <w:rsid w:val="00056CF1"/>
    <w:rsid w:val="00057263"/>
    <w:rsid w:val="00057641"/>
    <w:rsid w:val="0006026E"/>
    <w:rsid w:val="0006043F"/>
    <w:rsid w:val="0006075B"/>
    <w:rsid w:val="00061905"/>
    <w:rsid w:val="00061B40"/>
    <w:rsid w:val="000626E6"/>
    <w:rsid w:val="00062A54"/>
    <w:rsid w:val="000642D8"/>
    <w:rsid w:val="00064640"/>
    <w:rsid w:val="00064865"/>
    <w:rsid w:val="00064896"/>
    <w:rsid w:val="000650A5"/>
    <w:rsid w:val="00065438"/>
    <w:rsid w:val="000654A4"/>
    <w:rsid w:val="00065F33"/>
    <w:rsid w:val="00066999"/>
    <w:rsid w:val="00066DE2"/>
    <w:rsid w:val="00067E8E"/>
    <w:rsid w:val="00070A2D"/>
    <w:rsid w:val="000713BD"/>
    <w:rsid w:val="0007310C"/>
    <w:rsid w:val="000732BC"/>
    <w:rsid w:val="00073328"/>
    <w:rsid w:val="000736ED"/>
    <w:rsid w:val="000757D8"/>
    <w:rsid w:val="000777EA"/>
    <w:rsid w:val="000804D3"/>
    <w:rsid w:val="00080D71"/>
    <w:rsid w:val="00081077"/>
    <w:rsid w:val="000813EB"/>
    <w:rsid w:val="00082CCB"/>
    <w:rsid w:val="00082CF2"/>
    <w:rsid w:val="00083096"/>
    <w:rsid w:val="00083C31"/>
    <w:rsid w:val="00083C93"/>
    <w:rsid w:val="00084233"/>
    <w:rsid w:val="00084F8B"/>
    <w:rsid w:val="00085485"/>
    <w:rsid w:val="0008584E"/>
    <w:rsid w:val="00086813"/>
    <w:rsid w:val="00086E4F"/>
    <w:rsid w:val="000874D4"/>
    <w:rsid w:val="0008763A"/>
    <w:rsid w:val="000876A0"/>
    <w:rsid w:val="000878CD"/>
    <w:rsid w:val="00087BC3"/>
    <w:rsid w:val="00090953"/>
    <w:rsid w:val="00090C07"/>
    <w:rsid w:val="00092419"/>
    <w:rsid w:val="000930E0"/>
    <w:rsid w:val="000930F0"/>
    <w:rsid w:val="00093B9E"/>
    <w:rsid w:val="00094255"/>
    <w:rsid w:val="000943D0"/>
    <w:rsid w:val="000952F7"/>
    <w:rsid w:val="00095341"/>
    <w:rsid w:val="000954F3"/>
    <w:rsid w:val="00097B49"/>
    <w:rsid w:val="000A0446"/>
    <w:rsid w:val="000A0E57"/>
    <w:rsid w:val="000A1470"/>
    <w:rsid w:val="000A167C"/>
    <w:rsid w:val="000A2DEC"/>
    <w:rsid w:val="000A2F69"/>
    <w:rsid w:val="000A3E24"/>
    <w:rsid w:val="000A4C31"/>
    <w:rsid w:val="000A4FE5"/>
    <w:rsid w:val="000A51E5"/>
    <w:rsid w:val="000A5E45"/>
    <w:rsid w:val="000A6101"/>
    <w:rsid w:val="000A6302"/>
    <w:rsid w:val="000A6CFD"/>
    <w:rsid w:val="000A700E"/>
    <w:rsid w:val="000A7091"/>
    <w:rsid w:val="000A70DB"/>
    <w:rsid w:val="000A72C5"/>
    <w:rsid w:val="000A74AE"/>
    <w:rsid w:val="000A7C5B"/>
    <w:rsid w:val="000B0B79"/>
    <w:rsid w:val="000B1182"/>
    <w:rsid w:val="000B23ED"/>
    <w:rsid w:val="000B2467"/>
    <w:rsid w:val="000B3552"/>
    <w:rsid w:val="000B461A"/>
    <w:rsid w:val="000B4D40"/>
    <w:rsid w:val="000B4F5A"/>
    <w:rsid w:val="000B52A6"/>
    <w:rsid w:val="000B530F"/>
    <w:rsid w:val="000B5705"/>
    <w:rsid w:val="000B6BE1"/>
    <w:rsid w:val="000B6D77"/>
    <w:rsid w:val="000B6F2C"/>
    <w:rsid w:val="000C0086"/>
    <w:rsid w:val="000C185B"/>
    <w:rsid w:val="000C1FE9"/>
    <w:rsid w:val="000C21D1"/>
    <w:rsid w:val="000C285A"/>
    <w:rsid w:val="000C4336"/>
    <w:rsid w:val="000C45DC"/>
    <w:rsid w:val="000C4D37"/>
    <w:rsid w:val="000C53FE"/>
    <w:rsid w:val="000C5C7C"/>
    <w:rsid w:val="000C5F69"/>
    <w:rsid w:val="000C6112"/>
    <w:rsid w:val="000C62BE"/>
    <w:rsid w:val="000C6ACB"/>
    <w:rsid w:val="000C6B3D"/>
    <w:rsid w:val="000C7051"/>
    <w:rsid w:val="000C708D"/>
    <w:rsid w:val="000C757F"/>
    <w:rsid w:val="000D0465"/>
    <w:rsid w:val="000D11DF"/>
    <w:rsid w:val="000D189C"/>
    <w:rsid w:val="000D23ED"/>
    <w:rsid w:val="000D2817"/>
    <w:rsid w:val="000D2E81"/>
    <w:rsid w:val="000D3266"/>
    <w:rsid w:val="000D3416"/>
    <w:rsid w:val="000D3E46"/>
    <w:rsid w:val="000D4748"/>
    <w:rsid w:val="000D4C4C"/>
    <w:rsid w:val="000D5C97"/>
    <w:rsid w:val="000D5E60"/>
    <w:rsid w:val="000D6350"/>
    <w:rsid w:val="000D64EE"/>
    <w:rsid w:val="000D7823"/>
    <w:rsid w:val="000E0671"/>
    <w:rsid w:val="000E0AD8"/>
    <w:rsid w:val="000E0C4B"/>
    <w:rsid w:val="000E16BC"/>
    <w:rsid w:val="000E1D15"/>
    <w:rsid w:val="000E2155"/>
    <w:rsid w:val="000E2B90"/>
    <w:rsid w:val="000E34B0"/>
    <w:rsid w:val="000E3EDD"/>
    <w:rsid w:val="000E4262"/>
    <w:rsid w:val="000E4354"/>
    <w:rsid w:val="000E4C9D"/>
    <w:rsid w:val="000E642C"/>
    <w:rsid w:val="000E6D75"/>
    <w:rsid w:val="000E7607"/>
    <w:rsid w:val="000E7AFA"/>
    <w:rsid w:val="000F0FEA"/>
    <w:rsid w:val="000F1128"/>
    <w:rsid w:val="000F26DB"/>
    <w:rsid w:val="000F29B2"/>
    <w:rsid w:val="000F2F30"/>
    <w:rsid w:val="000F3FC3"/>
    <w:rsid w:val="000F44B0"/>
    <w:rsid w:val="000F4D80"/>
    <w:rsid w:val="000F4E4E"/>
    <w:rsid w:val="000F519A"/>
    <w:rsid w:val="000F51BE"/>
    <w:rsid w:val="000F51D7"/>
    <w:rsid w:val="000F5243"/>
    <w:rsid w:val="000F783B"/>
    <w:rsid w:val="001000E0"/>
    <w:rsid w:val="001006A1"/>
    <w:rsid w:val="00102392"/>
    <w:rsid w:val="001029B0"/>
    <w:rsid w:val="00102E17"/>
    <w:rsid w:val="001034E9"/>
    <w:rsid w:val="001037E8"/>
    <w:rsid w:val="00103CD7"/>
    <w:rsid w:val="00103DE4"/>
    <w:rsid w:val="0010424D"/>
    <w:rsid w:val="001043FB"/>
    <w:rsid w:val="00104548"/>
    <w:rsid w:val="00104E4F"/>
    <w:rsid w:val="0010503B"/>
    <w:rsid w:val="00106678"/>
    <w:rsid w:val="001066C0"/>
    <w:rsid w:val="00106C83"/>
    <w:rsid w:val="001075E2"/>
    <w:rsid w:val="00107E02"/>
    <w:rsid w:val="0011030D"/>
    <w:rsid w:val="0011045D"/>
    <w:rsid w:val="00110BD2"/>
    <w:rsid w:val="00112612"/>
    <w:rsid w:val="00112E97"/>
    <w:rsid w:val="00112F0D"/>
    <w:rsid w:val="00112F90"/>
    <w:rsid w:val="001152D4"/>
    <w:rsid w:val="0011539C"/>
    <w:rsid w:val="00115543"/>
    <w:rsid w:val="00116D05"/>
    <w:rsid w:val="00117110"/>
    <w:rsid w:val="0011718C"/>
    <w:rsid w:val="001172D7"/>
    <w:rsid w:val="00117621"/>
    <w:rsid w:val="00117EE5"/>
    <w:rsid w:val="00120949"/>
    <w:rsid w:val="00120EA8"/>
    <w:rsid w:val="00121192"/>
    <w:rsid w:val="001216F0"/>
    <w:rsid w:val="00121BD5"/>
    <w:rsid w:val="0012293A"/>
    <w:rsid w:val="00122F84"/>
    <w:rsid w:val="00123082"/>
    <w:rsid w:val="001232A3"/>
    <w:rsid w:val="00123364"/>
    <w:rsid w:val="00123DB2"/>
    <w:rsid w:val="0012421D"/>
    <w:rsid w:val="00126E32"/>
    <w:rsid w:val="001270E7"/>
    <w:rsid w:val="0012730F"/>
    <w:rsid w:val="001305D2"/>
    <w:rsid w:val="0013063B"/>
    <w:rsid w:val="00130663"/>
    <w:rsid w:val="00130931"/>
    <w:rsid w:val="00131B95"/>
    <w:rsid w:val="00132E3C"/>
    <w:rsid w:val="001333BF"/>
    <w:rsid w:val="0013399C"/>
    <w:rsid w:val="00133ABF"/>
    <w:rsid w:val="00134210"/>
    <w:rsid w:val="0013458A"/>
    <w:rsid w:val="0013491C"/>
    <w:rsid w:val="00134A2C"/>
    <w:rsid w:val="00135DF0"/>
    <w:rsid w:val="0013624F"/>
    <w:rsid w:val="00136F25"/>
    <w:rsid w:val="0013709E"/>
    <w:rsid w:val="00137757"/>
    <w:rsid w:val="001401BC"/>
    <w:rsid w:val="0014047C"/>
    <w:rsid w:val="00140489"/>
    <w:rsid w:val="00140697"/>
    <w:rsid w:val="001408B2"/>
    <w:rsid w:val="0014193A"/>
    <w:rsid w:val="00142943"/>
    <w:rsid w:val="00143AE7"/>
    <w:rsid w:val="00143D07"/>
    <w:rsid w:val="00144220"/>
    <w:rsid w:val="00144808"/>
    <w:rsid w:val="0014607D"/>
    <w:rsid w:val="00146DC3"/>
    <w:rsid w:val="00146E65"/>
    <w:rsid w:val="00147BBF"/>
    <w:rsid w:val="001502D8"/>
    <w:rsid w:val="00150C92"/>
    <w:rsid w:val="00151400"/>
    <w:rsid w:val="00151716"/>
    <w:rsid w:val="00151D2F"/>
    <w:rsid w:val="00152DFF"/>
    <w:rsid w:val="00152EAC"/>
    <w:rsid w:val="00152FEE"/>
    <w:rsid w:val="001538F2"/>
    <w:rsid w:val="00153C41"/>
    <w:rsid w:val="00154A04"/>
    <w:rsid w:val="00154CA4"/>
    <w:rsid w:val="001552BA"/>
    <w:rsid w:val="001554F4"/>
    <w:rsid w:val="00156109"/>
    <w:rsid w:val="00156838"/>
    <w:rsid w:val="001571E1"/>
    <w:rsid w:val="0015740B"/>
    <w:rsid w:val="0016119C"/>
    <w:rsid w:val="00161304"/>
    <w:rsid w:val="00161C1F"/>
    <w:rsid w:val="001620EE"/>
    <w:rsid w:val="001626A5"/>
    <w:rsid w:val="001632D9"/>
    <w:rsid w:val="00163784"/>
    <w:rsid w:val="00164363"/>
    <w:rsid w:val="00164B43"/>
    <w:rsid w:val="00165731"/>
    <w:rsid w:val="00165AE3"/>
    <w:rsid w:val="00165E72"/>
    <w:rsid w:val="00165EB6"/>
    <w:rsid w:val="00166630"/>
    <w:rsid w:val="00166A25"/>
    <w:rsid w:val="00170AB2"/>
    <w:rsid w:val="0017107B"/>
    <w:rsid w:val="00171D3C"/>
    <w:rsid w:val="00171F9B"/>
    <w:rsid w:val="00172BB2"/>
    <w:rsid w:val="00172FFB"/>
    <w:rsid w:val="001736D0"/>
    <w:rsid w:val="001739DA"/>
    <w:rsid w:val="00173E2A"/>
    <w:rsid w:val="0017430C"/>
    <w:rsid w:val="001750EE"/>
    <w:rsid w:val="00175BAD"/>
    <w:rsid w:val="00176D4F"/>
    <w:rsid w:val="001801B6"/>
    <w:rsid w:val="00180E08"/>
    <w:rsid w:val="00181822"/>
    <w:rsid w:val="001819AD"/>
    <w:rsid w:val="001823D5"/>
    <w:rsid w:val="001825D3"/>
    <w:rsid w:val="00182608"/>
    <w:rsid w:val="00183827"/>
    <w:rsid w:val="00183871"/>
    <w:rsid w:val="00183E25"/>
    <w:rsid w:val="00183FCA"/>
    <w:rsid w:val="001844E4"/>
    <w:rsid w:val="0018451F"/>
    <w:rsid w:val="001848E1"/>
    <w:rsid w:val="00185E2A"/>
    <w:rsid w:val="001876D3"/>
    <w:rsid w:val="0019005C"/>
    <w:rsid w:val="00191206"/>
    <w:rsid w:val="001912F4"/>
    <w:rsid w:val="001916A5"/>
    <w:rsid w:val="00191DA0"/>
    <w:rsid w:val="00191FC1"/>
    <w:rsid w:val="00192D09"/>
    <w:rsid w:val="00193322"/>
    <w:rsid w:val="00193FE7"/>
    <w:rsid w:val="00194126"/>
    <w:rsid w:val="0019485D"/>
    <w:rsid w:val="00195838"/>
    <w:rsid w:val="001959F1"/>
    <w:rsid w:val="001960A5"/>
    <w:rsid w:val="0019624A"/>
    <w:rsid w:val="001971E2"/>
    <w:rsid w:val="00197C93"/>
    <w:rsid w:val="001A06AF"/>
    <w:rsid w:val="001A0EE2"/>
    <w:rsid w:val="001A114F"/>
    <w:rsid w:val="001A11EE"/>
    <w:rsid w:val="001A124C"/>
    <w:rsid w:val="001A17B6"/>
    <w:rsid w:val="001A1A2D"/>
    <w:rsid w:val="001A1BCA"/>
    <w:rsid w:val="001A1E99"/>
    <w:rsid w:val="001A2096"/>
    <w:rsid w:val="001A2FFD"/>
    <w:rsid w:val="001A30B0"/>
    <w:rsid w:val="001A6A11"/>
    <w:rsid w:val="001A711A"/>
    <w:rsid w:val="001A7207"/>
    <w:rsid w:val="001A7F43"/>
    <w:rsid w:val="001B088A"/>
    <w:rsid w:val="001B09F2"/>
    <w:rsid w:val="001B19E7"/>
    <w:rsid w:val="001B1E8B"/>
    <w:rsid w:val="001B1F16"/>
    <w:rsid w:val="001B320A"/>
    <w:rsid w:val="001B5326"/>
    <w:rsid w:val="001B5A0A"/>
    <w:rsid w:val="001B630C"/>
    <w:rsid w:val="001B71DE"/>
    <w:rsid w:val="001B7448"/>
    <w:rsid w:val="001B7E5A"/>
    <w:rsid w:val="001C0F08"/>
    <w:rsid w:val="001C1599"/>
    <w:rsid w:val="001C19A5"/>
    <w:rsid w:val="001C1CB8"/>
    <w:rsid w:val="001C2748"/>
    <w:rsid w:val="001C289C"/>
    <w:rsid w:val="001C2C14"/>
    <w:rsid w:val="001C2CD2"/>
    <w:rsid w:val="001C2FFA"/>
    <w:rsid w:val="001C3596"/>
    <w:rsid w:val="001C37D2"/>
    <w:rsid w:val="001C3D2B"/>
    <w:rsid w:val="001C3EBD"/>
    <w:rsid w:val="001C40F5"/>
    <w:rsid w:val="001C412E"/>
    <w:rsid w:val="001C4271"/>
    <w:rsid w:val="001C5090"/>
    <w:rsid w:val="001C6D15"/>
    <w:rsid w:val="001C6F15"/>
    <w:rsid w:val="001C72C0"/>
    <w:rsid w:val="001C74A3"/>
    <w:rsid w:val="001D0E37"/>
    <w:rsid w:val="001D16FA"/>
    <w:rsid w:val="001D1766"/>
    <w:rsid w:val="001D192A"/>
    <w:rsid w:val="001D19BD"/>
    <w:rsid w:val="001D1D06"/>
    <w:rsid w:val="001D26B9"/>
    <w:rsid w:val="001D3991"/>
    <w:rsid w:val="001D4797"/>
    <w:rsid w:val="001D4C5E"/>
    <w:rsid w:val="001D4CCB"/>
    <w:rsid w:val="001D556C"/>
    <w:rsid w:val="001D5679"/>
    <w:rsid w:val="001D6241"/>
    <w:rsid w:val="001D6A23"/>
    <w:rsid w:val="001D6BBE"/>
    <w:rsid w:val="001D7987"/>
    <w:rsid w:val="001D79BA"/>
    <w:rsid w:val="001D7C76"/>
    <w:rsid w:val="001D7C8C"/>
    <w:rsid w:val="001D7F54"/>
    <w:rsid w:val="001E0401"/>
    <w:rsid w:val="001E06F2"/>
    <w:rsid w:val="001E071D"/>
    <w:rsid w:val="001E1A90"/>
    <w:rsid w:val="001E30D2"/>
    <w:rsid w:val="001E3106"/>
    <w:rsid w:val="001E33CD"/>
    <w:rsid w:val="001E34FC"/>
    <w:rsid w:val="001E3B92"/>
    <w:rsid w:val="001E411A"/>
    <w:rsid w:val="001E5224"/>
    <w:rsid w:val="001E5948"/>
    <w:rsid w:val="001E5ACC"/>
    <w:rsid w:val="001E664A"/>
    <w:rsid w:val="001E74AE"/>
    <w:rsid w:val="001E766B"/>
    <w:rsid w:val="001E7C42"/>
    <w:rsid w:val="001F0876"/>
    <w:rsid w:val="001F117B"/>
    <w:rsid w:val="001F1536"/>
    <w:rsid w:val="001F1687"/>
    <w:rsid w:val="001F1A2B"/>
    <w:rsid w:val="001F1AB7"/>
    <w:rsid w:val="001F1F47"/>
    <w:rsid w:val="001F3017"/>
    <w:rsid w:val="001F3A3D"/>
    <w:rsid w:val="001F4208"/>
    <w:rsid w:val="001F4282"/>
    <w:rsid w:val="001F45B8"/>
    <w:rsid w:val="001F4D97"/>
    <w:rsid w:val="001F553C"/>
    <w:rsid w:val="001F5691"/>
    <w:rsid w:val="001F60A6"/>
    <w:rsid w:val="001F61F2"/>
    <w:rsid w:val="001F6582"/>
    <w:rsid w:val="001F665B"/>
    <w:rsid w:val="001F6681"/>
    <w:rsid w:val="001F683C"/>
    <w:rsid w:val="001F699F"/>
    <w:rsid w:val="001F7951"/>
    <w:rsid w:val="001F7957"/>
    <w:rsid w:val="00200B37"/>
    <w:rsid w:val="00200C32"/>
    <w:rsid w:val="00201159"/>
    <w:rsid w:val="002018BD"/>
    <w:rsid w:val="00202345"/>
    <w:rsid w:val="00202454"/>
    <w:rsid w:val="002030BF"/>
    <w:rsid w:val="002034E3"/>
    <w:rsid w:val="00204116"/>
    <w:rsid w:val="00204289"/>
    <w:rsid w:val="002044D7"/>
    <w:rsid w:val="002048B3"/>
    <w:rsid w:val="00204CC0"/>
    <w:rsid w:val="00204ECA"/>
    <w:rsid w:val="00204F52"/>
    <w:rsid w:val="00205200"/>
    <w:rsid w:val="0020546C"/>
    <w:rsid w:val="00207D79"/>
    <w:rsid w:val="0021049B"/>
    <w:rsid w:val="0021052F"/>
    <w:rsid w:val="002113E4"/>
    <w:rsid w:val="0021199A"/>
    <w:rsid w:val="00211C08"/>
    <w:rsid w:val="00211C1E"/>
    <w:rsid w:val="00211E86"/>
    <w:rsid w:val="00212BED"/>
    <w:rsid w:val="00212C9C"/>
    <w:rsid w:val="0021408D"/>
    <w:rsid w:val="002148B2"/>
    <w:rsid w:val="0021518E"/>
    <w:rsid w:val="002155E9"/>
    <w:rsid w:val="00215A30"/>
    <w:rsid w:val="00215B25"/>
    <w:rsid w:val="00216561"/>
    <w:rsid w:val="0021685A"/>
    <w:rsid w:val="00216AB8"/>
    <w:rsid w:val="00216D80"/>
    <w:rsid w:val="002170CE"/>
    <w:rsid w:val="0021731B"/>
    <w:rsid w:val="00217473"/>
    <w:rsid w:val="00220016"/>
    <w:rsid w:val="00221503"/>
    <w:rsid w:val="00221ECA"/>
    <w:rsid w:val="0022268E"/>
    <w:rsid w:val="00222B14"/>
    <w:rsid w:val="0022339D"/>
    <w:rsid w:val="0022357E"/>
    <w:rsid w:val="00223D4D"/>
    <w:rsid w:val="00225302"/>
    <w:rsid w:val="0022570B"/>
    <w:rsid w:val="002262F7"/>
    <w:rsid w:val="00226693"/>
    <w:rsid w:val="0022728C"/>
    <w:rsid w:val="002302A7"/>
    <w:rsid w:val="0023063D"/>
    <w:rsid w:val="00230E3A"/>
    <w:rsid w:val="002322F4"/>
    <w:rsid w:val="00232A5F"/>
    <w:rsid w:val="0023332A"/>
    <w:rsid w:val="0023341E"/>
    <w:rsid w:val="00235B20"/>
    <w:rsid w:val="002367E6"/>
    <w:rsid w:val="00236B87"/>
    <w:rsid w:val="00236DA9"/>
    <w:rsid w:val="00236DBB"/>
    <w:rsid w:val="002375D8"/>
    <w:rsid w:val="00240A5D"/>
    <w:rsid w:val="00240BCC"/>
    <w:rsid w:val="00240CD2"/>
    <w:rsid w:val="002412AA"/>
    <w:rsid w:val="0024174F"/>
    <w:rsid w:val="00241D9C"/>
    <w:rsid w:val="00241DAA"/>
    <w:rsid w:val="00241F96"/>
    <w:rsid w:val="00242E36"/>
    <w:rsid w:val="002432CB"/>
    <w:rsid w:val="002433A6"/>
    <w:rsid w:val="00243A73"/>
    <w:rsid w:val="00243CE4"/>
    <w:rsid w:val="00244883"/>
    <w:rsid w:val="00244F04"/>
    <w:rsid w:val="00245212"/>
    <w:rsid w:val="00246146"/>
    <w:rsid w:val="00246326"/>
    <w:rsid w:val="002464AB"/>
    <w:rsid w:val="00246B62"/>
    <w:rsid w:val="00246DE3"/>
    <w:rsid w:val="002472C1"/>
    <w:rsid w:val="0024776F"/>
    <w:rsid w:val="00247C54"/>
    <w:rsid w:val="00247E60"/>
    <w:rsid w:val="00247EBE"/>
    <w:rsid w:val="00247EFA"/>
    <w:rsid w:val="002506FB"/>
    <w:rsid w:val="00250C49"/>
    <w:rsid w:val="00250F57"/>
    <w:rsid w:val="00250FBF"/>
    <w:rsid w:val="0025138E"/>
    <w:rsid w:val="00251ADE"/>
    <w:rsid w:val="00252D5F"/>
    <w:rsid w:val="00252EE3"/>
    <w:rsid w:val="002535A7"/>
    <w:rsid w:val="002536FF"/>
    <w:rsid w:val="002537C2"/>
    <w:rsid w:val="002537F9"/>
    <w:rsid w:val="00253A41"/>
    <w:rsid w:val="002540D8"/>
    <w:rsid w:val="002541FB"/>
    <w:rsid w:val="00254B3A"/>
    <w:rsid w:val="00254E55"/>
    <w:rsid w:val="00254E8A"/>
    <w:rsid w:val="00254FF3"/>
    <w:rsid w:val="00255A74"/>
    <w:rsid w:val="0025619B"/>
    <w:rsid w:val="002563B7"/>
    <w:rsid w:val="002567DB"/>
    <w:rsid w:val="002578FD"/>
    <w:rsid w:val="00257A65"/>
    <w:rsid w:val="002602E8"/>
    <w:rsid w:val="00260303"/>
    <w:rsid w:val="002608F2"/>
    <w:rsid w:val="0026094D"/>
    <w:rsid w:val="002609CF"/>
    <w:rsid w:val="00260C5C"/>
    <w:rsid w:val="002612CB"/>
    <w:rsid w:val="0026251C"/>
    <w:rsid w:val="00262F88"/>
    <w:rsid w:val="00263017"/>
    <w:rsid w:val="00263112"/>
    <w:rsid w:val="002639A8"/>
    <w:rsid w:val="002640AE"/>
    <w:rsid w:val="00264D14"/>
    <w:rsid w:val="00264E59"/>
    <w:rsid w:val="00266288"/>
    <w:rsid w:val="0026684A"/>
    <w:rsid w:val="002676EB"/>
    <w:rsid w:val="002679AF"/>
    <w:rsid w:val="00267DEF"/>
    <w:rsid w:val="00267F1E"/>
    <w:rsid w:val="00270057"/>
    <w:rsid w:val="00270761"/>
    <w:rsid w:val="002712C9"/>
    <w:rsid w:val="00271EE4"/>
    <w:rsid w:val="002723C4"/>
    <w:rsid w:val="002728D5"/>
    <w:rsid w:val="00273A96"/>
    <w:rsid w:val="00274506"/>
    <w:rsid w:val="0027450E"/>
    <w:rsid w:val="002746C4"/>
    <w:rsid w:val="00275196"/>
    <w:rsid w:val="002758F5"/>
    <w:rsid w:val="002776EC"/>
    <w:rsid w:val="002801F8"/>
    <w:rsid w:val="0028058D"/>
    <w:rsid w:val="002805AF"/>
    <w:rsid w:val="00281334"/>
    <w:rsid w:val="00281A92"/>
    <w:rsid w:val="00281ADF"/>
    <w:rsid w:val="00282E18"/>
    <w:rsid w:val="00283A06"/>
    <w:rsid w:val="0028405A"/>
    <w:rsid w:val="0028416E"/>
    <w:rsid w:val="00284340"/>
    <w:rsid w:val="00284452"/>
    <w:rsid w:val="002848DE"/>
    <w:rsid w:val="00285438"/>
    <w:rsid w:val="00285A38"/>
    <w:rsid w:val="00286375"/>
    <w:rsid w:val="00286615"/>
    <w:rsid w:val="00286C4A"/>
    <w:rsid w:val="00286FB7"/>
    <w:rsid w:val="00290058"/>
    <w:rsid w:val="00290476"/>
    <w:rsid w:val="00290FEA"/>
    <w:rsid w:val="00291D60"/>
    <w:rsid w:val="002921B7"/>
    <w:rsid w:val="002924B6"/>
    <w:rsid w:val="0029288E"/>
    <w:rsid w:val="00293226"/>
    <w:rsid w:val="00293270"/>
    <w:rsid w:val="0029327A"/>
    <w:rsid w:val="002936DA"/>
    <w:rsid w:val="00293B75"/>
    <w:rsid w:val="00293E36"/>
    <w:rsid w:val="002946C5"/>
    <w:rsid w:val="002960B2"/>
    <w:rsid w:val="0029625F"/>
    <w:rsid w:val="0029635A"/>
    <w:rsid w:val="002965CC"/>
    <w:rsid w:val="002967AB"/>
    <w:rsid w:val="00297A4F"/>
    <w:rsid w:val="002A085D"/>
    <w:rsid w:val="002A0AE3"/>
    <w:rsid w:val="002A16BA"/>
    <w:rsid w:val="002A2A03"/>
    <w:rsid w:val="002A2EE5"/>
    <w:rsid w:val="002A3495"/>
    <w:rsid w:val="002A3AB4"/>
    <w:rsid w:val="002A3CC7"/>
    <w:rsid w:val="002A3CFC"/>
    <w:rsid w:val="002A437F"/>
    <w:rsid w:val="002A4854"/>
    <w:rsid w:val="002A486F"/>
    <w:rsid w:val="002A593D"/>
    <w:rsid w:val="002A5A95"/>
    <w:rsid w:val="002A5B9C"/>
    <w:rsid w:val="002A6854"/>
    <w:rsid w:val="002A6A0D"/>
    <w:rsid w:val="002A6E2E"/>
    <w:rsid w:val="002A7147"/>
    <w:rsid w:val="002A71E3"/>
    <w:rsid w:val="002A7389"/>
    <w:rsid w:val="002A75BE"/>
    <w:rsid w:val="002A7F25"/>
    <w:rsid w:val="002B004E"/>
    <w:rsid w:val="002B0830"/>
    <w:rsid w:val="002B0A73"/>
    <w:rsid w:val="002B12BF"/>
    <w:rsid w:val="002B1372"/>
    <w:rsid w:val="002B2D33"/>
    <w:rsid w:val="002B2D9E"/>
    <w:rsid w:val="002B2FB7"/>
    <w:rsid w:val="002B31BD"/>
    <w:rsid w:val="002B3365"/>
    <w:rsid w:val="002B345D"/>
    <w:rsid w:val="002B4007"/>
    <w:rsid w:val="002B4412"/>
    <w:rsid w:val="002B49CA"/>
    <w:rsid w:val="002B4C90"/>
    <w:rsid w:val="002B509C"/>
    <w:rsid w:val="002B5AA4"/>
    <w:rsid w:val="002B75F3"/>
    <w:rsid w:val="002B7D29"/>
    <w:rsid w:val="002C0A80"/>
    <w:rsid w:val="002C0BD9"/>
    <w:rsid w:val="002C0E84"/>
    <w:rsid w:val="002C108F"/>
    <w:rsid w:val="002C1A1F"/>
    <w:rsid w:val="002C1C67"/>
    <w:rsid w:val="002C216B"/>
    <w:rsid w:val="002C2C22"/>
    <w:rsid w:val="002C3205"/>
    <w:rsid w:val="002C35EB"/>
    <w:rsid w:val="002C40E9"/>
    <w:rsid w:val="002C4332"/>
    <w:rsid w:val="002C4995"/>
    <w:rsid w:val="002C4D6E"/>
    <w:rsid w:val="002C5528"/>
    <w:rsid w:val="002C5910"/>
    <w:rsid w:val="002C627E"/>
    <w:rsid w:val="002C7D8B"/>
    <w:rsid w:val="002D049F"/>
    <w:rsid w:val="002D06C0"/>
    <w:rsid w:val="002D076B"/>
    <w:rsid w:val="002D0969"/>
    <w:rsid w:val="002D0CD2"/>
    <w:rsid w:val="002D1727"/>
    <w:rsid w:val="002D1D33"/>
    <w:rsid w:val="002D245A"/>
    <w:rsid w:val="002D2600"/>
    <w:rsid w:val="002D3912"/>
    <w:rsid w:val="002D4C95"/>
    <w:rsid w:val="002D5524"/>
    <w:rsid w:val="002D6D24"/>
    <w:rsid w:val="002D6E40"/>
    <w:rsid w:val="002D74FA"/>
    <w:rsid w:val="002D78AD"/>
    <w:rsid w:val="002D79B3"/>
    <w:rsid w:val="002D7C27"/>
    <w:rsid w:val="002E040A"/>
    <w:rsid w:val="002E1091"/>
    <w:rsid w:val="002E1A08"/>
    <w:rsid w:val="002E2356"/>
    <w:rsid w:val="002E238A"/>
    <w:rsid w:val="002E25F4"/>
    <w:rsid w:val="002E2DDF"/>
    <w:rsid w:val="002E2EF0"/>
    <w:rsid w:val="002E3F2F"/>
    <w:rsid w:val="002E52BC"/>
    <w:rsid w:val="002E5572"/>
    <w:rsid w:val="002E5DAB"/>
    <w:rsid w:val="002E5E7E"/>
    <w:rsid w:val="002E603C"/>
    <w:rsid w:val="002E6350"/>
    <w:rsid w:val="002E6BD0"/>
    <w:rsid w:val="002E6EA4"/>
    <w:rsid w:val="002E7123"/>
    <w:rsid w:val="002E780E"/>
    <w:rsid w:val="002F088D"/>
    <w:rsid w:val="002F0D40"/>
    <w:rsid w:val="002F13E3"/>
    <w:rsid w:val="002F155E"/>
    <w:rsid w:val="002F1B95"/>
    <w:rsid w:val="002F23FC"/>
    <w:rsid w:val="002F330F"/>
    <w:rsid w:val="002F3ACF"/>
    <w:rsid w:val="002F3EC2"/>
    <w:rsid w:val="002F3FAB"/>
    <w:rsid w:val="002F4378"/>
    <w:rsid w:val="002F4808"/>
    <w:rsid w:val="002F5019"/>
    <w:rsid w:val="002F5069"/>
    <w:rsid w:val="002F655A"/>
    <w:rsid w:val="002F6839"/>
    <w:rsid w:val="002F7112"/>
    <w:rsid w:val="002F7192"/>
    <w:rsid w:val="002F74BB"/>
    <w:rsid w:val="002F7586"/>
    <w:rsid w:val="00300079"/>
    <w:rsid w:val="003003D6"/>
    <w:rsid w:val="003012F2"/>
    <w:rsid w:val="00301620"/>
    <w:rsid w:val="00301FFD"/>
    <w:rsid w:val="00302664"/>
    <w:rsid w:val="003026E8"/>
    <w:rsid w:val="00302A09"/>
    <w:rsid w:val="00302B97"/>
    <w:rsid w:val="00303FDA"/>
    <w:rsid w:val="00304457"/>
    <w:rsid w:val="0030446D"/>
    <w:rsid w:val="00304AF1"/>
    <w:rsid w:val="00304DA8"/>
    <w:rsid w:val="00304E8A"/>
    <w:rsid w:val="00305352"/>
    <w:rsid w:val="003058F1"/>
    <w:rsid w:val="0030594F"/>
    <w:rsid w:val="00305B2B"/>
    <w:rsid w:val="00305EB9"/>
    <w:rsid w:val="00306341"/>
    <w:rsid w:val="00306A21"/>
    <w:rsid w:val="0030744F"/>
    <w:rsid w:val="003075D2"/>
    <w:rsid w:val="00307942"/>
    <w:rsid w:val="003104CF"/>
    <w:rsid w:val="0031083A"/>
    <w:rsid w:val="00311E26"/>
    <w:rsid w:val="00312129"/>
    <w:rsid w:val="00313337"/>
    <w:rsid w:val="0031341A"/>
    <w:rsid w:val="00313B0C"/>
    <w:rsid w:val="003145A8"/>
    <w:rsid w:val="00314D82"/>
    <w:rsid w:val="00315747"/>
    <w:rsid w:val="00315A5D"/>
    <w:rsid w:val="00315B0F"/>
    <w:rsid w:val="00316015"/>
    <w:rsid w:val="0031684D"/>
    <w:rsid w:val="00317E30"/>
    <w:rsid w:val="003204E8"/>
    <w:rsid w:val="00320BF2"/>
    <w:rsid w:val="00321225"/>
    <w:rsid w:val="0032157B"/>
    <w:rsid w:val="00321C7F"/>
    <w:rsid w:val="00323493"/>
    <w:rsid w:val="003246BB"/>
    <w:rsid w:val="00324F18"/>
    <w:rsid w:val="003258AF"/>
    <w:rsid w:val="00326EE7"/>
    <w:rsid w:val="00326FEF"/>
    <w:rsid w:val="003270FC"/>
    <w:rsid w:val="00327256"/>
    <w:rsid w:val="003277B8"/>
    <w:rsid w:val="003279D7"/>
    <w:rsid w:val="003279F7"/>
    <w:rsid w:val="00330770"/>
    <w:rsid w:val="00330F32"/>
    <w:rsid w:val="00331A5C"/>
    <w:rsid w:val="003325A0"/>
    <w:rsid w:val="0033263D"/>
    <w:rsid w:val="00332D56"/>
    <w:rsid w:val="00333363"/>
    <w:rsid w:val="0033342A"/>
    <w:rsid w:val="00333567"/>
    <w:rsid w:val="00333852"/>
    <w:rsid w:val="00333CD4"/>
    <w:rsid w:val="00334754"/>
    <w:rsid w:val="003349CD"/>
    <w:rsid w:val="00334B3F"/>
    <w:rsid w:val="00334F65"/>
    <w:rsid w:val="00334FB9"/>
    <w:rsid w:val="00335009"/>
    <w:rsid w:val="0033501F"/>
    <w:rsid w:val="00335269"/>
    <w:rsid w:val="003361EF"/>
    <w:rsid w:val="00336791"/>
    <w:rsid w:val="003367EA"/>
    <w:rsid w:val="00336932"/>
    <w:rsid w:val="00336F63"/>
    <w:rsid w:val="003404BB"/>
    <w:rsid w:val="0034069E"/>
    <w:rsid w:val="003406FC"/>
    <w:rsid w:val="00340750"/>
    <w:rsid w:val="00340CF6"/>
    <w:rsid w:val="00341D56"/>
    <w:rsid w:val="00342295"/>
    <w:rsid w:val="003425BD"/>
    <w:rsid w:val="00342B7A"/>
    <w:rsid w:val="003433CC"/>
    <w:rsid w:val="0034366A"/>
    <w:rsid w:val="00343696"/>
    <w:rsid w:val="0034380B"/>
    <w:rsid w:val="00344587"/>
    <w:rsid w:val="003449C4"/>
    <w:rsid w:val="00345265"/>
    <w:rsid w:val="00346821"/>
    <w:rsid w:val="003468AC"/>
    <w:rsid w:val="003471AA"/>
    <w:rsid w:val="003478DE"/>
    <w:rsid w:val="00347987"/>
    <w:rsid w:val="003500B3"/>
    <w:rsid w:val="00350504"/>
    <w:rsid w:val="00351D0F"/>
    <w:rsid w:val="00351ECD"/>
    <w:rsid w:val="003523B7"/>
    <w:rsid w:val="003533D9"/>
    <w:rsid w:val="0035446F"/>
    <w:rsid w:val="0035468E"/>
    <w:rsid w:val="00354A27"/>
    <w:rsid w:val="00355437"/>
    <w:rsid w:val="003559D0"/>
    <w:rsid w:val="00355DF8"/>
    <w:rsid w:val="00356E33"/>
    <w:rsid w:val="00357806"/>
    <w:rsid w:val="003578BC"/>
    <w:rsid w:val="00357A76"/>
    <w:rsid w:val="00360D4D"/>
    <w:rsid w:val="0036106F"/>
    <w:rsid w:val="0036128F"/>
    <w:rsid w:val="003619A5"/>
    <w:rsid w:val="00361D9A"/>
    <w:rsid w:val="00362856"/>
    <w:rsid w:val="00362A64"/>
    <w:rsid w:val="0036337F"/>
    <w:rsid w:val="003644A9"/>
    <w:rsid w:val="00364A20"/>
    <w:rsid w:val="00364B2F"/>
    <w:rsid w:val="0036512D"/>
    <w:rsid w:val="00365377"/>
    <w:rsid w:val="003667D9"/>
    <w:rsid w:val="003670D9"/>
    <w:rsid w:val="003673CA"/>
    <w:rsid w:val="00367BB7"/>
    <w:rsid w:val="00367D6F"/>
    <w:rsid w:val="0037046A"/>
    <w:rsid w:val="003709DF"/>
    <w:rsid w:val="003710BD"/>
    <w:rsid w:val="003710FF"/>
    <w:rsid w:val="00371B8B"/>
    <w:rsid w:val="003728E9"/>
    <w:rsid w:val="003734BF"/>
    <w:rsid w:val="003736B6"/>
    <w:rsid w:val="003742BE"/>
    <w:rsid w:val="003746D3"/>
    <w:rsid w:val="00375025"/>
    <w:rsid w:val="00376149"/>
    <w:rsid w:val="0037630E"/>
    <w:rsid w:val="00376364"/>
    <w:rsid w:val="003765F2"/>
    <w:rsid w:val="00376B18"/>
    <w:rsid w:val="003773FB"/>
    <w:rsid w:val="00377A84"/>
    <w:rsid w:val="00380A66"/>
    <w:rsid w:val="00380FA2"/>
    <w:rsid w:val="0038158A"/>
    <w:rsid w:val="003817DF"/>
    <w:rsid w:val="00383C7F"/>
    <w:rsid w:val="003844BD"/>
    <w:rsid w:val="00384DC2"/>
    <w:rsid w:val="00385419"/>
    <w:rsid w:val="00385E43"/>
    <w:rsid w:val="003865B3"/>
    <w:rsid w:val="00386FD5"/>
    <w:rsid w:val="00387BEB"/>
    <w:rsid w:val="00387D73"/>
    <w:rsid w:val="003904FE"/>
    <w:rsid w:val="00390DDE"/>
    <w:rsid w:val="00391272"/>
    <w:rsid w:val="00391318"/>
    <w:rsid w:val="00391A76"/>
    <w:rsid w:val="00392C16"/>
    <w:rsid w:val="00392C69"/>
    <w:rsid w:val="0039343E"/>
    <w:rsid w:val="00393B9A"/>
    <w:rsid w:val="00393DEE"/>
    <w:rsid w:val="00393FEB"/>
    <w:rsid w:val="0039638F"/>
    <w:rsid w:val="00397B9D"/>
    <w:rsid w:val="003A0CDF"/>
    <w:rsid w:val="003A1264"/>
    <w:rsid w:val="003A163D"/>
    <w:rsid w:val="003A1C14"/>
    <w:rsid w:val="003A2118"/>
    <w:rsid w:val="003A247D"/>
    <w:rsid w:val="003A293E"/>
    <w:rsid w:val="003A2C33"/>
    <w:rsid w:val="003A40CD"/>
    <w:rsid w:val="003A45A6"/>
    <w:rsid w:val="003A4A65"/>
    <w:rsid w:val="003A4B27"/>
    <w:rsid w:val="003A7729"/>
    <w:rsid w:val="003A7AC3"/>
    <w:rsid w:val="003A7CEC"/>
    <w:rsid w:val="003A7E5F"/>
    <w:rsid w:val="003A7EBD"/>
    <w:rsid w:val="003B0240"/>
    <w:rsid w:val="003B07AC"/>
    <w:rsid w:val="003B0822"/>
    <w:rsid w:val="003B09C5"/>
    <w:rsid w:val="003B0B09"/>
    <w:rsid w:val="003B10A7"/>
    <w:rsid w:val="003B2484"/>
    <w:rsid w:val="003B2BFF"/>
    <w:rsid w:val="003B39A8"/>
    <w:rsid w:val="003B3A46"/>
    <w:rsid w:val="003B4C52"/>
    <w:rsid w:val="003B52B0"/>
    <w:rsid w:val="003B532B"/>
    <w:rsid w:val="003B565A"/>
    <w:rsid w:val="003B67E8"/>
    <w:rsid w:val="003B6BEC"/>
    <w:rsid w:val="003B757B"/>
    <w:rsid w:val="003B75E7"/>
    <w:rsid w:val="003C0EE6"/>
    <w:rsid w:val="003C1B9B"/>
    <w:rsid w:val="003C27DE"/>
    <w:rsid w:val="003C3319"/>
    <w:rsid w:val="003C337B"/>
    <w:rsid w:val="003C37B7"/>
    <w:rsid w:val="003C5432"/>
    <w:rsid w:val="003C59C8"/>
    <w:rsid w:val="003C5B99"/>
    <w:rsid w:val="003C6165"/>
    <w:rsid w:val="003C61BD"/>
    <w:rsid w:val="003C62F5"/>
    <w:rsid w:val="003C64F3"/>
    <w:rsid w:val="003C6AC8"/>
    <w:rsid w:val="003C7662"/>
    <w:rsid w:val="003C76D1"/>
    <w:rsid w:val="003C7CB8"/>
    <w:rsid w:val="003D20C8"/>
    <w:rsid w:val="003D2574"/>
    <w:rsid w:val="003D2C71"/>
    <w:rsid w:val="003D3071"/>
    <w:rsid w:val="003D354B"/>
    <w:rsid w:val="003D44AB"/>
    <w:rsid w:val="003D4DB8"/>
    <w:rsid w:val="003D5248"/>
    <w:rsid w:val="003D5E50"/>
    <w:rsid w:val="003D5E7A"/>
    <w:rsid w:val="003D68D1"/>
    <w:rsid w:val="003D72B8"/>
    <w:rsid w:val="003D7AAE"/>
    <w:rsid w:val="003D7E03"/>
    <w:rsid w:val="003E03B3"/>
    <w:rsid w:val="003E0EEE"/>
    <w:rsid w:val="003E1DDC"/>
    <w:rsid w:val="003E22B8"/>
    <w:rsid w:val="003E29DD"/>
    <w:rsid w:val="003E2BE8"/>
    <w:rsid w:val="003E2C5E"/>
    <w:rsid w:val="003E2FEA"/>
    <w:rsid w:val="003E374C"/>
    <w:rsid w:val="003E40C6"/>
    <w:rsid w:val="003E47FB"/>
    <w:rsid w:val="003E5057"/>
    <w:rsid w:val="003E50DE"/>
    <w:rsid w:val="003E5AC1"/>
    <w:rsid w:val="003E607C"/>
    <w:rsid w:val="003E6388"/>
    <w:rsid w:val="003E68B5"/>
    <w:rsid w:val="003E6EA9"/>
    <w:rsid w:val="003E7158"/>
    <w:rsid w:val="003E73C4"/>
    <w:rsid w:val="003E7A2F"/>
    <w:rsid w:val="003E7A3A"/>
    <w:rsid w:val="003E7CBB"/>
    <w:rsid w:val="003F0D92"/>
    <w:rsid w:val="003F0E57"/>
    <w:rsid w:val="003F20D7"/>
    <w:rsid w:val="003F22CC"/>
    <w:rsid w:val="003F24C4"/>
    <w:rsid w:val="003F250D"/>
    <w:rsid w:val="003F25E5"/>
    <w:rsid w:val="003F268C"/>
    <w:rsid w:val="003F2C34"/>
    <w:rsid w:val="003F2E74"/>
    <w:rsid w:val="003F2E90"/>
    <w:rsid w:val="003F2F45"/>
    <w:rsid w:val="003F3850"/>
    <w:rsid w:val="003F3859"/>
    <w:rsid w:val="003F3935"/>
    <w:rsid w:val="003F3A29"/>
    <w:rsid w:val="003F44F6"/>
    <w:rsid w:val="003F4E64"/>
    <w:rsid w:val="003F56B6"/>
    <w:rsid w:val="003F6104"/>
    <w:rsid w:val="003F644C"/>
    <w:rsid w:val="003F6486"/>
    <w:rsid w:val="003F7817"/>
    <w:rsid w:val="003F7F5E"/>
    <w:rsid w:val="003F7FBF"/>
    <w:rsid w:val="0040029E"/>
    <w:rsid w:val="00401551"/>
    <w:rsid w:val="00401C2E"/>
    <w:rsid w:val="00402476"/>
    <w:rsid w:val="0040255B"/>
    <w:rsid w:val="00402702"/>
    <w:rsid w:val="00402C53"/>
    <w:rsid w:val="00403773"/>
    <w:rsid w:val="00404765"/>
    <w:rsid w:val="004050BE"/>
    <w:rsid w:val="0040552B"/>
    <w:rsid w:val="004057A4"/>
    <w:rsid w:val="00405C97"/>
    <w:rsid w:val="00406283"/>
    <w:rsid w:val="00406706"/>
    <w:rsid w:val="004071B2"/>
    <w:rsid w:val="00407412"/>
    <w:rsid w:val="004075EC"/>
    <w:rsid w:val="00407AFB"/>
    <w:rsid w:val="0041139E"/>
    <w:rsid w:val="00412365"/>
    <w:rsid w:val="00412AB8"/>
    <w:rsid w:val="00412DE3"/>
    <w:rsid w:val="00413053"/>
    <w:rsid w:val="0041325B"/>
    <w:rsid w:val="0041421E"/>
    <w:rsid w:val="00414C05"/>
    <w:rsid w:val="00414E93"/>
    <w:rsid w:val="0041665B"/>
    <w:rsid w:val="0041666C"/>
    <w:rsid w:val="00416ED7"/>
    <w:rsid w:val="0041712C"/>
    <w:rsid w:val="00417667"/>
    <w:rsid w:val="004178C0"/>
    <w:rsid w:val="00420DCF"/>
    <w:rsid w:val="004210FA"/>
    <w:rsid w:val="004211C1"/>
    <w:rsid w:val="0042180C"/>
    <w:rsid w:val="00421E4E"/>
    <w:rsid w:val="00421F3F"/>
    <w:rsid w:val="00422C49"/>
    <w:rsid w:val="00423A2D"/>
    <w:rsid w:val="00424504"/>
    <w:rsid w:val="0042552F"/>
    <w:rsid w:val="00425808"/>
    <w:rsid w:val="004279C4"/>
    <w:rsid w:val="00427B6B"/>
    <w:rsid w:val="00430E15"/>
    <w:rsid w:val="00430E88"/>
    <w:rsid w:val="00430F20"/>
    <w:rsid w:val="00431D8B"/>
    <w:rsid w:val="00432768"/>
    <w:rsid w:val="00432A81"/>
    <w:rsid w:val="00432E73"/>
    <w:rsid w:val="00433AAF"/>
    <w:rsid w:val="00434234"/>
    <w:rsid w:val="00434DBF"/>
    <w:rsid w:val="00434DE9"/>
    <w:rsid w:val="00435AB2"/>
    <w:rsid w:val="00435EAF"/>
    <w:rsid w:val="004366C3"/>
    <w:rsid w:val="004374A3"/>
    <w:rsid w:val="00440C8F"/>
    <w:rsid w:val="00440DAD"/>
    <w:rsid w:val="00441104"/>
    <w:rsid w:val="00441528"/>
    <w:rsid w:val="00441D7D"/>
    <w:rsid w:val="00442848"/>
    <w:rsid w:val="00442B3C"/>
    <w:rsid w:val="00442D85"/>
    <w:rsid w:val="00442F34"/>
    <w:rsid w:val="00443D6C"/>
    <w:rsid w:val="00443FC1"/>
    <w:rsid w:val="00444AB8"/>
    <w:rsid w:val="0044588D"/>
    <w:rsid w:val="0044594B"/>
    <w:rsid w:val="00445F3A"/>
    <w:rsid w:val="00446656"/>
    <w:rsid w:val="004472F9"/>
    <w:rsid w:val="0044745A"/>
    <w:rsid w:val="00447FB3"/>
    <w:rsid w:val="0045017F"/>
    <w:rsid w:val="00451137"/>
    <w:rsid w:val="004519A1"/>
    <w:rsid w:val="00451F12"/>
    <w:rsid w:val="00452528"/>
    <w:rsid w:val="00452693"/>
    <w:rsid w:val="00453215"/>
    <w:rsid w:val="00453304"/>
    <w:rsid w:val="00453D6A"/>
    <w:rsid w:val="004543A1"/>
    <w:rsid w:val="00454530"/>
    <w:rsid w:val="004549EA"/>
    <w:rsid w:val="00455420"/>
    <w:rsid w:val="00455F34"/>
    <w:rsid w:val="00456950"/>
    <w:rsid w:val="00456DBF"/>
    <w:rsid w:val="00457242"/>
    <w:rsid w:val="00457B82"/>
    <w:rsid w:val="00457D56"/>
    <w:rsid w:val="00457F29"/>
    <w:rsid w:val="004601B7"/>
    <w:rsid w:val="00460336"/>
    <w:rsid w:val="00462058"/>
    <w:rsid w:val="004621A0"/>
    <w:rsid w:val="004633D6"/>
    <w:rsid w:val="00463483"/>
    <w:rsid w:val="0046378A"/>
    <w:rsid w:val="004640CF"/>
    <w:rsid w:val="00465BC1"/>
    <w:rsid w:val="00465E08"/>
    <w:rsid w:val="00466078"/>
    <w:rsid w:val="00467128"/>
    <w:rsid w:val="004675F7"/>
    <w:rsid w:val="00467E2D"/>
    <w:rsid w:val="00470930"/>
    <w:rsid w:val="00470A85"/>
    <w:rsid w:val="00470C4C"/>
    <w:rsid w:val="00470FED"/>
    <w:rsid w:val="00471309"/>
    <w:rsid w:val="00471ADA"/>
    <w:rsid w:val="00471C94"/>
    <w:rsid w:val="00471CCE"/>
    <w:rsid w:val="004720DD"/>
    <w:rsid w:val="004728F0"/>
    <w:rsid w:val="00472F45"/>
    <w:rsid w:val="00473059"/>
    <w:rsid w:val="004737B2"/>
    <w:rsid w:val="0047473A"/>
    <w:rsid w:val="00474E4A"/>
    <w:rsid w:val="00475019"/>
    <w:rsid w:val="00475341"/>
    <w:rsid w:val="00475B24"/>
    <w:rsid w:val="00475FDA"/>
    <w:rsid w:val="00476228"/>
    <w:rsid w:val="004767A8"/>
    <w:rsid w:val="00476FCB"/>
    <w:rsid w:val="0047734D"/>
    <w:rsid w:val="00477457"/>
    <w:rsid w:val="0048001E"/>
    <w:rsid w:val="00481578"/>
    <w:rsid w:val="004815FA"/>
    <w:rsid w:val="004818EA"/>
    <w:rsid w:val="00481A7E"/>
    <w:rsid w:val="004825B9"/>
    <w:rsid w:val="00482AA2"/>
    <w:rsid w:val="00482AEB"/>
    <w:rsid w:val="00483FB0"/>
    <w:rsid w:val="00484150"/>
    <w:rsid w:val="00484670"/>
    <w:rsid w:val="00484A08"/>
    <w:rsid w:val="00484A6B"/>
    <w:rsid w:val="00485BB7"/>
    <w:rsid w:val="00487740"/>
    <w:rsid w:val="00491051"/>
    <w:rsid w:val="00491422"/>
    <w:rsid w:val="004916B8"/>
    <w:rsid w:val="00491A9F"/>
    <w:rsid w:val="00491E0B"/>
    <w:rsid w:val="00491FB9"/>
    <w:rsid w:val="0049439A"/>
    <w:rsid w:val="00494F37"/>
    <w:rsid w:val="00494F74"/>
    <w:rsid w:val="004952D7"/>
    <w:rsid w:val="0049534C"/>
    <w:rsid w:val="0049535A"/>
    <w:rsid w:val="004959BA"/>
    <w:rsid w:val="00495B03"/>
    <w:rsid w:val="00496137"/>
    <w:rsid w:val="00496259"/>
    <w:rsid w:val="004969B1"/>
    <w:rsid w:val="004978D8"/>
    <w:rsid w:val="00497A18"/>
    <w:rsid w:val="004A0243"/>
    <w:rsid w:val="004A0EFE"/>
    <w:rsid w:val="004A13FB"/>
    <w:rsid w:val="004A21E3"/>
    <w:rsid w:val="004A2216"/>
    <w:rsid w:val="004A22AC"/>
    <w:rsid w:val="004A2341"/>
    <w:rsid w:val="004A2381"/>
    <w:rsid w:val="004A27D1"/>
    <w:rsid w:val="004A45D7"/>
    <w:rsid w:val="004A470F"/>
    <w:rsid w:val="004A53A4"/>
    <w:rsid w:val="004A5462"/>
    <w:rsid w:val="004A5C80"/>
    <w:rsid w:val="004A5D0E"/>
    <w:rsid w:val="004A61BA"/>
    <w:rsid w:val="004A644E"/>
    <w:rsid w:val="004A78DD"/>
    <w:rsid w:val="004A795B"/>
    <w:rsid w:val="004A7A3F"/>
    <w:rsid w:val="004A7FE6"/>
    <w:rsid w:val="004B0399"/>
    <w:rsid w:val="004B0839"/>
    <w:rsid w:val="004B08E6"/>
    <w:rsid w:val="004B1379"/>
    <w:rsid w:val="004B164C"/>
    <w:rsid w:val="004B2F8B"/>
    <w:rsid w:val="004B36A0"/>
    <w:rsid w:val="004B375A"/>
    <w:rsid w:val="004B3AFB"/>
    <w:rsid w:val="004B44AA"/>
    <w:rsid w:val="004B4FC6"/>
    <w:rsid w:val="004B50F6"/>
    <w:rsid w:val="004B52E3"/>
    <w:rsid w:val="004B5564"/>
    <w:rsid w:val="004B55F1"/>
    <w:rsid w:val="004B5C4D"/>
    <w:rsid w:val="004B5C9E"/>
    <w:rsid w:val="004B6649"/>
    <w:rsid w:val="004B6768"/>
    <w:rsid w:val="004B6905"/>
    <w:rsid w:val="004C0404"/>
    <w:rsid w:val="004C0810"/>
    <w:rsid w:val="004C0FDB"/>
    <w:rsid w:val="004C10CD"/>
    <w:rsid w:val="004C16DE"/>
    <w:rsid w:val="004C287A"/>
    <w:rsid w:val="004C29FF"/>
    <w:rsid w:val="004C2BAB"/>
    <w:rsid w:val="004C302D"/>
    <w:rsid w:val="004C3B7D"/>
    <w:rsid w:val="004C3B94"/>
    <w:rsid w:val="004C44F1"/>
    <w:rsid w:val="004C46DD"/>
    <w:rsid w:val="004C49E7"/>
    <w:rsid w:val="004C4A8F"/>
    <w:rsid w:val="004C4B47"/>
    <w:rsid w:val="004C5A05"/>
    <w:rsid w:val="004C6C0F"/>
    <w:rsid w:val="004C723D"/>
    <w:rsid w:val="004C74EB"/>
    <w:rsid w:val="004D0A36"/>
    <w:rsid w:val="004D15AA"/>
    <w:rsid w:val="004D1F11"/>
    <w:rsid w:val="004D20E9"/>
    <w:rsid w:val="004D245F"/>
    <w:rsid w:val="004D246F"/>
    <w:rsid w:val="004D2C57"/>
    <w:rsid w:val="004D3363"/>
    <w:rsid w:val="004D39FB"/>
    <w:rsid w:val="004D5266"/>
    <w:rsid w:val="004D6F15"/>
    <w:rsid w:val="004D7007"/>
    <w:rsid w:val="004D75A3"/>
    <w:rsid w:val="004D78E4"/>
    <w:rsid w:val="004E014C"/>
    <w:rsid w:val="004E0656"/>
    <w:rsid w:val="004E09EE"/>
    <w:rsid w:val="004E0CF3"/>
    <w:rsid w:val="004E1959"/>
    <w:rsid w:val="004E2662"/>
    <w:rsid w:val="004E2A47"/>
    <w:rsid w:val="004E3549"/>
    <w:rsid w:val="004E3BB3"/>
    <w:rsid w:val="004E41E0"/>
    <w:rsid w:val="004E4EA5"/>
    <w:rsid w:val="004E5677"/>
    <w:rsid w:val="004E5C57"/>
    <w:rsid w:val="004E5CB7"/>
    <w:rsid w:val="004E5CD2"/>
    <w:rsid w:val="004E61CA"/>
    <w:rsid w:val="004E61E8"/>
    <w:rsid w:val="004E6965"/>
    <w:rsid w:val="004E6EE6"/>
    <w:rsid w:val="004E750E"/>
    <w:rsid w:val="004E776F"/>
    <w:rsid w:val="004E7C98"/>
    <w:rsid w:val="004F14A9"/>
    <w:rsid w:val="004F1A77"/>
    <w:rsid w:val="004F3197"/>
    <w:rsid w:val="004F3E6C"/>
    <w:rsid w:val="004F415F"/>
    <w:rsid w:val="004F43BE"/>
    <w:rsid w:val="004F4B83"/>
    <w:rsid w:val="004F546C"/>
    <w:rsid w:val="004F56C4"/>
    <w:rsid w:val="004F5AFA"/>
    <w:rsid w:val="004F5FCE"/>
    <w:rsid w:val="004F614B"/>
    <w:rsid w:val="004F66D5"/>
    <w:rsid w:val="004F7F90"/>
    <w:rsid w:val="00500178"/>
    <w:rsid w:val="0050021F"/>
    <w:rsid w:val="00500230"/>
    <w:rsid w:val="00500A7D"/>
    <w:rsid w:val="005015B7"/>
    <w:rsid w:val="00501B52"/>
    <w:rsid w:val="00501CF2"/>
    <w:rsid w:val="00501F5B"/>
    <w:rsid w:val="00502314"/>
    <w:rsid w:val="00502ADC"/>
    <w:rsid w:val="00502B1C"/>
    <w:rsid w:val="00504835"/>
    <w:rsid w:val="00505982"/>
    <w:rsid w:val="005064AA"/>
    <w:rsid w:val="0050674A"/>
    <w:rsid w:val="00507112"/>
    <w:rsid w:val="005100B0"/>
    <w:rsid w:val="00510284"/>
    <w:rsid w:val="00510433"/>
    <w:rsid w:val="005116AB"/>
    <w:rsid w:val="005127AA"/>
    <w:rsid w:val="00512A59"/>
    <w:rsid w:val="00512C65"/>
    <w:rsid w:val="00513055"/>
    <w:rsid w:val="005134BE"/>
    <w:rsid w:val="00513641"/>
    <w:rsid w:val="005145FC"/>
    <w:rsid w:val="00514610"/>
    <w:rsid w:val="0051476F"/>
    <w:rsid w:val="00514EF6"/>
    <w:rsid w:val="00515161"/>
    <w:rsid w:val="00515613"/>
    <w:rsid w:val="005161C3"/>
    <w:rsid w:val="00516DC2"/>
    <w:rsid w:val="00516EA0"/>
    <w:rsid w:val="005173C6"/>
    <w:rsid w:val="00517576"/>
    <w:rsid w:val="005175CA"/>
    <w:rsid w:val="00517650"/>
    <w:rsid w:val="00517F8F"/>
    <w:rsid w:val="0052004B"/>
    <w:rsid w:val="00521C51"/>
    <w:rsid w:val="00521C8F"/>
    <w:rsid w:val="0052250E"/>
    <w:rsid w:val="00522651"/>
    <w:rsid w:val="005226F8"/>
    <w:rsid w:val="00522B15"/>
    <w:rsid w:val="00522C04"/>
    <w:rsid w:val="00522CD4"/>
    <w:rsid w:val="00523C37"/>
    <w:rsid w:val="00524B79"/>
    <w:rsid w:val="00524C22"/>
    <w:rsid w:val="005251F1"/>
    <w:rsid w:val="00525488"/>
    <w:rsid w:val="005259D6"/>
    <w:rsid w:val="00526EC5"/>
    <w:rsid w:val="0052702E"/>
    <w:rsid w:val="00527C51"/>
    <w:rsid w:val="005307B2"/>
    <w:rsid w:val="0053166B"/>
    <w:rsid w:val="0053180D"/>
    <w:rsid w:val="0053215A"/>
    <w:rsid w:val="005321DF"/>
    <w:rsid w:val="0053252C"/>
    <w:rsid w:val="00532554"/>
    <w:rsid w:val="00532A72"/>
    <w:rsid w:val="00533671"/>
    <w:rsid w:val="00533C11"/>
    <w:rsid w:val="005341C7"/>
    <w:rsid w:val="005342DE"/>
    <w:rsid w:val="005345E4"/>
    <w:rsid w:val="00534D00"/>
    <w:rsid w:val="00535272"/>
    <w:rsid w:val="00535F23"/>
    <w:rsid w:val="005364E1"/>
    <w:rsid w:val="00536539"/>
    <w:rsid w:val="005369C6"/>
    <w:rsid w:val="00536B29"/>
    <w:rsid w:val="00536C4A"/>
    <w:rsid w:val="0053754D"/>
    <w:rsid w:val="00537D90"/>
    <w:rsid w:val="0054015B"/>
    <w:rsid w:val="00540461"/>
    <w:rsid w:val="005405A3"/>
    <w:rsid w:val="005408D9"/>
    <w:rsid w:val="00540C95"/>
    <w:rsid w:val="0054152A"/>
    <w:rsid w:val="00541B67"/>
    <w:rsid w:val="00541D81"/>
    <w:rsid w:val="00541F40"/>
    <w:rsid w:val="00542CA5"/>
    <w:rsid w:val="00542EA1"/>
    <w:rsid w:val="0054350B"/>
    <w:rsid w:val="00544138"/>
    <w:rsid w:val="00544CCE"/>
    <w:rsid w:val="0054527C"/>
    <w:rsid w:val="005467E4"/>
    <w:rsid w:val="005470A5"/>
    <w:rsid w:val="005478BB"/>
    <w:rsid w:val="0054793D"/>
    <w:rsid w:val="005479AA"/>
    <w:rsid w:val="00547AFE"/>
    <w:rsid w:val="00550465"/>
    <w:rsid w:val="005506AA"/>
    <w:rsid w:val="00550F0D"/>
    <w:rsid w:val="005510F4"/>
    <w:rsid w:val="00551184"/>
    <w:rsid w:val="00551865"/>
    <w:rsid w:val="00552E66"/>
    <w:rsid w:val="00553077"/>
    <w:rsid w:val="005530CE"/>
    <w:rsid w:val="00553B5D"/>
    <w:rsid w:val="005544A6"/>
    <w:rsid w:val="00555213"/>
    <w:rsid w:val="0055560A"/>
    <w:rsid w:val="0055614A"/>
    <w:rsid w:val="005561D4"/>
    <w:rsid w:val="005561F2"/>
    <w:rsid w:val="00556CF0"/>
    <w:rsid w:val="00557228"/>
    <w:rsid w:val="005576D4"/>
    <w:rsid w:val="00557953"/>
    <w:rsid w:val="00557E71"/>
    <w:rsid w:val="00560B57"/>
    <w:rsid w:val="00560D3F"/>
    <w:rsid w:val="00560DB9"/>
    <w:rsid w:val="00560E7F"/>
    <w:rsid w:val="00561760"/>
    <w:rsid w:val="005620C2"/>
    <w:rsid w:val="00562930"/>
    <w:rsid w:val="0056320A"/>
    <w:rsid w:val="005638AC"/>
    <w:rsid w:val="005640E6"/>
    <w:rsid w:val="0056427B"/>
    <w:rsid w:val="00564E13"/>
    <w:rsid w:val="00565F81"/>
    <w:rsid w:val="005666CB"/>
    <w:rsid w:val="00566DC2"/>
    <w:rsid w:val="005670B3"/>
    <w:rsid w:val="005672C0"/>
    <w:rsid w:val="005675DC"/>
    <w:rsid w:val="00567851"/>
    <w:rsid w:val="00567A0D"/>
    <w:rsid w:val="00567A23"/>
    <w:rsid w:val="00570249"/>
    <w:rsid w:val="00570644"/>
    <w:rsid w:val="00570FB1"/>
    <w:rsid w:val="0057122E"/>
    <w:rsid w:val="0057147A"/>
    <w:rsid w:val="00571B57"/>
    <w:rsid w:val="00571BD8"/>
    <w:rsid w:val="0057210E"/>
    <w:rsid w:val="005725E1"/>
    <w:rsid w:val="00572834"/>
    <w:rsid w:val="00573000"/>
    <w:rsid w:val="005731B6"/>
    <w:rsid w:val="005734FF"/>
    <w:rsid w:val="00573575"/>
    <w:rsid w:val="0057362C"/>
    <w:rsid w:val="00573CBA"/>
    <w:rsid w:val="005746F8"/>
    <w:rsid w:val="00574916"/>
    <w:rsid w:val="00574D31"/>
    <w:rsid w:val="00575438"/>
    <w:rsid w:val="0057635E"/>
    <w:rsid w:val="005767BD"/>
    <w:rsid w:val="00576BD7"/>
    <w:rsid w:val="005771E4"/>
    <w:rsid w:val="0057787B"/>
    <w:rsid w:val="00577BD3"/>
    <w:rsid w:val="00577EC6"/>
    <w:rsid w:val="00580905"/>
    <w:rsid w:val="005809D2"/>
    <w:rsid w:val="00580BA4"/>
    <w:rsid w:val="00580E67"/>
    <w:rsid w:val="005823E4"/>
    <w:rsid w:val="00582600"/>
    <w:rsid w:val="00582D47"/>
    <w:rsid w:val="00583270"/>
    <w:rsid w:val="00583B82"/>
    <w:rsid w:val="00583ED7"/>
    <w:rsid w:val="00584C1E"/>
    <w:rsid w:val="00584CDE"/>
    <w:rsid w:val="00585A71"/>
    <w:rsid w:val="005863E3"/>
    <w:rsid w:val="005864C2"/>
    <w:rsid w:val="00586618"/>
    <w:rsid w:val="00586CA0"/>
    <w:rsid w:val="0058795C"/>
    <w:rsid w:val="00587A85"/>
    <w:rsid w:val="00587D39"/>
    <w:rsid w:val="00590823"/>
    <w:rsid w:val="005908E3"/>
    <w:rsid w:val="00590D51"/>
    <w:rsid w:val="005917EB"/>
    <w:rsid w:val="00592044"/>
    <w:rsid w:val="0059260B"/>
    <w:rsid w:val="00592EEE"/>
    <w:rsid w:val="00592F18"/>
    <w:rsid w:val="00593CE3"/>
    <w:rsid w:val="00593EB8"/>
    <w:rsid w:val="00593F69"/>
    <w:rsid w:val="00594405"/>
    <w:rsid w:val="00594C0A"/>
    <w:rsid w:val="005950F3"/>
    <w:rsid w:val="005956B1"/>
    <w:rsid w:val="00595D45"/>
    <w:rsid w:val="00596D8B"/>
    <w:rsid w:val="00597CBE"/>
    <w:rsid w:val="005A0022"/>
    <w:rsid w:val="005A0043"/>
    <w:rsid w:val="005A03A1"/>
    <w:rsid w:val="005A119E"/>
    <w:rsid w:val="005A2223"/>
    <w:rsid w:val="005A2533"/>
    <w:rsid w:val="005A456F"/>
    <w:rsid w:val="005A4586"/>
    <w:rsid w:val="005A4B76"/>
    <w:rsid w:val="005A4DDB"/>
    <w:rsid w:val="005A5F9F"/>
    <w:rsid w:val="005A6AF5"/>
    <w:rsid w:val="005A6CA9"/>
    <w:rsid w:val="005A6D2B"/>
    <w:rsid w:val="005B0A50"/>
    <w:rsid w:val="005B1A6D"/>
    <w:rsid w:val="005B1AEF"/>
    <w:rsid w:val="005B1B12"/>
    <w:rsid w:val="005B1F1F"/>
    <w:rsid w:val="005B2172"/>
    <w:rsid w:val="005B245D"/>
    <w:rsid w:val="005B3177"/>
    <w:rsid w:val="005B31B2"/>
    <w:rsid w:val="005B32D0"/>
    <w:rsid w:val="005B5700"/>
    <w:rsid w:val="005B6457"/>
    <w:rsid w:val="005B74BD"/>
    <w:rsid w:val="005B7755"/>
    <w:rsid w:val="005B7B03"/>
    <w:rsid w:val="005C0109"/>
    <w:rsid w:val="005C0628"/>
    <w:rsid w:val="005C0BF2"/>
    <w:rsid w:val="005C12E8"/>
    <w:rsid w:val="005C1338"/>
    <w:rsid w:val="005C1FB1"/>
    <w:rsid w:val="005C2030"/>
    <w:rsid w:val="005C21F1"/>
    <w:rsid w:val="005C23DC"/>
    <w:rsid w:val="005C26F7"/>
    <w:rsid w:val="005C3DAC"/>
    <w:rsid w:val="005C42AE"/>
    <w:rsid w:val="005C4BBF"/>
    <w:rsid w:val="005C5013"/>
    <w:rsid w:val="005C58DF"/>
    <w:rsid w:val="005C7244"/>
    <w:rsid w:val="005C72A6"/>
    <w:rsid w:val="005C77D0"/>
    <w:rsid w:val="005D03D3"/>
    <w:rsid w:val="005D05CC"/>
    <w:rsid w:val="005D0841"/>
    <w:rsid w:val="005D0AD5"/>
    <w:rsid w:val="005D0ED3"/>
    <w:rsid w:val="005D1630"/>
    <w:rsid w:val="005D1649"/>
    <w:rsid w:val="005D2096"/>
    <w:rsid w:val="005D230C"/>
    <w:rsid w:val="005D23FB"/>
    <w:rsid w:val="005D2F65"/>
    <w:rsid w:val="005D3563"/>
    <w:rsid w:val="005D3DCA"/>
    <w:rsid w:val="005D49A9"/>
    <w:rsid w:val="005D4B65"/>
    <w:rsid w:val="005D654D"/>
    <w:rsid w:val="005D6AAE"/>
    <w:rsid w:val="005D6D88"/>
    <w:rsid w:val="005D7062"/>
    <w:rsid w:val="005D70F8"/>
    <w:rsid w:val="005D73D0"/>
    <w:rsid w:val="005D7C10"/>
    <w:rsid w:val="005E0B50"/>
    <w:rsid w:val="005E0CC5"/>
    <w:rsid w:val="005E0ED3"/>
    <w:rsid w:val="005E17CC"/>
    <w:rsid w:val="005E190C"/>
    <w:rsid w:val="005E1A86"/>
    <w:rsid w:val="005E2155"/>
    <w:rsid w:val="005E2514"/>
    <w:rsid w:val="005E2738"/>
    <w:rsid w:val="005E34C8"/>
    <w:rsid w:val="005E58D8"/>
    <w:rsid w:val="005E59E7"/>
    <w:rsid w:val="005E5B26"/>
    <w:rsid w:val="005E5F22"/>
    <w:rsid w:val="005E5F3A"/>
    <w:rsid w:val="005E6A2C"/>
    <w:rsid w:val="005E6A5A"/>
    <w:rsid w:val="005E6BFC"/>
    <w:rsid w:val="005E6E62"/>
    <w:rsid w:val="005F03E1"/>
    <w:rsid w:val="005F047C"/>
    <w:rsid w:val="005F0F4E"/>
    <w:rsid w:val="005F12AE"/>
    <w:rsid w:val="005F12EF"/>
    <w:rsid w:val="005F1E30"/>
    <w:rsid w:val="005F20D7"/>
    <w:rsid w:val="005F2CAA"/>
    <w:rsid w:val="005F3329"/>
    <w:rsid w:val="005F3462"/>
    <w:rsid w:val="005F4590"/>
    <w:rsid w:val="005F4BAC"/>
    <w:rsid w:val="005F51C6"/>
    <w:rsid w:val="005F556C"/>
    <w:rsid w:val="005F5648"/>
    <w:rsid w:val="005F57CA"/>
    <w:rsid w:val="005F5F4F"/>
    <w:rsid w:val="005F6F94"/>
    <w:rsid w:val="005F7552"/>
    <w:rsid w:val="005F78AF"/>
    <w:rsid w:val="005F7DB9"/>
    <w:rsid w:val="006004E2"/>
    <w:rsid w:val="00600E1E"/>
    <w:rsid w:val="00601BD4"/>
    <w:rsid w:val="00601E9C"/>
    <w:rsid w:val="00602812"/>
    <w:rsid w:val="00604969"/>
    <w:rsid w:val="00604BC5"/>
    <w:rsid w:val="0060566E"/>
    <w:rsid w:val="00605D19"/>
    <w:rsid w:val="00605EB0"/>
    <w:rsid w:val="00606604"/>
    <w:rsid w:val="00607596"/>
    <w:rsid w:val="00610430"/>
    <w:rsid w:val="006108E9"/>
    <w:rsid w:val="00610930"/>
    <w:rsid w:val="006110BB"/>
    <w:rsid w:val="006110D1"/>
    <w:rsid w:val="006110FB"/>
    <w:rsid w:val="00611190"/>
    <w:rsid w:val="00611FFB"/>
    <w:rsid w:val="006122D7"/>
    <w:rsid w:val="006123AB"/>
    <w:rsid w:val="00612766"/>
    <w:rsid w:val="00612DD0"/>
    <w:rsid w:val="006132A9"/>
    <w:rsid w:val="0061346F"/>
    <w:rsid w:val="00613FA5"/>
    <w:rsid w:val="00614C16"/>
    <w:rsid w:val="00615539"/>
    <w:rsid w:val="00615B1B"/>
    <w:rsid w:val="00615F6F"/>
    <w:rsid w:val="006164E6"/>
    <w:rsid w:val="0061784A"/>
    <w:rsid w:val="00617A3A"/>
    <w:rsid w:val="00617B07"/>
    <w:rsid w:val="00617D73"/>
    <w:rsid w:val="00620109"/>
    <w:rsid w:val="00620A8B"/>
    <w:rsid w:val="00620B6D"/>
    <w:rsid w:val="00620C38"/>
    <w:rsid w:val="00621180"/>
    <w:rsid w:val="006215FE"/>
    <w:rsid w:val="00621ABE"/>
    <w:rsid w:val="00621F81"/>
    <w:rsid w:val="00622905"/>
    <w:rsid w:val="00623A9C"/>
    <w:rsid w:val="00623C4E"/>
    <w:rsid w:val="00623C53"/>
    <w:rsid w:val="0062541B"/>
    <w:rsid w:val="00626172"/>
    <w:rsid w:val="00626FCE"/>
    <w:rsid w:val="00627B3B"/>
    <w:rsid w:val="00627D56"/>
    <w:rsid w:val="00630161"/>
    <w:rsid w:val="00630174"/>
    <w:rsid w:val="00630752"/>
    <w:rsid w:val="0063108E"/>
    <w:rsid w:val="00632A1E"/>
    <w:rsid w:val="00632A5C"/>
    <w:rsid w:val="006339DF"/>
    <w:rsid w:val="00633ACC"/>
    <w:rsid w:val="00633E7F"/>
    <w:rsid w:val="0063461E"/>
    <w:rsid w:val="00634652"/>
    <w:rsid w:val="00634BE8"/>
    <w:rsid w:val="006351FE"/>
    <w:rsid w:val="00635650"/>
    <w:rsid w:val="006357A5"/>
    <w:rsid w:val="006378CE"/>
    <w:rsid w:val="006378D8"/>
    <w:rsid w:val="00637B66"/>
    <w:rsid w:val="00637D14"/>
    <w:rsid w:val="00637ECD"/>
    <w:rsid w:val="00637F8E"/>
    <w:rsid w:val="00640502"/>
    <w:rsid w:val="00640F8C"/>
    <w:rsid w:val="00641CF4"/>
    <w:rsid w:val="00642300"/>
    <w:rsid w:val="00642772"/>
    <w:rsid w:val="00642C98"/>
    <w:rsid w:val="00642DB8"/>
    <w:rsid w:val="00643B9D"/>
    <w:rsid w:val="00643EE0"/>
    <w:rsid w:val="0064478B"/>
    <w:rsid w:val="006447D8"/>
    <w:rsid w:val="0064605C"/>
    <w:rsid w:val="006473B7"/>
    <w:rsid w:val="00647514"/>
    <w:rsid w:val="00647AA3"/>
    <w:rsid w:val="00647BBF"/>
    <w:rsid w:val="00647D75"/>
    <w:rsid w:val="006501A1"/>
    <w:rsid w:val="006502E9"/>
    <w:rsid w:val="00650B8E"/>
    <w:rsid w:val="00650CC3"/>
    <w:rsid w:val="00650D60"/>
    <w:rsid w:val="00651545"/>
    <w:rsid w:val="00654223"/>
    <w:rsid w:val="0065445E"/>
    <w:rsid w:val="006549D5"/>
    <w:rsid w:val="00654E8A"/>
    <w:rsid w:val="006556D3"/>
    <w:rsid w:val="00655D77"/>
    <w:rsid w:val="00655EDB"/>
    <w:rsid w:val="00655F65"/>
    <w:rsid w:val="00656093"/>
    <w:rsid w:val="0065624A"/>
    <w:rsid w:val="00656EEC"/>
    <w:rsid w:val="00660480"/>
    <w:rsid w:val="006610D5"/>
    <w:rsid w:val="0066188C"/>
    <w:rsid w:val="00661ED2"/>
    <w:rsid w:val="006629F7"/>
    <w:rsid w:val="00662B44"/>
    <w:rsid w:val="00663225"/>
    <w:rsid w:val="0066362E"/>
    <w:rsid w:val="00663DA9"/>
    <w:rsid w:val="00664079"/>
    <w:rsid w:val="0066498F"/>
    <w:rsid w:val="00665D3D"/>
    <w:rsid w:val="006666A4"/>
    <w:rsid w:val="00666ED4"/>
    <w:rsid w:val="00667150"/>
    <w:rsid w:val="00667714"/>
    <w:rsid w:val="0066790E"/>
    <w:rsid w:val="00667FAB"/>
    <w:rsid w:val="0067036A"/>
    <w:rsid w:val="006709C9"/>
    <w:rsid w:val="00671206"/>
    <w:rsid w:val="00671333"/>
    <w:rsid w:val="0067203A"/>
    <w:rsid w:val="00672A52"/>
    <w:rsid w:val="0067333A"/>
    <w:rsid w:val="006739DB"/>
    <w:rsid w:val="00673ACE"/>
    <w:rsid w:val="006742AE"/>
    <w:rsid w:val="006754AC"/>
    <w:rsid w:val="006757C2"/>
    <w:rsid w:val="00675870"/>
    <w:rsid w:val="00675C21"/>
    <w:rsid w:val="006765BF"/>
    <w:rsid w:val="006765D5"/>
    <w:rsid w:val="00677291"/>
    <w:rsid w:val="0067757E"/>
    <w:rsid w:val="00677842"/>
    <w:rsid w:val="0068002E"/>
    <w:rsid w:val="0068046B"/>
    <w:rsid w:val="006809BC"/>
    <w:rsid w:val="00680A81"/>
    <w:rsid w:val="00680A90"/>
    <w:rsid w:val="00681238"/>
    <w:rsid w:val="0068166F"/>
    <w:rsid w:val="00682104"/>
    <w:rsid w:val="006821D8"/>
    <w:rsid w:val="006824AB"/>
    <w:rsid w:val="0068274A"/>
    <w:rsid w:val="006827E6"/>
    <w:rsid w:val="00682A54"/>
    <w:rsid w:val="00682CCB"/>
    <w:rsid w:val="00683320"/>
    <w:rsid w:val="0068335D"/>
    <w:rsid w:val="00683388"/>
    <w:rsid w:val="00685846"/>
    <w:rsid w:val="0068600D"/>
    <w:rsid w:val="00686A86"/>
    <w:rsid w:val="00687533"/>
    <w:rsid w:val="00687670"/>
    <w:rsid w:val="0068769B"/>
    <w:rsid w:val="00687FFE"/>
    <w:rsid w:val="006903CB"/>
    <w:rsid w:val="0069256F"/>
    <w:rsid w:val="006925CF"/>
    <w:rsid w:val="006929FF"/>
    <w:rsid w:val="00692CF6"/>
    <w:rsid w:val="00692DEA"/>
    <w:rsid w:val="00693B1C"/>
    <w:rsid w:val="00694170"/>
    <w:rsid w:val="0069467E"/>
    <w:rsid w:val="0069606A"/>
    <w:rsid w:val="00696792"/>
    <w:rsid w:val="0069681B"/>
    <w:rsid w:val="00696FE6"/>
    <w:rsid w:val="00697C20"/>
    <w:rsid w:val="00697E03"/>
    <w:rsid w:val="006A0281"/>
    <w:rsid w:val="006A1A48"/>
    <w:rsid w:val="006A1C51"/>
    <w:rsid w:val="006A2D51"/>
    <w:rsid w:val="006A3A75"/>
    <w:rsid w:val="006A3C9D"/>
    <w:rsid w:val="006A3CB3"/>
    <w:rsid w:val="006A3D7A"/>
    <w:rsid w:val="006A4D29"/>
    <w:rsid w:val="006A4D6F"/>
    <w:rsid w:val="006A4F38"/>
    <w:rsid w:val="006A5B4D"/>
    <w:rsid w:val="006A61B7"/>
    <w:rsid w:val="006A6B82"/>
    <w:rsid w:val="006A7A13"/>
    <w:rsid w:val="006B0100"/>
    <w:rsid w:val="006B0244"/>
    <w:rsid w:val="006B02B6"/>
    <w:rsid w:val="006B153E"/>
    <w:rsid w:val="006B2A05"/>
    <w:rsid w:val="006B2F08"/>
    <w:rsid w:val="006B2FBA"/>
    <w:rsid w:val="006B351B"/>
    <w:rsid w:val="006B3D23"/>
    <w:rsid w:val="006B46DF"/>
    <w:rsid w:val="006B5F16"/>
    <w:rsid w:val="006B77E0"/>
    <w:rsid w:val="006B7CAC"/>
    <w:rsid w:val="006C0270"/>
    <w:rsid w:val="006C1601"/>
    <w:rsid w:val="006C17D2"/>
    <w:rsid w:val="006C1F57"/>
    <w:rsid w:val="006C2031"/>
    <w:rsid w:val="006C234E"/>
    <w:rsid w:val="006C23AC"/>
    <w:rsid w:val="006C34EF"/>
    <w:rsid w:val="006C3B24"/>
    <w:rsid w:val="006C3F8A"/>
    <w:rsid w:val="006C49FB"/>
    <w:rsid w:val="006C5570"/>
    <w:rsid w:val="006C57D9"/>
    <w:rsid w:val="006C5952"/>
    <w:rsid w:val="006C5BE4"/>
    <w:rsid w:val="006C6035"/>
    <w:rsid w:val="006C6190"/>
    <w:rsid w:val="006C686F"/>
    <w:rsid w:val="006C6C87"/>
    <w:rsid w:val="006C7300"/>
    <w:rsid w:val="006C7334"/>
    <w:rsid w:val="006C7AC3"/>
    <w:rsid w:val="006D1AED"/>
    <w:rsid w:val="006D243E"/>
    <w:rsid w:val="006D284B"/>
    <w:rsid w:val="006D2AE4"/>
    <w:rsid w:val="006D3538"/>
    <w:rsid w:val="006D3B67"/>
    <w:rsid w:val="006D3C63"/>
    <w:rsid w:val="006D3FCE"/>
    <w:rsid w:val="006D41F3"/>
    <w:rsid w:val="006D43A9"/>
    <w:rsid w:val="006D5088"/>
    <w:rsid w:val="006D5494"/>
    <w:rsid w:val="006D5778"/>
    <w:rsid w:val="006D6307"/>
    <w:rsid w:val="006D6C05"/>
    <w:rsid w:val="006D78A3"/>
    <w:rsid w:val="006D7FF8"/>
    <w:rsid w:val="006E1FCD"/>
    <w:rsid w:val="006E2024"/>
    <w:rsid w:val="006E21C4"/>
    <w:rsid w:val="006E224C"/>
    <w:rsid w:val="006E2349"/>
    <w:rsid w:val="006E324F"/>
    <w:rsid w:val="006E38FE"/>
    <w:rsid w:val="006E4178"/>
    <w:rsid w:val="006E46ED"/>
    <w:rsid w:val="006E4C75"/>
    <w:rsid w:val="006E52B7"/>
    <w:rsid w:val="006E650C"/>
    <w:rsid w:val="006E66CE"/>
    <w:rsid w:val="006E7437"/>
    <w:rsid w:val="006E7AFB"/>
    <w:rsid w:val="006F2010"/>
    <w:rsid w:val="006F232A"/>
    <w:rsid w:val="006F2335"/>
    <w:rsid w:val="006F2470"/>
    <w:rsid w:val="006F25EE"/>
    <w:rsid w:val="006F3531"/>
    <w:rsid w:val="006F3DF2"/>
    <w:rsid w:val="006F41C4"/>
    <w:rsid w:val="006F47ED"/>
    <w:rsid w:val="006F4885"/>
    <w:rsid w:val="006F4AD9"/>
    <w:rsid w:val="006F5E94"/>
    <w:rsid w:val="006F6679"/>
    <w:rsid w:val="006F66A9"/>
    <w:rsid w:val="006F6A85"/>
    <w:rsid w:val="006F7606"/>
    <w:rsid w:val="006F7AC7"/>
    <w:rsid w:val="006F7E6A"/>
    <w:rsid w:val="00700641"/>
    <w:rsid w:val="00700B8F"/>
    <w:rsid w:val="00701131"/>
    <w:rsid w:val="00701AA0"/>
    <w:rsid w:val="00701AF7"/>
    <w:rsid w:val="00701B47"/>
    <w:rsid w:val="00702EC9"/>
    <w:rsid w:val="0070317E"/>
    <w:rsid w:val="00703205"/>
    <w:rsid w:val="0070366C"/>
    <w:rsid w:val="00703CCB"/>
    <w:rsid w:val="007040D4"/>
    <w:rsid w:val="007041F0"/>
    <w:rsid w:val="0070488A"/>
    <w:rsid w:val="00704EA4"/>
    <w:rsid w:val="007056DF"/>
    <w:rsid w:val="00705B79"/>
    <w:rsid w:val="007064B6"/>
    <w:rsid w:val="007066B6"/>
    <w:rsid w:val="007068CB"/>
    <w:rsid w:val="00710355"/>
    <w:rsid w:val="007103A7"/>
    <w:rsid w:val="0071044E"/>
    <w:rsid w:val="007107F2"/>
    <w:rsid w:val="00712243"/>
    <w:rsid w:val="00712987"/>
    <w:rsid w:val="00712EF6"/>
    <w:rsid w:val="00713D25"/>
    <w:rsid w:val="007140EF"/>
    <w:rsid w:val="00714360"/>
    <w:rsid w:val="00714CF4"/>
    <w:rsid w:val="007150BD"/>
    <w:rsid w:val="007152B1"/>
    <w:rsid w:val="00715503"/>
    <w:rsid w:val="00716E1C"/>
    <w:rsid w:val="007174BD"/>
    <w:rsid w:val="007206FA"/>
    <w:rsid w:val="00720D4B"/>
    <w:rsid w:val="0072137F"/>
    <w:rsid w:val="0072160E"/>
    <w:rsid w:val="00721D98"/>
    <w:rsid w:val="007220D9"/>
    <w:rsid w:val="007223C1"/>
    <w:rsid w:val="0072298D"/>
    <w:rsid w:val="0072350C"/>
    <w:rsid w:val="0072376B"/>
    <w:rsid w:val="007238D9"/>
    <w:rsid w:val="00723D75"/>
    <w:rsid w:val="00724830"/>
    <w:rsid w:val="007251D9"/>
    <w:rsid w:val="00725425"/>
    <w:rsid w:val="00725D4F"/>
    <w:rsid w:val="00726174"/>
    <w:rsid w:val="00726339"/>
    <w:rsid w:val="00726368"/>
    <w:rsid w:val="00726440"/>
    <w:rsid w:val="00726598"/>
    <w:rsid w:val="00726882"/>
    <w:rsid w:val="00727474"/>
    <w:rsid w:val="00727BDE"/>
    <w:rsid w:val="00730B43"/>
    <w:rsid w:val="00730B78"/>
    <w:rsid w:val="00730DDC"/>
    <w:rsid w:val="00730FE0"/>
    <w:rsid w:val="00731BAA"/>
    <w:rsid w:val="00732329"/>
    <w:rsid w:val="00732B92"/>
    <w:rsid w:val="00733706"/>
    <w:rsid w:val="00733863"/>
    <w:rsid w:val="00733D8A"/>
    <w:rsid w:val="00733D94"/>
    <w:rsid w:val="007340C3"/>
    <w:rsid w:val="00734FDE"/>
    <w:rsid w:val="007362D4"/>
    <w:rsid w:val="007374DA"/>
    <w:rsid w:val="00740494"/>
    <w:rsid w:val="00740754"/>
    <w:rsid w:val="00740DB0"/>
    <w:rsid w:val="00740EC3"/>
    <w:rsid w:val="00742067"/>
    <w:rsid w:val="00742629"/>
    <w:rsid w:val="0074273F"/>
    <w:rsid w:val="007430F0"/>
    <w:rsid w:val="00743CD4"/>
    <w:rsid w:val="00744C2C"/>
    <w:rsid w:val="007455E8"/>
    <w:rsid w:val="00745787"/>
    <w:rsid w:val="007457FA"/>
    <w:rsid w:val="007468C4"/>
    <w:rsid w:val="00746BDB"/>
    <w:rsid w:val="007477B8"/>
    <w:rsid w:val="0075245F"/>
    <w:rsid w:val="0075308A"/>
    <w:rsid w:val="00753616"/>
    <w:rsid w:val="00753997"/>
    <w:rsid w:val="00753E31"/>
    <w:rsid w:val="00754094"/>
    <w:rsid w:val="007540BD"/>
    <w:rsid w:val="00754661"/>
    <w:rsid w:val="00754668"/>
    <w:rsid w:val="00754D5D"/>
    <w:rsid w:val="0075514A"/>
    <w:rsid w:val="00756070"/>
    <w:rsid w:val="00756C90"/>
    <w:rsid w:val="00757A1D"/>
    <w:rsid w:val="00761888"/>
    <w:rsid w:val="007618CF"/>
    <w:rsid w:val="00761C30"/>
    <w:rsid w:val="00761DFB"/>
    <w:rsid w:val="0076204A"/>
    <w:rsid w:val="007625FA"/>
    <w:rsid w:val="00762F13"/>
    <w:rsid w:val="00763095"/>
    <w:rsid w:val="00763309"/>
    <w:rsid w:val="00764298"/>
    <w:rsid w:val="00765442"/>
    <w:rsid w:val="007657CA"/>
    <w:rsid w:val="007657E8"/>
    <w:rsid w:val="00766C5F"/>
    <w:rsid w:val="007676E6"/>
    <w:rsid w:val="007703BE"/>
    <w:rsid w:val="00770C13"/>
    <w:rsid w:val="00770D9D"/>
    <w:rsid w:val="00771A8B"/>
    <w:rsid w:val="00771DBE"/>
    <w:rsid w:val="0077239C"/>
    <w:rsid w:val="0077275A"/>
    <w:rsid w:val="00773133"/>
    <w:rsid w:val="00773584"/>
    <w:rsid w:val="00773A70"/>
    <w:rsid w:val="007745C5"/>
    <w:rsid w:val="0077467E"/>
    <w:rsid w:val="007747EF"/>
    <w:rsid w:val="00774E0D"/>
    <w:rsid w:val="007755D0"/>
    <w:rsid w:val="00776392"/>
    <w:rsid w:val="00780179"/>
    <w:rsid w:val="00780344"/>
    <w:rsid w:val="00780DA9"/>
    <w:rsid w:val="00781EBD"/>
    <w:rsid w:val="00782FF1"/>
    <w:rsid w:val="00783646"/>
    <w:rsid w:val="007839BC"/>
    <w:rsid w:val="007841BE"/>
    <w:rsid w:val="00784737"/>
    <w:rsid w:val="007851B6"/>
    <w:rsid w:val="007855AB"/>
    <w:rsid w:val="00785701"/>
    <w:rsid w:val="00785ED7"/>
    <w:rsid w:val="00786FAB"/>
    <w:rsid w:val="00786FBC"/>
    <w:rsid w:val="007873B3"/>
    <w:rsid w:val="00787D2E"/>
    <w:rsid w:val="00787F66"/>
    <w:rsid w:val="00790A6A"/>
    <w:rsid w:val="00790C28"/>
    <w:rsid w:val="00790D24"/>
    <w:rsid w:val="007914F6"/>
    <w:rsid w:val="0079193E"/>
    <w:rsid w:val="00792AC4"/>
    <w:rsid w:val="00792D30"/>
    <w:rsid w:val="00792DD5"/>
    <w:rsid w:val="00793944"/>
    <w:rsid w:val="00793945"/>
    <w:rsid w:val="00793C14"/>
    <w:rsid w:val="00794133"/>
    <w:rsid w:val="007944D3"/>
    <w:rsid w:val="00794AAE"/>
    <w:rsid w:val="00794F5E"/>
    <w:rsid w:val="00795A8F"/>
    <w:rsid w:val="00796F2C"/>
    <w:rsid w:val="0079781F"/>
    <w:rsid w:val="007A009B"/>
    <w:rsid w:val="007A0A01"/>
    <w:rsid w:val="007A0E12"/>
    <w:rsid w:val="007A0E43"/>
    <w:rsid w:val="007A0EB1"/>
    <w:rsid w:val="007A3454"/>
    <w:rsid w:val="007A38C9"/>
    <w:rsid w:val="007A39BB"/>
    <w:rsid w:val="007A4A4A"/>
    <w:rsid w:val="007A52E3"/>
    <w:rsid w:val="007A5317"/>
    <w:rsid w:val="007A55F4"/>
    <w:rsid w:val="007A5FC0"/>
    <w:rsid w:val="007A6331"/>
    <w:rsid w:val="007A64FA"/>
    <w:rsid w:val="007A67B9"/>
    <w:rsid w:val="007A6DBA"/>
    <w:rsid w:val="007A751F"/>
    <w:rsid w:val="007A775A"/>
    <w:rsid w:val="007A7BFD"/>
    <w:rsid w:val="007A7C70"/>
    <w:rsid w:val="007B056B"/>
    <w:rsid w:val="007B0BDF"/>
    <w:rsid w:val="007B1296"/>
    <w:rsid w:val="007B2BDD"/>
    <w:rsid w:val="007B2F60"/>
    <w:rsid w:val="007B305D"/>
    <w:rsid w:val="007B30FF"/>
    <w:rsid w:val="007B445D"/>
    <w:rsid w:val="007B4C93"/>
    <w:rsid w:val="007B529D"/>
    <w:rsid w:val="007B5427"/>
    <w:rsid w:val="007B55B4"/>
    <w:rsid w:val="007B56F6"/>
    <w:rsid w:val="007B62E5"/>
    <w:rsid w:val="007B64A7"/>
    <w:rsid w:val="007B6A6A"/>
    <w:rsid w:val="007B795B"/>
    <w:rsid w:val="007B7F0B"/>
    <w:rsid w:val="007C0AB8"/>
    <w:rsid w:val="007C1083"/>
    <w:rsid w:val="007C126F"/>
    <w:rsid w:val="007C1792"/>
    <w:rsid w:val="007C19A9"/>
    <w:rsid w:val="007C1FD9"/>
    <w:rsid w:val="007C25B8"/>
    <w:rsid w:val="007C28B6"/>
    <w:rsid w:val="007C28E9"/>
    <w:rsid w:val="007C2B6C"/>
    <w:rsid w:val="007C3696"/>
    <w:rsid w:val="007C40A0"/>
    <w:rsid w:val="007C45FF"/>
    <w:rsid w:val="007C4936"/>
    <w:rsid w:val="007C5B66"/>
    <w:rsid w:val="007C5D74"/>
    <w:rsid w:val="007C5F12"/>
    <w:rsid w:val="007C5FF3"/>
    <w:rsid w:val="007C71B6"/>
    <w:rsid w:val="007C77C8"/>
    <w:rsid w:val="007C7D60"/>
    <w:rsid w:val="007D0120"/>
    <w:rsid w:val="007D0F70"/>
    <w:rsid w:val="007D155F"/>
    <w:rsid w:val="007D1A8C"/>
    <w:rsid w:val="007D2193"/>
    <w:rsid w:val="007D24BA"/>
    <w:rsid w:val="007D25FC"/>
    <w:rsid w:val="007D2BE0"/>
    <w:rsid w:val="007D3721"/>
    <w:rsid w:val="007D42CB"/>
    <w:rsid w:val="007D5151"/>
    <w:rsid w:val="007D5A00"/>
    <w:rsid w:val="007D6316"/>
    <w:rsid w:val="007D6425"/>
    <w:rsid w:val="007D6A76"/>
    <w:rsid w:val="007D6DD8"/>
    <w:rsid w:val="007D6E9F"/>
    <w:rsid w:val="007D7584"/>
    <w:rsid w:val="007E01B8"/>
    <w:rsid w:val="007E048B"/>
    <w:rsid w:val="007E08C0"/>
    <w:rsid w:val="007E0D04"/>
    <w:rsid w:val="007E20FA"/>
    <w:rsid w:val="007E26F5"/>
    <w:rsid w:val="007E2A52"/>
    <w:rsid w:val="007E2F3B"/>
    <w:rsid w:val="007E348E"/>
    <w:rsid w:val="007E451A"/>
    <w:rsid w:val="007E49B0"/>
    <w:rsid w:val="007E4EC6"/>
    <w:rsid w:val="007E4F9B"/>
    <w:rsid w:val="007E5205"/>
    <w:rsid w:val="007E533F"/>
    <w:rsid w:val="007E55FE"/>
    <w:rsid w:val="007E55FF"/>
    <w:rsid w:val="007E58D1"/>
    <w:rsid w:val="007E5C6E"/>
    <w:rsid w:val="007E5DE3"/>
    <w:rsid w:val="007E68C4"/>
    <w:rsid w:val="007E6A7A"/>
    <w:rsid w:val="007E6DA9"/>
    <w:rsid w:val="007E6F0C"/>
    <w:rsid w:val="007F0A55"/>
    <w:rsid w:val="007F0D11"/>
    <w:rsid w:val="007F1299"/>
    <w:rsid w:val="007F1603"/>
    <w:rsid w:val="007F1F95"/>
    <w:rsid w:val="007F297F"/>
    <w:rsid w:val="007F370C"/>
    <w:rsid w:val="007F388F"/>
    <w:rsid w:val="007F3B59"/>
    <w:rsid w:val="007F3F70"/>
    <w:rsid w:val="007F4625"/>
    <w:rsid w:val="007F46EA"/>
    <w:rsid w:val="007F4B33"/>
    <w:rsid w:val="007F5171"/>
    <w:rsid w:val="007F534D"/>
    <w:rsid w:val="007F5BF6"/>
    <w:rsid w:val="007F79CD"/>
    <w:rsid w:val="0080044F"/>
    <w:rsid w:val="008004B8"/>
    <w:rsid w:val="0080127E"/>
    <w:rsid w:val="00801309"/>
    <w:rsid w:val="00801568"/>
    <w:rsid w:val="008017FA"/>
    <w:rsid w:val="00801CB4"/>
    <w:rsid w:val="00801FF2"/>
    <w:rsid w:val="008023F8"/>
    <w:rsid w:val="00802608"/>
    <w:rsid w:val="0080266C"/>
    <w:rsid w:val="00802823"/>
    <w:rsid w:val="00802AF0"/>
    <w:rsid w:val="0080378D"/>
    <w:rsid w:val="0080396E"/>
    <w:rsid w:val="00803B20"/>
    <w:rsid w:val="00803D16"/>
    <w:rsid w:val="00803DC5"/>
    <w:rsid w:val="00803E94"/>
    <w:rsid w:val="00805B05"/>
    <w:rsid w:val="00805B06"/>
    <w:rsid w:val="00805F82"/>
    <w:rsid w:val="008062B1"/>
    <w:rsid w:val="00806B17"/>
    <w:rsid w:val="00806E61"/>
    <w:rsid w:val="00806F43"/>
    <w:rsid w:val="008073AB"/>
    <w:rsid w:val="00807C4E"/>
    <w:rsid w:val="008100F9"/>
    <w:rsid w:val="008103BC"/>
    <w:rsid w:val="00810452"/>
    <w:rsid w:val="0081051D"/>
    <w:rsid w:val="00810712"/>
    <w:rsid w:val="008110D0"/>
    <w:rsid w:val="008115AC"/>
    <w:rsid w:val="00811F77"/>
    <w:rsid w:val="00812143"/>
    <w:rsid w:val="00813729"/>
    <w:rsid w:val="008147E9"/>
    <w:rsid w:val="0081481D"/>
    <w:rsid w:val="0081507A"/>
    <w:rsid w:val="008155D4"/>
    <w:rsid w:val="00815A7F"/>
    <w:rsid w:val="008163DA"/>
    <w:rsid w:val="008164FC"/>
    <w:rsid w:val="008166E1"/>
    <w:rsid w:val="00816E06"/>
    <w:rsid w:val="00817DC6"/>
    <w:rsid w:val="00817E35"/>
    <w:rsid w:val="00820197"/>
    <w:rsid w:val="00821040"/>
    <w:rsid w:val="00821138"/>
    <w:rsid w:val="00821827"/>
    <w:rsid w:val="0082227E"/>
    <w:rsid w:val="008225DE"/>
    <w:rsid w:val="008228AA"/>
    <w:rsid w:val="008232DD"/>
    <w:rsid w:val="0082404A"/>
    <w:rsid w:val="00825A49"/>
    <w:rsid w:val="00825EB4"/>
    <w:rsid w:val="008261AC"/>
    <w:rsid w:val="00826557"/>
    <w:rsid w:val="008267F5"/>
    <w:rsid w:val="00826E41"/>
    <w:rsid w:val="00826F77"/>
    <w:rsid w:val="0082752D"/>
    <w:rsid w:val="00830467"/>
    <w:rsid w:val="00830AD1"/>
    <w:rsid w:val="0083120E"/>
    <w:rsid w:val="0083146A"/>
    <w:rsid w:val="008317D0"/>
    <w:rsid w:val="00832453"/>
    <w:rsid w:val="00832985"/>
    <w:rsid w:val="00832B10"/>
    <w:rsid w:val="00833516"/>
    <w:rsid w:val="00833DEE"/>
    <w:rsid w:val="008353D2"/>
    <w:rsid w:val="00835E1C"/>
    <w:rsid w:val="0083653A"/>
    <w:rsid w:val="008365CF"/>
    <w:rsid w:val="008366A3"/>
    <w:rsid w:val="0083720C"/>
    <w:rsid w:val="008377C2"/>
    <w:rsid w:val="00840300"/>
    <w:rsid w:val="00840F6D"/>
    <w:rsid w:val="008410AC"/>
    <w:rsid w:val="0084153D"/>
    <w:rsid w:val="0084183B"/>
    <w:rsid w:val="0084198B"/>
    <w:rsid w:val="008420DC"/>
    <w:rsid w:val="00842645"/>
    <w:rsid w:val="008427C0"/>
    <w:rsid w:val="008430E7"/>
    <w:rsid w:val="00843786"/>
    <w:rsid w:val="00843F64"/>
    <w:rsid w:val="008440E6"/>
    <w:rsid w:val="008446B1"/>
    <w:rsid w:val="008448D5"/>
    <w:rsid w:val="008450A3"/>
    <w:rsid w:val="0084636D"/>
    <w:rsid w:val="00846D10"/>
    <w:rsid w:val="00850343"/>
    <w:rsid w:val="00850D37"/>
    <w:rsid w:val="00851110"/>
    <w:rsid w:val="008511A7"/>
    <w:rsid w:val="008514DA"/>
    <w:rsid w:val="00851FD1"/>
    <w:rsid w:val="00852374"/>
    <w:rsid w:val="008527DD"/>
    <w:rsid w:val="00853220"/>
    <w:rsid w:val="00853C5F"/>
    <w:rsid w:val="00853F80"/>
    <w:rsid w:val="008543CD"/>
    <w:rsid w:val="008547DA"/>
    <w:rsid w:val="00854943"/>
    <w:rsid w:val="008551BA"/>
    <w:rsid w:val="0086013C"/>
    <w:rsid w:val="0086147E"/>
    <w:rsid w:val="00863661"/>
    <w:rsid w:val="00863917"/>
    <w:rsid w:val="00864645"/>
    <w:rsid w:val="00865028"/>
    <w:rsid w:val="008653A2"/>
    <w:rsid w:val="008660B3"/>
    <w:rsid w:val="008660DA"/>
    <w:rsid w:val="008664D6"/>
    <w:rsid w:val="00866559"/>
    <w:rsid w:val="00866BFF"/>
    <w:rsid w:val="00866D84"/>
    <w:rsid w:val="00870147"/>
    <w:rsid w:val="008705F8"/>
    <w:rsid w:val="00870BCC"/>
    <w:rsid w:val="00870CAA"/>
    <w:rsid w:val="00870E9E"/>
    <w:rsid w:val="00871EC0"/>
    <w:rsid w:val="00872052"/>
    <w:rsid w:val="00872628"/>
    <w:rsid w:val="00873A18"/>
    <w:rsid w:val="008742AB"/>
    <w:rsid w:val="008751FD"/>
    <w:rsid w:val="008762BD"/>
    <w:rsid w:val="008777B0"/>
    <w:rsid w:val="00880202"/>
    <w:rsid w:val="008802D5"/>
    <w:rsid w:val="008806AF"/>
    <w:rsid w:val="0088314D"/>
    <w:rsid w:val="0088433E"/>
    <w:rsid w:val="008852DF"/>
    <w:rsid w:val="0088587F"/>
    <w:rsid w:val="008858C8"/>
    <w:rsid w:val="008869D9"/>
    <w:rsid w:val="0088716A"/>
    <w:rsid w:val="00887315"/>
    <w:rsid w:val="008906D7"/>
    <w:rsid w:val="00890B46"/>
    <w:rsid w:val="008917DB"/>
    <w:rsid w:val="00894492"/>
    <w:rsid w:val="00894DD0"/>
    <w:rsid w:val="008953B4"/>
    <w:rsid w:val="008954D5"/>
    <w:rsid w:val="00895631"/>
    <w:rsid w:val="00896AD6"/>
    <w:rsid w:val="00896C03"/>
    <w:rsid w:val="0089779F"/>
    <w:rsid w:val="00897840"/>
    <w:rsid w:val="008A026A"/>
    <w:rsid w:val="008A0371"/>
    <w:rsid w:val="008A0723"/>
    <w:rsid w:val="008A0ADB"/>
    <w:rsid w:val="008A0FE6"/>
    <w:rsid w:val="008A1E70"/>
    <w:rsid w:val="008A3600"/>
    <w:rsid w:val="008A38BE"/>
    <w:rsid w:val="008A395D"/>
    <w:rsid w:val="008A3B11"/>
    <w:rsid w:val="008A4A8A"/>
    <w:rsid w:val="008A69E7"/>
    <w:rsid w:val="008A715F"/>
    <w:rsid w:val="008A72FB"/>
    <w:rsid w:val="008B0006"/>
    <w:rsid w:val="008B03C1"/>
    <w:rsid w:val="008B047B"/>
    <w:rsid w:val="008B06F8"/>
    <w:rsid w:val="008B13BD"/>
    <w:rsid w:val="008B2B27"/>
    <w:rsid w:val="008B2E0B"/>
    <w:rsid w:val="008B3AE4"/>
    <w:rsid w:val="008B41D9"/>
    <w:rsid w:val="008B4599"/>
    <w:rsid w:val="008B4D48"/>
    <w:rsid w:val="008B5260"/>
    <w:rsid w:val="008B5590"/>
    <w:rsid w:val="008B72CF"/>
    <w:rsid w:val="008B76F3"/>
    <w:rsid w:val="008B79BC"/>
    <w:rsid w:val="008C0406"/>
    <w:rsid w:val="008C097E"/>
    <w:rsid w:val="008C130C"/>
    <w:rsid w:val="008C15B6"/>
    <w:rsid w:val="008C17D9"/>
    <w:rsid w:val="008C1885"/>
    <w:rsid w:val="008C238C"/>
    <w:rsid w:val="008C2862"/>
    <w:rsid w:val="008C2FA7"/>
    <w:rsid w:val="008C31A1"/>
    <w:rsid w:val="008C31D5"/>
    <w:rsid w:val="008C330D"/>
    <w:rsid w:val="008C3E23"/>
    <w:rsid w:val="008C4048"/>
    <w:rsid w:val="008C4750"/>
    <w:rsid w:val="008C75F4"/>
    <w:rsid w:val="008C7808"/>
    <w:rsid w:val="008C7A8B"/>
    <w:rsid w:val="008D038B"/>
    <w:rsid w:val="008D0967"/>
    <w:rsid w:val="008D193C"/>
    <w:rsid w:val="008D1A2D"/>
    <w:rsid w:val="008D280C"/>
    <w:rsid w:val="008D3181"/>
    <w:rsid w:val="008D37B4"/>
    <w:rsid w:val="008D37E3"/>
    <w:rsid w:val="008D3E48"/>
    <w:rsid w:val="008D45F3"/>
    <w:rsid w:val="008D4B4F"/>
    <w:rsid w:val="008D515E"/>
    <w:rsid w:val="008D535F"/>
    <w:rsid w:val="008D56AC"/>
    <w:rsid w:val="008D7ABB"/>
    <w:rsid w:val="008D7DAD"/>
    <w:rsid w:val="008E14AD"/>
    <w:rsid w:val="008E1B91"/>
    <w:rsid w:val="008E2700"/>
    <w:rsid w:val="008E2708"/>
    <w:rsid w:val="008E2835"/>
    <w:rsid w:val="008E3C5B"/>
    <w:rsid w:val="008E48FE"/>
    <w:rsid w:val="008E5087"/>
    <w:rsid w:val="008E50DB"/>
    <w:rsid w:val="008E5400"/>
    <w:rsid w:val="008E6FF3"/>
    <w:rsid w:val="008F0478"/>
    <w:rsid w:val="008F0B55"/>
    <w:rsid w:val="008F23F0"/>
    <w:rsid w:val="008F2517"/>
    <w:rsid w:val="008F27C2"/>
    <w:rsid w:val="008F29C0"/>
    <w:rsid w:val="008F3DC7"/>
    <w:rsid w:val="008F41AB"/>
    <w:rsid w:val="008F4264"/>
    <w:rsid w:val="008F4754"/>
    <w:rsid w:val="008F4C37"/>
    <w:rsid w:val="008F4D0A"/>
    <w:rsid w:val="008F597C"/>
    <w:rsid w:val="008F6335"/>
    <w:rsid w:val="008F70DF"/>
    <w:rsid w:val="008F7E0E"/>
    <w:rsid w:val="009002DF"/>
    <w:rsid w:val="00900BBA"/>
    <w:rsid w:val="00901686"/>
    <w:rsid w:val="00901DB6"/>
    <w:rsid w:val="00902B31"/>
    <w:rsid w:val="0090350A"/>
    <w:rsid w:val="00903EDE"/>
    <w:rsid w:val="009047F0"/>
    <w:rsid w:val="00905165"/>
    <w:rsid w:val="009051A9"/>
    <w:rsid w:val="009057AB"/>
    <w:rsid w:val="0090606F"/>
    <w:rsid w:val="00907B54"/>
    <w:rsid w:val="00910192"/>
    <w:rsid w:val="009103ED"/>
    <w:rsid w:val="00910AE3"/>
    <w:rsid w:val="00910E72"/>
    <w:rsid w:val="009120C6"/>
    <w:rsid w:val="00913F03"/>
    <w:rsid w:val="00914417"/>
    <w:rsid w:val="00915117"/>
    <w:rsid w:val="00915208"/>
    <w:rsid w:val="00915501"/>
    <w:rsid w:val="009157A8"/>
    <w:rsid w:val="00916333"/>
    <w:rsid w:val="00916915"/>
    <w:rsid w:val="00916B58"/>
    <w:rsid w:val="00916F7D"/>
    <w:rsid w:val="0092002C"/>
    <w:rsid w:val="0092077E"/>
    <w:rsid w:val="009207BB"/>
    <w:rsid w:val="009215BE"/>
    <w:rsid w:val="00921E22"/>
    <w:rsid w:val="009232D4"/>
    <w:rsid w:val="0092359F"/>
    <w:rsid w:val="0092384A"/>
    <w:rsid w:val="0092480D"/>
    <w:rsid w:val="00925446"/>
    <w:rsid w:val="00925854"/>
    <w:rsid w:val="00925F81"/>
    <w:rsid w:val="00926EFC"/>
    <w:rsid w:val="00927029"/>
    <w:rsid w:val="00930285"/>
    <w:rsid w:val="00930F4F"/>
    <w:rsid w:val="00931CC7"/>
    <w:rsid w:val="00932691"/>
    <w:rsid w:val="00932E1A"/>
    <w:rsid w:val="00932E89"/>
    <w:rsid w:val="0093346D"/>
    <w:rsid w:val="009339FC"/>
    <w:rsid w:val="00933A31"/>
    <w:rsid w:val="00933D9B"/>
    <w:rsid w:val="009340C0"/>
    <w:rsid w:val="009341A7"/>
    <w:rsid w:val="00934D2C"/>
    <w:rsid w:val="009350F1"/>
    <w:rsid w:val="0093523C"/>
    <w:rsid w:val="00935253"/>
    <w:rsid w:val="00935D32"/>
    <w:rsid w:val="00935FEA"/>
    <w:rsid w:val="009360F8"/>
    <w:rsid w:val="00941247"/>
    <w:rsid w:val="009416EE"/>
    <w:rsid w:val="00942546"/>
    <w:rsid w:val="00943C69"/>
    <w:rsid w:val="00943F9D"/>
    <w:rsid w:val="009446D8"/>
    <w:rsid w:val="00944AB1"/>
    <w:rsid w:val="009453C0"/>
    <w:rsid w:val="00945798"/>
    <w:rsid w:val="00945A69"/>
    <w:rsid w:val="00945EB9"/>
    <w:rsid w:val="00945F31"/>
    <w:rsid w:val="00947467"/>
    <w:rsid w:val="00947BCE"/>
    <w:rsid w:val="00950060"/>
    <w:rsid w:val="009500E7"/>
    <w:rsid w:val="009502C8"/>
    <w:rsid w:val="00951354"/>
    <w:rsid w:val="0095206C"/>
    <w:rsid w:val="00952627"/>
    <w:rsid w:val="009527D5"/>
    <w:rsid w:val="009539B5"/>
    <w:rsid w:val="009543AF"/>
    <w:rsid w:val="00954E9D"/>
    <w:rsid w:val="00955B5A"/>
    <w:rsid w:val="00955FA5"/>
    <w:rsid w:val="009560C6"/>
    <w:rsid w:val="0095617B"/>
    <w:rsid w:val="009565C2"/>
    <w:rsid w:val="00956674"/>
    <w:rsid w:val="00956995"/>
    <w:rsid w:val="009579B5"/>
    <w:rsid w:val="00960BF1"/>
    <w:rsid w:val="009614B4"/>
    <w:rsid w:val="00961AF4"/>
    <w:rsid w:val="00961C77"/>
    <w:rsid w:val="00962580"/>
    <w:rsid w:val="0096297F"/>
    <w:rsid w:val="00962BDA"/>
    <w:rsid w:val="00963B90"/>
    <w:rsid w:val="0096583F"/>
    <w:rsid w:val="009659ED"/>
    <w:rsid w:val="00965BBF"/>
    <w:rsid w:val="00966A74"/>
    <w:rsid w:val="00966F40"/>
    <w:rsid w:val="009670EE"/>
    <w:rsid w:val="0096756F"/>
    <w:rsid w:val="009676F1"/>
    <w:rsid w:val="00967FFC"/>
    <w:rsid w:val="0097030F"/>
    <w:rsid w:val="00970717"/>
    <w:rsid w:val="00971038"/>
    <w:rsid w:val="00971260"/>
    <w:rsid w:val="00971C11"/>
    <w:rsid w:val="00972ACF"/>
    <w:rsid w:val="00972B24"/>
    <w:rsid w:val="00972D23"/>
    <w:rsid w:val="00972ECB"/>
    <w:rsid w:val="00972F67"/>
    <w:rsid w:val="009732D0"/>
    <w:rsid w:val="00973734"/>
    <w:rsid w:val="00973B2B"/>
    <w:rsid w:val="00974610"/>
    <w:rsid w:val="009751CE"/>
    <w:rsid w:val="00976F53"/>
    <w:rsid w:val="009771E9"/>
    <w:rsid w:val="00977316"/>
    <w:rsid w:val="00977826"/>
    <w:rsid w:val="00977CE5"/>
    <w:rsid w:val="00980158"/>
    <w:rsid w:val="00981A0A"/>
    <w:rsid w:val="00981A63"/>
    <w:rsid w:val="00982361"/>
    <w:rsid w:val="009837E5"/>
    <w:rsid w:val="0098426D"/>
    <w:rsid w:val="00984A64"/>
    <w:rsid w:val="009850A7"/>
    <w:rsid w:val="0098521C"/>
    <w:rsid w:val="009854D4"/>
    <w:rsid w:val="0098633C"/>
    <w:rsid w:val="00986445"/>
    <w:rsid w:val="0098670D"/>
    <w:rsid w:val="00986E9A"/>
    <w:rsid w:val="00986FC3"/>
    <w:rsid w:val="00987141"/>
    <w:rsid w:val="009877E2"/>
    <w:rsid w:val="00987B09"/>
    <w:rsid w:val="00990549"/>
    <w:rsid w:val="009912C9"/>
    <w:rsid w:val="009938A7"/>
    <w:rsid w:val="00993A6D"/>
    <w:rsid w:val="00995161"/>
    <w:rsid w:val="0099585B"/>
    <w:rsid w:val="0099587F"/>
    <w:rsid w:val="00995C7C"/>
    <w:rsid w:val="00995F64"/>
    <w:rsid w:val="009961BC"/>
    <w:rsid w:val="0099620D"/>
    <w:rsid w:val="00996657"/>
    <w:rsid w:val="00996B82"/>
    <w:rsid w:val="009971DC"/>
    <w:rsid w:val="00997E81"/>
    <w:rsid w:val="009A0BAB"/>
    <w:rsid w:val="009A107E"/>
    <w:rsid w:val="009A10F9"/>
    <w:rsid w:val="009A21C4"/>
    <w:rsid w:val="009A2988"/>
    <w:rsid w:val="009A2A69"/>
    <w:rsid w:val="009A49D6"/>
    <w:rsid w:val="009A4C55"/>
    <w:rsid w:val="009A515F"/>
    <w:rsid w:val="009A608A"/>
    <w:rsid w:val="009A68ED"/>
    <w:rsid w:val="009A6FF6"/>
    <w:rsid w:val="009A7236"/>
    <w:rsid w:val="009A75B7"/>
    <w:rsid w:val="009A780B"/>
    <w:rsid w:val="009B03E0"/>
    <w:rsid w:val="009B0550"/>
    <w:rsid w:val="009B1B33"/>
    <w:rsid w:val="009B2003"/>
    <w:rsid w:val="009B448E"/>
    <w:rsid w:val="009B4C96"/>
    <w:rsid w:val="009B4E02"/>
    <w:rsid w:val="009B4F42"/>
    <w:rsid w:val="009B5750"/>
    <w:rsid w:val="009B5983"/>
    <w:rsid w:val="009B6052"/>
    <w:rsid w:val="009B6DBC"/>
    <w:rsid w:val="009B75BB"/>
    <w:rsid w:val="009B79B6"/>
    <w:rsid w:val="009B7E80"/>
    <w:rsid w:val="009C009F"/>
    <w:rsid w:val="009C048F"/>
    <w:rsid w:val="009C06AD"/>
    <w:rsid w:val="009C06CE"/>
    <w:rsid w:val="009C0B7B"/>
    <w:rsid w:val="009C0EAC"/>
    <w:rsid w:val="009C1DD9"/>
    <w:rsid w:val="009C1F6A"/>
    <w:rsid w:val="009C2563"/>
    <w:rsid w:val="009C27D2"/>
    <w:rsid w:val="009C3084"/>
    <w:rsid w:val="009C35A2"/>
    <w:rsid w:val="009C3C29"/>
    <w:rsid w:val="009C4BA2"/>
    <w:rsid w:val="009C4C6E"/>
    <w:rsid w:val="009C524F"/>
    <w:rsid w:val="009C52B5"/>
    <w:rsid w:val="009C548D"/>
    <w:rsid w:val="009C5AB1"/>
    <w:rsid w:val="009C6676"/>
    <w:rsid w:val="009C73C2"/>
    <w:rsid w:val="009C7871"/>
    <w:rsid w:val="009C7FA7"/>
    <w:rsid w:val="009D0873"/>
    <w:rsid w:val="009D136D"/>
    <w:rsid w:val="009D204F"/>
    <w:rsid w:val="009D273A"/>
    <w:rsid w:val="009D27A4"/>
    <w:rsid w:val="009D2FA4"/>
    <w:rsid w:val="009D3B29"/>
    <w:rsid w:val="009D43D9"/>
    <w:rsid w:val="009D4C0B"/>
    <w:rsid w:val="009D52E9"/>
    <w:rsid w:val="009D54C4"/>
    <w:rsid w:val="009D5C1C"/>
    <w:rsid w:val="009D6780"/>
    <w:rsid w:val="009D7430"/>
    <w:rsid w:val="009D7962"/>
    <w:rsid w:val="009E0C5B"/>
    <w:rsid w:val="009E102F"/>
    <w:rsid w:val="009E2800"/>
    <w:rsid w:val="009E32DC"/>
    <w:rsid w:val="009E3D0D"/>
    <w:rsid w:val="009E4952"/>
    <w:rsid w:val="009E549B"/>
    <w:rsid w:val="009E5B5A"/>
    <w:rsid w:val="009E6005"/>
    <w:rsid w:val="009E6D6E"/>
    <w:rsid w:val="009E6FE0"/>
    <w:rsid w:val="009E74CA"/>
    <w:rsid w:val="009E7BB8"/>
    <w:rsid w:val="009F0053"/>
    <w:rsid w:val="009F0F52"/>
    <w:rsid w:val="009F0F5C"/>
    <w:rsid w:val="009F300E"/>
    <w:rsid w:val="009F3596"/>
    <w:rsid w:val="009F4CFD"/>
    <w:rsid w:val="009F5024"/>
    <w:rsid w:val="009F5349"/>
    <w:rsid w:val="009F625D"/>
    <w:rsid w:val="009F6329"/>
    <w:rsid w:val="009F6A04"/>
    <w:rsid w:val="009F71E0"/>
    <w:rsid w:val="009F7948"/>
    <w:rsid w:val="009F7C52"/>
    <w:rsid w:val="009F7EDF"/>
    <w:rsid w:val="00A012E3"/>
    <w:rsid w:val="00A01538"/>
    <w:rsid w:val="00A01957"/>
    <w:rsid w:val="00A01ADC"/>
    <w:rsid w:val="00A01C97"/>
    <w:rsid w:val="00A02763"/>
    <w:rsid w:val="00A03104"/>
    <w:rsid w:val="00A040AB"/>
    <w:rsid w:val="00A0418D"/>
    <w:rsid w:val="00A050CD"/>
    <w:rsid w:val="00A05D49"/>
    <w:rsid w:val="00A05D87"/>
    <w:rsid w:val="00A06708"/>
    <w:rsid w:val="00A108FA"/>
    <w:rsid w:val="00A1104F"/>
    <w:rsid w:val="00A110D9"/>
    <w:rsid w:val="00A11712"/>
    <w:rsid w:val="00A12C08"/>
    <w:rsid w:val="00A12D02"/>
    <w:rsid w:val="00A131D2"/>
    <w:rsid w:val="00A13FE3"/>
    <w:rsid w:val="00A142AC"/>
    <w:rsid w:val="00A14484"/>
    <w:rsid w:val="00A14E87"/>
    <w:rsid w:val="00A1553E"/>
    <w:rsid w:val="00A156F4"/>
    <w:rsid w:val="00A15721"/>
    <w:rsid w:val="00A15B7D"/>
    <w:rsid w:val="00A17D8B"/>
    <w:rsid w:val="00A17E3D"/>
    <w:rsid w:val="00A17F3A"/>
    <w:rsid w:val="00A17F66"/>
    <w:rsid w:val="00A20A43"/>
    <w:rsid w:val="00A20A49"/>
    <w:rsid w:val="00A2149B"/>
    <w:rsid w:val="00A22B60"/>
    <w:rsid w:val="00A232FB"/>
    <w:rsid w:val="00A2378A"/>
    <w:rsid w:val="00A2406B"/>
    <w:rsid w:val="00A2441D"/>
    <w:rsid w:val="00A24FDB"/>
    <w:rsid w:val="00A2552A"/>
    <w:rsid w:val="00A25D99"/>
    <w:rsid w:val="00A25E2B"/>
    <w:rsid w:val="00A268C2"/>
    <w:rsid w:val="00A279F9"/>
    <w:rsid w:val="00A27AD6"/>
    <w:rsid w:val="00A30B48"/>
    <w:rsid w:val="00A3130B"/>
    <w:rsid w:val="00A31375"/>
    <w:rsid w:val="00A315AB"/>
    <w:rsid w:val="00A31E4D"/>
    <w:rsid w:val="00A31EA9"/>
    <w:rsid w:val="00A31EEA"/>
    <w:rsid w:val="00A31F6E"/>
    <w:rsid w:val="00A32051"/>
    <w:rsid w:val="00A3275E"/>
    <w:rsid w:val="00A32785"/>
    <w:rsid w:val="00A32ED7"/>
    <w:rsid w:val="00A32F30"/>
    <w:rsid w:val="00A33107"/>
    <w:rsid w:val="00A3505A"/>
    <w:rsid w:val="00A356D1"/>
    <w:rsid w:val="00A358E5"/>
    <w:rsid w:val="00A35B23"/>
    <w:rsid w:val="00A35C61"/>
    <w:rsid w:val="00A36005"/>
    <w:rsid w:val="00A362BA"/>
    <w:rsid w:val="00A3690E"/>
    <w:rsid w:val="00A36914"/>
    <w:rsid w:val="00A36B50"/>
    <w:rsid w:val="00A37322"/>
    <w:rsid w:val="00A37514"/>
    <w:rsid w:val="00A37566"/>
    <w:rsid w:val="00A37E63"/>
    <w:rsid w:val="00A404EB"/>
    <w:rsid w:val="00A412C2"/>
    <w:rsid w:val="00A4139B"/>
    <w:rsid w:val="00A4193D"/>
    <w:rsid w:val="00A42B83"/>
    <w:rsid w:val="00A42BA2"/>
    <w:rsid w:val="00A42F60"/>
    <w:rsid w:val="00A4377A"/>
    <w:rsid w:val="00A43EC6"/>
    <w:rsid w:val="00A4497D"/>
    <w:rsid w:val="00A44985"/>
    <w:rsid w:val="00A45067"/>
    <w:rsid w:val="00A46480"/>
    <w:rsid w:val="00A4679C"/>
    <w:rsid w:val="00A474BC"/>
    <w:rsid w:val="00A47921"/>
    <w:rsid w:val="00A47DE3"/>
    <w:rsid w:val="00A505C0"/>
    <w:rsid w:val="00A50FA4"/>
    <w:rsid w:val="00A51385"/>
    <w:rsid w:val="00A51D99"/>
    <w:rsid w:val="00A5301D"/>
    <w:rsid w:val="00A543E7"/>
    <w:rsid w:val="00A55275"/>
    <w:rsid w:val="00A553B0"/>
    <w:rsid w:val="00A55B83"/>
    <w:rsid w:val="00A56385"/>
    <w:rsid w:val="00A573E2"/>
    <w:rsid w:val="00A57573"/>
    <w:rsid w:val="00A576D7"/>
    <w:rsid w:val="00A578BF"/>
    <w:rsid w:val="00A57C53"/>
    <w:rsid w:val="00A57E39"/>
    <w:rsid w:val="00A60000"/>
    <w:rsid w:val="00A60108"/>
    <w:rsid w:val="00A60204"/>
    <w:rsid w:val="00A60CFE"/>
    <w:rsid w:val="00A614C5"/>
    <w:rsid w:val="00A61D91"/>
    <w:rsid w:val="00A62A47"/>
    <w:rsid w:val="00A62C88"/>
    <w:rsid w:val="00A631D1"/>
    <w:rsid w:val="00A63386"/>
    <w:rsid w:val="00A637E1"/>
    <w:rsid w:val="00A63976"/>
    <w:rsid w:val="00A64D10"/>
    <w:rsid w:val="00A658C3"/>
    <w:rsid w:val="00A662AD"/>
    <w:rsid w:val="00A662C1"/>
    <w:rsid w:val="00A664CF"/>
    <w:rsid w:val="00A66765"/>
    <w:rsid w:val="00A66BC0"/>
    <w:rsid w:val="00A6785D"/>
    <w:rsid w:val="00A67A01"/>
    <w:rsid w:val="00A67F92"/>
    <w:rsid w:val="00A70D28"/>
    <w:rsid w:val="00A7123E"/>
    <w:rsid w:val="00A71FAD"/>
    <w:rsid w:val="00A7212A"/>
    <w:rsid w:val="00A7312C"/>
    <w:rsid w:val="00A732B1"/>
    <w:rsid w:val="00A74004"/>
    <w:rsid w:val="00A741CA"/>
    <w:rsid w:val="00A74348"/>
    <w:rsid w:val="00A74407"/>
    <w:rsid w:val="00A7440F"/>
    <w:rsid w:val="00A744BE"/>
    <w:rsid w:val="00A75575"/>
    <w:rsid w:val="00A75717"/>
    <w:rsid w:val="00A7658C"/>
    <w:rsid w:val="00A767C9"/>
    <w:rsid w:val="00A7748F"/>
    <w:rsid w:val="00A80640"/>
    <w:rsid w:val="00A8104F"/>
    <w:rsid w:val="00A81377"/>
    <w:rsid w:val="00A822C2"/>
    <w:rsid w:val="00A826BF"/>
    <w:rsid w:val="00A82839"/>
    <w:rsid w:val="00A837C2"/>
    <w:rsid w:val="00A83D6D"/>
    <w:rsid w:val="00A84E6A"/>
    <w:rsid w:val="00A857B2"/>
    <w:rsid w:val="00A860B1"/>
    <w:rsid w:val="00A86319"/>
    <w:rsid w:val="00A8671B"/>
    <w:rsid w:val="00A86F7A"/>
    <w:rsid w:val="00A90018"/>
    <w:rsid w:val="00A906A8"/>
    <w:rsid w:val="00A909B0"/>
    <w:rsid w:val="00A91552"/>
    <w:rsid w:val="00A92F1B"/>
    <w:rsid w:val="00A931F0"/>
    <w:rsid w:val="00A93A9E"/>
    <w:rsid w:val="00A944EC"/>
    <w:rsid w:val="00A946AB"/>
    <w:rsid w:val="00A94C6A"/>
    <w:rsid w:val="00A956F5"/>
    <w:rsid w:val="00A95B3F"/>
    <w:rsid w:val="00A95C4D"/>
    <w:rsid w:val="00A965BE"/>
    <w:rsid w:val="00A96ADA"/>
    <w:rsid w:val="00A96B42"/>
    <w:rsid w:val="00A96FD9"/>
    <w:rsid w:val="00A9719A"/>
    <w:rsid w:val="00A9793B"/>
    <w:rsid w:val="00A97A89"/>
    <w:rsid w:val="00A97B25"/>
    <w:rsid w:val="00A97E40"/>
    <w:rsid w:val="00AA04A5"/>
    <w:rsid w:val="00AA0C30"/>
    <w:rsid w:val="00AA11E3"/>
    <w:rsid w:val="00AA1A68"/>
    <w:rsid w:val="00AA2195"/>
    <w:rsid w:val="00AA26B4"/>
    <w:rsid w:val="00AA270B"/>
    <w:rsid w:val="00AA2B3E"/>
    <w:rsid w:val="00AA2B94"/>
    <w:rsid w:val="00AA2FA7"/>
    <w:rsid w:val="00AA316C"/>
    <w:rsid w:val="00AA3B54"/>
    <w:rsid w:val="00AA3CFE"/>
    <w:rsid w:val="00AA4907"/>
    <w:rsid w:val="00AA5059"/>
    <w:rsid w:val="00AA5546"/>
    <w:rsid w:val="00AA560B"/>
    <w:rsid w:val="00AA704C"/>
    <w:rsid w:val="00AA70FC"/>
    <w:rsid w:val="00AA7B2E"/>
    <w:rsid w:val="00AB11FB"/>
    <w:rsid w:val="00AB36CF"/>
    <w:rsid w:val="00AB3E4A"/>
    <w:rsid w:val="00AB49B7"/>
    <w:rsid w:val="00AB50B1"/>
    <w:rsid w:val="00AB5108"/>
    <w:rsid w:val="00AB5639"/>
    <w:rsid w:val="00AB57E7"/>
    <w:rsid w:val="00AB58ED"/>
    <w:rsid w:val="00AB6BE3"/>
    <w:rsid w:val="00AB74EF"/>
    <w:rsid w:val="00AB7536"/>
    <w:rsid w:val="00AB76FB"/>
    <w:rsid w:val="00AB79A7"/>
    <w:rsid w:val="00AB7A3E"/>
    <w:rsid w:val="00AB7FE4"/>
    <w:rsid w:val="00AC0E85"/>
    <w:rsid w:val="00AC0F33"/>
    <w:rsid w:val="00AC165C"/>
    <w:rsid w:val="00AC23AB"/>
    <w:rsid w:val="00AC2732"/>
    <w:rsid w:val="00AC29A6"/>
    <w:rsid w:val="00AC2BD8"/>
    <w:rsid w:val="00AC2BEE"/>
    <w:rsid w:val="00AC3709"/>
    <w:rsid w:val="00AC3FD7"/>
    <w:rsid w:val="00AC4C0E"/>
    <w:rsid w:val="00AC4C7C"/>
    <w:rsid w:val="00AC528F"/>
    <w:rsid w:val="00AC5543"/>
    <w:rsid w:val="00AC6503"/>
    <w:rsid w:val="00AC6AC6"/>
    <w:rsid w:val="00AC6D4A"/>
    <w:rsid w:val="00AC784C"/>
    <w:rsid w:val="00AC7897"/>
    <w:rsid w:val="00AD04DA"/>
    <w:rsid w:val="00AD15F5"/>
    <w:rsid w:val="00AD1F17"/>
    <w:rsid w:val="00AD221F"/>
    <w:rsid w:val="00AD3531"/>
    <w:rsid w:val="00AD3601"/>
    <w:rsid w:val="00AD42AF"/>
    <w:rsid w:val="00AD51D6"/>
    <w:rsid w:val="00AD630C"/>
    <w:rsid w:val="00AD7335"/>
    <w:rsid w:val="00AD73D9"/>
    <w:rsid w:val="00AD768C"/>
    <w:rsid w:val="00AD7971"/>
    <w:rsid w:val="00AD7E2A"/>
    <w:rsid w:val="00AE03C2"/>
    <w:rsid w:val="00AE2DFA"/>
    <w:rsid w:val="00AE3005"/>
    <w:rsid w:val="00AE4D26"/>
    <w:rsid w:val="00AE4D97"/>
    <w:rsid w:val="00AE5071"/>
    <w:rsid w:val="00AE6BCF"/>
    <w:rsid w:val="00AE7097"/>
    <w:rsid w:val="00AE70AD"/>
    <w:rsid w:val="00AF02BC"/>
    <w:rsid w:val="00AF04FA"/>
    <w:rsid w:val="00AF0B8F"/>
    <w:rsid w:val="00AF1D45"/>
    <w:rsid w:val="00AF231D"/>
    <w:rsid w:val="00AF35F0"/>
    <w:rsid w:val="00AF3E93"/>
    <w:rsid w:val="00AF41EB"/>
    <w:rsid w:val="00AF46E7"/>
    <w:rsid w:val="00AF4C19"/>
    <w:rsid w:val="00AF4C8B"/>
    <w:rsid w:val="00AF4F21"/>
    <w:rsid w:val="00AF50E4"/>
    <w:rsid w:val="00AF704E"/>
    <w:rsid w:val="00AF7345"/>
    <w:rsid w:val="00AF74B8"/>
    <w:rsid w:val="00AF77F9"/>
    <w:rsid w:val="00AF7912"/>
    <w:rsid w:val="00AF7BDF"/>
    <w:rsid w:val="00AF7C25"/>
    <w:rsid w:val="00AF7E3D"/>
    <w:rsid w:val="00AF7E44"/>
    <w:rsid w:val="00AF7E56"/>
    <w:rsid w:val="00B005A7"/>
    <w:rsid w:val="00B012BF"/>
    <w:rsid w:val="00B01428"/>
    <w:rsid w:val="00B01FE9"/>
    <w:rsid w:val="00B022D0"/>
    <w:rsid w:val="00B02E04"/>
    <w:rsid w:val="00B0388D"/>
    <w:rsid w:val="00B03BDD"/>
    <w:rsid w:val="00B03D22"/>
    <w:rsid w:val="00B046A1"/>
    <w:rsid w:val="00B04C25"/>
    <w:rsid w:val="00B04FA8"/>
    <w:rsid w:val="00B0517E"/>
    <w:rsid w:val="00B05344"/>
    <w:rsid w:val="00B06266"/>
    <w:rsid w:val="00B06F65"/>
    <w:rsid w:val="00B07432"/>
    <w:rsid w:val="00B077A5"/>
    <w:rsid w:val="00B07D8A"/>
    <w:rsid w:val="00B10759"/>
    <w:rsid w:val="00B118AF"/>
    <w:rsid w:val="00B11C0D"/>
    <w:rsid w:val="00B1240C"/>
    <w:rsid w:val="00B124DA"/>
    <w:rsid w:val="00B134EB"/>
    <w:rsid w:val="00B1359A"/>
    <w:rsid w:val="00B13B99"/>
    <w:rsid w:val="00B15085"/>
    <w:rsid w:val="00B15597"/>
    <w:rsid w:val="00B15C2B"/>
    <w:rsid w:val="00B16BAD"/>
    <w:rsid w:val="00B177A8"/>
    <w:rsid w:val="00B17905"/>
    <w:rsid w:val="00B17CF2"/>
    <w:rsid w:val="00B20393"/>
    <w:rsid w:val="00B2069A"/>
    <w:rsid w:val="00B209BB"/>
    <w:rsid w:val="00B21028"/>
    <w:rsid w:val="00B21313"/>
    <w:rsid w:val="00B218D4"/>
    <w:rsid w:val="00B21B14"/>
    <w:rsid w:val="00B21D29"/>
    <w:rsid w:val="00B222C9"/>
    <w:rsid w:val="00B22737"/>
    <w:rsid w:val="00B229EC"/>
    <w:rsid w:val="00B22C42"/>
    <w:rsid w:val="00B235EF"/>
    <w:rsid w:val="00B23C3D"/>
    <w:rsid w:val="00B24A3E"/>
    <w:rsid w:val="00B2590A"/>
    <w:rsid w:val="00B25A51"/>
    <w:rsid w:val="00B25D86"/>
    <w:rsid w:val="00B26B73"/>
    <w:rsid w:val="00B26EA4"/>
    <w:rsid w:val="00B275A6"/>
    <w:rsid w:val="00B307F1"/>
    <w:rsid w:val="00B30B4B"/>
    <w:rsid w:val="00B31169"/>
    <w:rsid w:val="00B3123B"/>
    <w:rsid w:val="00B3194C"/>
    <w:rsid w:val="00B31B17"/>
    <w:rsid w:val="00B33181"/>
    <w:rsid w:val="00B3453E"/>
    <w:rsid w:val="00B3459F"/>
    <w:rsid w:val="00B34641"/>
    <w:rsid w:val="00B34E4A"/>
    <w:rsid w:val="00B35B9F"/>
    <w:rsid w:val="00B3638E"/>
    <w:rsid w:val="00B37115"/>
    <w:rsid w:val="00B372D7"/>
    <w:rsid w:val="00B3758B"/>
    <w:rsid w:val="00B37FEF"/>
    <w:rsid w:val="00B401A9"/>
    <w:rsid w:val="00B409B1"/>
    <w:rsid w:val="00B40C2F"/>
    <w:rsid w:val="00B40D53"/>
    <w:rsid w:val="00B412A4"/>
    <w:rsid w:val="00B412D6"/>
    <w:rsid w:val="00B4150E"/>
    <w:rsid w:val="00B41B6B"/>
    <w:rsid w:val="00B426EB"/>
    <w:rsid w:val="00B427B8"/>
    <w:rsid w:val="00B42B04"/>
    <w:rsid w:val="00B42BBD"/>
    <w:rsid w:val="00B43708"/>
    <w:rsid w:val="00B43C31"/>
    <w:rsid w:val="00B43E58"/>
    <w:rsid w:val="00B4447F"/>
    <w:rsid w:val="00B44689"/>
    <w:rsid w:val="00B44CEE"/>
    <w:rsid w:val="00B4539C"/>
    <w:rsid w:val="00B45C82"/>
    <w:rsid w:val="00B45CDE"/>
    <w:rsid w:val="00B45E93"/>
    <w:rsid w:val="00B46160"/>
    <w:rsid w:val="00B46849"/>
    <w:rsid w:val="00B46982"/>
    <w:rsid w:val="00B46C17"/>
    <w:rsid w:val="00B502A1"/>
    <w:rsid w:val="00B516F6"/>
    <w:rsid w:val="00B51BC6"/>
    <w:rsid w:val="00B51D1C"/>
    <w:rsid w:val="00B5204D"/>
    <w:rsid w:val="00B525D1"/>
    <w:rsid w:val="00B5267E"/>
    <w:rsid w:val="00B52D0F"/>
    <w:rsid w:val="00B52E56"/>
    <w:rsid w:val="00B52F42"/>
    <w:rsid w:val="00B530A8"/>
    <w:rsid w:val="00B53269"/>
    <w:rsid w:val="00B536F1"/>
    <w:rsid w:val="00B53903"/>
    <w:rsid w:val="00B5452C"/>
    <w:rsid w:val="00B547BB"/>
    <w:rsid w:val="00B54CCA"/>
    <w:rsid w:val="00B561C7"/>
    <w:rsid w:val="00B5698E"/>
    <w:rsid w:val="00B57147"/>
    <w:rsid w:val="00B578C8"/>
    <w:rsid w:val="00B57C27"/>
    <w:rsid w:val="00B57D32"/>
    <w:rsid w:val="00B60D8C"/>
    <w:rsid w:val="00B61045"/>
    <w:rsid w:val="00B6166E"/>
    <w:rsid w:val="00B61701"/>
    <w:rsid w:val="00B61F30"/>
    <w:rsid w:val="00B62B4A"/>
    <w:rsid w:val="00B63467"/>
    <w:rsid w:val="00B6474B"/>
    <w:rsid w:val="00B6560A"/>
    <w:rsid w:val="00B65958"/>
    <w:rsid w:val="00B65AE4"/>
    <w:rsid w:val="00B65BAE"/>
    <w:rsid w:val="00B6637D"/>
    <w:rsid w:val="00B666CC"/>
    <w:rsid w:val="00B676B6"/>
    <w:rsid w:val="00B703E3"/>
    <w:rsid w:val="00B70D9C"/>
    <w:rsid w:val="00B70E40"/>
    <w:rsid w:val="00B71CE9"/>
    <w:rsid w:val="00B71D0B"/>
    <w:rsid w:val="00B72220"/>
    <w:rsid w:val="00B726FA"/>
    <w:rsid w:val="00B72AD7"/>
    <w:rsid w:val="00B72B5C"/>
    <w:rsid w:val="00B72DF8"/>
    <w:rsid w:val="00B72E82"/>
    <w:rsid w:val="00B74EC7"/>
    <w:rsid w:val="00B7509E"/>
    <w:rsid w:val="00B759F9"/>
    <w:rsid w:val="00B75C60"/>
    <w:rsid w:val="00B75F72"/>
    <w:rsid w:val="00B76534"/>
    <w:rsid w:val="00B76B33"/>
    <w:rsid w:val="00B76ED6"/>
    <w:rsid w:val="00B77417"/>
    <w:rsid w:val="00B778CF"/>
    <w:rsid w:val="00B805B7"/>
    <w:rsid w:val="00B81202"/>
    <w:rsid w:val="00B81B54"/>
    <w:rsid w:val="00B81BA3"/>
    <w:rsid w:val="00B81EC5"/>
    <w:rsid w:val="00B8261C"/>
    <w:rsid w:val="00B82A61"/>
    <w:rsid w:val="00B82B85"/>
    <w:rsid w:val="00B82C4F"/>
    <w:rsid w:val="00B83D64"/>
    <w:rsid w:val="00B83FC2"/>
    <w:rsid w:val="00B847D7"/>
    <w:rsid w:val="00B84E03"/>
    <w:rsid w:val="00B85D95"/>
    <w:rsid w:val="00B85FEB"/>
    <w:rsid w:val="00B8680D"/>
    <w:rsid w:val="00B86A66"/>
    <w:rsid w:val="00B87747"/>
    <w:rsid w:val="00B87E0A"/>
    <w:rsid w:val="00B91542"/>
    <w:rsid w:val="00B91FF4"/>
    <w:rsid w:val="00B92687"/>
    <w:rsid w:val="00B92F06"/>
    <w:rsid w:val="00B9364A"/>
    <w:rsid w:val="00B9373D"/>
    <w:rsid w:val="00B93B89"/>
    <w:rsid w:val="00B940C2"/>
    <w:rsid w:val="00B94AFB"/>
    <w:rsid w:val="00B94B0C"/>
    <w:rsid w:val="00B94B1A"/>
    <w:rsid w:val="00B94CE2"/>
    <w:rsid w:val="00B953AC"/>
    <w:rsid w:val="00B954E8"/>
    <w:rsid w:val="00B95957"/>
    <w:rsid w:val="00B95D23"/>
    <w:rsid w:val="00B96087"/>
    <w:rsid w:val="00B9616B"/>
    <w:rsid w:val="00B96774"/>
    <w:rsid w:val="00BA01A4"/>
    <w:rsid w:val="00BA01FF"/>
    <w:rsid w:val="00BA07B0"/>
    <w:rsid w:val="00BA0885"/>
    <w:rsid w:val="00BA08B1"/>
    <w:rsid w:val="00BA0C1D"/>
    <w:rsid w:val="00BA1088"/>
    <w:rsid w:val="00BA1D54"/>
    <w:rsid w:val="00BA1FE6"/>
    <w:rsid w:val="00BA2132"/>
    <w:rsid w:val="00BA277E"/>
    <w:rsid w:val="00BA2883"/>
    <w:rsid w:val="00BA2C3C"/>
    <w:rsid w:val="00BA3491"/>
    <w:rsid w:val="00BA3947"/>
    <w:rsid w:val="00BA5503"/>
    <w:rsid w:val="00BA5A99"/>
    <w:rsid w:val="00BA5E00"/>
    <w:rsid w:val="00BA65C3"/>
    <w:rsid w:val="00BA67E6"/>
    <w:rsid w:val="00BA6ECB"/>
    <w:rsid w:val="00BA7152"/>
    <w:rsid w:val="00BA71A5"/>
    <w:rsid w:val="00BA771A"/>
    <w:rsid w:val="00BB05CC"/>
    <w:rsid w:val="00BB0835"/>
    <w:rsid w:val="00BB0ECE"/>
    <w:rsid w:val="00BB10AF"/>
    <w:rsid w:val="00BB1209"/>
    <w:rsid w:val="00BB1389"/>
    <w:rsid w:val="00BB17DB"/>
    <w:rsid w:val="00BB18DF"/>
    <w:rsid w:val="00BB2248"/>
    <w:rsid w:val="00BB24FD"/>
    <w:rsid w:val="00BB2BB5"/>
    <w:rsid w:val="00BB2F54"/>
    <w:rsid w:val="00BB38D4"/>
    <w:rsid w:val="00BB5543"/>
    <w:rsid w:val="00BB5BCB"/>
    <w:rsid w:val="00BB5FB1"/>
    <w:rsid w:val="00BB60E6"/>
    <w:rsid w:val="00BB6FD3"/>
    <w:rsid w:val="00BB765B"/>
    <w:rsid w:val="00BB78D7"/>
    <w:rsid w:val="00BB7B18"/>
    <w:rsid w:val="00BC0721"/>
    <w:rsid w:val="00BC0A09"/>
    <w:rsid w:val="00BC1683"/>
    <w:rsid w:val="00BC1D51"/>
    <w:rsid w:val="00BC2069"/>
    <w:rsid w:val="00BC22B3"/>
    <w:rsid w:val="00BC23DF"/>
    <w:rsid w:val="00BC2595"/>
    <w:rsid w:val="00BC26B6"/>
    <w:rsid w:val="00BC2965"/>
    <w:rsid w:val="00BC2ADC"/>
    <w:rsid w:val="00BC3510"/>
    <w:rsid w:val="00BC380C"/>
    <w:rsid w:val="00BC3CE3"/>
    <w:rsid w:val="00BC3F3E"/>
    <w:rsid w:val="00BC40CD"/>
    <w:rsid w:val="00BC4A72"/>
    <w:rsid w:val="00BC5078"/>
    <w:rsid w:val="00BC5F56"/>
    <w:rsid w:val="00BC6267"/>
    <w:rsid w:val="00BC63F8"/>
    <w:rsid w:val="00BC6D76"/>
    <w:rsid w:val="00BC7674"/>
    <w:rsid w:val="00BD039E"/>
    <w:rsid w:val="00BD03FE"/>
    <w:rsid w:val="00BD1A76"/>
    <w:rsid w:val="00BD2332"/>
    <w:rsid w:val="00BD254F"/>
    <w:rsid w:val="00BD363D"/>
    <w:rsid w:val="00BD392B"/>
    <w:rsid w:val="00BD3E3C"/>
    <w:rsid w:val="00BD3ECA"/>
    <w:rsid w:val="00BD4C4C"/>
    <w:rsid w:val="00BD52CC"/>
    <w:rsid w:val="00BD5F27"/>
    <w:rsid w:val="00BD61CB"/>
    <w:rsid w:val="00BD6C2A"/>
    <w:rsid w:val="00BD6FCB"/>
    <w:rsid w:val="00BE0086"/>
    <w:rsid w:val="00BE0AC8"/>
    <w:rsid w:val="00BE179C"/>
    <w:rsid w:val="00BE2193"/>
    <w:rsid w:val="00BE264E"/>
    <w:rsid w:val="00BE2753"/>
    <w:rsid w:val="00BE2A33"/>
    <w:rsid w:val="00BE2D09"/>
    <w:rsid w:val="00BE2F63"/>
    <w:rsid w:val="00BE4FCF"/>
    <w:rsid w:val="00BE50C4"/>
    <w:rsid w:val="00BE5E8A"/>
    <w:rsid w:val="00BE78CE"/>
    <w:rsid w:val="00BE7C46"/>
    <w:rsid w:val="00BE7C71"/>
    <w:rsid w:val="00BF10E8"/>
    <w:rsid w:val="00BF1130"/>
    <w:rsid w:val="00BF1201"/>
    <w:rsid w:val="00BF1BEF"/>
    <w:rsid w:val="00BF2672"/>
    <w:rsid w:val="00BF2B29"/>
    <w:rsid w:val="00BF2E99"/>
    <w:rsid w:val="00BF3384"/>
    <w:rsid w:val="00BF3A8A"/>
    <w:rsid w:val="00BF4EEF"/>
    <w:rsid w:val="00BF5321"/>
    <w:rsid w:val="00BF5552"/>
    <w:rsid w:val="00BF5743"/>
    <w:rsid w:val="00BF5879"/>
    <w:rsid w:val="00BF58DB"/>
    <w:rsid w:val="00BF5BF7"/>
    <w:rsid w:val="00BF74DA"/>
    <w:rsid w:val="00C00D04"/>
    <w:rsid w:val="00C00FF6"/>
    <w:rsid w:val="00C01166"/>
    <w:rsid w:val="00C011F4"/>
    <w:rsid w:val="00C012FC"/>
    <w:rsid w:val="00C016C0"/>
    <w:rsid w:val="00C01A94"/>
    <w:rsid w:val="00C01E97"/>
    <w:rsid w:val="00C02350"/>
    <w:rsid w:val="00C0380D"/>
    <w:rsid w:val="00C03E60"/>
    <w:rsid w:val="00C044EA"/>
    <w:rsid w:val="00C05BCF"/>
    <w:rsid w:val="00C05F33"/>
    <w:rsid w:val="00C05FDC"/>
    <w:rsid w:val="00C064DA"/>
    <w:rsid w:val="00C06EAF"/>
    <w:rsid w:val="00C07894"/>
    <w:rsid w:val="00C07D2D"/>
    <w:rsid w:val="00C10167"/>
    <w:rsid w:val="00C1175B"/>
    <w:rsid w:val="00C11B59"/>
    <w:rsid w:val="00C12BE4"/>
    <w:rsid w:val="00C13137"/>
    <w:rsid w:val="00C13A48"/>
    <w:rsid w:val="00C13C5F"/>
    <w:rsid w:val="00C13FA9"/>
    <w:rsid w:val="00C1402A"/>
    <w:rsid w:val="00C14501"/>
    <w:rsid w:val="00C155FC"/>
    <w:rsid w:val="00C158EA"/>
    <w:rsid w:val="00C1720E"/>
    <w:rsid w:val="00C17679"/>
    <w:rsid w:val="00C176C1"/>
    <w:rsid w:val="00C17788"/>
    <w:rsid w:val="00C20178"/>
    <w:rsid w:val="00C20A4C"/>
    <w:rsid w:val="00C20B4F"/>
    <w:rsid w:val="00C20E5F"/>
    <w:rsid w:val="00C20F47"/>
    <w:rsid w:val="00C20F76"/>
    <w:rsid w:val="00C214DB"/>
    <w:rsid w:val="00C221E4"/>
    <w:rsid w:val="00C2233C"/>
    <w:rsid w:val="00C22629"/>
    <w:rsid w:val="00C22721"/>
    <w:rsid w:val="00C22B23"/>
    <w:rsid w:val="00C23199"/>
    <w:rsid w:val="00C2371F"/>
    <w:rsid w:val="00C23B7C"/>
    <w:rsid w:val="00C23C58"/>
    <w:rsid w:val="00C23E4F"/>
    <w:rsid w:val="00C2445D"/>
    <w:rsid w:val="00C2480D"/>
    <w:rsid w:val="00C25458"/>
    <w:rsid w:val="00C25915"/>
    <w:rsid w:val="00C26084"/>
    <w:rsid w:val="00C265C7"/>
    <w:rsid w:val="00C267F5"/>
    <w:rsid w:val="00C26F50"/>
    <w:rsid w:val="00C274C9"/>
    <w:rsid w:val="00C301D1"/>
    <w:rsid w:val="00C304E2"/>
    <w:rsid w:val="00C306F2"/>
    <w:rsid w:val="00C313E1"/>
    <w:rsid w:val="00C31C4E"/>
    <w:rsid w:val="00C32202"/>
    <w:rsid w:val="00C32B72"/>
    <w:rsid w:val="00C32F83"/>
    <w:rsid w:val="00C34EBD"/>
    <w:rsid w:val="00C35558"/>
    <w:rsid w:val="00C35E26"/>
    <w:rsid w:val="00C35FD7"/>
    <w:rsid w:val="00C364DC"/>
    <w:rsid w:val="00C36C3B"/>
    <w:rsid w:val="00C36D67"/>
    <w:rsid w:val="00C37177"/>
    <w:rsid w:val="00C37CE1"/>
    <w:rsid w:val="00C401D1"/>
    <w:rsid w:val="00C402EF"/>
    <w:rsid w:val="00C408E1"/>
    <w:rsid w:val="00C40C09"/>
    <w:rsid w:val="00C41657"/>
    <w:rsid w:val="00C4225D"/>
    <w:rsid w:val="00C42B6E"/>
    <w:rsid w:val="00C42D23"/>
    <w:rsid w:val="00C4327B"/>
    <w:rsid w:val="00C441C9"/>
    <w:rsid w:val="00C448BA"/>
    <w:rsid w:val="00C44B27"/>
    <w:rsid w:val="00C45032"/>
    <w:rsid w:val="00C453E7"/>
    <w:rsid w:val="00C45709"/>
    <w:rsid w:val="00C45753"/>
    <w:rsid w:val="00C45C01"/>
    <w:rsid w:val="00C46B8B"/>
    <w:rsid w:val="00C4722E"/>
    <w:rsid w:val="00C4773A"/>
    <w:rsid w:val="00C47E03"/>
    <w:rsid w:val="00C5152D"/>
    <w:rsid w:val="00C5212C"/>
    <w:rsid w:val="00C529A7"/>
    <w:rsid w:val="00C52CC0"/>
    <w:rsid w:val="00C53915"/>
    <w:rsid w:val="00C540FF"/>
    <w:rsid w:val="00C5460D"/>
    <w:rsid w:val="00C5484D"/>
    <w:rsid w:val="00C5492F"/>
    <w:rsid w:val="00C54CB5"/>
    <w:rsid w:val="00C54CBD"/>
    <w:rsid w:val="00C54DA0"/>
    <w:rsid w:val="00C550AE"/>
    <w:rsid w:val="00C564AA"/>
    <w:rsid w:val="00C569DF"/>
    <w:rsid w:val="00C57289"/>
    <w:rsid w:val="00C600E5"/>
    <w:rsid w:val="00C6055A"/>
    <w:rsid w:val="00C60DE4"/>
    <w:rsid w:val="00C61198"/>
    <w:rsid w:val="00C61D56"/>
    <w:rsid w:val="00C62352"/>
    <w:rsid w:val="00C6297D"/>
    <w:rsid w:val="00C62D22"/>
    <w:rsid w:val="00C646C9"/>
    <w:rsid w:val="00C647B0"/>
    <w:rsid w:val="00C64BFC"/>
    <w:rsid w:val="00C65919"/>
    <w:rsid w:val="00C66417"/>
    <w:rsid w:val="00C66463"/>
    <w:rsid w:val="00C667B4"/>
    <w:rsid w:val="00C67396"/>
    <w:rsid w:val="00C67A50"/>
    <w:rsid w:val="00C7088D"/>
    <w:rsid w:val="00C70C11"/>
    <w:rsid w:val="00C70DA3"/>
    <w:rsid w:val="00C71390"/>
    <w:rsid w:val="00C71FCF"/>
    <w:rsid w:val="00C72629"/>
    <w:rsid w:val="00C7281A"/>
    <w:rsid w:val="00C73D50"/>
    <w:rsid w:val="00C741ED"/>
    <w:rsid w:val="00C7489E"/>
    <w:rsid w:val="00C74BF6"/>
    <w:rsid w:val="00C74D2D"/>
    <w:rsid w:val="00C74EC4"/>
    <w:rsid w:val="00C7519B"/>
    <w:rsid w:val="00C7638C"/>
    <w:rsid w:val="00C764DD"/>
    <w:rsid w:val="00C7665E"/>
    <w:rsid w:val="00C76853"/>
    <w:rsid w:val="00C77085"/>
    <w:rsid w:val="00C77278"/>
    <w:rsid w:val="00C806CC"/>
    <w:rsid w:val="00C80790"/>
    <w:rsid w:val="00C80C02"/>
    <w:rsid w:val="00C818DD"/>
    <w:rsid w:val="00C81E73"/>
    <w:rsid w:val="00C82545"/>
    <w:rsid w:val="00C82B74"/>
    <w:rsid w:val="00C83C57"/>
    <w:rsid w:val="00C83F95"/>
    <w:rsid w:val="00C850E5"/>
    <w:rsid w:val="00C85985"/>
    <w:rsid w:val="00C85E02"/>
    <w:rsid w:val="00C8623F"/>
    <w:rsid w:val="00C86BF0"/>
    <w:rsid w:val="00C87102"/>
    <w:rsid w:val="00C87798"/>
    <w:rsid w:val="00C877A4"/>
    <w:rsid w:val="00C87B35"/>
    <w:rsid w:val="00C87B88"/>
    <w:rsid w:val="00C904FC"/>
    <w:rsid w:val="00C90616"/>
    <w:rsid w:val="00C90724"/>
    <w:rsid w:val="00C9095E"/>
    <w:rsid w:val="00C90D2A"/>
    <w:rsid w:val="00C90E88"/>
    <w:rsid w:val="00C9187E"/>
    <w:rsid w:val="00C91E8A"/>
    <w:rsid w:val="00C92270"/>
    <w:rsid w:val="00C92EBE"/>
    <w:rsid w:val="00C933BA"/>
    <w:rsid w:val="00C9361D"/>
    <w:rsid w:val="00C9408F"/>
    <w:rsid w:val="00C945AE"/>
    <w:rsid w:val="00C94F19"/>
    <w:rsid w:val="00C950ED"/>
    <w:rsid w:val="00C9651F"/>
    <w:rsid w:val="00C96C9A"/>
    <w:rsid w:val="00C9711F"/>
    <w:rsid w:val="00C97280"/>
    <w:rsid w:val="00C975BF"/>
    <w:rsid w:val="00CA1A0B"/>
    <w:rsid w:val="00CA24C1"/>
    <w:rsid w:val="00CA26D1"/>
    <w:rsid w:val="00CA2787"/>
    <w:rsid w:val="00CA35CF"/>
    <w:rsid w:val="00CA374A"/>
    <w:rsid w:val="00CA3B7D"/>
    <w:rsid w:val="00CA41FD"/>
    <w:rsid w:val="00CA4BB6"/>
    <w:rsid w:val="00CA510E"/>
    <w:rsid w:val="00CA5265"/>
    <w:rsid w:val="00CA5530"/>
    <w:rsid w:val="00CA61F5"/>
    <w:rsid w:val="00CA62E4"/>
    <w:rsid w:val="00CA703F"/>
    <w:rsid w:val="00CA7554"/>
    <w:rsid w:val="00CA7902"/>
    <w:rsid w:val="00CA7A28"/>
    <w:rsid w:val="00CA7B08"/>
    <w:rsid w:val="00CA7B56"/>
    <w:rsid w:val="00CA7D0C"/>
    <w:rsid w:val="00CB0813"/>
    <w:rsid w:val="00CB19F3"/>
    <w:rsid w:val="00CB3DCB"/>
    <w:rsid w:val="00CB3F95"/>
    <w:rsid w:val="00CB439D"/>
    <w:rsid w:val="00CB46D8"/>
    <w:rsid w:val="00CB4AE2"/>
    <w:rsid w:val="00CB4FE0"/>
    <w:rsid w:val="00CB5B79"/>
    <w:rsid w:val="00CB659D"/>
    <w:rsid w:val="00CB66B8"/>
    <w:rsid w:val="00CC055E"/>
    <w:rsid w:val="00CC0595"/>
    <w:rsid w:val="00CC0E3D"/>
    <w:rsid w:val="00CC1072"/>
    <w:rsid w:val="00CC13FF"/>
    <w:rsid w:val="00CC1B23"/>
    <w:rsid w:val="00CC34F6"/>
    <w:rsid w:val="00CC3A87"/>
    <w:rsid w:val="00CC3D65"/>
    <w:rsid w:val="00CC400F"/>
    <w:rsid w:val="00CC4A41"/>
    <w:rsid w:val="00CC5A34"/>
    <w:rsid w:val="00CC5A57"/>
    <w:rsid w:val="00CC612D"/>
    <w:rsid w:val="00CC6635"/>
    <w:rsid w:val="00CC756E"/>
    <w:rsid w:val="00CC77CF"/>
    <w:rsid w:val="00CD0F00"/>
    <w:rsid w:val="00CD12C1"/>
    <w:rsid w:val="00CD174E"/>
    <w:rsid w:val="00CD17D0"/>
    <w:rsid w:val="00CD28CE"/>
    <w:rsid w:val="00CD315B"/>
    <w:rsid w:val="00CD38D6"/>
    <w:rsid w:val="00CD4A10"/>
    <w:rsid w:val="00CD4A72"/>
    <w:rsid w:val="00CD4FEA"/>
    <w:rsid w:val="00CD5366"/>
    <w:rsid w:val="00CD5440"/>
    <w:rsid w:val="00CD5763"/>
    <w:rsid w:val="00CD63F8"/>
    <w:rsid w:val="00CD6756"/>
    <w:rsid w:val="00CD68A0"/>
    <w:rsid w:val="00CE05CD"/>
    <w:rsid w:val="00CE0D9A"/>
    <w:rsid w:val="00CE0F01"/>
    <w:rsid w:val="00CE1459"/>
    <w:rsid w:val="00CE1EB7"/>
    <w:rsid w:val="00CE272E"/>
    <w:rsid w:val="00CE386B"/>
    <w:rsid w:val="00CE3B9B"/>
    <w:rsid w:val="00CE47B8"/>
    <w:rsid w:val="00CE6BBB"/>
    <w:rsid w:val="00CE6F71"/>
    <w:rsid w:val="00CE7EA7"/>
    <w:rsid w:val="00CF0478"/>
    <w:rsid w:val="00CF0FBA"/>
    <w:rsid w:val="00CF13BB"/>
    <w:rsid w:val="00CF1434"/>
    <w:rsid w:val="00CF3F66"/>
    <w:rsid w:val="00CF4506"/>
    <w:rsid w:val="00CF4609"/>
    <w:rsid w:val="00CF4A50"/>
    <w:rsid w:val="00CF4A93"/>
    <w:rsid w:val="00CF5411"/>
    <w:rsid w:val="00CF5701"/>
    <w:rsid w:val="00CF65FD"/>
    <w:rsid w:val="00CF736A"/>
    <w:rsid w:val="00CF7428"/>
    <w:rsid w:val="00D01433"/>
    <w:rsid w:val="00D0188F"/>
    <w:rsid w:val="00D01968"/>
    <w:rsid w:val="00D01C65"/>
    <w:rsid w:val="00D02024"/>
    <w:rsid w:val="00D02B95"/>
    <w:rsid w:val="00D0390E"/>
    <w:rsid w:val="00D04C66"/>
    <w:rsid w:val="00D0677D"/>
    <w:rsid w:val="00D06ED2"/>
    <w:rsid w:val="00D0744C"/>
    <w:rsid w:val="00D078B2"/>
    <w:rsid w:val="00D078E8"/>
    <w:rsid w:val="00D10024"/>
    <w:rsid w:val="00D1029E"/>
    <w:rsid w:val="00D102B8"/>
    <w:rsid w:val="00D1070C"/>
    <w:rsid w:val="00D1091D"/>
    <w:rsid w:val="00D10B03"/>
    <w:rsid w:val="00D119D6"/>
    <w:rsid w:val="00D12D54"/>
    <w:rsid w:val="00D12F94"/>
    <w:rsid w:val="00D13AD7"/>
    <w:rsid w:val="00D13B9D"/>
    <w:rsid w:val="00D142A1"/>
    <w:rsid w:val="00D14EA8"/>
    <w:rsid w:val="00D15075"/>
    <w:rsid w:val="00D15491"/>
    <w:rsid w:val="00D154D7"/>
    <w:rsid w:val="00D16428"/>
    <w:rsid w:val="00D16662"/>
    <w:rsid w:val="00D178F3"/>
    <w:rsid w:val="00D17E77"/>
    <w:rsid w:val="00D20983"/>
    <w:rsid w:val="00D20986"/>
    <w:rsid w:val="00D213CA"/>
    <w:rsid w:val="00D215FE"/>
    <w:rsid w:val="00D21D58"/>
    <w:rsid w:val="00D2279F"/>
    <w:rsid w:val="00D2357F"/>
    <w:rsid w:val="00D235B9"/>
    <w:rsid w:val="00D2365A"/>
    <w:rsid w:val="00D237AC"/>
    <w:rsid w:val="00D23D10"/>
    <w:rsid w:val="00D24361"/>
    <w:rsid w:val="00D24AED"/>
    <w:rsid w:val="00D2507E"/>
    <w:rsid w:val="00D25616"/>
    <w:rsid w:val="00D25853"/>
    <w:rsid w:val="00D2665D"/>
    <w:rsid w:val="00D26BB5"/>
    <w:rsid w:val="00D26CDA"/>
    <w:rsid w:val="00D2722B"/>
    <w:rsid w:val="00D2752F"/>
    <w:rsid w:val="00D27DCC"/>
    <w:rsid w:val="00D3044B"/>
    <w:rsid w:val="00D305DD"/>
    <w:rsid w:val="00D30ACE"/>
    <w:rsid w:val="00D317B0"/>
    <w:rsid w:val="00D31FB1"/>
    <w:rsid w:val="00D3349B"/>
    <w:rsid w:val="00D33B7E"/>
    <w:rsid w:val="00D340C5"/>
    <w:rsid w:val="00D344DE"/>
    <w:rsid w:val="00D344F7"/>
    <w:rsid w:val="00D3479E"/>
    <w:rsid w:val="00D349FC"/>
    <w:rsid w:val="00D357CF"/>
    <w:rsid w:val="00D35DA1"/>
    <w:rsid w:val="00D36380"/>
    <w:rsid w:val="00D36C72"/>
    <w:rsid w:val="00D40187"/>
    <w:rsid w:val="00D40228"/>
    <w:rsid w:val="00D40451"/>
    <w:rsid w:val="00D41645"/>
    <w:rsid w:val="00D42149"/>
    <w:rsid w:val="00D42739"/>
    <w:rsid w:val="00D42A61"/>
    <w:rsid w:val="00D42D2B"/>
    <w:rsid w:val="00D42F45"/>
    <w:rsid w:val="00D43062"/>
    <w:rsid w:val="00D431B5"/>
    <w:rsid w:val="00D43648"/>
    <w:rsid w:val="00D43AEA"/>
    <w:rsid w:val="00D43D36"/>
    <w:rsid w:val="00D44342"/>
    <w:rsid w:val="00D44992"/>
    <w:rsid w:val="00D450B0"/>
    <w:rsid w:val="00D450BB"/>
    <w:rsid w:val="00D45101"/>
    <w:rsid w:val="00D456FC"/>
    <w:rsid w:val="00D45847"/>
    <w:rsid w:val="00D45887"/>
    <w:rsid w:val="00D45AE4"/>
    <w:rsid w:val="00D45B7D"/>
    <w:rsid w:val="00D465E4"/>
    <w:rsid w:val="00D46F15"/>
    <w:rsid w:val="00D51269"/>
    <w:rsid w:val="00D51832"/>
    <w:rsid w:val="00D523C3"/>
    <w:rsid w:val="00D52590"/>
    <w:rsid w:val="00D538A7"/>
    <w:rsid w:val="00D53B96"/>
    <w:rsid w:val="00D53D69"/>
    <w:rsid w:val="00D54435"/>
    <w:rsid w:val="00D5452D"/>
    <w:rsid w:val="00D54A56"/>
    <w:rsid w:val="00D54C9A"/>
    <w:rsid w:val="00D551EC"/>
    <w:rsid w:val="00D55454"/>
    <w:rsid w:val="00D554F4"/>
    <w:rsid w:val="00D557AB"/>
    <w:rsid w:val="00D560DF"/>
    <w:rsid w:val="00D568C7"/>
    <w:rsid w:val="00D56D50"/>
    <w:rsid w:val="00D5749F"/>
    <w:rsid w:val="00D5759A"/>
    <w:rsid w:val="00D57739"/>
    <w:rsid w:val="00D6086C"/>
    <w:rsid w:val="00D608DF"/>
    <w:rsid w:val="00D60942"/>
    <w:rsid w:val="00D60BED"/>
    <w:rsid w:val="00D61496"/>
    <w:rsid w:val="00D6189C"/>
    <w:rsid w:val="00D62475"/>
    <w:rsid w:val="00D628A7"/>
    <w:rsid w:val="00D63AF1"/>
    <w:rsid w:val="00D63F50"/>
    <w:rsid w:val="00D64684"/>
    <w:rsid w:val="00D6497C"/>
    <w:rsid w:val="00D649F8"/>
    <w:rsid w:val="00D64B19"/>
    <w:rsid w:val="00D64B86"/>
    <w:rsid w:val="00D65571"/>
    <w:rsid w:val="00D65E0F"/>
    <w:rsid w:val="00D66F0C"/>
    <w:rsid w:val="00D671F1"/>
    <w:rsid w:val="00D6796E"/>
    <w:rsid w:val="00D67B7A"/>
    <w:rsid w:val="00D702A5"/>
    <w:rsid w:val="00D717FE"/>
    <w:rsid w:val="00D71ADC"/>
    <w:rsid w:val="00D71DBF"/>
    <w:rsid w:val="00D72977"/>
    <w:rsid w:val="00D73959"/>
    <w:rsid w:val="00D73BCC"/>
    <w:rsid w:val="00D73E5F"/>
    <w:rsid w:val="00D74501"/>
    <w:rsid w:val="00D753C4"/>
    <w:rsid w:val="00D7561E"/>
    <w:rsid w:val="00D76ADC"/>
    <w:rsid w:val="00D776DB"/>
    <w:rsid w:val="00D80091"/>
    <w:rsid w:val="00D805EA"/>
    <w:rsid w:val="00D809C7"/>
    <w:rsid w:val="00D80DF3"/>
    <w:rsid w:val="00D814AD"/>
    <w:rsid w:val="00D8167D"/>
    <w:rsid w:val="00D824A2"/>
    <w:rsid w:val="00D839B4"/>
    <w:rsid w:val="00D8438D"/>
    <w:rsid w:val="00D84D4B"/>
    <w:rsid w:val="00D85A79"/>
    <w:rsid w:val="00D85D8E"/>
    <w:rsid w:val="00D86DBD"/>
    <w:rsid w:val="00D870CF"/>
    <w:rsid w:val="00D871DA"/>
    <w:rsid w:val="00D901BD"/>
    <w:rsid w:val="00D902A8"/>
    <w:rsid w:val="00D9078F"/>
    <w:rsid w:val="00D90D84"/>
    <w:rsid w:val="00D912ED"/>
    <w:rsid w:val="00D931C7"/>
    <w:rsid w:val="00D93843"/>
    <w:rsid w:val="00D94AE4"/>
    <w:rsid w:val="00D94BF4"/>
    <w:rsid w:val="00D94D06"/>
    <w:rsid w:val="00D94FD1"/>
    <w:rsid w:val="00D9534B"/>
    <w:rsid w:val="00D95874"/>
    <w:rsid w:val="00D95CD9"/>
    <w:rsid w:val="00D970DF"/>
    <w:rsid w:val="00D9720D"/>
    <w:rsid w:val="00D97BB9"/>
    <w:rsid w:val="00DA0304"/>
    <w:rsid w:val="00DA0C3B"/>
    <w:rsid w:val="00DA18D0"/>
    <w:rsid w:val="00DA197E"/>
    <w:rsid w:val="00DA2061"/>
    <w:rsid w:val="00DA3D8E"/>
    <w:rsid w:val="00DA4773"/>
    <w:rsid w:val="00DA4EB8"/>
    <w:rsid w:val="00DA4F39"/>
    <w:rsid w:val="00DA5687"/>
    <w:rsid w:val="00DA5F14"/>
    <w:rsid w:val="00DA5FC0"/>
    <w:rsid w:val="00DA650D"/>
    <w:rsid w:val="00DA7A0D"/>
    <w:rsid w:val="00DA7F10"/>
    <w:rsid w:val="00DB119F"/>
    <w:rsid w:val="00DB130D"/>
    <w:rsid w:val="00DB1BB9"/>
    <w:rsid w:val="00DB1E54"/>
    <w:rsid w:val="00DB2616"/>
    <w:rsid w:val="00DB2BA4"/>
    <w:rsid w:val="00DB2C76"/>
    <w:rsid w:val="00DB3309"/>
    <w:rsid w:val="00DB36D2"/>
    <w:rsid w:val="00DB3862"/>
    <w:rsid w:val="00DB38D0"/>
    <w:rsid w:val="00DB469D"/>
    <w:rsid w:val="00DB4DA1"/>
    <w:rsid w:val="00DB4FA1"/>
    <w:rsid w:val="00DB5EF8"/>
    <w:rsid w:val="00DB5FC4"/>
    <w:rsid w:val="00DB6430"/>
    <w:rsid w:val="00DB6533"/>
    <w:rsid w:val="00DB6906"/>
    <w:rsid w:val="00DB7B52"/>
    <w:rsid w:val="00DC012B"/>
    <w:rsid w:val="00DC04A1"/>
    <w:rsid w:val="00DC102E"/>
    <w:rsid w:val="00DC2B4E"/>
    <w:rsid w:val="00DC2CE6"/>
    <w:rsid w:val="00DC2F74"/>
    <w:rsid w:val="00DC3610"/>
    <w:rsid w:val="00DC3BA9"/>
    <w:rsid w:val="00DC4072"/>
    <w:rsid w:val="00DC4988"/>
    <w:rsid w:val="00DC55FB"/>
    <w:rsid w:val="00DC5696"/>
    <w:rsid w:val="00DC65B5"/>
    <w:rsid w:val="00DC6E0F"/>
    <w:rsid w:val="00DD08A1"/>
    <w:rsid w:val="00DD0FD4"/>
    <w:rsid w:val="00DD2007"/>
    <w:rsid w:val="00DD25BE"/>
    <w:rsid w:val="00DD2F8B"/>
    <w:rsid w:val="00DD3510"/>
    <w:rsid w:val="00DD37BF"/>
    <w:rsid w:val="00DD3C90"/>
    <w:rsid w:val="00DD3F9A"/>
    <w:rsid w:val="00DD496E"/>
    <w:rsid w:val="00DD49FF"/>
    <w:rsid w:val="00DD51F7"/>
    <w:rsid w:val="00DD53A4"/>
    <w:rsid w:val="00DD5B07"/>
    <w:rsid w:val="00DD66CE"/>
    <w:rsid w:val="00DD68A4"/>
    <w:rsid w:val="00DD703B"/>
    <w:rsid w:val="00DD77F4"/>
    <w:rsid w:val="00DE02B1"/>
    <w:rsid w:val="00DE02DC"/>
    <w:rsid w:val="00DE037F"/>
    <w:rsid w:val="00DE0673"/>
    <w:rsid w:val="00DE0983"/>
    <w:rsid w:val="00DE0E2C"/>
    <w:rsid w:val="00DE13DE"/>
    <w:rsid w:val="00DE167C"/>
    <w:rsid w:val="00DE19B4"/>
    <w:rsid w:val="00DE1B49"/>
    <w:rsid w:val="00DE1CB8"/>
    <w:rsid w:val="00DE32DC"/>
    <w:rsid w:val="00DE38A8"/>
    <w:rsid w:val="00DE3B06"/>
    <w:rsid w:val="00DE3D79"/>
    <w:rsid w:val="00DE4DA1"/>
    <w:rsid w:val="00DE7912"/>
    <w:rsid w:val="00DE7BAF"/>
    <w:rsid w:val="00DF06C4"/>
    <w:rsid w:val="00DF0A21"/>
    <w:rsid w:val="00DF11C0"/>
    <w:rsid w:val="00DF2619"/>
    <w:rsid w:val="00DF360A"/>
    <w:rsid w:val="00DF456F"/>
    <w:rsid w:val="00DF508D"/>
    <w:rsid w:val="00DF5194"/>
    <w:rsid w:val="00DF5C92"/>
    <w:rsid w:val="00DF7A6D"/>
    <w:rsid w:val="00DF7BC9"/>
    <w:rsid w:val="00DF7F82"/>
    <w:rsid w:val="00E00584"/>
    <w:rsid w:val="00E00684"/>
    <w:rsid w:val="00E0089B"/>
    <w:rsid w:val="00E02280"/>
    <w:rsid w:val="00E02B74"/>
    <w:rsid w:val="00E0317F"/>
    <w:rsid w:val="00E03B15"/>
    <w:rsid w:val="00E04481"/>
    <w:rsid w:val="00E04D0A"/>
    <w:rsid w:val="00E055D2"/>
    <w:rsid w:val="00E058B5"/>
    <w:rsid w:val="00E059D1"/>
    <w:rsid w:val="00E075A3"/>
    <w:rsid w:val="00E07AAF"/>
    <w:rsid w:val="00E10128"/>
    <w:rsid w:val="00E10303"/>
    <w:rsid w:val="00E1066F"/>
    <w:rsid w:val="00E10771"/>
    <w:rsid w:val="00E11CFC"/>
    <w:rsid w:val="00E11F67"/>
    <w:rsid w:val="00E13B80"/>
    <w:rsid w:val="00E13CFB"/>
    <w:rsid w:val="00E1457E"/>
    <w:rsid w:val="00E15133"/>
    <w:rsid w:val="00E15B55"/>
    <w:rsid w:val="00E15E23"/>
    <w:rsid w:val="00E160BA"/>
    <w:rsid w:val="00E16E7F"/>
    <w:rsid w:val="00E170E0"/>
    <w:rsid w:val="00E177F9"/>
    <w:rsid w:val="00E203C8"/>
    <w:rsid w:val="00E20E86"/>
    <w:rsid w:val="00E2163E"/>
    <w:rsid w:val="00E21840"/>
    <w:rsid w:val="00E2192E"/>
    <w:rsid w:val="00E21EBF"/>
    <w:rsid w:val="00E22711"/>
    <w:rsid w:val="00E238D3"/>
    <w:rsid w:val="00E239D5"/>
    <w:rsid w:val="00E23AB8"/>
    <w:rsid w:val="00E2531E"/>
    <w:rsid w:val="00E25BCA"/>
    <w:rsid w:val="00E25E08"/>
    <w:rsid w:val="00E27765"/>
    <w:rsid w:val="00E27A3C"/>
    <w:rsid w:val="00E27EF3"/>
    <w:rsid w:val="00E27F5A"/>
    <w:rsid w:val="00E3026D"/>
    <w:rsid w:val="00E3029F"/>
    <w:rsid w:val="00E309FE"/>
    <w:rsid w:val="00E30CE2"/>
    <w:rsid w:val="00E30ED7"/>
    <w:rsid w:val="00E30F0A"/>
    <w:rsid w:val="00E310AC"/>
    <w:rsid w:val="00E331D1"/>
    <w:rsid w:val="00E337EF"/>
    <w:rsid w:val="00E33F25"/>
    <w:rsid w:val="00E340AE"/>
    <w:rsid w:val="00E34CC6"/>
    <w:rsid w:val="00E35262"/>
    <w:rsid w:val="00E35EF0"/>
    <w:rsid w:val="00E36421"/>
    <w:rsid w:val="00E36799"/>
    <w:rsid w:val="00E36F68"/>
    <w:rsid w:val="00E37948"/>
    <w:rsid w:val="00E37B3B"/>
    <w:rsid w:val="00E37C0E"/>
    <w:rsid w:val="00E40568"/>
    <w:rsid w:val="00E406C8"/>
    <w:rsid w:val="00E409FB"/>
    <w:rsid w:val="00E41057"/>
    <w:rsid w:val="00E410BA"/>
    <w:rsid w:val="00E41269"/>
    <w:rsid w:val="00E41D07"/>
    <w:rsid w:val="00E42410"/>
    <w:rsid w:val="00E426FD"/>
    <w:rsid w:val="00E42B18"/>
    <w:rsid w:val="00E43AFD"/>
    <w:rsid w:val="00E4434A"/>
    <w:rsid w:val="00E443B6"/>
    <w:rsid w:val="00E444C8"/>
    <w:rsid w:val="00E44804"/>
    <w:rsid w:val="00E4499D"/>
    <w:rsid w:val="00E44A5F"/>
    <w:rsid w:val="00E44E9B"/>
    <w:rsid w:val="00E45265"/>
    <w:rsid w:val="00E45438"/>
    <w:rsid w:val="00E45E87"/>
    <w:rsid w:val="00E466A3"/>
    <w:rsid w:val="00E46D79"/>
    <w:rsid w:val="00E47D32"/>
    <w:rsid w:val="00E506CD"/>
    <w:rsid w:val="00E50714"/>
    <w:rsid w:val="00E50C96"/>
    <w:rsid w:val="00E51339"/>
    <w:rsid w:val="00E51463"/>
    <w:rsid w:val="00E52705"/>
    <w:rsid w:val="00E52D82"/>
    <w:rsid w:val="00E53446"/>
    <w:rsid w:val="00E537E9"/>
    <w:rsid w:val="00E541F1"/>
    <w:rsid w:val="00E54B4C"/>
    <w:rsid w:val="00E54CF2"/>
    <w:rsid w:val="00E54F3F"/>
    <w:rsid w:val="00E551BA"/>
    <w:rsid w:val="00E558A3"/>
    <w:rsid w:val="00E56489"/>
    <w:rsid w:val="00E56572"/>
    <w:rsid w:val="00E565DF"/>
    <w:rsid w:val="00E568DE"/>
    <w:rsid w:val="00E56EAB"/>
    <w:rsid w:val="00E570D6"/>
    <w:rsid w:val="00E571F1"/>
    <w:rsid w:val="00E571FA"/>
    <w:rsid w:val="00E57CB2"/>
    <w:rsid w:val="00E6057C"/>
    <w:rsid w:val="00E61975"/>
    <w:rsid w:val="00E62104"/>
    <w:rsid w:val="00E62B7C"/>
    <w:rsid w:val="00E62D62"/>
    <w:rsid w:val="00E6345D"/>
    <w:rsid w:val="00E6368B"/>
    <w:rsid w:val="00E63DB5"/>
    <w:rsid w:val="00E64023"/>
    <w:rsid w:val="00E641C7"/>
    <w:rsid w:val="00E65381"/>
    <w:rsid w:val="00E6613C"/>
    <w:rsid w:val="00E662C3"/>
    <w:rsid w:val="00E669E9"/>
    <w:rsid w:val="00E66AB6"/>
    <w:rsid w:val="00E66E02"/>
    <w:rsid w:val="00E67C14"/>
    <w:rsid w:val="00E7084A"/>
    <w:rsid w:val="00E71339"/>
    <w:rsid w:val="00E71635"/>
    <w:rsid w:val="00E718E4"/>
    <w:rsid w:val="00E71B82"/>
    <w:rsid w:val="00E7223F"/>
    <w:rsid w:val="00E725F0"/>
    <w:rsid w:val="00E729B7"/>
    <w:rsid w:val="00E72D48"/>
    <w:rsid w:val="00E7387B"/>
    <w:rsid w:val="00E73925"/>
    <w:rsid w:val="00E74C09"/>
    <w:rsid w:val="00E74CC5"/>
    <w:rsid w:val="00E74E94"/>
    <w:rsid w:val="00E75AB8"/>
    <w:rsid w:val="00E76309"/>
    <w:rsid w:val="00E765C5"/>
    <w:rsid w:val="00E77513"/>
    <w:rsid w:val="00E775A6"/>
    <w:rsid w:val="00E80145"/>
    <w:rsid w:val="00E80402"/>
    <w:rsid w:val="00E8067F"/>
    <w:rsid w:val="00E812FB"/>
    <w:rsid w:val="00E81622"/>
    <w:rsid w:val="00E816EA"/>
    <w:rsid w:val="00E81A36"/>
    <w:rsid w:val="00E81ED5"/>
    <w:rsid w:val="00E81F15"/>
    <w:rsid w:val="00E82148"/>
    <w:rsid w:val="00E83AB2"/>
    <w:rsid w:val="00E83C32"/>
    <w:rsid w:val="00E850EA"/>
    <w:rsid w:val="00E853CD"/>
    <w:rsid w:val="00E85B84"/>
    <w:rsid w:val="00E861AC"/>
    <w:rsid w:val="00E862AD"/>
    <w:rsid w:val="00E868F9"/>
    <w:rsid w:val="00E869FD"/>
    <w:rsid w:val="00E86AFF"/>
    <w:rsid w:val="00E90906"/>
    <w:rsid w:val="00E90E85"/>
    <w:rsid w:val="00E91414"/>
    <w:rsid w:val="00E916EF"/>
    <w:rsid w:val="00E93B4E"/>
    <w:rsid w:val="00E940FC"/>
    <w:rsid w:val="00E94495"/>
    <w:rsid w:val="00E9466C"/>
    <w:rsid w:val="00E948DC"/>
    <w:rsid w:val="00E94F45"/>
    <w:rsid w:val="00E9534B"/>
    <w:rsid w:val="00E96499"/>
    <w:rsid w:val="00E9666B"/>
    <w:rsid w:val="00E96D63"/>
    <w:rsid w:val="00E96F7A"/>
    <w:rsid w:val="00E9722E"/>
    <w:rsid w:val="00E976F4"/>
    <w:rsid w:val="00EA048A"/>
    <w:rsid w:val="00EA1442"/>
    <w:rsid w:val="00EA1A01"/>
    <w:rsid w:val="00EA21F3"/>
    <w:rsid w:val="00EA28D6"/>
    <w:rsid w:val="00EA2BDC"/>
    <w:rsid w:val="00EA2CB8"/>
    <w:rsid w:val="00EA3420"/>
    <w:rsid w:val="00EA42C5"/>
    <w:rsid w:val="00EA4782"/>
    <w:rsid w:val="00EA487D"/>
    <w:rsid w:val="00EA4A74"/>
    <w:rsid w:val="00EA4F84"/>
    <w:rsid w:val="00EA5759"/>
    <w:rsid w:val="00EA6078"/>
    <w:rsid w:val="00EA7D8F"/>
    <w:rsid w:val="00EB05A5"/>
    <w:rsid w:val="00EB0F19"/>
    <w:rsid w:val="00EB1977"/>
    <w:rsid w:val="00EB1E10"/>
    <w:rsid w:val="00EB2829"/>
    <w:rsid w:val="00EB2A73"/>
    <w:rsid w:val="00EB2E05"/>
    <w:rsid w:val="00EB30F2"/>
    <w:rsid w:val="00EB4187"/>
    <w:rsid w:val="00EB47EE"/>
    <w:rsid w:val="00EB4A13"/>
    <w:rsid w:val="00EB4C8E"/>
    <w:rsid w:val="00EB5987"/>
    <w:rsid w:val="00EB60BA"/>
    <w:rsid w:val="00EB6201"/>
    <w:rsid w:val="00EB7201"/>
    <w:rsid w:val="00EB75D0"/>
    <w:rsid w:val="00EB765D"/>
    <w:rsid w:val="00EB7EEF"/>
    <w:rsid w:val="00EC0E3F"/>
    <w:rsid w:val="00EC10B8"/>
    <w:rsid w:val="00EC1FA6"/>
    <w:rsid w:val="00EC2063"/>
    <w:rsid w:val="00EC2DB4"/>
    <w:rsid w:val="00EC3485"/>
    <w:rsid w:val="00EC4381"/>
    <w:rsid w:val="00EC4FFF"/>
    <w:rsid w:val="00EC55A0"/>
    <w:rsid w:val="00EC5DC5"/>
    <w:rsid w:val="00EC6ADB"/>
    <w:rsid w:val="00EC7AFF"/>
    <w:rsid w:val="00ED02B9"/>
    <w:rsid w:val="00ED0E3B"/>
    <w:rsid w:val="00ED1CE2"/>
    <w:rsid w:val="00ED2D40"/>
    <w:rsid w:val="00ED31A8"/>
    <w:rsid w:val="00ED366F"/>
    <w:rsid w:val="00ED3D9F"/>
    <w:rsid w:val="00ED4AE8"/>
    <w:rsid w:val="00ED4BE6"/>
    <w:rsid w:val="00ED4D7C"/>
    <w:rsid w:val="00ED4DFE"/>
    <w:rsid w:val="00ED56B4"/>
    <w:rsid w:val="00ED5B3A"/>
    <w:rsid w:val="00ED6600"/>
    <w:rsid w:val="00ED67E3"/>
    <w:rsid w:val="00ED797C"/>
    <w:rsid w:val="00ED7E06"/>
    <w:rsid w:val="00EE12A4"/>
    <w:rsid w:val="00EE1605"/>
    <w:rsid w:val="00EE2F1D"/>
    <w:rsid w:val="00EE33EE"/>
    <w:rsid w:val="00EE340A"/>
    <w:rsid w:val="00EE3502"/>
    <w:rsid w:val="00EE3D79"/>
    <w:rsid w:val="00EE43C1"/>
    <w:rsid w:val="00EE44CF"/>
    <w:rsid w:val="00EE4A2D"/>
    <w:rsid w:val="00EE4B52"/>
    <w:rsid w:val="00EE4C2A"/>
    <w:rsid w:val="00EE5315"/>
    <w:rsid w:val="00EE5FB9"/>
    <w:rsid w:val="00EE5FC2"/>
    <w:rsid w:val="00EE68FB"/>
    <w:rsid w:val="00EE6C1A"/>
    <w:rsid w:val="00EE6F2C"/>
    <w:rsid w:val="00EF0469"/>
    <w:rsid w:val="00EF078C"/>
    <w:rsid w:val="00EF0A8F"/>
    <w:rsid w:val="00EF21B2"/>
    <w:rsid w:val="00EF23E7"/>
    <w:rsid w:val="00EF35B8"/>
    <w:rsid w:val="00EF4681"/>
    <w:rsid w:val="00EF47BF"/>
    <w:rsid w:val="00EF50A9"/>
    <w:rsid w:val="00EF59B0"/>
    <w:rsid w:val="00EF5A5D"/>
    <w:rsid w:val="00EF6462"/>
    <w:rsid w:val="00EF6CD3"/>
    <w:rsid w:val="00F0056A"/>
    <w:rsid w:val="00F0074F"/>
    <w:rsid w:val="00F00B91"/>
    <w:rsid w:val="00F00C81"/>
    <w:rsid w:val="00F01399"/>
    <w:rsid w:val="00F02689"/>
    <w:rsid w:val="00F02F16"/>
    <w:rsid w:val="00F02F64"/>
    <w:rsid w:val="00F03245"/>
    <w:rsid w:val="00F033F2"/>
    <w:rsid w:val="00F03532"/>
    <w:rsid w:val="00F0431A"/>
    <w:rsid w:val="00F04744"/>
    <w:rsid w:val="00F049D3"/>
    <w:rsid w:val="00F0543B"/>
    <w:rsid w:val="00F0625A"/>
    <w:rsid w:val="00F076D6"/>
    <w:rsid w:val="00F079BF"/>
    <w:rsid w:val="00F07BF0"/>
    <w:rsid w:val="00F104D5"/>
    <w:rsid w:val="00F10E8A"/>
    <w:rsid w:val="00F11C35"/>
    <w:rsid w:val="00F1247A"/>
    <w:rsid w:val="00F12779"/>
    <w:rsid w:val="00F129ED"/>
    <w:rsid w:val="00F12B51"/>
    <w:rsid w:val="00F12E16"/>
    <w:rsid w:val="00F140D9"/>
    <w:rsid w:val="00F14297"/>
    <w:rsid w:val="00F148DD"/>
    <w:rsid w:val="00F1512E"/>
    <w:rsid w:val="00F153AC"/>
    <w:rsid w:val="00F15FCA"/>
    <w:rsid w:val="00F1628B"/>
    <w:rsid w:val="00F17853"/>
    <w:rsid w:val="00F17CDB"/>
    <w:rsid w:val="00F20A1B"/>
    <w:rsid w:val="00F2139B"/>
    <w:rsid w:val="00F21714"/>
    <w:rsid w:val="00F221D8"/>
    <w:rsid w:val="00F22971"/>
    <w:rsid w:val="00F22F90"/>
    <w:rsid w:val="00F2383C"/>
    <w:rsid w:val="00F23BC0"/>
    <w:rsid w:val="00F23F3A"/>
    <w:rsid w:val="00F2422A"/>
    <w:rsid w:val="00F24256"/>
    <w:rsid w:val="00F25472"/>
    <w:rsid w:val="00F25614"/>
    <w:rsid w:val="00F25894"/>
    <w:rsid w:val="00F258E7"/>
    <w:rsid w:val="00F26B5C"/>
    <w:rsid w:val="00F27908"/>
    <w:rsid w:val="00F27A25"/>
    <w:rsid w:val="00F30103"/>
    <w:rsid w:val="00F3011B"/>
    <w:rsid w:val="00F31655"/>
    <w:rsid w:val="00F3168C"/>
    <w:rsid w:val="00F32BA0"/>
    <w:rsid w:val="00F32C74"/>
    <w:rsid w:val="00F32C76"/>
    <w:rsid w:val="00F32D86"/>
    <w:rsid w:val="00F3348C"/>
    <w:rsid w:val="00F33A29"/>
    <w:rsid w:val="00F33FA7"/>
    <w:rsid w:val="00F35344"/>
    <w:rsid w:val="00F354D2"/>
    <w:rsid w:val="00F35684"/>
    <w:rsid w:val="00F3573B"/>
    <w:rsid w:val="00F35BC7"/>
    <w:rsid w:val="00F35C62"/>
    <w:rsid w:val="00F35FD2"/>
    <w:rsid w:val="00F366FF"/>
    <w:rsid w:val="00F37269"/>
    <w:rsid w:val="00F4090C"/>
    <w:rsid w:val="00F41990"/>
    <w:rsid w:val="00F433BC"/>
    <w:rsid w:val="00F43816"/>
    <w:rsid w:val="00F44410"/>
    <w:rsid w:val="00F45373"/>
    <w:rsid w:val="00F45789"/>
    <w:rsid w:val="00F45AF9"/>
    <w:rsid w:val="00F45C26"/>
    <w:rsid w:val="00F45E6A"/>
    <w:rsid w:val="00F46E8E"/>
    <w:rsid w:val="00F4751A"/>
    <w:rsid w:val="00F50627"/>
    <w:rsid w:val="00F50E65"/>
    <w:rsid w:val="00F51136"/>
    <w:rsid w:val="00F5177A"/>
    <w:rsid w:val="00F51C05"/>
    <w:rsid w:val="00F52065"/>
    <w:rsid w:val="00F531C5"/>
    <w:rsid w:val="00F54EDB"/>
    <w:rsid w:val="00F555E9"/>
    <w:rsid w:val="00F55F33"/>
    <w:rsid w:val="00F5608A"/>
    <w:rsid w:val="00F562AF"/>
    <w:rsid w:val="00F567AD"/>
    <w:rsid w:val="00F570EB"/>
    <w:rsid w:val="00F57AA3"/>
    <w:rsid w:val="00F61C2C"/>
    <w:rsid w:val="00F62101"/>
    <w:rsid w:val="00F6298B"/>
    <w:rsid w:val="00F6300B"/>
    <w:rsid w:val="00F63748"/>
    <w:rsid w:val="00F63CD9"/>
    <w:rsid w:val="00F64D3D"/>
    <w:rsid w:val="00F64F5D"/>
    <w:rsid w:val="00F653C5"/>
    <w:rsid w:val="00F653C8"/>
    <w:rsid w:val="00F655E3"/>
    <w:rsid w:val="00F65C88"/>
    <w:rsid w:val="00F65CB3"/>
    <w:rsid w:val="00F66991"/>
    <w:rsid w:val="00F67291"/>
    <w:rsid w:val="00F708E4"/>
    <w:rsid w:val="00F70980"/>
    <w:rsid w:val="00F70DA2"/>
    <w:rsid w:val="00F718CD"/>
    <w:rsid w:val="00F71BEC"/>
    <w:rsid w:val="00F73590"/>
    <w:rsid w:val="00F73BD6"/>
    <w:rsid w:val="00F740D9"/>
    <w:rsid w:val="00F7415D"/>
    <w:rsid w:val="00F742D5"/>
    <w:rsid w:val="00F74B9D"/>
    <w:rsid w:val="00F76860"/>
    <w:rsid w:val="00F76D50"/>
    <w:rsid w:val="00F76EE5"/>
    <w:rsid w:val="00F77103"/>
    <w:rsid w:val="00F77482"/>
    <w:rsid w:val="00F779C3"/>
    <w:rsid w:val="00F802E4"/>
    <w:rsid w:val="00F808C9"/>
    <w:rsid w:val="00F81153"/>
    <w:rsid w:val="00F81AAD"/>
    <w:rsid w:val="00F81EA6"/>
    <w:rsid w:val="00F82614"/>
    <w:rsid w:val="00F82966"/>
    <w:rsid w:val="00F82C1C"/>
    <w:rsid w:val="00F82CBC"/>
    <w:rsid w:val="00F8365A"/>
    <w:rsid w:val="00F83C40"/>
    <w:rsid w:val="00F84555"/>
    <w:rsid w:val="00F847E7"/>
    <w:rsid w:val="00F85939"/>
    <w:rsid w:val="00F861A0"/>
    <w:rsid w:val="00F8649E"/>
    <w:rsid w:val="00F87482"/>
    <w:rsid w:val="00F87575"/>
    <w:rsid w:val="00F913C8"/>
    <w:rsid w:val="00F91BAF"/>
    <w:rsid w:val="00F91D55"/>
    <w:rsid w:val="00F9201F"/>
    <w:rsid w:val="00F922B8"/>
    <w:rsid w:val="00F93094"/>
    <w:rsid w:val="00F935B4"/>
    <w:rsid w:val="00F939C5"/>
    <w:rsid w:val="00F94AAC"/>
    <w:rsid w:val="00F94E08"/>
    <w:rsid w:val="00F9524D"/>
    <w:rsid w:val="00F9562B"/>
    <w:rsid w:val="00F9571F"/>
    <w:rsid w:val="00F95C74"/>
    <w:rsid w:val="00F96A95"/>
    <w:rsid w:val="00F96D29"/>
    <w:rsid w:val="00F97448"/>
    <w:rsid w:val="00FA0761"/>
    <w:rsid w:val="00FA25A7"/>
    <w:rsid w:val="00FA27B6"/>
    <w:rsid w:val="00FA31C3"/>
    <w:rsid w:val="00FA3AB2"/>
    <w:rsid w:val="00FA4882"/>
    <w:rsid w:val="00FA597F"/>
    <w:rsid w:val="00FA635E"/>
    <w:rsid w:val="00FA74D3"/>
    <w:rsid w:val="00FA7CA5"/>
    <w:rsid w:val="00FB0589"/>
    <w:rsid w:val="00FB0A6D"/>
    <w:rsid w:val="00FB0FF6"/>
    <w:rsid w:val="00FB1535"/>
    <w:rsid w:val="00FB21D6"/>
    <w:rsid w:val="00FB2507"/>
    <w:rsid w:val="00FB29A2"/>
    <w:rsid w:val="00FB2F1E"/>
    <w:rsid w:val="00FB342F"/>
    <w:rsid w:val="00FB3E2A"/>
    <w:rsid w:val="00FB3E6B"/>
    <w:rsid w:val="00FB42A1"/>
    <w:rsid w:val="00FB43AE"/>
    <w:rsid w:val="00FB5045"/>
    <w:rsid w:val="00FB5330"/>
    <w:rsid w:val="00FB5DB0"/>
    <w:rsid w:val="00FB7754"/>
    <w:rsid w:val="00FB7921"/>
    <w:rsid w:val="00FC06E3"/>
    <w:rsid w:val="00FC0737"/>
    <w:rsid w:val="00FC2419"/>
    <w:rsid w:val="00FC241B"/>
    <w:rsid w:val="00FC28BA"/>
    <w:rsid w:val="00FC2D6F"/>
    <w:rsid w:val="00FC3796"/>
    <w:rsid w:val="00FC3A2B"/>
    <w:rsid w:val="00FC3B0E"/>
    <w:rsid w:val="00FC40E7"/>
    <w:rsid w:val="00FC4337"/>
    <w:rsid w:val="00FC6E92"/>
    <w:rsid w:val="00FC7632"/>
    <w:rsid w:val="00FC7BC6"/>
    <w:rsid w:val="00FD026C"/>
    <w:rsid w:val="00FD0368"/>
    <w:rsid w:val="00FD05F7"/>
    <w:rsid w:val="00FD070E"/>
    <w:rsid w:val="00FD0861"/>
    <w:rsid w:val="00FD142E"/>
    <w:rsid w:val="00FD24E5"/>
    <w:rsid w:val="00FD3143"/>
    <w:rsid w:val="00FD315C"/>
    <w:rsid w:val="00FD359E"/>
    <w:rsid w:val="00FD40BC"/>
    <w:rsid w:val="00FD7953"/>
    <w:rsid w:val="00FD7B5A"/>
    <w:rsid w:val="00FD7C56"/>
    <w:rsid w:val="00FE0B3F"/>
    <w:rsid w:val="00FE0C0C"/>
    <w:rsid w:val="00FE19B5"/>
    <w:rsid w:val="00FE3475"/>
    <w:rsid w:val="00FE44AE"/>
    <w:rsid w:val="00FE4B05"/>
    <w:rsid w:val="00FE4E17"/>
    <w:rsid w:val="00FE4E52"/>
    <w:rsid w:val="00FE4FE7"/>
    <w:rsid w:val="00FE546D"/>
    <w:rsid w:val="00FE5B97"/>
    <w:rsid w:val="00FE5C98"/>
    <w:rsid w:val="00FE5CD7"/>
    <w:rsid w:val="00FE6451"/>
    <w:rsid w:val="00FE6A76"/>
    <w:rsid w:val="00FE7877"/>
    <w:rsid w:val="00FF067D"/>
    <w:rsid w:val="00FF15A8"/>
    <w:rsid w:val="00FF1A59"/>
    <w:rsid w:val="00FF1C71"/>
    <w:rsid w:val="00FF2068"/>
    <w:rsid w:val="00FF2223"/>
    <w:rsid w:val="00FF281A"/>
    <w:rsid w:val="00FF2AF5"/>
    <w:rsid w:val="00FF320B"/>
    <w:rsid w:val="00FF376D"/>
    <w:rsid w:val="00FF3BB4"/>
    <w:rsid w:val="00FF3DB5"/>
    <w:rsid w:val="00FF3E8A"/>
    <w:rsid w:val="00FF4378"/>
    <w:rsid w:val="00FF4E0C"/>
    <w:rsid w:val="00FF50C9"/>
    <w:rsid w:val="00FF580C"/>
    <w:rsid w:val="00FF5AA8"/>
    <w:rsid w:val="00FF5E52"/>
    <w:rsid w:val="00FF5FCB"/>
    <w:rsid w:val="00FF6706"/>
    <w:rsid w:val="00FF6B12"/>
    <w:rsid w:val="00FF6F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758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F8F"/>
    <w:rPr>
      <w:rFonts w:ascii="Times New Roman" w:hAnsi="Times New Roman" w:cs="Times New Roman"/>
      <w:lang w:eastAsia="es-ES_tradnl"/>
    </w:rPr>
  </w:style>
  <w:style w:type="paragraph" w:styleId="Ttulo1">
    <w:name w:val="heading 1"/>
    <w:basedOn w:val="Normal"/>
    <w:next w:val="Normal"/>
    <w:link w:val="Ttulo1Car"/>
    <w:uiPriority w:val="9"/>
    <w:qFormat/>
    <w:rsid w:val="003C5B99"/>
    <w:pPr>
      <w:keepNext/>
      <w:keepLines/>
      <w:spacing w:before="240"/>
      <w:outlineLvl w:val="0"/>
    </w:pPr>
    <w:rPr>
      <w:rFonts w:asciiTheme="majorHAnsi" w:eastAsiaTheme="majorEastAsia" w:hAnsiTheme="majorHAnsi" w:cstheme="majorBidi"/>
      <w:color w:val="2E74B5" w:themeColor="accent1" w:themeShade="BF"/>
      <w:sz w:val="32"/>
      <w:szCs w:val="32"/>
      <w:lang w:val="es-CR" w:eastAsia="es-CR"/>
    </w:rPr>
  </w:style>
  <w:style w:type="paragraph" w:styleId="Ttulo2">
    <w:name w:val="heading 2"/>
    <w:basedOn w:val="Normal"/>
    <w:next w:val="Normal"/>
    <w:link w:val="Ttulo2Car"/>
    <w:uiPriority w:val="9"/>
    <w:unhideWhenUsed/>
    <w:qFormat/>
    <w:rsid w:val="00D554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554F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584CD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5B99"/>
    <w:rPr>
      <w:rFonts w:asciiTheme="majorHAnsi" w:eastAsiaTheme="majorEastAsia" w:hAnsiTheme="majorHAnsi" w:cstheme="majorBidi"/>
      <w:color w:val="2E74B5" w:themeColor="accent1" w:themeShade="BF"/>
      <w:sz w:val="32"/>
      <w:szCs w:val="32"/>
      <w:lang w:val="es-CR" w:eastAsia="es-CR"/>
    </w:rPr>
  </w:style>
  <w:style w:type="paragraph" w:customStyle="1" w:styleId="Prrafodelista1">
    <w:name w:val="Párrafo de lista1"/>
    <w:basedOn w:val="Normal"/>
    <w:rsid w:val="003C5B99"/>
    <w:pPr>
      <w:spacing w:after="200" w:line="276" w:lineRule="auto"/>
      <w:ind w:left="720"/>
    </w:pPr>
    <w:rPr>
      <w:rFonts w:ascii="Calibri" w:eastAsia="Times New Roman" w:hAnsi="Calibri"/>
      <w:sz w:val="22"/>
      <w:szCs w:val="22"/>
      <w:lang w:val="es-CR" w:eastAsia="en-US"/>
    </w:rPr>
  </w:style>
  <w:style w:type="paragraph" w:customStyle="1" w:styleId="Default">
    <w:name w:val="Default"/>
    <w:rsid w:val="003C5B99"/>
    <w:pPr>
      <w:autoSpaceDE w:val="0"/>
      <w:autoSpaceDN w:val="0"/>
      <w:adjustRightInd w:val="0"/>
    </w:pPr>
    <w:rPr>
      <w:rFonts w:ascii="Arial" w:eastAsia="Times New Roman" w:hAnsi="Arial" w:cs="Arial"/>
      <w:color w:val="000000"/>
      <w:lang w:val="es-CR"/>
    </w:rPr>
  </w:style>
  <w:style w:type="table" w:styleId="Tablaconcuadrcula">
    <w:name w:val="Table Grid"/>
    <w:basedOn w:val="Tablanormal"/>
    <w:uiPriority w:val="39"/>
    <w:rsid w:val="003C5B99"/>
    <w:rPr>
      <w:rFonts w:ascii="Calibri" w:eastAsia="Times New Roman" w:hAnsi="Calibri" w:cs="Times New Roman"/>
      <w:sz w:val="20"/>
      <w:szCs w:val="20"/>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1">
    <w:name w:val="Párrafo de lista11"/>
    <w:basedOn w:val="Normal"/>
    <w:rsid w:val="003C5B99"/>
    <w:pPr>
      <w:suppressAutoHyphens/>
      <w:spacing w:after="200" w:line="276" w:lineRule="auto"/>
      <w:ind w:left="720"/>
    </w:pPr>
    <w:rPr>
      <w:rFonts w:ascii="Calibri" w:eastAsia="Times New Roman" w:hAnsi="Calibri"/>
      <w:kern w:val="1"/>
      <w:sz w:val="22"/>
      <w:szCs w:val="22"/>
      <w:lang w:val="es-ES" w:eastAsia="en-US"/>
    </w:rPr>
  </w:style>
  <w:style w:type="paragraph" w:customStyle="1" w:styleId="articulo1">
    <w:name w:val="articulo1"/>
    <w:basedOn w:val="Normal"/>
    <w:rsid w:val="003C5B99"/>
    <w:pPr>
      <w:spacing w:before="360" w:after="180"/>
    </w:pPr>
    <w:rPr>
      <w:rFonts w:eastAsia="Calibri"/>
      <w:b/>
      <w:bCs/>
      <w:lang w:val="es-CR" w:eastAsia="es-CR"/>
    </w:rPr>
  </w:style>
  <w:style w:type="paragraph" w:customStyle="1" w:styleId="parrafo1">
    <w:name w:val="parrafo1"/>
    <w:basedOn w:val="Normal"/>
    <w:rsid w:val="003C5B99"/>
    <w:pPr>
      <w:spacing w:before="180" w:after="180"/>
      <w:ind w:firstLine="360"/>
      <w:jc w:val="both"/>
    </w:pPr>
    <w:rPr>
      <w:rFonts w:eastAsia="Calibri"/>
      <w:lang w:val="es-CR" w:eastAsia="es-CR"/>
    </w:rPr>
  </w:style>
  <w:style w:type="paragraph" w:customStyle="1" w:styleId="parrafo21">
    <w:name w:val="parrafo_21"/>
    <w:basedOn w:val="Normal"/>
    <w:rsid w:val="003C5B99"/>
    <w:pPr>
      <w:spacing w:before="360" w:after="180"/>
      <w:ind w:firstLine="360"/>
      <w:jc w:val="both"/>
    </w:pPr>
    <w:rPr>
      <w:rFonts w:eastAsia="Calibri"/>
      <w:lang w:val="es-CR" w:eastAsia="es-CR"/>
    </w:rPr>
  </w:style>
  <w:style w:type="character" w:styleId="Refdecomentario">
    <w:name w:val="annotation reference"/>
    <w:uiPriority w:val="99"/>
    <w:semiHidden/>
    <w:rsid w:val="003C5B99"/>
    <w:rPr>
      <w:rFonts w:cs="Times New Roman"/>
      <w:sz w:val="16"/>
      <w:szCs w:val="16"/>
    </w:rPr>
  </w:style>
  <w:style w:type="paragraph" w:styleId="Textocomentario">
    <w:name w:val="annotation text"/>
    <w:basedOn w:val="Normal"/>
    <w:link w:val="TextocomentarioCar"/>
    <w:uiPriority w:val="99"/>
    <w:rsid w:val="003C5B99"/>
    <w:pPr>
      <w:spacing w:after="160"/>
    </w:pPr>
    <w:rPr>
      <w:rFonts w:ascii="Calibri" w:eastAsia="Times New Roman" w:hAnsi="Calibri"/>
      <w:sz w:val="20"/>
      <w:szCs w:val="20"/>
      <w:lang w:val="es-CR" w:eastAsia="en-US"/>
    </w:rPr>
  </w:style>
  <w:style w:type="character" w:customStyle="1" w:styleId="TextocomentarioCar">
    <w:name w:val="Texto comentario Car"/>
    <w:basedOn w:val="Fuentedeprrafopredeter"/>
    <w:link w:val="Textocomentario"/>
    <w:uiPriority w:val="99"/>
    <w:rsid w:val="003C5B99"/>
    <w:rPr>
      <w:rFonts w:ascii="Calibri" w:eastAsia="Times New Roman" w:hAnsi="Calibri" w:cs="Times New Roman"/>
      <w:sz w:val="20"/>
      <w:szCs w:val="20"/>
      <w:lang w:val="es-CR"/>
    </w:rPr>
  </w:style>
  <w:style w:type="paragraph" w:styleId="Asuntodelcomentario">
    <w:name w:val="annotation subject"/>
    <w:basedOn w:val="Textocomentario"/>
    <w:next w:val="Textocomentario"/>
    <w:link w:val="AsuntodelcomentarioCar"/>
    <w:uiPriority w:val="99"/>
    <w:semiHidden/>
    <w:rsid w:val="003C5B99"/>
    <w:rPr>
      <w:b/>
      <w:bCs/>
    </w:rPr>
  </w:style>
  <w:style w:type="character" w:customStyle="1" w:styleId="AsuntodelcomentarioCar">
    <w:name w:val="Asunto del comentario Car"/>
    <w:basedOn w:val="TextocomentarioCar"/>
    <w:link w:val="Asuntodelcomentario"/>
    <w:uiPriority w:val="99"/>
    <w:semiHidden/>
    <w:rsid w:val="003C5B99"/>
    <w:rPr>
      <w:rFonts w:ascii="Calibri" w:eastAsia="Times New Roman" w:hAnsi="Calibri" w:cs="Times New Roman"/>
      <w:b/>
      <w:bCs/>
      <w:sz w:val="20"/>
      <w:szCs w:val="20"/>
      <w:lang w:val="es-CR"/>
    </w:rPr>
  </w:style>
  <w:style w:type="paragraph" w:customStyle="1" w:styleId="Revisin1">
    <w:name w:val="Revisión1"/>
    <w:hidden/>
    <w:semiHidden/>
    <w:rsid w:val="003C5B99"/>
    <w:rPr>
      <w:rFonts w:ascii="Calibri" w:eastAsia="Times New Roman" w:hAnsi="Calibri" w:cs="Times New Roman"/>
      <w:sz w:val="22"/>
      <w:szCs w:val="22"/>
      <w:lang w:val="es-CR"/>
    </w:rPr>
  </w:style>
  <w:style w:type="paragraph" w:styleId="Textodeglobo">
    <w:name w:val="Balloon Text"/>
    <w:basedOn w:val="Normal"/>
    <w:link w:val="TextodegloboCar"/>
    <w:uiPriority w:val="99"/>
    <w:semiHidden/>
    <w:rsid w:val="003C5B99"/>
    <w:rPr>
      <w:rFonts w:ascii="Segoe UI" w:eastAsia="Times New Roman" w:hAnsi="Segoe UI" w:cs="Segoe UI"/>
      <w:sz w:val="18"/>
      <w:szCs w:val="18"/>
      <w:lang w:val="es-CR" w:eastAsia="en-US"/>
    </w:rPr>
  </w:style>
  <w:style w:type="character" w:customStyle="1" w:styleId="TextodegloboCar">
    <w:name w:val="Texto de globo Car"/>
    <w:basedOn w:val="Fuentedeprrafopredeter"/>
    <w:link w:val="Textodeglobo"/>
    <w:uiPriority w:val="99"/>
    <w:semiHidden/>
    <w:rsid w:val="003C5B99"/>
    <w:rPr>
      <w:rFonts w:ascii="Segoe UI" w:eastAsia="Times New Roman" w:hAnsi="Segoe UI" w:cs="Segoe UI"/>
      <w:sz w:val="18"/>
      <w:szCs w:val="18"/>
      <w:lang w:val="es-CR"/>
    </w:rPr>
  </w:style>
  <w:style w:type="paragraph" w:styleId="Encabezado">
    <w:name w:val="header"/>
    <w:basedOn w:val="Normal"/>
    <w:link w:val="EncabezadoCar"/>
    <w:rsid w:val="003C5B99"/>
    <w:pPr>
      <w:tabs>
        <w:tab w:val="center" w:pos="4419"/>
        <w:tab w:val="right" w:pos="8838"/>
      </w:tabs>
    </w:pPr>
    <w:rPr>
      <w:rFonts w:ascii="Calibri" w:eastAsia="Times New Roman" w:hAnsi="Calibri"/>
      <w:sz w:val="22"/>
      <w:szCs w:val="22"/>
      <w:lang w:val="es-CR" w:eastAsia="en-US"/>
    </w:rPr>
  </w:style>
  <w:style w:type="character" w:customStyle="1" w:styleId="EncabezadoCar">
    <w:name w:val="Encabezado Car"/>
    <w:basedOn w:val="Fuentedeprrafopredeter"/>
    <w:link w:val="Encabezado"/>
    <w:rsid w:val="003C5B99"/>
    <w:rPr>
      <w:rFonts w:ascii="Calibri" w:eastAsia="Times New Roman" w:hAnsi="Calibri" w:cs="Times New Roman"/>
      <w:sz w:val="22"/>
      <w:szCs w:val="22"/>
      <w:lang w:val="es-CR"/>
    </w:rPr>
  </w:style>
  <w:style w:type="paragraph" w:styleId="Piedepgina">
    <w:name w:val="footer"/>
    <w:basedOn w:val="Normal"/>
    <w:link w:val="PiedepginaCar"/>
    <w:rsid w:val="003C5B99"/>
    <w:pPr>
      <w:tabs>
        <w:tab w:val="center" w:pos="4419"/>
        <w:tab w:val="right" w:pos="8838"/>
      </w:tabs>
    </w:pPr>
    <w:rPr>
      <w:rFonts w:ascii="Calibri" w:eastAsia="Times New Roman" w:hAnsi="Calibri"/>
      <w:sz w:val="22"/>
      <w:szCs w:val="22"/>
      <w:lang w:val="es-CR" w:eastAsia="en-US"/>
    </w:rPr>
  </w:style>
  <w:style w:type="character" w:customStyle="1" w:styleId="PiedepginaCar">
    <w:name w:val="Pie de página Car"/>
    <w:basedOn w:val="Fuentedeprrafopredeter"/>
    <w:link w:val="Piedepgina"/>
    <w:rsid w:val="003C5B99"/>
    <w:rPr>
      <w:rFonts w:ascii="Calibri" w:eastAsia="Times New Roman" w:hAnsi="Calibri" w:cs="Times New Roman"/>
      <w:sz w:val="22"/>
      <w:szCs w:val="22"/>
      <w:lang w:val="es-CR"/>
    </w:rPr>
  </w:style>
  <w:style w:type="paragraph" w:styleId="Mapadeldocumento">
    <w:name w:val="Document Map"/>
    <w:basedOn w:val="Normal"/>
    <w:link w:val="MapadeldocumentoCar"/>
    <w:semiHidden/>
    <w:rsid w:val="003C5B99"/>
    <w:pPr>
      <w:shd w:val="clear" w:color="auto" w:fill="000080"/>
    </w:pPr>
    <w:rPr>
      <w:rFonts w:ascii="Tahoma" w:hAnsi="Tahoma" w:cs="Tahoma"/>
      <w:sz w:val="20"/>
      <w:szCs w:val="20"/>
      <w:lang w:val="es-CR" w:eastAsia="en-US"/>
    </w:rPr>
  </w:style>
  <w:style w:type="character" w:customStyle="1" w:styleId="MapadeldocumentoCar">
    <w:name w:val="Mapa del documento Car"/>
    <w:basedOn w:val="Fuentedeprrafopredeter"/>
    <w:link w:val="Mapadeldocumento"/>
    <w:semiHidden/>
    <w:rsid w:val="003C5B99"/>
    <w:rPr>
      <w:rFonts w:ascii="Tahoma" w:hAnsi="Tahoma" w:cs="Tahoma"/>
      <w:sz w:val="20"/>
      <w:szCs w:val="20"/>
      <w:shd w:val="clear" w:color="auto" w:fill="000080"/>
      <w:lang w:val="es-CR"/>
    </w:rPr>
  </w:style>
  <w:style w:type="paragraph" w:styleId="Textoindependiente">
    <w:name w:val="Body Text"/>
    <w:basedOn w:val="Normal"/>
    <w:link w:val="TextoindependienteCar"/>
    <w:rsid w:val="003C5B99"/>
    <w:pPr>
      <w:jc w:val="center"/>
    </w:pPr>
    <w:rPr>
      <w:rFonts w:ascii="Arial" w:eastAsia="Times New Roman" w:hAnsi="Arial"/>
      <w:b/>
      <w:bCs/>
      <w:sz w:val="28"/>
      <w:szCs w:val="28"/>
      <w:lang w:val="es-CR" w:eastAsia="es-ES"/>
    </w:rPr>
  </w:style>
  <w:style w:type="character" w:customStyle="1" w:styleId="TextoindependienteCar">
    <w:name w:val="Texto independiente Car"/>
    <w:basedOn w:val="Fuentedeprrafopredeter"/>
    <w:link w:val="Textoindependiente"/>
    <w:rsid w:val="003C5B99"/>
    <w:rPr>
      <w:rFonts w:ascii="Arial" w:eastAsia="Times New Roman" w:hAnsi="Arial" w:cs="Times New Roman"/>
      <w:b/>
      <w:bCs/>
      <w:sz w:val="28"/>
      <w:szCs w:val="28"/>
      <w:lang w:val="es-CR" w:eastAsia="es-ES"/>
    </w:rPr>
  </w:style>
  <w:style w:type="character" w:styleId="Nmerodepgina">
    <w:name w:val="page number"/>
    <w:basedOn w:val="Fuentedeprrafopredeter"/>
    <w:rsid w:val="003C5B99"/>
  </w:style>
  <w:style w:type="paragraph" w:styleId="Prrafodelista">
    <w:name w:val="List Paragraph"/>
    <w:basedOn w:val="Normal"/>
    <w:link w:val="PrrafodelistaCar"/>
    <w:uiPriority w:val="34"/>
    <w:qFormat/>
    <w:rsid w:val="003C5B99"/>
    <w:pPr>
      <w:spacing w:after="160" w:line="259" w:lineRule="auto"/>
      <w:ind w:left="708"/>
    </w:pPr>
    <w:rPr>
      <w:rFonts w:ascii="Calibri" w:eastAsia="Times New Roman" w:hAnsi="Calibri"/>
      <w:sz w:val="22"/>
      <w:szCs w:val="22"/>
      <w:lang w:val="es-CR" w:eastAsia="en-US"/>
    </w:rPr>
  </w:style>
  <w:style w:type="paragraph" w:styleId="Revisin">
    <w:name w:val="Revision"/>
    <w:hidden/>
    <w:uiPriority w:val="99"/>
    <w:semiHidden/>
    <w:rsid w:val="003C5B99"/>
    <w:rPr>
      <w:rFonts w:ascii="Calibri" w:eastAsia="Times New Roman" w:hAnsi="Calibri" w:cs="Times New Roman"/>
      <w:sz w:val="22"/>
      <w:szCs w:val="22"/>
      <w:lang w:val="es-CR"/>
    </w:rPr>
  </w:style>
  <w:style w:type="character" w:styleId="nfasis">
    <w:name w:val="Emphasis"/>
    <w:basedOn w:val="Fuentedeprrafopredeter"/>
    <w:qFormat/>
    <w:rsid w:val="003C5B99"/>
    <w:rPr>
      <w:i/>
      <w:iCs/>
    </w:rPr>
  </w:style>
  <w:style w:type="paragraph" w:styleId="Textonotapie">
    <w:name w:val="footnote text"/>
    <w:aliases w:val="fn,Char,FN,Footnote Text Char2,Footnote Text Char Char,Footnote Text Char2 Char1 Char,Footnote Text Char Char Char2 Char,Footnote Text Char2 Char1 Char Char Char,Footnote Text Char Char Char2 Char Char Char,Footnote Text Char Char3"/>
    <w:basedOn w:val="Normal"/>
    <w:link w:val="TextonotapieCar"/>
    <w:uiPriority w:val="99"/>
    <w:unhideWhenUsed/>
    <w:rsid w:val="003C5B99"/>
    <w:rPr>
      <w:rFonts w:ascii="Calibri" w:hAnsi="Calibri"/>
      <w:sz w:val="20"/>
      <w:szCs w:val="20"/>
      <w:lang w:val="es-CR" w:eastAsia="en-US"/>
    </w:rPr>
  </w:style>
  <w:style w:type="character" w:customStyle="1" w:styleId="TextonotapieCar">
    <w:name w:val="Texto nota pie Car"/>
    <w:aliases w:val="fn Car,Char Car,FN Car,Footnote Text Char2 Car,Footnote Text Char Char Car,Footnote Text Char2 Char1 Char Car,Footnote Text Char Char Char2 Char Car,Footnote Text Char2 Char1 Char Char Char Car,Footnote Text Char Char3 Car"/>
    <w:basedOn w:val="Fuentedeprrafopredeter"/>
    <w:link w:val="Textonotapie"/>
    <w:uiPriority w:val="99"/>
    <w:rsid w:val="003C5B99"/>
    <w:rPr>
      <w:rFonts w:ascii="Calibri" w:hAnsi="Calibri" w:cs="Times New Roman"/>
      <w:sz w:val="20"/>
      <w:szCs w:val="20"/>
      <w:lang w:val="es-CR"/>
    </w:rPr>
  </w:style>
  <w:style w:type="character" w:styleId="Refdenotaalpie">
    <w:name w:val="footnote reference"/>
    <w:aliases w:val="Ref,de nota al pie,FC"/>
    <w:basedOn w:val="Fuentedeprrafopredeter"/>
    <w:uiPriority w:val="99"/>
    <w:unhideWhenUsed/>
    <w:rsid w:val="003C5B99"/>
    <w:rPr>
      <w:vertAlign w:val="superscript"/>
    </w:rPr>
  </w:style>
  <w:style w:type="character" w:customStyle="1" w:styleId="notranslate">
    <w:name w:val="notranslate"/>
    <w:basedOn w:val="Fuentedeprrafopredeter"/>
    <w:rsid w:val="003C5B99"/>
  </w:style>
  <w:style w:type="character" w:customStyle="1" w:styleId="PrrafodelistaCar">
    <w:name w:val="Párrafo de lista Car"/>
    <w:link w:val="Prrafodelista"/>
    <w:uiPriority w:val="34"/>
    <w:rsid w:val="003C5B99"/>
    <w:rPr>
      <w:rFonts w:ascii="Calibri" w:eastAsia="Times New Roman" w:hAnsi="Calibri" w:cs="Times New Roman"/>
      <w:sz w:val="22"/>
      <w:szCs w:val="22"/>
      <w:lang w:val="es-CR"/>
    </w:rPr>
  </w:style>
  <w:style w:type="character" w:customStyle="1" w:styleId="apple-converted-space">
    <w:name w:val="apple-converted-space"/>
    <w:basedOn w:val="Fuentedeprrafopredeter"/>
    <w:rsid w:val="003C5B99"/>
  </w:style>
  <w:style w:type="paragraph" w:customStyle="1" w:styleId="Ttulo11">
    <w:name w:val="Título 11"/>
    <w:basedOn w:val="Normal"/>
    <w:next w:val="Normal"/>
    <w:uiPriority w:val="9"/>
    <w:qFormat/>
    <w:locked/>
    <w:rsid w:val="003C5B99"/>
    <w:pPr>
      <w:keepNext/>
      <w:keepLines/>
      <w:spacing w:before="240"/>
      <w:outlineLvl w:val="0"/>
    </w:pPr>
    <w:rPr>
      <w:rFonts w:ascii="Calibri Light" w:eastAsia="Times New Roman" w:hAnsi="Calibri Light"/>
      <w:color w:val="2E74B5"/>
      <w:sz w:val="32"/>
      <w:szCs w:val="32"/>
      <w:lang w:val="es-CR" w:eastAsia="es-CR"/>
    </w:rPr>
  </w:style>
  <w:style w:type="numbering" w:customStyle="1" w:styleId="Sinlista1">
    <w:name w:val="Sin lista1"/>
    <w:next w:val="Sinlista"/>
    <w:uiPriority w:val="99"/>
    <w:semiHidden/>
    <w:unhideWhenUsed/>
    <w:rsid w:val="003C5B99"/>
  </w:style>
  <w:style w:type="character" w:customStyle="1" w:styleId="Ttulo1Car1">
    <w:name w:val="Título 1 Car1"/>
    <w:basedOn w:val="Fuentedeprrafopredeter"/>
    <w:uiPriority w:val="9"/>
    <w:rsid w:val="003C5B99"/>
    <w:rPr>
      <w:rFonts w:asciiTheme="majorHAnsi" w:eastAsiaTheme="majorEastAsia" w:hAnsiTheme="majorHAnsi" w:cstheme="majorBidi"/>
      <w:b/>
      <w:bCs/>
      <w:color w:val="2E74B5" w:themeColor="accent1" w:themeShade="BF"/>
      <w:sz w:val="28"/>
      <w:szCs w:val="28"/>
    </w:rPr>
  </w:style>
  <w:style w:type="paragraph" w:customStyle="1" w:styleId="default0">
    <w:name w:val="default"/>
    <w:basedOn w:val="Normal"/>
    <w:rsid w:val="003C5B99"/>
    <w:pPr>
      <w:spacing w:before="100" w:beforeAutospacing="1" w:after="100" w:afterAutospacing="1"/>
    </w:pPr>
  </w:style>
  <w:style w:type="paragraph" w:customStyle="1" w:styleId="normal1">
    <w:name w:val="normal1"/>
    <w:basedOn w:val="Normal"/>
    <w:rsid w:val="003C5B99"/>
    <w:pPr>
      <w:spacing w:before="100" w:beforeAutospacing="1" w:after="100" w:afterAutospacing="1"/>
    </w:pPr>
  </w:style>
  <w:style w:type="character" w:customStyle="1" w:styleId="spelle">
    <w:name w:val="spelle"/>
    <w:basedOn w:val="Fuentedeprrafopredeter"/>
    <w:rsid w:val="003C5B99"/>
  </w:style>
  <w:style w:type="character" w:customStyle="1" w:styleId="Ttulo4Car">
    <w:name w:val="Título 4 Car"/>
    <w:basedOn w:val="Fuentedeprrafopredeter"/>
    <w:link w:val="Ttulo4"/>
    <w:uiPriority w:val="9"/>
    <w:rsid w:val="00584CDE"/>
    <w:rPr>
      <w:rFonts w:asciiTheme="majorHAnsi" w:eastAsiaTheme="majorEastAsia" w:hAnsiTheme="majorHAnsi" w:cstheme="majorBidi"/>
      <w:i/>
      <w:iCs/>
      <w:color w:val="2E74B5" w:themeColor="accent1" w:themeShade="BF"/>
      <w:lang w:eastAsia="es-ES_tradnl"/>
    </w:rPr>
  </w:style>
  <w:style w:type="character" w:customStyle="1" w:styleId="Ttulo2Car">
    <w:name w:val="Título 2 Car"/>
    <w:basedOn w:val="Fuentedeprrafopredeter"/>
    <w:link w:val="Ttulo2"/>
    <w:uiPriority w:val="9"/>
    <w:rsid w:val="00D554F4"/>
    <w:rPr>
      <w:rFonts w:asciiTheme="majorHAnsi" w:eastAsiaTheme="majorEastAsia" w:hAnsiTheme="majorHAnsi" w:cstheme="majorBidi"/>
      <w:color w:val="2E74B5" w:themeColor="accent1" w:themeShade="BF"/>
      <w:sz w:val="26"/>
      <w:szCs w:val="26"/>
      <w:lang w:eastAsia="es-ES_tradnl"/>
    </w:rPr>
  </w:style>
  <w:style w:type="character" w:customStyle="1" w:styleId="Ttulo3Car">
    <w:name w:val="Título 3 Car"/>
    <w:basedOn w:val="Fuentedeprrafopredeter"/>
    <w:link w:val="Ttulo3"/>
    <w:uiPriority w:val="9"/>
    <w:rsid w:val="00D554F4"/>
    <w:rPr>
      <w:rFonts w:asciiTheme="majorHAnsi" w:eastAsiaTheme="majorEastAsia" w:hAnsiTheme="majorHAnsi" w:cstheme="majorBidi"/>
      <w:color w:val="1F4D78" w:themeColor="accent1" w:themeShade="7F"/>
      <w:lang w:eastAsia="es-ES_tradnl"/>
    </w:rPr>
  </w:style>
  <w:style w:type="paragraph" w:customStyle="1" w:styleId="parrafo">
    <w:name w:val="parrafo"/>
    <w:basedOn w:val="Normal"/>
    <w:rsid w:val="00D839B4"/>
    <w:pPr>
      <w:spacing w:before="100" w:beforeAutospacing="1" w:after="100" w:afterAutospacing="1"/>
    </w:pPr>
    <w:rPr>
      <w:rFonts w:eastAsia="Times New Roman"/>
      <w:lang w:val="es-CR" w:eastAsia="es-CR"/>
    </w:rPr>
  </w:style>
  <w:style w:type="character" w:styleId="Hipervnculo">
    <w:name w:val="Hyperlink"/>
    <w:basedOn w:val="Fuentedeprrafopredeter"/>
    <w:uiPriority w:val="99"/>
    <w:semiHidden/>
    <w:unhideWhenUsed/>
    <w:rsid w:val="008F0478"/>
    <w:rPr>
      <w:strike w:val="0"/>
      <w:dstrike w:val="0"/>
      <w:color w:val="0000FF"/>
      <w:u w:val="none"/>
      <w:effect w:val="none"/>
    </w:rPr>
  </w:style>
  <w:style w:type="paragraph" w:customStyle="1" w:styleId="Body">
    <w:name w:val="Body"/>
    <w:rsid w:val="00593CE3"/>
    <w:pPr>
      <w:pBdr>
        <w:top w:val="nil"/>
        <w:left w:val="nil"/>
        <w:bottom w:val="nil"/>
        <w:right w:val="nil"/>
        <w:between w:val="nil"/>
        <w:bar w:val="nil"/>
      </w:pBdr>
    </w:pPr>
    <w:rPr>
      <w:rFonts w:ascii="Times New Roman" w:eastAsia="Arial Unicode MS" w:hAnsi="Arial Unicode MS" w:cs="Arial Unicode MS"/>
      <w:color w:val="000000"/>
      <w:u w:color="000000"/>
      <w:bdr w:val="nil"/>
      <w:lang w:eastAsia="es-CR"/>
    </w:rPr>
  </w:style>
  <w:style w:type="character" w:customStyle="1" w:styleId="apple-tab-span">
    <w:name w:val="apple-tab-span"/>
    <w:basedOn w:val="Fuentedeprrafopredeter"/>
    <w:rsid w:val="00807C4E"/>
  </w:style>
  <w:style w:type="paragraph" w:customStyle="1" w:styleId="m-2144026813334014341default">
    <w:name w:val="m_-2144026813334014341default"/>
    <w:basedOn w:val="Normal"/>
    <w:rsid w:val="008004B8"/>
    <w:pPr>
      <w:spacing w:before="100" w:beforeAutospacing="1" w:after="100" w:afterAutospacing="1"/>
    </w:pPr>
    <w:rPr>
      <w:rFonts w:ascii="Calibri" w:hAnsi="Calibri" w:cs="Calibri"/>
      <w:sz w:val="22"/>
      <w:szCs w:val="22"/>
      <w:lang w:val="es-CR" w:eastAsia="es-CR"/>
    </w:rPr>
  </w:style>
  <w:style w:type="paragraph" w:customStyle="1" w:styleId="m4704641540610270771msolistparagraph">
    <w:name w:val="m_4704641540610270771msolistparagraph"/>
    <w:basedOn w:val="Normal"/>
    <w:rsid w:val="00B666CC"/>
    <w:pPr>
      <w:spacing w:before="100" w:beforeAutospacing="1" w:after="100" w:afterAutospacing="1"/>
    </w:pPr>
    <w:rPr>
      <w:rFonts w:ascii="Calibri" w:hAnsi="Calibri" w:cs="Calibri"/>
      <w:sz w:val="22"/>
      <w:szCs w:val="22"/>
      <w:lang w:val="es-CR" w:eastAsia="es-CR"/>
    </w:rPr>
  </w:style>
  <w:style w:type="paragraph" w:styleId="NormalWeb">
    <w:name w:val="Normal (Web)"/>
    <w:basedOn w:val="Normal"/>
    <w:uiPriority w:val="99"/>
    <w:unhideWhenUsed/>
    <w:rsid w:val="00D931C7"/>
    <w:pPr>
      <w:spacing w:before="100" w:beforeAutospacing="1" w:after="100" w:afterAutospacing="1"/>
    </w:pPr>
    <w:rPr>
      <w:lang w:val="es-CR" w:eastAsia="es-CR"/>
    </w:rPr>
  </w:style>
  <w:style w:type="paragraph" w:styleId="Sinespaciado">
    <w:name w:val="No Spacing"/>
    <w:uiPriority w:val="1"/>
    <w:qFormat/>
    <w:rsid w:val="002535A7"/>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397">
      <w:bodyDiv w:val="1"/>
      <w:marLeft w:val="0"/>
      <w:marRight w:val="0"/>
      <w:marTop w:val="0"/>
      <w:marBottom w:val="0"/>
      <w:divBdr>
        <w:top w:val="none" w:sz="0" w:space="0" w:color="auto"/>
        <w:left w:val="none" w:sz="0" w:space="0" w:color="auto"/>
        <w:bottom w:val="none" w:sz="0" w:space="0" w:color="auto"/>
        <w:right w:val="none" w:sz="0" w:space="0" w:color="auto"/>
      </w:divBdr>
    </w:div>
    <w:div w:id="19162734">
      <w:bodyDiv w:val="1"/>
      <w:marLeft w:val="0"/>
      <w:marRight w:val="0"/>
      <w:marTop w:val="0"/>
      <w:marBottom w:val="0"/>
      <w:divBdr>
        <w:top w:val="none" w:sz="0" w:space="0" w:color="auto"/>
        <w:left w:val="none" w:sz="0" w:space="0" w:color="auto"/>
        <w:bottom w:val="none" w:sz="0" w:space="0" w:color="auto"/>
        <w:right w:val="none" w:sz="0" w:space="0" w:color="auto"/>
      </w:divBdr>
    </w:div>
    <w:div w:id="27535195">
      <w:bodyDiv w:val="1"/>
      <w:marLeft w:val="0"/>
      <w:marRight w:val="0"/>
      <w:marTop w:val="0"/>
      <w:marBottom w:val="0"/>
      <w:divBdr>
        <w:top w:val="none" w:sz="0" w:space="0" w:color="auto"/>
        <w:left w:val="none" w:sz="0" w:space="0" w:color="auto"/>
        <w:bottom w:val="none" w:sz="0" w:space="0" w:color="auto"/>
        <w:right w:val="none" w:sz="0" w:space="0" w:color="auto"/>
      </w:divBdr>
    </w:div>
    <w:div w:id="33041239">
      <w:bodyDiv w:val="1"/>
      <w:marLeft w:val="0"/>
      <w:marRight w:val="0"/>
      <w:marTop w:val="0"/>
      <w:marBottom w:val="0"/>
      <w:divBdr>
        <w:top w:val="none" w:sz="0" w:space="0" w:color="auto"/>
        <w:left w:val="none" w:sz="0" w:space="0" w:color="auto"/>
        <w:bottom w:val="none" w:sz="0" w:space="0" w:color="auto"/>
        <w:right w:val="none" w:sz="0" w:space="0" w:color="auto"/>
      </w:divBdr>
    </w:div>
    <w:div w:id="109054414">
      <w:bodyDiv w:val="1"/>
      <w:marLeft w:val="0"/>
      <w:marRight w:val="0"/>
      <w:marTop w:val="0"/>
      <w:marBottom w:val="0"/>
      <w:divBdr>
        <w:top w:val="none" w:sz="0" w:space="0" w:color="auto"/>
        <w:left w:val="none" w:sz="0" w:space="0" w:color="auto"/>
        <w:bottom w:val="none" w:sz="0" w:space="0" w:color="auto"/>
        <w:right w:val="none" w:sz="0" w:space="0" w:color="auto"/>
      </w:divBdr>
      <w:divsChild>
        <w:div w:id="558592295">
          <w:marLeft w:val="0"/>
          <w:marRight w:val="0"/>
          <w:marTop w:val="0"/>
          <w:marBottom w:val="0"/>
          <w:divBdr>
            <w:top w:val="none" w:sz="0" w:space="0" w:color="auto"/>
            <w:left w:val="none" w:sz="0" w:space="0" w:color="auto"/>
            <w:bottom w:val="none" w:sz="0" w:space="0" w:color="auto"/>
            <w:right w:val="none" w:sz="0" w:space="0" w:color="auto"/>
          </w:divBdr>
          <w:divsChild>
            <w:div w:id="1917470646">
              <w:marLeft w:val="0"/>
              <w:marRight w:val="0"/>
              <w:marTop w:val="0"/>
              <w:marBottom w:val="0"/>
              <w:divBdr>
                <w:top w:val="none" w:sz="0" w:space="0" w:color="auto"/>
                <w:left w:val="none" w:sz="0" w:space="0" w:color="auto"/>
                <w:bottom w:val="none" w:sz="0" w:space="0" w:color="auto"/>
                <w:right w:val="none" w:sz="0" w:space="0" w:color="auto"/>
              </w:divBdr>
              <w:divsChild>
                <w:div w:id="1264537240">
                  <w:marLeft w:val="0"/>
                  <w:marRight w:val="0"/>
                  <w:marTop w:val="0"/>
                  <w:marBottom w:val="0"/>
                  <w:divBdr>
                    <w:top w:val="none" w:sz="0" w:space="0" w:color="auto"/>
                    <w:left w:val="none" w:sz="0" w:space="0" w:color="auto"/>
                    <w:bottom w:val="none" w:sz="0" w:space="0" w:color="auto"/>
                    <w:right w:val="none" w:sz="0" w:space="0" w:color="auto"/>
                  </w:divBdr>
                  <w:divsChild>
                    <w:div w:id="404648215">
                      <w:marLeft w:val="0"/>
                      <w:marRight w:val="0"/>
                      <w:marTop w:val="0"/>
                      <w:marBottom w:val="0"/>
                      <w:divBdr>
                        <w:top w:val="none" w:sz="0" w:space="0" w:color="auto"/>
                        <w:left w:val="none" w:sz="0" w:space="0" w:color="auto"/>
                        <w:bottom w:val="none" w:sz="0" w:space="0" w:color="auto"/>
                        <w:right w:val="none" w:sz="0" w:space="0" w:color="auto"/>
                      </w:divBdr>
                    </w:div>
                    <w:div w:id="934627923">
                      <w:marLeft w:val="0"/>
                      <w:marRight w:val="0"/>
                      <w:marTop w:val="0"/>
                      <w:marBottom w:val="0"/>
                      <w:divBdr>
                        <w:top w:val="none" w:sz="0" w:space="0" w:color="auto"/>
                        <w:left w:val="none" w:sz="0" w:space="0" w:color="auto"/>
                        <w:bottom w:val="none" w:sz="0" w:space="0" w:color="auto"/>
                        <w:right w:val="none" w:sz="0" w:space="0" w:color="auto"/>
                      </w:divBdr>
                    </w:div>
                    <w:div w:id="18314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597">
      <w:bodyDiv w:val="1"/>
      <w:marLeft w:val="0"/>
      <w:marRight w:val="0"/>
      <w:marTop w:val="0"/>
      <w:marBottom w:val="0"/>
      <w:divBdr>
        <w:top w:val="none" w:sz="0" w:space="0" w:color="auto"/>
        <w:left w:val="none" w:sz="0" w:space="0" w:color="auto"/>
        <w:bottom w:val="none" w:sz="0" w:space="0" w:color="auto"/>
        <w:right w:val="none" w:sz="0" w:space="0" w:color="auto"/>
      </w:divBdr>
    </w:div>
    <w:div w:id="126776339">
      <w:bodyDiv w:val="1"/>
      <w:marLeft w:val="0"/>
      <w:marRight w:val="0"/>
      <w:marTop w:val="0"/>
      <w:marBottom w:val="0"/>
      <w:divBdr>
        <w:top w:val="none" w:sz="0" w:space="0" w:color="auto"/>
        <w:left w:val="none" w:sz="0" w:space="0" w:color="auto"/>
        <w:bottom w:val="none" w:sz="0" w:space="0" w:color="auto"/>
        <w:right w:val="none" w:sz="0" w:space="0" w:color="auto"/>
      </w:divBdr>
    </w:div>
    <w:div w:id="127628785">
      <w:bodyDiv w:val="1"/>
      <w:marLeft w:val="0"/>
      <w:marRight w:val="0"/>
      <w:marTop w:val="0"/>
      <w:marBottom w:val="0"/>
      <w:divBdr>
        <w:top w:val="none" w:sz="0" w:space="0" w:color="auto"/>
        <w:left w:val="none" w:sz="0" w:space="0" w:color="auto"/>
        <w:bottom w:val="none" w:sz="0" w:space="0" w:color="auto"/>
        <w:right w:val="none" w:sz="0" w:space="0" w:color="auto"/>
      </w:divBdr>
    </w:div>
    <w:div w:id="131336633">
      <w:bodyDiv w:val="1"/>
      <w:marLeft w:val="0"/>
      <w:marRight w:val="0"/>
      <w:marTop w:val="0"/>
      <w:marBottom w:val="0"/>
      <w:divBdr>
        <w:top w:val="none" w:sz="0" w:space="0" w:color="auto"/>
        <w:left w:val="none" w:sz="0" w:space="0" w:color="auto"/>
        <w:bottom w:val="none" w:sz="0" w:space="0" w:color="auto"/>
        <w:right w:val="none" w:sz="0" w:space="0" w:color="auto"/>
      </w:divBdr>
    </w:div>
    <w:div w:id="219753175">
      <w:bodyDiv w:val="1"/>
      <w:marLeft w:val="0"/>
      <w:marRight w:val="0"/>
      <w:marTop w:val="0"/>
      <w:marBottom w:val="0"/>
      <w:divBdr>
        <w:top w:val="none" w:sz="0" w:space="0" w:color="auto"/>
        <w:left w:val="none" w:sz="0" w:space="0" w:color="auto"/>
        <w:bottom w:val="none" w:sz="0" w:space="0" w:color="auto"/>
        <w:right w:val="none" w:sz="0" w:space="0" w:color="auto"/>
      </w:divBdr>
    </w:div>
    <w:div w:id="225117149">
      <w:bodyDiv w:val="1"/>
      <w:marLeft w:val="0"/>
      <w:marRight w:val="0"/>
      <w:marTop w:val="0"/>
      <w:marBottom w:val="0"/>
      <w:divBdr>
        <w:top w:val="none" w:sz="0" w:space="0" w:color="auto"/>
        <w:left w:val="none" w:sz="0" w:space="0" w:color="auto"/>
        <w:bottom w:val="none" w:sz="0" w:space="0" w:color="auto"/>
        <w:right w:val="none" w:sz="0" w:space="0" w:color="auto"/>
      </w:divBdr>
    </w:div>
    <w:div w:id="323166989">
      <w:bodyDiv w:val="1"/>
      <w:marLeft w:val="0"/>
      <w:marRight w:val="0"/>
      <w:marTop w:val="0"/>
      <w:marBottom w:val="0"/>
      <w:divBdr>
        <w:top w:val="none" w:sz="0" w:space="0" w:color="auto"/>
        <w:left w:val="none" w:sz="0" w:space="0" w:color="auto"/>
        <w:bottom w:val="none" w:sz="0" w:space="0" w:color="auto"/>
        <w:right w:val="none" w:sz="0" w:space="0" w:color="auto"/>
      </w:divBdr>
    </w:div>
    <w:div w:id="348142394">
      <w:bodyDiv w:val="1"/>
      <w:marLeft w:val="0"/>
      <w:marRight w:val="0"/>
      <w:marTop w:val="0"/>
      <w:marBottom w:val="0"/>
      <w:divBdr>
        <w:top w:val="none" w:sz="0" w:space="0" w:color="auto"/>
        <w:left w:val="none" w:sz="0" w:space="0" w:color="auto"/>
        <w:bottom w:val="none" w:sz="0" w:space="0" w:color="auto"/>
        <w:right w:val="none" w:sz="0" w:space="0" w:color="auto"/>
      </w:divBdr>
    </w:div>
    <w:div w:id="376662762">
      <w:bodyDiv w:val="1"/>
      <w:marLeft w:val="0"/>
      <w:marRight w:val="0"/>
      <w:marTop w:val="0"/>
      <w:marBottom w:val="0"/>
      <w:divBdr>
        <w:top w:val="none" w:sz="0" w:space="0" w:color="auto"/>
        <w:left w:val="none" w:sz="0" w:space="0" w:color="auto"/>
        <w:bottom w:val="none" w:sz="0" w:space="0" w:color="auto"/>
        <w:right w:val="none" w:sz="0" w:space="0" w:color="auto"/>
      </w:divBdr>
      <w:divsChild>
        <w:div w:id="710157275">
          <w:marLeft w:val="0"/>
          <w:marRight w:val="0"/>
          <w:marTop w:val="720"/>
          <w:marBottom w:val="720"/>
          <w:divBdr>
            <w:top w:val="none" w:sz="0" w:space="0" w:color="auto"/>
            <w:left w:val="none" w:sz="0" w:space="0" w:color="auto"/>
            <w:bottom w:val="none" w:sz="0" w:space="0" w:color="auto"/>
            <w:right w:val="none" w:sz="0" w:space="0" w:color="auto"/>
          </w:divBdr>
          <w:divsChild>
            <w:div w:id="479733106">
              <w:marLeft w:val="0"/>
              <w:marRight w:val="0"/>
              <w:marTop w:val="0"/>
              <w:marBottom w:val="0"/>
              <w:divBdr>
                <w:top w:val="none" w:sz="0" w:space="0" w:color="auto"/>
                <w:left w:val="none" w:sz="0" w:space="0" w:color="auto"/>
                <w:bottom w:val="none" w:sz="0" w:space="0" w:color="auto"/>
                <w:right w:val="none" w:sz="0" w:space="0" w:color="auto"/>
              </w:divBdr>
              <w:divsChild>
                <w:div w:id="57235142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392430517">
      <w:bodyDiv w:val="1"/>
      <w:marLeft w:val="0"/>
      <w:marRight w:val="0"/>
      <w:marTop w:val="0"/>
      <w:marBottom w:val="0"/>
      <w:divBdr>
        <w:top w:val="none" w:sz="0" w:space="0" w:color="auto"/>
        <w:left w:val="none" w:sz="0" w:space="0" w:color="auto"/>
        <w:bottom w:val="none" w:sz="0" w:space="0" w:color="auto"/>
        <w:right w:val="none" w:sz="0" w:space="0" w:color="auto"/>
      </w:divBdr>
    </w:div>
    <w:div w:id="425005206">
      <w:bodyDiv w:val="1"/>
      <w:marLeft w:val="0"/>
      <w:marRight w:val="0"/>
      <w:marTop w:val="0"/>
      <w:marBottom w:val="0"/>
      <w:divBdr>
        <w:top w:val="none" w:sz="0" w:space="0" w:color="auto"/>
        <w:left w:val="none" w:sz="0" w:space="0" w:color="auto"/>
        <w:bottom w:val="none" w:sz="0" w:space="0" w:color="auto"/>
        <w:right w:val="none" w:sz="0" w:space="0" w:color="auto"/>
      </w:divBdr>
    </w:div>
    <w:div w:id="440612389">
      <w:bodyDiv w:val="1"/>
      <w:marLeft w:val="0"/>
      <w:marRight w:val="0"/>
      <w:marTop w:val="0"/>
      <w:marBottom w:val="0"/>
      <w:divBdr>
        <w:top w:val="none" w:sz="0" w:space="0" w:color="auto"/>
        <w:left w:val="none" w:sz="0" w:space="0" w:color="auto"/>
        <w:bottom w:val="none" w:sz="0" w:space="0" w:color="auto"/>
        <w:right w:val="none" w:sz="0" w:space="0" w:color="auto"/>
      </w:divBdr>
    </w:div>
    <w:div w:id="483936305">
      <w:bodyDiv w:val="1"/>
      <w:marLeft w:val="0"/>
      <w:marRight w:val="0"/>
      <w:marTop w:val="0"/>
      <w:marBottom w:val="0"/>
      <w:divBdr>
        <w:top w:val="none" w:sz="0" w:space="0" w:color="auto"/>
        <w:left w:val="none" w:sz="0" w:space="0" w:color="auto"/>
        <w:bottom w:val="none" w:sz="0" w:space="0" w:color="auto"/>
        <w:right w:val="none" w:sz="0" w:space="0" w:color="auto"/>
      </w:divBdr>
    </w:div>
    <w:div w:id="498081493">
      <w:bodyDiv w:val="1"/>
      <w:marLeft w:val="0"/>
      <w:marRight w:val="0"/>
      <w:marTop w:val="0"/>
      <w:marBottom w:val="0"/>
      <w:divBdr>
        <w:top w:val="none" w:sz="0" w:space="0" w:color="auto"/>
        <w:left w:val="none" w:sz="0" w:space="0" w:color="auto"/>
        <w:bottom w:val="none" w:sz="0" w:space="0" w:color="auto"/>
        <w:right w:val="none" w:sz="0" w:space="0" w:color="auto"/>
      </w:divBdr>
    </w:div>
    <w:div w:id="525758218">
      <w:bodyDiv w:val="1"/>
      <w:marLeft w:val="0"/>
      <w:marRight w:val="0"/>
      <w:marTop w:val="0"/>
      <w:marBottom w:val="0"/>
      <w:divBdr>
        <w:top w:val="none" w:sz="0" w:space="0" w:color="auto"/>
        <w:left w:val="none" w:sz="0" w:space="0" w:color="auto"/>
        <w:bottom w:val="none" w:sz="0" w:space="0" w:color="auto"/>
        <w:right w:val="none" w:sz="0" w:space="0" w:color="auto"/>
      </w:divBdr>
    </w:div>
    <w:div w:id="582419753">
      <w:bodyDiv w:val="1"/>
      <w:marLeft w:val="0"/>
      <w:marRight w:val="0"/>
      <w:marTop w:val="0"/>
      <w:marBottom w:val="0"/>
      <w:divBdr>
        <w:top w:val="none" w:sz="0" w:space="0" w:color="auto"/>
        <w:left w:val="none" w:sz="0" w:space="0" w:color="auto"/>
        <w:bottom w:val="none" w:sz="0" w:space="0" w:color="auto"/>
        <w:right w:val="none" w:sz="0" w:space="0" w:color="auto"/>
      </w:divBdr>
    </w:div>
    <w:div w:id="711611350">
      <w:bodyDiv w:val="1"/>
      <w:marLeft w:val="0"/>
      <w:marRight w:val="0"/>
      <w:marTop w:val="0"/>
      <w:marBottom w:val="0"/>
      <w:divBdr>
        <w:top w:val="none" w:sz="0" w:space="0" w:color="auto"/>
        <w:left w:val="none" w:sz="0" w:space="0" w:color="auto"/>
        <w:bottom w:val="none" w:sz="0" w:space="0" w:color="auto"/>
        <w:right w:val="none" w:sz="0" w:space="0" w:color="auto"/>
      </w:divBdr>
    </w:div>
    <w:div w:id="793643484">
      <w:bodyDiv w:val="1"/>
      <w:marLeft w:val="0"/>
      <w:marRight w:val="0"/>
      <w:marTop w:val="0"/>
      <w:marBottom w:val="0"/>
      <w:divBdr>
        <w:top w:val="none" w:sz="0" w:space="0" w:color="auto"/>
        <w:left w:val="none" w:sz="0" w:space="0" w:color="auto"/>
        <w:bottom w:val="none" w:sz="0" w:space="0" w:color="auto"/>
        <w:right w:val="none" w:sz="0" w:space="0" w:color="auto"/>
      </w:divBdr>
    </w:div>
    <w:div w:id="809633104">
      <w:bodyDiv w:val="1"/>
      <w:marLeft w:val="0"/>
      <w:marRight w:val="0"/>
      <w:marTop w:val="0"/>
      <w:marBottom w:val="0"/>
      <w:divBdr>
        <w:top w:val="none" w:sz="0" w:space="0" w:color="auto"/>
        <w:left w:val="none" w:sz="0" w:space="0" w:color="auto"/>
        <w:bottom w:val="none" w:sz="0" w:space="0" w:color="auto"/>
        <w:right w:val="none" w:sz="0" w:space="0" w:color="auto"/>
      </w:divBdr>
    </w:div>
    <w:div w:id="828908247">
      <w:bodyDiv w:val="1"/>
      <w:marLeft w:val="0"/>
      <w:marRight w:val="0"/>
      <w:marTop w:val="0"/>
      <w:marBottom w:val="0"/>
      <w:divBdr>
        <w:top w:val="none" w:sz="0" w:space="0" w:color="auto"/>
        <w:left w:val="none" w:sz="0" w:space="0" w:color="auto"/>
        <w:bottom w:val="none" w:sz="0" w:space="0" w:color="auto"/>
        <w:right w:val="none" w:sz="0" w:space="0" w:color="auto"/>
      </w:divBdr>
      <w:divsChild>
        <w:div w:id="520321220">
          <w:marLeft w:val="0"/>
          <w:marRight w:val="0"/>
          <w:marTop w:val="720"/>
          <w:marBottom w:val="720"/>
          <w:divBdr>
            <w:top w:val="none" w:sz="0" w:space="0" w:color="auto"/>
            <w:left w:val="none" w:sz="0" w:space="0" w:color="auto"/>
            <w:bottom w:val="none" w:sz="0" w:space="0" w:color="auto"/>
            <w:right w:val="none" w:sz="0" w:space="0" w:color="auto"/>
          </w:divBdr>
          <w:divsChild>
            <w:div w:id="1448700115">
              <w:marLeft w:val="0"/>
              <w:marRight w:val="0"/>
              <w:marTop w:val="0"/>
              <w:marBottom w:val="0"/>
              <w:divBdr>
                <w:top w:val="none" w:sz="0" w:space="0" w:color="auto"/>
                <w:left w:val="none" w:sz="0" w:space="0" w:color="auto"/>
                <w:bottom w:val="none" w:sz="0" w:space="0" w:color="auto"/>
                <w:right w:val="none" w:sz="0" w:space="0" w:color="auto"/>
              </w:divBdr>
              <w:divsChild>
                <w:div w:id="62601251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840512047">
      <w:bodyDiv w:val="1"/>
      <w:marLeft w:val="0"/>
      <w:marRight w:val="0"/>
      <w:marTop w:val="0"/>
      <w:marBottom w:val="0"/>
      <w:divBdr>
        <w:top w:val="none" w:sz="0" w:space="0" w:color="auto"/>
        <w:left w:val="none" w:sz="0" w:space="0" w:color="auto"/>
        <w:bottom w:val="none" w:sz="0" w:space="0" w:color="auto"/>
        <w:right w:val="none" w:sz="0" w:space="0" w:color="auto"/>
      </w:divBdr>
    </w:div>
    <w:div w:id="885218065">
      <w:bodyDiv w:val="1"/>
      <w:marLeft w:val="0"/>
      <w:marRight w:val="0"/>
      <w:marTop w:val="0"/>
      <w:marBottom w:val="0"/>
      <w:divBdr>
        <w:top w:val="none" w:sz="0" w:space="0" w:color="auto"/>
        <w:left w:val="none" w:sz="0" w:space="0" w:color="auto"/>
        <w:bottom w:val="none" w:sz="0" w:space="0" w:color="auto"/>
        <w:right w:val="none" w:sz="0" w:space="0" w:color="auto"/>
      </w:divBdr>
    </w:div>
    <w:div w:id="977344816">
      <w:bodyDiv w:val="1"/>
      <w:marLeft w:val="0"/>
      <w:marRight w:val="0"/>
      <w:marTop w:val="0"/>
      <w:marBottom w:val="0"/>
      <w:divBdr>
        <w:top w:val="none" w:sz="0" w:space="0" w:color="auto"/>
        <w:left w:val="none" w:sz="0" w:space="0" w:color="auto"/>
        <w:bottom w:val="none" w:sz="0" w:space="0" w:color="auto"/>
        <w:right w:val="none" w:sz="0" w:space="0" w:color="auto"/>
      </w:divBdr>
    </w:div>
    <w:div w:id="980158446">
      <w:bodyDiv w:val="1"/>
      <w:marLeft w:val="0"/>
      <w:marRight w:val="0"/>
      <w:marTop w:val="0"/>
      <w:marBottom w:val="0"/>
      <w:divBdr>
        <w:top w:val="none" w:sz="0" w:space="0" w:color="auto"/>
        <w:left w:val="none" w:sz="0" w:space="0" w:color="auto"/>
        <w:bottom w:val="none" w:sz="0" w:space="0" w:color="auto"/>
        <w:right w:val="none" w:sz="0" w:space="0" w:color="auto"/>
      </w:divBdr>
      <w:divsChild>
        <w:div w:id="2093432318">
          <w:marLeft w:val="0"/>
          <w:marRight w:val="0"/>
          <w:marTop w:val="0"/>
          <w:marBottom w:val="0"/>
          <w:divBdr>
            <w:top w:val="none" w:sz="0" w:space="0" w:color="auto"/>
            <w:left w:val="none" w:sz="0" w:space="0" w:color="auto"/>
            <w:bottom w:val="none" w:sz="0" w:space="0" w:color="auto"/>
            <w:right w:val="none" w:sz="0" w:space="0" w:color="auto"/>
          </w:divBdr>
          <w:divsChild>
            <w:div w:id="6178276">
              <w:marLeft w:val="0"/>
              <w:marRight w:val="0"/>
              <w:marTop w:val="0"/>
              <w:marBottom w:val="0"/>
              <w:divBdr>
                <w:top w:val="none" w:sz="0" w:space="0" w:color="auto"/>
                <w:left w:val="none" w:sz="0" w:space="0" w:color="auto"/>
                <w:bottom w:val="none" w:sz="0" w:space="0" w:color="auto"/>
                <w:right w:val="none" w:sz="0" w:space="0" w:color="auto"/>
              </w:divBdr>
              <w:divsChild>
                <w:div w:id="426313741">
                  <w:marLeft w:val="0"/>
                  <w:marRight w:val="0"/>
                  <w:marTop w:val="0"/>
                  <w:marBottom w:val="0"/>
                  <w:divBdr>
                    <w:top w:val="none" w:sz="0" w:space="0" w:color="auto"/>
                    <w:left w:val="none" w:sz="0" w:space="0" w:color="auto"/>
                    <w:bottom w:val="none" w:sz="0" w:space="0" w:color="auto"/>
                    <w:right w:val="none" w:sz="0" w:space="0" w:color="auto"/>
                  </w:divBdr>
                  <w:divsChild>
                    <w:div w:id="1029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169684">
      <w:bodyDiv w:val="1"/>
      <w:marLeft w:val="0"/>
      <w:marRight w:val="0"/>
      <w:marTop w:val="0"/>
      <w:marBottom w:val="0"/>
      <w:divBdr>
        <w:top w:val="none" w:sz="0" w:space="0" w:color="auto"/>
        <w:left w:val="none" w:sz="0" w:space="0" w:color="auto"/>
        <w:bottom w:val="none" w:sz="0" w:space="0" w:color="auto"/>
        <w:right w:val="none" w:sz="0" w:space="0" w:color="auto"/>
      </w:divBdr>
    </w:div>
    <w:div w:id="1046442304">
      <w:bodyDiv w:val="1"/>
      <w:marLeft w:val="0"/>
      <w:marRight w:val="0"/>
      <w:marTop w:val="0"/>
      <w:marBottom w:val="0"/>
      <w:divBdr>
        <w:top w:val="none" w:sz="0" w:space="0" w:color="auto"/>
        <w:left w:val="none" w:sz="0" w:space="0" w:color="auto"/>
        <w:bottom w:val="none" w:sz="0" w:space="0" w:color="auto"/>
        <w:right w:val="none" w:sz="0" w:space="0" w:color="auto"/>
      </w:divBdr>
    </w:div>
    <w:div w:id="1052117603">
      <w:bodyDiv w:val="1"/>
      <w:marLeft w:val="0"/>
      <w:marRight w:val="0"/>
      <w:marTop w:val="0"/>
      <w:marBottom w:val="0"/>
      <w:divBdr>
        <w:top w:val="none" w:sz="0" w:space="0" w:color="auto"/>
        <w:left w:val="none" w:sz="0" w:space="0" w:color="auto"/>
        <w:bottom w:val="none" w:sz="0" w:space="0" w:color="auto"/>
        <w:right w:val="none" w:sz="0" w:space="0" w:color="auto"/>
      </w:divBdr>
    </w:div>
    <w:div w:id="1111314047">
      <w:bodyDiv w:val="1"/>
      <w:marLeft w:val="0"/>
      <w:marRight w:val="0"/>
      <w:marTop w:val="0"/>
      <w:marBottom w:val="0"/>
      <w:divBdr>
        <w:top w:val="none" w:sz="0" w:space="0" w:color="auto"/>
        <w:left w:val="none" w:sz="0" w:space="0" w:color="auto"/>
        <w:bottom w:val="none" w:sz="0" w:space="0" w:color="auto"/>
        <w:right w:val="none" w:sz="0" w:space="0" w:color="auto"/>
      </w:divBdr>
    </w:div>
    <w:div w:id="1234506980">
      <w:bodyDiv w:val="1"/>
      <w:marLeft w:val="0"/>
      <w:marRight w:val="0"/>
      <w:marTop w:val="0"/>
      <w:marBottom w:val="0"/>
      <w:divBdr>
        <w:top w:val="none" w:sz="0" w:space="0" w:color="auto"/>
        <w:left w:val="none" w:sz="0" w:space="0" w:color="auto"/>
        <w:bottom w:val="none" w:sz="0" w:space="0" w:color="auto"/>
        <w:right w:val="none" w:sz="0" w:space="0" w:color="auto"/>
      </w:divBdr>
      <w:divsChild>
        <w:div w:id="1107312506">
          <w:marLeft w:val="0"/>
          <w:marRight w:val="0"/>
          <w:marTop w:val="0"/>
          <w:marBottom w:val="0"/>
          <w:divBdr>
            <w:top w:val="none" w:sz="0" w:space="0" w:color="auto"/>
            <w:left w:val="none" w:sz="0" w:space="0" w:color="auto"/>
            <w:bottom w:val="none" w:sz="0" w:space="0" w:color="auto"/>
            <w:right w:val="none" w:sz="0" w:space="0" w:color="auto"/>
          </w:divBdr>
          <w:divsChild>
            <w:div w:id="1511606166">
              <w:marLeft w:val="0"/>
              <w:marRight w:val="0"/>
              <w:marTop w:val="0"/>
              <w:marBottom w:val="0"/>
              <w:divBdr>
                <w:top w:val="none" w:sz="0" w:space="0" w:color="auto"/>
                <w:left w:val="none" w:sz="0" w:space="0" w:color="auto"/>
                <w:bottom w:val="none" w:sz="0" w:space="0" w:color="auto"/>
                <w:right w:val="none" w:sz="0" w:space="0" w:color="auto"/>
              </w:divBdr>
              <w:divsChild>
                <w:div w:id="554242678">
                  <w:marLeft w:val="0"/>
                  <w:marRight w:val="0"/>
                  <w:marTop w:val="0"/>
                  <w:marBottom w:val="0"/>
                  <w:divBdr>
                    <w:top w:val="none" w:sz="0" w:space="0" w:color="auto"/>
                    <w:left w:val="none" w:sz="0" w:space="0" w:color="auto"/>
                    <w:bottom w:val="none" w:sz="0" w:space="0" w:color="auto"/>
                    <w:right w:val="none" w:sz="0" w:space="0" w:color="auto"/>
                  </w:divBdr>
                  <w:divsChild>
                    <w:div w:id="27877263">
                      <w:marLeft w:val="0"/>
                      <w:marRight w:val="0"/>
                      <w:marTop w:val="0"/>
                      <w:marBottom w:val="0"/>
                      <w:divBdr>
                        <w:top w:val="none" w:sz="0" w:space="0" w:color="auto"/>
                        <w:left w:val="none" w:sz="0" w:space="0" w:color="auto"/>
                        <w:bottom w:val="none" w:sz="0" w:space="0" w:color="auto"/>
                        <w:right w:val="none" w:sz="0" w:space="0" w:color="auto"/>
                      </w:divBdr>
                    </w:div>
                    <w:div w:id="478883207">
                      <w:marLeft w:val="0"/>
                      <w:marRight w:val="0"/>
                      <w:marTop w:val="0"/>
                      <w:marBottom w:val="0"/>
                      <w:divBdr>
                        <w:top w:val="none" w:sz="0" w:space="0" w:color="auto"/>
                        <w:left w:val="none" w:sz="0" w:space="0" w:color="auto"/>
                        <w:bottom w:val="none" w:sz="0" w:space="0" w:color="auto"/>
                        <w:right w:val="none" w:sz="0" w:space="0" w:color="auto"/>
                      </w:divBdr>
                    </w:div>
                    <w:div w:id="547036315">
                      <w:marLeft w:val="0"/>
                      <w:marRight w:val="0"/>
                      <w:marTop w:val="0"/>
                      <w:marBottom w:val="0"/>
                      <w:divBdr>
                        <w:top w:val="none" w:sz="0" w:space="0" w:color="auto"/>
                        <w:left w:val="none" w:sz="0" w:space="0" w:color="auto"/>
                        <w:bottom w:val="none" w:sz="0" w:space="0" w:color="auto"/>
                        <w:right w:val="none" w:sz="0" w:space="0" w:color="auto"/>
                      </w:divBdr>
                    </w:div>
                    <w:div w:id="1287463762">
                      <w:marLeft w:val="0"/>
                      <w:marRight w:val="0"/>
                      <w:marTop w:val="0"/>
                      <w:marBottom w:val="0"/>
                      <w:divBdr>
                        <w:top w:val="none" w:sz="0" w:space="0" w:color="auto"/>
                        <w:left w:val="none" w:sz="0" w:space="0" w:color="auto"/>
                        <w:bottom w:val="none" w:sz="0" w:space="0" w:color="auto"/>
                        <w:right w:val="none" w:sz="0" w:space="0" w:color="auto"/>
                      </w:divBdr>
                    </w:div>
                    <w:div w:id="13238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8251">
      <w:bodyDiv w:val="1"/>
      <w:marLeft w:val="0"/>
      <w:marRight w:val="0"/>
      <w:marTop w:val="0"/>
      <w:marBottom w:val="0"/>
      <w:divBdr>
        <w:top w:val="none" w:sz="0" w:space="0" w:color="auto"/>
        <w:left w:val="none" w:sz="0" w:space="0" w:color="auto"/>
        <w:bottom w:val="none" w:sz="0" w:space="0" w:color="auto"/>
        <w:right w:val="none" w:sz="0" w:space="0" w:color="auto"/>
      </w:divBdr>
    </w:div>
    <w:div w:id="1275482080">
      <w:bodyDiv w:val="1"/>
      <w:marLeft w:val="0"/>
      <w:marRight w:val="0"/>
      <w:marTop w:val="0"/>
      <w:marBottom w:val="0"/>
      <w:divBdr>
        <w:top w:val="none" w:sz="0" w:space="0" w:color="auto"/>
        <w:left w:val="none" w:sz="0" w:space="0" w:color="auto"/>
        <w:bottom w:val="none" w:sz="0" w:space="0" w:color="auto"/>
        <w:right w:val="none" w:sz="0" w:space="0" w:color="auto"/>
      </w:divBdr>
    </w:div>
    <w:div w:id="1279869366">
      <w:bodyDiv w:val="1"/>
      <w:marLeft w:val="0"/>
      <w:marRight w:val="0"/>
      <w:marTop w:val="0"/>
      <w:marBottom w:val="0"/>
      <w:divBdr>
        <w:top w:val="none" w:sz="0" w:space="0" w:color="auto"/>
        <w:left w:val="none" w:sz="0" w:space="0" w:color="auto"/>
        <w:bottom w:val="none" w:sz="0" w:space="0" w:color="auto"/>
        <w:right w:val="none" w:sz="0" w:space="0" w:color="auto"/>
      </w:divBdr>
    </w:div>
    <w:div w:id="1299722468">
      <w:bodyDiv w:val="1"/>
      <w:marLeft w:val="0"/>
      <w:marRight w:val="0"/>
      <w:marTop w:val="0"/>
      <w:marBottom w:val="0"/>
      <w:divBdr>
        <w:top w:val="none" w:sz="0" w:space="0" w:color="auto"/>
        <w:left w:val="none" w:sz="0" w:space="0" w:color="auto"/>
        <w:bottom w:val="none" w:sz="0" w:space="0" w:color="auto"/>
        <w:right w:val="none" w:sz="0" w:space="0" w:color="auto"/>
      </w:divBdr>
    </w:div>
    <w:div w:id="1328023663">
      <w:bodyDiv w:val="1"/>
      <w:marLeft w:val="0"/>
      <w:marRight w:val="0"/>
      <w:marTop w:val="0"/>
      <w:marBottom w:val="0"/>
      <w:divBdr>
        <w:top w:val="none" w:sz="0" w:space="0" w:color="auto"/>
        <w:left w:val="none" w:sz="0" w:space="0" w:color="auto"/>
        <w:bottom w:val="none" w:sz="0" w:space="0" w:color="auto"/>
        <w:right w:val="none" w:sz="0" w:space="0" w:color="auto"/>
      </w:divBdr>
    </w:div>
    <w:div w:id="1334458631">
      <w:bodyDiv w:val="1"/>
      <w:marLeft w:val="0"/>
      <w:marRight w:val="0"/>
      <w:marTop w:val="0"/>
      <w:marBottom w:val="0"/>
      <w:divBdr>
        <w:top w:val="none" w:sz="0" w:space="0" w:color="auto"/>
        <w:left w:val="none" w:sz="0" w:space="0" w:color="auto"/>
        <w:bottom w:val="none" w:sz="0" w:space="0" w:color="auto"/>
        <w:right w:val="none" w:sz="0" w:space="0" w:color="auto"/>
      </w:divBdr>
    </w:div>
    <w:div w:id="1335378352">
      <w:bodyDiv w:val="1"/>
      <w:marLeft w:val="0"/>
      <w:marRight w:val="0"/>
      <w:marTop w:val="0"/>
      <w:marBottom w:val="0"/>
      <w:divBdr>
        <w:top w:val="none" w:sz="0" w:space="0" w:color="auto"/>
        <w:left w:val="none" w:sz="0" w:space="0" w:color="auto"/>
        <w:bottom w:val="none" w:sz="0" w:space="0" w:color="auto"/>
        <w:right w:val="none" w:sz="0" w:space="0" w:color="auto"/>
      </w:divBdr>
    </w:div>
    <w:div w:id="1390349045">
      <w:bodyDiv w:val="1"/>
      <w:marLeft w:val="0"/>
      <w:marRight w:val="0"/>
      <w:marTop w:val="0"/>
      <w:marBottom w:val="0"/>
      <w:divBdr>
        <w:top w:val="none" w:sz="0" w:space="0" w:color="auto"/>
        <w:left w:val="none" w:sz="0" w:space="0" w:color="auto"/>
        <w:bottom w:val="none" w:sz="0" w:space="0" w:color="auto"/>
        <w:right w:val="none" w:sz="0" w:space="0" w:color="auto"/>
      </w:divBdr>
    </w:div>
    <w:div w:id="1403916904">
      <w:bodyDiv w:val="1"/>
      <w:marLeft w:val="0"/>
      <w:marRight w:val="0"/>
      <w:marTop w:val="0"/>
      <w:marBottom w:val="0"/>
      <w:divBdr>
        <w:top w:val="none" w:sz="0" w:space="0" w:color="auto"/>
        <w:left w:val="none" w:sz="0" w:space="0" w:color="auto"/>
        <w:bottom w:val="none" w:sz="0" w:space="0" w:color="auto"/>
        <w:right w:val="none" w:sz="0" w:space="0" w:color="auto"/>
      </w:divBdr>
    </w:div>
    <w:div w:id="1460762522">
      <w:bodyDiv w:val="1"/>
      <w:marLeft w:val="0"/>
      <w:marRight w:val="0"/>
      <w:marTop w:val="0"/>
      <w:marBottom w:val="0"/>
      <w:divBdr>
        <w:top w:val="none" w:sz="0" w:space="0" w:color="auto"/>
        <w:left w:val="none" w:sz="0" w:space="0" w:color="auto"/>
        <w:bottom w:val="none" w:sz="0" w:space="0" w:color="auto"/>
        <w:right w:val="none" w:sz="0" w:space="0" w:color="auto"/>
      </w:divBdr>
    </w:div>
    <w:div w:id="1473016635">
      <w:bodyDiv w:val="1"/>
      <w:marLeft w:val="0"/>
      <w:marRight w:val="0"/>
      <w:marTop w:val="0"/>
      <w:marBottom w:val="0"/>
      <w:divBdr>
        <w:top w:val="none" w:sz="0" w:space="0" w:color="auto"/>
        <w:left w:val="none" w:sz="0" w:space="0" w:color="auto"/>
        <w:bottom w:val="none" w:sz="0" w:space="0" w:color="auto"/>
        <w:right w:val="none" w:sz="0" w:space="0" w:color="auto"/>
      </w:divBdr>
      <w:divsChild>
        <w:div w:id="1842964022">
          <w:marLeft w:val="0"/>
          <w:marRight w:val="0"/>
          <w:marTop w:val="720"/>
          <w:marBottom w:val="720"/>
          <w:divBdr>
            <w:top w:val="none" w:sz="0" w:space="0" w:color="auto"/>
            <w:left w:val="none" w:sz="0" w:space="0" w:color="auto"/>
            <w:bottom w:val="none" w:sz="0" w:space="0" w:color="auto"/>
            <w:right w:val="none" w:sz="0" w:space="0" w:color="auto"/>
          </w:divBdr>
          <w:divsChild>
            <w:div w:id="1602567769">
              <w:marLeft w:val="0"/>
              <w:marRight w:val="0"/>
              <w:marTop w:val="0"/>
              <w:marBottom w:val="0"/>
              <w:divBdr>
                <w:top w:val="none" w:sz="0" w:space="0" w:color="auto"/>
                <w:left w:val="none" w:sz="0" w:space="0" w:color="auto"/>
                <w:bottom w:val="none" w:sz="0" w:space="0" w:color="auto"/>
                <w:right w:val="none" w:sz="0" w:space="0" w:color="auto"/>
              </w:divBdr>
              <w:divsChild>
                <w:div w:id="381751359">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490825489">
      <w:bodyDiv w:val="1"/>
      <w:marLeft w:val="0"/>
      <w:marRight w:val="0"/>
      <w:marTop w:val="0"/>
      <w:marBottom w:val="0"/>
      <w:divBdr>
        <w:top w:val="none" w:sz="0" w:space="0" w:color="auto"/>
        <w:left w:val="none" w:sz="0" w:space="0" w:color="auto"/>
        <w:bottom w:val="none" w:sz="0" w:space="0" w:color="auto"/>
        <w:right w:val="none" w:sz="0" w:space="0" w:color="auto"/>
      </w:divBdr>
      <w:divsChild>
        <w:div w:id="740638388">
          <w:marLeft w:val="0"/>
          <w:marRight w:val="0"/>
          <w:marTop w:val="0"/>
          <w:marBottom w:val="0"/>
          <w:divBdr>
            <w:top w:val="none" w:sz="0" w:space="0" w:color="auto"/>
            <w:left w:val="none" w:sz="0" w:space="0" w:color="auto"/>
            <w:bottom w:val="none" w:sz="0" w:space="0" w:color="auto"/>
            <w:right w:val="none" w:sz="0" w:space="0" w:color="auto"/>
          </w:divBdr>
        </w:div>
      </w:divsChild>
    </w:div>
    <w:div w:id="1511262941">
      <w:bodyDiv w:val="1"/>
      <w:marLeft w:val="0"/>
      <w:marRight w:val="0"/>
      <w:marTop w:val="0"/>
      <w:marBottom w:val="0"/>
      <w:divBdr>
        <w:top w:val="none" w:sz="0" w:space="0" w:color="auto"/>
        <w:left w:val="none" w:sz="0" w:space="0" w:color="auto"/>
        <w:bottom w:val="none" w:sz="0" w:space="0" w:color="auto"/>
        <w:right w:val="none" w:sz="0" w:space="0" w:color="auto"/>
      </w:divBdr>
    </w:div>
    <w:div w:id="1521117023">
      <w:bodyDiv w:val="1"/>
      <w:marLeft w:val="0"/>
      <w:marRight w:val="0"/>
      <w:marTop w:val="0"/>
      <w:marBottom w:val="0"/>
      <w:divBdr>
        <w:top w:val="none" w:sz="0" w:space="0" w:color="auto"/>
        <w:left w:val="none" w:sz="0" w:space="0" w:color="auto"/>
        <w:bottom w:val="none" w:sz="0" w:space="0" w:color="auto"/>
        <w:right w:val="none" w:sz="0" w:space="0" w:color="auto"/>
      </w:divBdr>
    </w:div>
    <w:div w:id="1550991201">
      <w:bodyDiv w:val="1"/>
      <w:marLeft w:val="0"/>
      <w:marRight w:val="0"/>
      <w:marTop w:val="0"/>
      <w:marBottom w:val="0"/>
      <w:divBdr>
        <w:top w:val="none" w:sz="0" w:space="0" w:color="auto"/>
        <w:left w:val="none" w:sz="0" w:space="0" w:color="auto"/>
        <w:bottom w:val="none" w:sz="0" w:space="0" w:color="auto"/>
        <w:right w:val="none" w:sz="0" w:space="0" w:color="auto"/>
      </w:divBdr>
    </w:div>
    <w:div w:id="1600455037">
      <w:bodyDiv w:val="1"/>
      <w:marLeft w:val="0"/>
      <w:marRight w:val="0"/>
      <w:marTop w:val="0"/>
      <w:marBottom w:val="0"/>
      <w:divBdr>
        <w:top w:val="none" w:sz="0" w:space="0" w:color="auto"/>
        <w:left w:val="none" w:sz="0" w:space="0" w:color="auto"/>
        <w:bottom w:val="none" w:sz="0" w:space="0" w:color="auto"/>
        <w:right w:val="none" w:sz="0" w:space="0" w:color="auto"/>
      </w:divBdr>
    </w:div>
    <w:div w:id="1602566612">
      <w:bodyDiv w:val="1"/>
      <w:marLeft w:val="0"/>
      <w:marRight w:val="0"/>
      <w:marTop w:val="0"/>
      <w:marBottom w:val="0"/>
      <w:divBdr>
        <w:top w:val="none" w:sz="0" w:space="0" w:color="auto"/>
        <w:left w:val="none" w:sz="0" w:space="0" w:color="auto"/>
        <w:bottom w:val="none" w:sz="0" w:space="0" w:color="auto"/>
        <w:right w:val="none" w:sz="0" w:space="0" w:color="auto"/>
      </w:divBdr>
    </w:div>
    <w:div w:id="1624461683">
      <w:bodyDiv w:val="1"/>
      <w:marLeft w:val="0"/>
      <w:marRight w:val="0"/>
      <w:marTop w:val="0"/>
      <w:marBottom w:val="0"/>
      <w:divBdr>
        <w:top w:val="none" w:sz="0" w:space="0" w:color="auto"/>
        <w:left w:val="none" w:sz="0" w:space="0" w:color="auto"/>
        <w:bottom w:val="none" w:sz="0" w:space="0" w:color="auto"/>
        <w:right w:val="none" w:sz="0" w:space="0" w:color="auto"/>
      </w:divBdr>
    </w:div>
    <w:div w:id="1627395596">
      <w:bodyDiv w:val="1"/>
      <w:marLeft w:val="0"/>
      <w:marRight w:val="0"/>
      <w:marTop w:val="0"/>
      <w:marBottom w:val="0"/>
      <w:divBdr>
        <w:top w:val="none" w:sz="0" w:space="0" w:color="auto"/>
        <w:left w:val="none" w:sz="0" w:space="0" w:color="auto"/>
        <w:bottom w:val="none" w:sz="0" w:space="0" w:color="auto"/>
        <w:right w:val="none" w:sz="0" w:space="0" w:color="auto"/>
      </w:divBdr>
    </w:div>
    <w:div w:id="1634214790">
      <w:bodyDiv w:val="1"/>
      <w:marLeft w:val="0"/>
      <w:marRight w:val="0"/>
      <w:marTop w:val="0"/>
      <w:marBottom w:val="0"/>
      <w:divBdr>
        <w:top w:val="none" w:sz="0" w:space="0" w:color="auto"/>
        <w:left w:val="none" w:sz="0" w:space="0" w:color="auto"/>
        <w:bottom w:val="none" w:sz="0" w:space="0" w:color="auto"/>
        <w:right w:val="none" w:sz="0" w:space="0" w:color="auto"/>
      </w:divBdr>
    </w:div>
    <w:div w:id="1635867907">
      <w:bodyDiv w:val="1"/>
      <w:marLeft w:val="0"/>
      <w:marRight w:val="0"/>
      <w:marTop w:val="0"/>
      <w:marBottom w:val="0"/>
      <w:divBdr>
        <w:top w:val="none" w:sz="0" w:space="0" w:color="auto"/>
        <w:left w:val="none" w:sz="0" w:space="0" w:color="auto"/>
        <w:bottom w:val="none" w:sz="0" w:space="0" w:color="auto"/>
        <w:right w:val="none" w:sz="0" w:space="0" w:color="auto"/>
      </w:divBdr>
    </w:div>
    <w:div w:id="1645162632">
      <w:bodyDiv w:val="1"/>
      <w:marLeft w:val="0"/>
      <w:marRight w:val="0"/>
      <w:marTop w:val="0"/>
      <w:marBottom w:val="0"/>
      <w:divBdr>
        <w:top w:val="none" w:sz="0" w:space="0" w:color="auto"/>
        <w:left w:val="none" w:sz="0" w:space="0" w:color="auto"/>
        <w:bottom w:val="none" w:sz="0" w:space="0" w:color="auto"/>
        <w:right w:val="none" w:sz="0" w:space="0" w:color="auto"/>
      </w:divBdr>
    </w:div>
    <w:div w:id="1650749477">
      <w:bodyDiv w:val="1"/>
      <w:marLeft w:val="0"/>
      <w:marRight w:val="0"/>
      <w:marTop w:val="0"/>
      <w:marBottom w:val="0"/>
      <w:divBdr>
        <w:top w:val="none" w:sz="0" w:space="0" w:color="auto"/>
        <w:left w:val="none" w:sz="0" w:space="0" w:color="auto"/>
        <w:bottom w:val="none" w:sz="0" w:space="0" w:color="auto"/>
        <w:right w:val="none" w:sz="0" w:space="0" w:color="auto"/>
      </w:divBdr>
    </w:div>
    <w:div w:id="1695231271">
      <w:bodyDiv w:val="1"/>
      <w:marLeft w:val="0"/>
      <w:marRight w:val="0"/>
      <w:marTop w:val="0"/>
      <w:marBottom w:val="0"/>
      <w:divBdr>
        <w:top w:val="none" w:sz="0" w:space="0" w:color="auto"/>
        <w:left w:val="none" w:sz="0" w:space="0" w:color="auto"/>
        <w:bottom w:val="none" w:sz="0" w:space="0" w:color="auto"/>
        <w:right w:val="none" w:sz="0" w:space="0" w:color="auto"/>
      </w:divBdr>
    </w:div>
    <w:div w:id="1721324046">
      <w:bodyDiv w:val="1"/>
      <w:marLeft w:val="0"/>
      <w:marRight w:val="0"/>
      <w:marTop w:val="0"/>
      <w:marBottom w:val="0"/>
      <w:divBdr>
        <w:top w:val="none" w:sz="0" w:space="0" w:color="auto"/>
        <w:left w:val="none" w:sz="0" w:space="0" w:color="auto"/>
        <w:bottom w:val="none" w:sz="0" w:space="0" w:color="auto"/>
        <w:right w:val="none" w:sz="0" w:space="0" w:color="auto"/>
      </w:divBdr>
    </w:div>
    <w:div w:id="1760760314">
      <w:bodyDiv w:val="1"/>
      <w:marLeft w:val="0"/>
      <w:marRight w:val="0"/>
      <w:marTop w:val="0"/>
      <w:marBottom w:val="0"/>
      <w:divBdr>
        <w:top w:val="none" w:sz="0" w:space="0" w:color="auto"/>
        <w:left w:val="none" w:sz="0" w:space="0" w:color="auto"/>
        <w:bottom w:val="none" w:sz="0" w:space="0" w:color="auto"/>
        <w:right w:val="none" w:sz="0" w:space="0" w:color="auto"/>
      </w:divBdr>
    </w:div>
    <w:div w:id="1780174124">
      <w:bodyDiv w:val="1"/>
      <w:marLeft w:val="0"/>
      <w:marRight w:val="0"/>
      <w:marTop w:val="0"/>
      <w:marBottom w:val="0"/>
      <w:divBdr>
        <w:top w:val="none" w:sz="0" w:space="0" w:color="auto"/>
        <w:left w:val="none" w:sz="0" w:space="0" w:color="auto"/>
        <w:bottom w:val="none" w:sz="0" w:space="0" w:color="auto"/>
        <w:right w:val="none" w:sz="0" w:space="0" w:color="auto"/>
      </w:divBdr>
    </w:div>
    <w:div w:id="1813789461">
      <w:bodyDiv w:val="1"/>
      <w:marLeft w:val="0"/>
      <w:marRight w:val="0"/>
      <w:marTop w:val="0"/>
      <w:marBottom w:val="0"/>
      <w:divBdr>
        <w:top w:val="none" w:sz="0" w:space="0" w:color="auto"/>
        <w:left w:val="none" w:sz="0" w:space="0" w:color="auto"/>
        <w:bottom w:val="none" w:sz="0" w:space="0" w:color="auto"/>
        <w:right w:val="none" w:sz="0" w:space="0" w:color="auto"/>
      </w:divBdr>
    </w:div>
    <w:div w:id="1820146279">
      <w:bodyDiv w:val="1"/>
      <w:marLeft w:val="0"/>
      <w:marRight w:val="0"/>
      <w:marTop w:val="0"/>
      <w:marBottom w:val="0"/>
      <w:divBdr>
        <w:top w:val="none" w:sz="0" w:space="0" w:color="auto"/>
        <w:left w:val="none" w:sz="0" w:space="0" w:color="auto"/>
        <w:bottom w:val="none" w:sz="0" w:space="0" w:color="auto"/>
        <w:right w:val="none" w:sz="0" w:space="0" w:color="auto"/>
      </w:divBdr>
    </w:div>
    <w:div w:id="1872718633">
      <w:bodyDiv w:val="1"/>
      <w:marLeft w:val="0"/>
      <w:marRight w:val="0"/>
      <w:marTop w:val="0"/>
      <w:marBottom w:val="0"/>
      <w:divBdr>
        <w:top w:val="none" w:sz="0" w:space="0" w:color="auto"/>
        <w:left w:val="none" w:sz="0" w:space="0" w:color="auto"/>
        <w:bottom w:val="none" w:sz="0" w:space="0" w:color="auto"/>
        <w:right w:val="none" w:sz="0" w:space="0" w:color="auto"/>
      </w:divBdr>
    </w:div>
    <w:div w:id="1920210067">
      <w:bodyDiv w:val="1"/>
      <w:marLeft w:val="0"/>
      <w:marRight w:val="0"/>
      <w:marTop w:val="0"/>
      <w:marBottom w:val="0"/>
      <w:divBdr>
        <w:top w:val="none" w:sz="0" w:space="0" w:color="auto"/>
        <w:left w:val="none" w:sz="0" w:space="0" w:color="auto"/>
        <w:bottom w:val="none" w:sz="0" w:space="0" w:color="auto"/>
        <w:right w:val="none" w:sz="0" w:space="0" w:color="auto"/>
      </w:divBdr>
    </w:div>
    <w:div w:id="1929461480">
      <w:bodyDiv w:val="1"/>
      <w:marLeft w:val="0"/>
      <w:marRight w:val="0"/>
      <w:marTop w:val="0"/>
      <w:marBottom w:val="0"/>
      <w:divBdr>
        <w:top w:val="none" w:sz="0" w:space="0" w:color="auto"/>
        <w:left w:val="none" w:sz="0" w:space="0" w:color="auto"/>
        <w:bottom w:val="none" w:sz="0" w:space="0" w:color="auto"/>
        <w:right w:val="none" w:sz="0" w:space="0" w:color="auto"/>
      </w:divBdr>
    </w:div>
    <w:div w:id="1971206018">
      <w:bodyDiv w:val="1"/>
      <w:marLeft w:val="0"/>
      <w:marRight w:val="0"/>
      <w:marTop w:val="0"/>
      <w:marBottom w:val="0"/>
      <w:divBdr>
        <w:top w:val="none" w:sz="0" w:space="0" w:color="auto"/>
        <w:left w:val="none" w:sz="0" w:space="0" w:color="auto"/>
        <w:bottom w:val="none" w:sz="0" w:space="0" w:color="auto"/>
        <w:right w:val="none" w:sz="0" w:space="0" w:color="auto"/>
      </w:divBdr>
    </w:div>
    <w:div w:id="1992557226">
      <w:bodyDiv w:val="1"/>
      <w:marLeft w:val="0"/>
      <w:marRight w:val="0"/>
      <w:marTop w:val="0"/>
      <w:marBottom w:val="0"/>
      <w:divBdr>
        <w:top w:val="none" w:sz="0" w:space="0" w:color="auto"/>
        <w:left w:val="none" w:sz="0" w:space="0" w:color="auto"/>
        <w:bottom w:val="none" w:sz="0" w:space="0" w:color="auto"/>
        <w:right w:val="none" w:sz="0" w:space="0" w:color="auto"/>
      </w:divBdr>
    </w:div>
    <w:div w:id="2029940486">
      <w:bodyDiv w:val="1"/>
      <w:marLeft w:val="0"/>
      <w:marRight w:val="0"/>
      <w:marTop w:val="0"/>
      <w:marBottom w:val="0"/>
      <w:divBdr>
        <w:top w:val="none" w:sz="0" w:space="0" w:color="auto"/>
        <w:left w:val="none" w:sz="0" w:space="0" w:color="auto"/>
        <w:bottom w:val="none" w:sz="0" w:space="0" w:color="auto"/>
        <w:right w:val="none" w:sz="0" w:space="0" w:color="auto"/>
      </w:divBdr>
    </w:div>
    <w:div w:id="211609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weinstok\Desktop\nrm_articulo.aspx?param1=NRA&amp;nValor1=1&amp;nValor2=75696&amp;nValor3=110032&amp;nValor5=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weinstok\Desktop\nrm_articulo.aspx?param1=NRA&amp;nValor1=1&amp;nValor2=75696&amp;nValor3=110032&amp;nValor5=83" TargetMode="External"/><Relationship Id="rId4" Type="http://schemas.openxmlformats.org/officeDocument/2006/relationships/settings" Target="settings.xml"/><Relationship Id="rId9" Type="http://schemas.openxmlformats.org/officeDocument/2006/relationships/hyperlink" Target="file:///C:\Users\uweinstok\Desktop\nrm_articulo.aspx?param1=NRA&amp;nValor1=1&amp;nValor2=75696&amp;nValor3=110032&amp;nValor5=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C10A97-E318-460E-9ADB-26D5403C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24953</Words>
  <Characters>137246</Characters>
  <Application>Microsoft Office Word</Application>
  <DocSecurity>0</DocSecurity>
  <Lines>1143</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2019-02-07T01:07:00Z</dcterms:created>
  <dcterms:modified xsi:type="dcterms:W3CDTF">2019-02-07T01:07:00Z</dcterms:modified>
</cp:coreProperties>
</file>