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C21E7" w14:textId="77777777" w:rsidR="00114D2D" w:rsidRPr="00114D2D" w:rsidRDefault="00114D2D" w:rsidP="00114D2D">
      <w:pPr>
        <w:jc w:val="center"/>
        <w:rPr>
          <w:rFonts w:ascii="Arial" w:hAnsi="Arial" w:cs="Arial"/>
          <w:b/>
        </w:rPr>
      </w:pPr>
      <w:r w:rsidRPr="00114D2D">
        <w:rPr>
          <w:rFonts w:ascii="Arial" w:hAnsi="Arial" w:cs="Arial"/>
          <w:b/>
        </w:rPr>
        <w:t>M</w:t>
      </w:r>
      <w:r w:rsidR="002824F9" w:rsidRPr="00114D2D">
        <w:rPr>
          <w:rFonts w:ascii="Arial" w:hAnsi="Arial" w:cs="Arial"/>
          <w:b/>
        </w:rPr>
        <w:t>atriz de Observaciones</w:t>
      </w:r>
    </w:p>
    <w:p w14:paraId="6FC23458" w14:textId="04ED5FB5" w:rsidR="002824F9" w:rsidRPr="00114D2D" w:rsidRDefault="002824F9" w:rsidP="002824F9">
      <w:pPr>
        <w:jc w:val="center"/>
        <w:rPr>
          <w:rFonts w:ascii="Arial" w:eastAsia="Arial" w:hAnsi="Arial" w:cs="Arial"/>
          <w:b/>
          <w:i/>
          <w:sz w:val="18"/>
          <w:szCs w:val="20"/>
        </w:rPr>
      </w:pPr>
      <w:r w:rsidRPr="00114D2D">
        <w:rPr>
          <w:rFonts w:ascii="Arial" w:eastAsia="Arial" w:hAnsi="Arial" w:cs="Arial"/>
          <w:b/>
          <w:i/>
          <w:sz w:val="18"/>
          <w:szCs w:val="20"/>
        </w:rPr>
        <w:t>“Reglamento para el Funcionamiento del Sistema Nacional de Inversión Pública (SNIP)”</w:t>
      </w:r>
    </w:p>
    <w:tbl>
      <w:tblPr>
        <w:tblStyle w:val="Tablaconcuadrcula"/>
        <w:tblW w:w="0" w:type="auto"/>
        <w:jc w:val="center"/>
        <w:tblLook w:val="04A0" w:firstRow="1" w:lastRow="0" w:firstColumn="1" w:lastColumn="0" w:noHBand="0" w:noVBand="1"/>
      </w:tblPr>
      <w:tblGrid>
        <w:gridCol w:w="4081"/>
        <w:gridCol w:w="3257"/>
        <w:gridCol w:w="4704"/>
      </w:tblGrid>
      <w:tr w:rsidR="002824F9" w:rsidRPr="00114D2D" w14:paraId="7BB62CB5" w14:textId="77777777" w:rsidTr="00EB7326">
        <w:trPr>
          <w:jc w:val="center"/>
        </w:trPr>
        <w:tc>
          <w:tcPr>
            <w:tcW w:w="4081" w:type="dxa"/>
            <w:shd w:val="clear" w:color="auto" w:fill="95B3D7" w:themeFill="accent1" w:themeFillTint="99"/>
          </w:tcPr>
          <w:p w14:paraId="085EFD66" w14:textId="77777777" w:rsidR="002824F9" w:rsidRPr="00114D2D" w:rsidRDefault="002824F9" w:rsidP="005F50E1">
            <w:pPr>
              <w:jc w:val="center"/>
              <w:rPr>
                <w:rFonts w:ascii="Arial" w:hAnsi="Arial" w:cs="Arial"/>
                <w:b/>
              </w:rPr>
            </w:pPr>
            <w:r w:rsidRPr="00114D2D">
              <w:rPr>
                <w:rFonts w:ascii="Arial" w:hAnsi="Arial" w:cs="Arial"/>
                <w:b/>
              </w:rPr>
              <w:t>Artículo del Nuevo Decreto</w:t>
            </w:r>
          </w:p>
        </w:tc>
        <w:tc>
          <w:tcPr>
            <w:tcW w:w="3257" w:type="dxa"/>
            <w:shd w:val="clear" w:color="auto" w:fill="95B3D7" w:themeFill="accent1" w:themeFillTint="99"/>
          </w:tcPr>
          <w:p w14:paraId="3F2BD50C" w14:textId="77777777" w:rsidR="002824F9" w:rsidRPr="00114D2D" w:rsidRDefault="002824F9" w:rsidP="005F50E1">
            <w:pPr>
              <w:jc w:val="center"/>
              <w:rPr>
                <w:rFonts w:ascii="Arial" w:hAnsi="Arial" w:cs="Arial"/>
                <w:b/>
              </w:rPr>
            </w:pPr>
            <w:r w:rsidRPr="00114D2D">
              <w:rPr>
                <w:rFonts w:ascii="Arial" w:hAnsi="Arial" w:cs="Arial"/>
                <w:b/>
              </w:rPr>
              <w:t>Propuesta de Ajuste del artículo</w:t>
            </w:r>
          </w:p>
        </w:tc>
        <w:tc>
          <w:tcPr>
            <w:tcW w:w="4704" w:type="dxa"/>
            <w:shd w:val="clear" w:color="auto" w:fill="95B3D7" w:themeFill="accent1" w:themeFillTint="99"/>
          </w:tcPr>
          <w:p w14:paraId="0F990088" w14:textId="77777777" w:rsidR="002824F9" w:rsidRPr="00114D2D" w:rsidRDefault="002824F9" w:rsidP="005F50E1">
            <w:pPr>
              <w:jc w:val="center"/>
              <w:rPr>
                <w:rFonts w:ascii="Arial" w:hAnsi="Arial" w:cs="Arial"/>
                <w:b/>
              </w:rPr>
            </w:pPr>
            <w:r w:rsidRPr="00114D2D">
              <w:rPr>
                <w:rFonts w:ascii="Arial" w:hAnsi="Arial" w:cs="Arial"/>
                <w:b/>
              </w:rPr>
              <w:t>Justificación de los cambios sugeridos</w:t>
            </w:r>
          </w:p>
        </w:tc>
      </w:tr>
      <w:tr w:rsidR="002824F9" w:rsidRPr="00114D2D" w14:paraId="1EE65E7B" w14:textId="77777777" w:rsidTr="00EB7326">
        <w:trPr>
          <w:jc w:val="center"/>
        </w:trPr>
        <w:tc>
          <w:tcPr>
            <w:tcW w:w="4081" w:type="dxa"/>
          </w:tcPr>
          <w:p w14:paraId="5F4B558C" w14:textId="70D5ED4B" w:rsidR="002824F9" w:rsidRPr="00114D2D" w:rsidRDefault="00EB7326" w:rsidP="005F50E1">
            <w:pPr>
              <w:rPr>
                <w:rFonts w:ascii="Arial" w:hAnsi="Arial" w:cs="Arial"/>
              </w:rPr>
            </w:pPr>
            <w:r w:rsidRPr="00EB7326">
              <w:rPr>
                <w:rFonts w:ascii="Arial" w:hAnsi="Arial" w:cs="Arial"/>
              </w:rPr>
              <w:t>Artículo 1º- Objeto.</w:t>
            </w:r>
          </w:p>
        </w:tc>
        <w:tc>
          <w:tcPr>
            <w:tcW w:w="3257" w:type="dxa"/>
          </w:tcPr>
          <w:p w14:paraId="681DD47E" w14:textId="3E11F0C9" w:rsidR="002824F9" w:rsidRPr="00114D2D" w:rsidRDefault="00EB7326" w:rsidP="005F50E1">
            <w:pPr>
              <w:rPr>
                <w:rFonts w:ascii="Arial" w:hAnsi="Arial" w:cs="Arial"/>
              </w:rPr>
            </w:pPr>
            <w:r>
              <w:rPr>
                <w:rFonts w:ascii="Arial" w:hAnsi="Arial" w:cs="Arial"/>
              </w:rPr>
              <w:t xml:space="preserve">“… </w:t>
            </w:r>
            <w:r w:rsidRPr="00EB7326">
              <w:rPr>
                <w:rFonts w:ascii="Arial" w:hAnsi="Arial" w:cs="Arial"/>
              </w:rPr>
              <w:t xml:space="preserve">función de regular y organizar </w:t>
            </w:r>
            <w:r w:rsidRPr="00EB7326">
              <w:rPr>
                <w:rFonts w:ascii="Arial" w:hAnsi="Arial" w:cs="Arial"/>
                <w:color w:val="4F81BD" w:themeColor="accent1"/>
              </w:rPr>
              <w:t>los</w:t>
            </w:r>
            <w:r w:rsidRPr="00EB7326">
              <w:rPr>
                <w:rFonts w:ascii="Arial" w:hAnsi="Arial" w:cs="Arial"/>
                <w:color w:val="4F81BD" w:themeColor="accent1"/>
              </w:rPr>
              <w:t xml:space="preserve"> proceso</w:t>
            </w:r>
            <w:r w:rsidRPr="00EB7326">
              <w:rPr>
                <w:rFonts w:ascii="Arial" w:hAnsi="Arial" w:cs="Arial"/>
                <w:color w:val="4F81BD" w:themeColor="accent1"/>
              </w:rPr>
              <w:t>s</w:t>
            </w:r>
            <w:r w:rsidRPr="00EB7326">
              <w:rPr>
                <w:rFonts w:ascii="Arial" w:hAnsi="Arial" w:cs="Arial"/>
                <w:color w:val="4F81BD" w:themeColor="accent1"/>
              </w:rPr>
              <w:t xml:space="preserve"> </w:t>
            </w:r>
            <w:r w:rsidRPr="00EB7326">
              <w:rPr>
                <w:rFonts w:ascii="Arial" w:hAnsi="Arial" w:cs="Arial"/>
              </w:rPr>
              <w:t>de la inversión pública costarricense.</w:t>
            </w:r>
            <w:r>
              <w:rPr>
                <w:rFonts w:ascii="Arial" w:hAnsi="Arial" w:cs="Arial"/>
              </w:rPr>
              <w:t>”</w:t>
            </w:r>
          </w:p>
        </w:tc>
        <w:tc>
          <w:tcPr>
            <w:tcW w:w="4704" w:type="dxa"/>
          </w:tcPr>
          <w:p w14:paraId="42E43218" w14:textId="096AA38F" w:rsidR="00D85191" w:rsidRDefault="00EB7326" w:rsidP="00D85191">
            <w:pPr>
              <w:jc w:val="both"/>
              <w:rPr>
                <w:rFonts w:ascii="Arial" w:hAnsi="Arial" w:cs="Arial"/>
              </w:rPr>
            </w:pPr>
            <w:r>
              <w:rPr>
                <w:rFonts w:ascii="Arial" w:hAnsi="Arial" w:cs="Arial"/>
              </w:rPr>
              <w:t xml:space="preserve">A nivel del objeto del SNIP se refiere </w:t>
            </w:r>
            <w:r>
              <w:rPr>
                <w:rFonts w:ascii="Arial" w:hAnsi="Arial" w:cs="Arial"/>
                <w:u w:val="single"/>
              </w:rPr>
              <w:t>a</w:t>
            </w:r>
            <w:r w:rsidRPr="00EB7326">
              <w:rPr>
                <w:rFonts w:ascii="Arial" w:hAnsi="Arial" w:cs="Arial"/>
                <w:u w:val="single"/>
              </w:rPr>
              <w:t>l</w:t>
            </w:r>
            <w:r w:rsidRPr="00EB7326">
              <w:rPr>
                <w:rFonts w:ascii="Arial" w:hAnsi="Arial" w:cs="Arial"/>
                <w:u w:val="single"/>
              </w:rPr>
              <w:t xml:space="preserve"> proceso</w:t>
            </w:r>
            <w:r w:rsidRPr="00EB7326">
              <w:rPr>
                <w:rFonts w:ascii="Arial" w:hAnsi="Arial" w:cs="Arial"/>
              </w:rPr>
              <w:t xml:space="preserve"> de la inversión pública</w:t>
            </w:r>
            <w:r>
              <w:rPr>
                <w:rFonts w:ascii="Arial" w:hAnsi="Arial" w:cs="Arial"/>
              </w:rPr>
              <w:t xml:space="preserve">, no obstante, </w:t>
            </w:r>
            <w:r w:rsidR="00D85191">
              <w:rPr>
                <w:rFonts w:ascii="Arial" w:hAnsi="Arial" w:cs="Arial"/>
              </w:rPr>
              <w:t>tanto en los considerandos como a lo amplio de la propuesta de reglamento se refiere a más de un proceso, por ejemplo:</w:t>
            </w:r>
          </w:p>
          <w:p w14:paraId="2A84E97F" w14:textId="77777777" w:rsidR="00D85191" w:rsidRDefault="00D85191" w:rsidP="00D85191">
            <w:pPr>
              <w:jc w:val="both"/>
              <w:rPr>
                <w:rFonts w:ascii="Arial" w:hAnsi="Arial" w:cs="Arial"/>
              </w:rPr>
            </w:pPr>
          </w:p>
          <w:p w14:paraId="7D974523" w14:textId="6F04C3B8" w:rsidR="0009523E" w:rsidRDefault="0009523E" w:rsidP="00D85191">
            <w:pPr>
              <w:pStyle w:val="Prrafodelista"/>
              <w:numPr>
                <w:ilvl w:val="0"/>
                <w:numId w:val="3"/>
              </w:numPr>
              <w:jc w:val="both"/>
              <w:rPr>
                <w:rFonts w:ascii="Arial" w:eastAsiaTheme="minorHAnsi" w:hAnsi="Arial" w:cs="Arial"/>
                <w:sz w:val="22"/>
                <w:szCs w:val="22"/>
                <w:lang w:val="es-CR" w:eastAsia="en-US"/>
              </w:rPr>
            </w:pPr>
            <w:r>
              <w:rPr>
                <w:rFonts w:ascii="Arial" w:eastAsiaTheme="minorHAnsi" w:hAnsi="Arial" w:cs="Arial"/>
                <w:sz w:val="22"/>
                <w:szCs w:val="22"/>
                <w:lang w:val="es-CR" w:eastAsia="en-US"/>
              </w:rPr>
              <w:t xml:space="preserve">El considerando V. refiere que el inciso e) del </w:t>
            </w:r>
            <w:r w:rsidRPr="0009523E">
              <w:rPr>
                <w:rFonts w:ascii="Arial" w:eastAsiaTheme="minorHAnsi" w:hAnsi="Arial" w:cs="Arial"/>
                <w:sz w:val="22"/>
                <w:szCs w:val="22"/>
                <w:lang w:val="es-CR" w:eastAsia="en-US"/>
              </w:rPr>
              <w:t>artículo 12</w:t>
            </w:r>
            <w:r>
              <w:rPr>
                <w:rFonts w:ascii="Arial" w:eastAsiaTheme="minorHAnsi" w:hAnsi="Arial" w:cs="Arial"/>
                <w:sz w:val="22"/>
                <w:szCs w:val="22"/>
                <w:lang w:val="es-CR" w:eastAsia="en-US"/>
              </w:rPr>
              <w:t xml:space="preserve"> del </w:t>
            </w:r>
            <w:r w:rsidRPr="0009523E">
              <w:rPr>
                <w:rFonts w:ascii="Arial" w:eastAsiaTheme="minorHAnsi" w:hAnsi="Arial" w:cs="Arial"/>
                <w:sz w:val="22"/>
                <w:szCs w:val="22"/>
                <w:lang w:val="es-CR" w:eastAsia="en-US"/>
              </w:rPr>
              <w:t>Decreto Nº23323-PLAN</w:t>
            </w:r>
            <w:r>
              <w:rPr>
                <w:rFonts w:ascii="Arial" w:eastAsiaTheme="minorHAnsi" w:hAnsi="Arial" w:cs="Arial"/>
                <w:sz w:val="22"/>
                <w:szCs w:val="22"/>
                <w:lang w:val="es-CR" w:eastAsia="en-US"/>
              </w:rPr>
              <w:t xml:space="preserve"> establece entre las competencias de la UIP “</w:t>
            </w:r>
            <w:r w:rsidRPr="0009523E">
              <w:rPr>
                <w:rFonts w:ascii="Arial" w:eastAsiaTheme="minorHAnsi" w:hAnsi="Arial" w:cs="Arial"/>
                <w:sz w:val="22"/>
                <w:szCs w:val="22"/>
                <w:lang w:val="es-CR" w:eastAsia="en-US"/>
              </w:rPr>
              <w:t>Desarrollar procesos de asignación, ejecución y evaluación de inversiones</w:t>
            </w:r>
            <w:r>
              <w:rPr>
                <w:rFonts w:ascii="Arial" w:eastAsiaTheme="minorHAnsi" w:hAnsi="Arial" w:cs="Arial"/>
                <w:sz w:val="22"/>
                <w:szCs w:val="22"/>
                <w:lang w:val="es-CR" w:eastAsia="en-US"/>
              </w:rPr>
              <w:t>…”.</w:t>
            </w:r>
          </w:p>
          <w:p w14:paraId="24D56481" w14:textId="10CE26DF" w:rsidR="0009523E" w:rsidRDefault="0009523E" w:rsidP="00D85191">
            <w:pPr>
              <w:pStyle w:val="Prrafodelista"/>
              <w:numPr>
                <w:ilvl w:val="0"/>
                <w:numId w:val="3"/>
              </w:numPr>
              <w:jc w:val="both"/>
              <w:rPr>
                <w:rFonts w:ascii="Arial" w:eastAsiaTheme="minorHAnsi" w:hAnsi="Arial" w:cs="Arial"/>
                <w:sz w:val="22"/>
                <w:szCs w:val="22"/>
                <w:lang w:val="es-CR" w:eastAsia="en-US"/>
              </w:rPr>
            </w:pPr>
            <w:r>
              <w:rPr>
                <w:rFonts w:ascii="Arial" w:eastAsiaTheme="minorHAnsi" w:hAnsi="Arial" w:cs="Arial"/>
                <w:sz w:val="22"/>
                <w:szCs w:val="22"/>
                <w:lang w:val="es-CR" w:eastAsia="en-US"/>
              </w:rPr>
              <w:t>El considerando V</w:t>
            </w:r>
            <w:r w:rsidR="00AC1350">
              <w:rPr>
                <w:rFonts w:ascii="Arial" w:eastAsiaTheme="minorHAnsi" w:hAnsi="Arial" w:cs="Arial"/>
                <w:sz w:val="22"/>
                <w:szCs w:val="22"/>
                <w:lang w:val="es-CR" w:eastAsia="en-US"/>
              </w:rPr>
              <w:t>I</w:t>
            </w:r>
            <w:r>
              <w:rPr>
                <w:rFonts w:ascii="Arial" w:eastAsiaTheme="minorHAnsi" w:hAnsi="Arial" w:cs="Arial"/>
                <w:sz w:val="22"/>
                <w:szCs w:val="22"/>
                <w:lang w:val="es-CR" w:eastAsia="en-US"/>
              </w:rPr>
              <w:t>. refiere que</w:t>
            </w:r>
            <w:r>
              <w:rPr>
                <w:rFonts w:ascii="Arial" w:eastAsiaTheme="minorHAnsi" w:hAnsi="Arial" w:cs="Arial"/>
                <w:sz w:val="22"/>
                <w:szCs w:val="22"/>
                <w:lang w:val="es-CR" w:eastAsia="en-US"/>
              </w:rPr>
              <w:t xml:space="preserve"> el </w:t>
            </w:r>
            <w:r w:rsidRPr="0009523E">
              <w:rPr>
                <w:rFonts w:ascii="Arial" w:eastAsiaTheme="minorHAnsi" w:hAnsi="Arial" w:cs="Arial"/>
                <w:sz w:val="22"/>
                <w:szCs w:val="22"/>
                <w:lang w:val="es-CR" w:eastAsia="en-US"/>
              </w:rPr>
              <w:t>Informe DFOE-SAF-IF-00010-2019</w:t>
            </w:r>
            <w:r>
              <w:rPr>
                <w:rFonts w:ascii="Arial" w:eastAsiaTheme="minorHAnsi" w:hAnsi="Arial" w:cs="Arial"/>
                <w:sz w:val="22"/>
                <w:szCs w:val="22"/>
                <w:lang w:val="es-CR" w:eastAsia="en-US"/>
              </w:rPr>
              <w:t xml:space="preserve"> dispuso a MIDEPLAN “</w:t>
            </w:r>
            <w:r w:rsidRPr="0009523E">
              <w:rPr>
                <w:rFonts w:ascii="Arial" w:eastAsiaTheme="minorHAnsi" w:hAnsi="Arial" w:cs="Arial"/>
                <w:sz w:val="22"/>
                <w:szCs w:val="22"/>
                <w:lang w:val="es-CR" w:eastAsia="en-US"/>
              </w:rPr>
              <w:t>emitir un decreto ejecutivo para los procesos de inversión pública</w:t>
            </w:r>
            <w:r>
              <w:rPr>
                <w:rFonts w:ascii="Arial" w:eastAsiaTheme="minorHAnsi" w:hAnsi="Arial" w:cs="Arial"/>
                <w:sz w:val="22"/>
                <w:szCs w:val="22"/>
                <w:lang w:val="es-CR" w:eastAsia="en-US"/>
              </w:rPr>
              <w:t xml:space="preserve">…” para lo cual deberá </w:t>
            </w:r>
            <w:r w:rsidRPr="0009523E">
              <w:rPr>
                <w:rFonts w:ascii="Arial" w:eastAsiaTheme="minorHAnsi" w:hAnsi="Arial" w:cs="Arial"/>
                <w:sz w:val="22"/>
                <w:szCs w:val="22"/>
                <w:lang w:val="es-CR" w:eastAsia="en-US"/>
              </w:rPr>
              <w:t>incluir como mínimo los siguientes aspectos:</w:t>
            </w:r>
            <w:r>
              <w:rPr>
                <w:rFonts w:ascii="Arial" w:eastAsiaTheme="minorHAnsi" w:hAnsi="Arial" w:cs="Arial"/>
                <w:sz w:val="22"/>
                <w:szCs w:val="22"/>
                <w:lang w:val="es-CR" w:eastAsia="en-US"/>
              </w:rPr>
              <w:t xml:space="preserve"> “</w:t>
            </w:r>
            <w:r w:rsidRPr="0009523E">
              <w:rPr>
                <w:rFonts w:ascii="Arial" w:eastAsiaTheme="minorHAnsi" w:hAnsi="Arial" w:cs="Arial"/>
                <w:sz w:val="22"/>
                <w:szCs w:val="22"/>
                <w:lang w:val="es-CR" w:eastAsia="en-US"/>
              </w:rPr>
              <w:t>d. Normar los procesos para la priorización de proyectos</w:t>
            </w:r>
            <w:r>
              <w:rPr>
                <w:rFonts w:ascii="Arial" w:eastAsiaTheme="minorHAnsi" w:hAnsi="Arial" w:cs="Arial"/>
                <w:sz w:val="22"/>
                <w:szCs w:val="22"/>
                <w:lang w:val="es-CR" w:eastAsia="en-US"/>
              </w:rPr>
              <w:t>…”</w:t>
            </w:r>
          </w:p>
          <w:p w14:paraId="04380556" w14:textId="316635D8" w:rsidR="0009523E" w:rsidRDefault="0009523E" w:rsidP="00D85191">
            <w:pPr>
              <w:pStyle w:val="Prrafodelista"/>
              <w:numPr>
                <w:ilvl w:val="0"/>
                <w:numId w:val="3"/>
              </w:numPr>
              <w:jc w:val="both"/>
              <w:rPr>
                <w:rFonts w:ascii="Arial" w:eastAsiaTheme="minorHAnsi" w:hAnsi="Arial" w:cs="Arial"/>
                <w:sz w:val="22"/>
                <w:szCs w:val="22"/>
                <w:lang w:val="es-CR" w:eastAsia="en-US"/>
              </w:rPr>
            </w:pPr>
            <w:r>
              <w:rPr>
                <w:rFonts w:ascii="Arial" w:eastAsiaTheme="minorHAnsi" w:hAnsi="Arial" w:cs="Arial"/>
                <w:sz w:val="22"/>
                <w:szCs w:val="22"/>
                <w:lang w:val="es-CR" w:eastAsia="en-US"/>
              </w:rPr>
              <w:t xml:space="preserve">El considerando </w:t>
            </w:r>
            <w:r w:rsidR="00AC1350">
              <w:rPr>
                <w:rFonts w:ascii="Arial" w:eastAsiaTheme="minorHAnsi" w:hAnsi="Arial" w:cs="Arial"/>
                <w:sz w:val="22"/>
                <w:szCs w:val="22"/>
                <w:lang w:val="es-CR" w:eastAsia="en-US"/>
              </w:rPr>
              <w:t>VIII</w:t>
            </w:r>
            <w:r>
              <w:rPr>
                <w:rFonts w:ascii="Arial" w:eastAsiaTheme="minorHAnsi" w:hAnsi="Arial" w:cs="Arial"/>
                <w:sz w:val="22"/>
                <w:szCs w:val="22"/>
                <w:lang w:val="es-CR" w:eastAsia="en-US"/>
              </w:rPr>
              <w:t>. refiere</w:t>
            </w:r>
            <w:r>
              <w:rPr>
                <w:rFonts w:ascii="Arial" w:eastAsiaTheme="minorHAnsi" w:hAnsi="Arial" w:cs="Arial"/>
                <w:sz w:val="22"/>
                <w:szCs w:val="22"/>
                <w:lang w:val="es-CR" w:eastAsia="en-US"/>
              </w:rPr>
              <w:t xml:space="preserve"> “la </w:t>
            </w:r>
            <w:r w:rsidRPr="0009523E">
              <w:rPr>
                <w:rFonts w:ascii="Arial" w:eastAsiaTheme="minorHAnsi" w:hAnsi="Arial" w:cs="Arial"/>
                <w:sz w:val="22"/>
                <w:szCs w:val="22"/>
                <w:lang w:val="es-CR" w:eastAsia="en-US"/>
              </w:rPr>
              <w:t>estandarización de los procesos y de los procedimientos para formular, evaluar, priorizar, ejecutar, mantener, controlar y dar seguimiento a los distintos proyectos</w:t>
            </w:r>
            <w:r>
              <w:rPr>
                <w:rFonts w:ascii="Arial" w:eastAsiaTheme="minorHAnsi" w:hAnsi="Arial" w:cs="Arial"/>
                <w:sz w:val="22"/>
                <w:szCs w:val="22"/>
                <w:lang w:val="es-CR" w:eastAsia="en-US"/>
              </w:rPr>
              <w:t>”</w:t>
            </w:r>
            <w:r w:rsidRPr="0009523E">
              <w:rPr>
                <w:rFonts w:ascii="Arial" w:eastAsiaTheme="minorHAnsi" w:hAnsi="Arial" w:cs="Arial"/>
                <w:sz w:val="22"/>
                <w:szCs w:val="22"/>
                <w:lang w:val="es-CR" w:eastAsia="en-US"/>
              </w:rPr>
              <w:t>.</w:t>
            </w:r>
          </w:p>
          <w:p w14:paraId="1BDE079C" w14:textId="466BC058" w:rsidR="00E25A59" w:rsidRDefault="0009523E" w:rsidP="00D85191">
            <w:pPr>
              <w:pStyle w:val="Prrafodelista"/>
              <w:numPr>
                <w:ilvl w:val="0"/>
                <w:numId w:val="3"/>
              </w:numPr>
              <w:jc w:val="both"/>
              <w:rPr>
                <w:rFonts w:ascii="Arial" w:eastAsiaTheme="minorHAnsi" w:hAnsi="Arial" w:cs="Arial"/>
                <w:sz w:val="22"/>
                <w:szCs w:val="22"/>
                <w:lang w:val="es-CR" w:eastAsia="en-US"/>
              </w:rPr>
            </w:pPr>
            <w:r w:rsidRPr="00E25A59">
              <w:rPr>
                <w:rFonts w:ascii="Arial" w:eastAsiaTheme="minorHAnsi" w:hAnsi="Arial" w:cs="Arial"/>
                <w:sz w:val="22"/>
                <w:szCs w:val="22"/>
                <w:lang w:val="es-CR" w:eastAsia="en-US"/>
              </w:rPr>
              <w:lastRenderedPageBreak/>
              <w:t xml:space="preserve">El inciso f) del </w:t>
            </w:r>
            <w:r w:rsidRPr="00E25A59">
              <w:rPr>
                <w:rFonts w:ascii="Arial" w:eastAsiaTheme="minorHAnsi" w:hAnsi="Arial" w:cs="Arial"/>
                <w:sz w:val="22"/>
                <w:szCs w:val="22"/>
                <w:lang w:val="es-CR" w:eastAsia="en-US"/>
              </w:rPr>
              <w:t xml:space="preserve">artículo </w:t>
            </w:r>
            <w:r w:rsidRPr="00E25A59">
              <w:rPr>
                <w:rFonts w:ascii="Arial" w:eastAsiaTheme="minorHAnsi" w:hAnsi="Arial" w:cs="Arial"/>
                <w:sz w:val="22"/>
                <w:szCs w:val="22"/>
                <w:lang w:val="es-CR" w:eastAsia="en-US"/>
              </w:rPr>
              <w:t xml:space="preserve">4, relativo a la definición del ciclo de vida, </w:t>
            </w:r>
            <w:r w:rsidR="00E25A59" w:rsidRPr="00E25A59">
              <w:rPr>
                <w:rFonts w:ascii="Arial" w:eastAsiaTheme="minorHAnsi" w:hAnsi="Arial" w:cs="Arial"/>
                <w:sz w:val="22"/>
                <w:szCs w:val="22"/>
                <w:lang w:val="es-CR" w:eastAsia="en-US"/>
              </w:rPr>
              <w:t xml:space="preserve">conceptualizado como el </w:t>
            </w:r>
            <w:r w:rsidR="00E25A59" w:rsidRPr="00E25A59">
              <w:rPr>
                <w:rFonts w:ascii="Arial" w:eastAsiaTheme="minorHAnsi" w:hAnsi="Arial" w:cs="Arial"/>
                <w:sz w:val="22"/>
                <w:szCs w:val="22"/>
                <w:lang w:val="es-CR" w:eastAsia="en-US"/>
              </w:rPr>
              <w:t>proceso de transformación o maduración</w:t>
            </w:r>
            <w:r w:rsidR="00E25A59" w:rsidRPr="00E25A59">
              <w:rPr>
                <w:rFonts w:ascii="Arial" w:eastAsiaTheme="minorHAnsi" w:hAnsi="Arial" w:cs="Arial"/>
                <w:sz w:val="22"/>
                <w:szCs w:val="22"/>
                <w:lang w:val="es-CR" w:eastAsia="en-US"/>
              </w:rPr>
              <w:t xml:space="preserve">, no obstante, el mismo concepto hace alusión a los siguientes procesos: </w:t>
            </w:r>
            <w:r w:rsidR="00E25A59" w:rsidRPr="00E25A59">
              <w:rPr>
                <w:rFonts w:ascii="Arial" w:eastAsiaTheme="minorHAnsi" w:hAnsi="Arial" w:cs="Arial"/>
                <w:sz w:val="22"/>
                <w:szCs w:val="22"/>
                <w:lang w:val="es-CR" w:eastAsia="en-US"/>
              </w:rPr>
              <w:t>“proceso de construcción”, “proceso de ejecución”,</w:t>
            </w:r>
            <w:r w:rsidR="00E25A59" w:rsidRPr="00E25A59">
              <w:rPr>
                <w:rFonts w:ascii="Arial" w:eastAsiaTheme="minorHAnsi" w:hAnsi="Arial" w:cs="Arial"/>
                <w:sz w:val="22"/>
                <w:szCs w:val="22"/>
                <w:lang w:val="es-CR" w:eastAsia="en-US"/>
              </w:rPr>
              <w:t xml:space="preserve"> “</w:t>
            </w:r>
            <w:r w:rsidR="00E25A59" w:rsidRPr="00E25A59">
              <w:rPr>
                <w:rFonts w:ascii="Arial" w:eastAsiaTheme="minorHAnsi" w:hAnsi="Arial" w:cs="Arial"/>
                <w:sz w:val="22"/>
                <w:szCs w:val="22"/>
                <w:lang w:val="es-CR" w:eastAsia="en-US"/>
              </w:rPr>
              <w:t>proceso de licitación</w:t>
            </w:r>
            <w:r w:rsidR="00E25A59" w:rsidRPr="00E25A59">
              <w:rPr>
                <w:rFonts w:ascii="Arial" w:eastAsiaTheme="minorHAnsi" w:hAnsi="Arial" w:cs="Arial"/>
                <w:sz w:val="22"/>
                <w:szCs w:val="22"/>
                <w:lang w:val="es-CR" w:eastAsia="en-US"/>
              </w:rPr>
              <w:t>”, “</w:t>
            </w:r>
            <w:r w:rsidR="00E25A59" w:rsidRPr="00E25A59">
              <w:rPr>
                <w:rFonts w:ascii="Arial" w:eastAsiaTheme="minorHAnsi" w:hAnsi="Arial" w:cs="Arial"/>
                <w:sz w:val="22"/>
                <w:szCs w:val="22"/>
                <w:lang w:val="es-CR" w:eastAsia="en-US"/>
              </w:rPr>
              <w:t>procesos de expropiación</w:t>
            </w:r>
            <w:r w:rsidR="00E25A59" w:rsidRPr="00E25A59">
              <w:rPr>
                <w:rFonts w:ascii="Arial" w:eastAsiaTheme="minorHAnsi" w:hAnsi="Arial" w:cs="Arial"/>
                <w:sz w:val="22"/>
                <w:szCs w:val="22"/>
                <w:lang w:val="es-CR" w:eastAsia="en-US"/>
              </w:rPr>
              <w:t xml:space="preserve">”, inclusive la etapa de ejecución refiere la necesidad de </w:t>
            </w:r>
            <w:r w:rsidR="00E25A59" w:rsidRPr="00E25A59">
              <w:rPr>
                <w:rFonts w:ascii="Arial" w:eastAsiaTheme="minorHAnsi" w:hAnsi="Arial" w:cs="Arial"/>
                <w:sz w:val="22"/>
                <w:szCs w:val="22"/>
                <w:lang w:val="es-CR" w:eastAsia="en-US"/>
              </w:rPr>
              <w:t>administrar los recursos, gestionar los procesos y dirigir al equipo de proyecto</w:t>
            </w:r>
            <w:r w:rsidR="00E25A59" w:rsidRPr="00E25A59">
              <w:rPr>
                <w:rFonts w:ascii="Arial" w:eastAsiaTheme="minorHAnsi" w:hAnsi="Arial" w:cs="Arial"/>
                <w:sz w:val="22"/>
                <w:szCs w:val="22"/>
                <w:lang w:val="es-CR" w:eastAsia="en-US"/>
              </w:rPr>
              <w:t>.</w:t>
            </w:r>
          </w:p>
          <w:p w14:paraId="288C8290" w14:textId="77777777" w:rsidR="00E25A59" w:rsidRDefault="00E25A59" w:rsidP="00E25A59">
            <w:pPr>
              <w:pStyle w:val="Prrafodelista"/>
              <w:numPr>
                <w:ilvl w:val="0"/>
                <w:numId w:val="3"/>
              </w:numPr>
              <w:jc w:val="both"/>
              <w:rPr>
                <w:rFonts w:ascii="Arial" w:eastAsiaTheme="minorHAnsi" w:hAnsi="Arial" w:cs="Arial"/>
                <w:sz w:val="22"/>
                <w:szCs w:val="22"/>
                <w:lang w:val="es-CR" w:eastAsia="en-US"/>
              </w:rPr>
            </w:pPr>
            <w:r w:rsidRPr="00D85191">
              <w:rPr>
                <w:rFonts w:ascii="Arial" w:eastAsiaTheme="minorHAnsi" w:hAnsi="Arial" w:cs="Arial"/>
                <w:sz w:val="22"/>
                <w:szCs w:val="22"/>
                <w:lang w:val="es-CR" w:eastAsia="en-US"/>
              </w:rPr>
              <w:t xml:space="preserve">El </w:t>
            </w:r>
            <w:r>
              <w:rPr>
                <w:rFonts w:ascii="Arial" w:eastAsiaTheme="minorHAnsi" w:hAnsi="Arial" w:cs="Arial"/>
                <w:sz w:val="22"/>
                <w:szCs w:val="22"/>
                <w:lang w:val="es-CR" w:eastAsia="en-US"/>
              </w:rPr>
              <w:t xml:space="preserve">inciso e) del </w:t>
            </w:r>
            <w:r w:rsidRPr="00D85191">
              <w:rPr>
                <w:rFonts w:ascii="Arial" w:eastAsiaTheme="minorHAnsi" w:hAnsi="Arial" w:cs="Arial"/>
                <w:sz w:val="22"/>
                <w:szCs w:val="22"/>
                <w:lang w:val="es-CR" w:eastAsia="en-US"/>
              </w:rPr>
              <w:t xml:space="preserve">artículo 8 se hace alusión a </w:t>
            </w:r>
            <w:r>
              <w:rPr>
                <w:rFonts w:ascii="Arial" w:eastAsiaTheme="minorHAnsi" w:hAnsi="Arial" w:cs="Arial"/>
                <w:sz w:val="22"/>
                <w:szCs w:val="22"/>
                <w:lang w:val="es-CR" w:eastAsia="en-US"/>
              </w:rPr>
              <w:t>“</w:t>
            </w:r>
            <w:r w:rsidRPr="00D85191">
              <w:rPr>
                <w:rFonts w:ascii="Arial" w:eastAsiaTheme="minorHAnsi" w:hAnsi="Arial" w:cs="Arial"/>
                <w:sz w:val="22"/>
                <w:szCs w:val="22"/>
                <w:lang w:val="es-CR" w:eastAsia="en-US"/>
              </w:rPr>
              <w:t>los procesos de formulación, evaluación, ejecución y seguimiento de la inversión pública</w:t>
            </w:r>
            <w:r>
              <w:rPr>
                <w:rFonts w:ascii="Arial" w:eastAsiaTheme="minorHAnsi" w:hAnsi="Arial" w:cs="Arial"/>
                <w:sz w:val="22"/>
                <w:szCs w:val="22"/>
                <w:lang w:val="es-CR" w:eastAsia="en-US"/>
              </w:rPr>
              <w:t>”.</w:t>
            </w:r>
          </w:p>
          <w:p w14:paraId="5ECABF78" w14:textId="77777777" w:rsidR="002824F9" w:rsidRPr="000614F6" w:rsidRDefault="00E25A59" w:rsidP="000614F6">
            <w:pPr>
              <w:pStyle w:val="Prrafodelista"/>
              <w:numPr>
                <w:ilvl w:val="0"/>
                <w:numId w:val="3"/>
              </w:numPr>
              <w:jc w:val="both"/>
              <w:rPr>
                <w:rFonts w:ascii="Arial" w:hAnsi="Arial" w:cs="Arial"/>
              </w:rPr>
            </w:pPr>
            <w:r w:rsidRPr="000614F6">
              <w:rPr>
                <w:rFonts w:ascii="Arial" w:eastAsiaTheme="minorHAnsi" w:hAnsi="Arial" w:cs="Arial"/>
                <w:sz w:val="22"/>
                <w:szCs w:val="22"/>
                <w:lang w:val="es-CR" w:eastAsia="en-US"/>
              </w:rPr>
              <w:t>Los incisos</w:t>
            </w:r>
            <w:r w:rsidRPr="000614F6">
              <w:rPr>
                <w:rFonts w:ascii="Arial" w:eastAsiaTheme="minorHAnsi" w:hAnsi="Arial" w:cs="Arial"/>
                <w:sz w:val="22"/>
                <w:szCs w:val="22"/>
                <w:lang w:val="es-CR" w:eastAsia="en-US"/>
              </w:rPr>
              <w:t xml:space="preserve"> </w:t>
            </w:r>
            <w:r w:rsidRPr="000614F6">
              <w:rPr>
                <w:rFonts w:ascii="Arial" w:eastAsiaTheme="minorHAnsi" w:hAnsi="Arial" w:cs="Arial"/>
                <w:sz w:val="22"/>
                <w:szCs w:val="22"/>
                <w:lang w:val="es-CR" w:eastAsia="en-US"/>
              </w:rPr>
              <w:t>o</w:t>
            </w:r>
            <w:r w:rsidRPr="000614F6">
              <w:rPr>
                <w:rFonts w:ascii="Arial" w:eastAsiaTheme="minorHAnsi" w:hAnsi="Arial" w:cs="Arial"/>
                <w:sz w:val="22"/>
                <w:szCs w:val="22"/>
                <w:lang w:val="es-CR" w:eastAsia="en-US"/>
              </w:rPr>
              <w:t>)</w:t>
            </w:r>
            <w:r w:rsidR="000614F6" w:rsidRPr="000614F6">
              <w:rPr>
                <w:rFonts w:ascii="Arial" w:eastAsiaTheme="minorHAnsi" w:hAnsi="Arial" w:cs="Arial"/>
                <w:sz w:val="22"/>
                <w:szCs w:val="22"/>
                <w:lang w:val="es-CR" w:eastAsia="en-US"/>
              </w:rPr>
              <w:t xml:space="preserve">, </w:t>
            </w:r>
            <w:r w:rsidRPr="000614F6">
              <w:rPr>
                <w:rFonts w:ascii="Arial" w:eastAsiaTheme="minorHAnsi" w:hAnsi="Arial" w:cs="Arial"/>
                <w:sz w:val="22"/>
                <w:szCs w:val="22"/>
                <w:lang w:val="es-CR" w:eastAsia="en-US"/>
              </w:rPr>
              <w:t xml:space="preserve">p) </w:t>
            </w:r>
            <w:r w:rsidR="000614F6" w:rsidRPr="000614F6">
              <w:rPr>
                <w:rFonts w:ascii="Arial" w:eastAsiaTheme="minorHAnsi" w:hAnsi="Arial" w:cs="Arial"/>
                <w:sz w:val="22"/>
                <w:szCs w:val="22"/>
                <w:lang w:val="es-CR" w:eastAsia="en-US"/>
              </w:rPr>
              <w:t xml:space="preserve">y j) </w:t>
            </w:r>
            <w:r w:rsidRPr="000614F6">
              <w:rPr>
                <w:rFonts w:ascii="Arial" w:eastAsiaTheme="minorHAnsi" w:hAnsi="Arial" w:cs="Arial"/>
                <w:sz w:val="22"/>
                <w:szCs w:val="22"/>
                <w:lang w:val="es-CR" w:eastAsia="en-US"/>
              </w:rPr>
              <w:t xml:space="preserve">del artículo </w:t>
            </w:r>
            <w:r w:rsidRPr="000614F6">
              <w:rPr>
                <w:rFonts w:ascii="Arial" w:eastAsiaTheme="minorHAnsi" w:hAnsi="Arial" w:cs="Arial"/>
                <w:sz w:val="22"/>
                <w:szCs w:val="22"/>
                <w:lang w:val="es-CR" w:eastAsia="en-US"/>
              </w:rPr>
              <w:t>14 refiere a “</w:t>
            </w:r>
            <w:r w:rsidRPr="000614F6">
              <w:rPr>
                <w:rFonts w:ascii="Arial" w:eastAsiaTheme="minorHAnsi" w:hAnsi="Arial" w:cs="Arial"/>
                <w:sz w:val="22"/>
                <w:szCs w:val="22"/>
                <w:lang w:val="es-CR" w:eastAsia="en-US"/>
              </w:rPr>
              <w:t>procesos de licitación y contratación de las obras</w:t>
            </w:r>
            <w:r w:rsidRPr="000614F6">
              <w:rPr>
                <w:rFonts w:ascii="Arial" w:eastAsiaTheme="minorHAnsi" w:hAnsi="Arial" w:cs="Arial"/>
                <w:sz w:val="22"/>
                <w:szCs w:val="22"/>
                <w:lang w:val="es-CR" w:eastAsia="en-US"/>
              </w:rPr>
              <w:t>”</w:t>
            </w:r>
            <w:r w:rsidR="000614F6" w:rsidRPr="000614F6">
              <w:rPr>
                <w:rFonts w:ascii="Arial" w:eastAsiaTheme="minorHAnsi" w:hAnsi="Arial" w:cs="Arial"/>
                <w:sz w:val="22"/>
                <w:szCs w:val="22"/>
                <w:lang w:val="es-CR" w:eastAsia="en-US"/>
              </w:rPr>
              <w:t xml:space="preserve">, </w:t>
            </w:r>
            <w:r w:rsidRPr="000614F6">
              <w:rPr>
                <w:rFonts w:ascii="Arial" w:eastAsiaTheme="minorHAnsi" w:hAnsi="Arial" w:cs="Arial"/>
                <w:sz w:val="22"/>
                <w:szCs w:val="22"/>
                <w:lang w:val="es-CR" w:eastAsia="en-US"/>
              </w:rPr>
              <w:t>“</w:t>
            </w:r>
            <w:r w:rsidRPr="000614F6">
              <w:rPr>
                <w:rFonts w:ascii="Arial" w:eastAsiaTheme="minorHAnsi" w:hAnsi="Arial" w:cs="Arial"/>
                <w:sz w:val="22"/>
                <w:szCs w:val="22"/>
                <w:lang w:val="es-CR" w:eastAsia="en-US"/>
              </w:rPr>
              <w:t>proceso de contratación</w:t>
            </w:r>
            <w:r w:rsidRPr="000614F6">
              <w:rPr>
                <w:rFonts w:ascii="Arial" w:eastAsiaTheme="minorHAnsi" w:hAnsi="Arial" w:cs="Arial"/>
                <w:sz w:val="22"/>
                <w:szCs w:val="22"/>
                <w:lang w:val="es-CR" w:eastAsia="en-US"/>
              </w:rPr>
              <w:t>”,</w:t>
            </w:r>
            <w:r w:rsidR="000614F6" w:rsidRPr="000614F6">
              <w:rPr>
                <w:rFonts w:ascii="Arial" w:eastAsiaTheme="minorHAnsi" w:hAnsi="Arial" w:cs="Arial"/>
                <w:sz w:val="22"/>
                <w:szCs w:val="22"/>
                <w:lang w:val="es-CR" w:eastAsia="en-US"/>
              </w:rPr>
              <w:t xml:space="preserve"> “</w:t>
            </w:r>
            <w:r w:rsidR="000614F6" w:rsidRPr="000614F6">
              <w:rPr>
                <w:rFonts w:ascii="Arial" w:eastAsiaTheme="minorHAnsi" w:hAnsi="Arial" w:cs="Arial"/>
                <w:sz w:val="22"/>
                <w:szCs w:val="22"/>
                <w:lang w:val="es-CR" w:eastAsia="en-US"/>
              </w:rPr>
              <w:t xml:space="preserve">proceso de evaluación </w:t>
            </w:r>
            <w:proofErr w:type="spellStart"/>
            <w:r w:rsidR="000614F6" w:rsidRPr="000614F6">
              <w:rPr>
                <w:rFonts w:ascii="Arial" w:eastAsiaTheme="minorHAnsi" w:hAnsi="Arial" w:cs="Arial"/>
                <w:sz w:val="22"/>
                <w:szCs w:val="22"/>
                <w:lang w:val="es-CR" w:eastAsia="en-US"/>
              </w:rPr>
              <w:t>ex-post</w:t>
            </w:r>
            <w:proofErr w:type="spellEnd"/>
            <w:r w:rsidR="000614F6" w:rsidRPr="000614F6">
              <w:rPr>
                <w:rFonts w:ascii="Arial" w:eastAsiaTheme="minorHAnsi" w:hAnsi="Arial" w:cs="Arial"/>
                <w:sz w:val="22"/>
                <w:szCs w:val="22"/>
                <w:lang w:val="es-CR" w:eastAsia="en-US"/>
              </w:rPr>
              <w:t xml:space="preserve">”, </w:t>
            </w:r>
            <w:r w:rsidRPr="000614F6">
              <w:rPr>
                <w:rFonts w:ascii="Arial" w:eastAsiaTheme="minorHAnsi" w:hAnsi="Arial" w:cs="Arial"/>
                <w:sz w:val="22"/>
                <w:szCs w:val="22"/>
                <w:lang w:val="es-CR" w:eastAsia="en-US"/>
              </w:rPr>
              <w:t xml:space="preserve">respectivamente. </w:t>
            </w:r>
          </w:p>
          <w:p w14:paraId="6527B936" w14:textId="3A9477CF" w:rsidR="000614F6" w:rsidRPr="000614F6" w:rsidRDefault="000614F6" w:rsidP="000614F6">
            <w:pPr>
              <w:pStyle w:val="Prrafodelista"/>
              <w:numPr>
                <w:ilvl w:val="0"/>
                <w:numId w:val="3"/>
              </w:numPr>
              <w:jc w:val="both"/>
              <w:rPr>
                <w:rFonts w:ascii="Arial" w:hAnsi="Arial" w:cs="Arial"/>
              </w:rPr>
            </w:pPr>
            <w:r w:rsidRPr="000614F6">
              <w:rPr>
                <w:rFonts w:ascii="Arial" w:eastAsiaTheme="minorHAnsi" w:hAnsi="Arial" w:cs="Arial"/>
                <w:sz w:val="22"/>
                <w:szCs w:val="22"/>
                <w:lang w:val="es-CR" w:eastAsia="en-US"/>
              </w:rPr>
              <w:t xml:space="preserve">El </w:t>
            </w:r>
            <w:r w:rsidRPr="00D85191">
              <w:rPr>
                <w:rFonts w:ascii="Arial" w:eastAsiaTheme="minorHAnsi" w:hAnsi="Arial" w:cs="Arial"/>
                <w:sz w:val="22"/>
                <w:szCs w:val="22"/>
                <w:lang w:val="es-CR" w:eastAsia="en-US"/>
              </w:rPr>
              <w:t>artículo</w:t>
            </w:r>
            <w:r w:rsidRPr="000614F6">
              <w:rPr>
                <w:rFonts w:ascii="Arial" w:eastAsiaTheme="minorHAnsi" w:hAnsi="Arial" w:cs="Arial"/>
                <w:sz w:val="22"/>
                <w:szCs w:val="22"/>
                <w:lang w:val="es-CR" w:eastAsia="en-US"/>
              </w:rPr>
              <w:t xml:space="preserve"> 30 hace alusión a un “</w:t>
            </w:r>
            <w:r w:rsidRPr="000614F6">
              <w:rPr>
                <w:rFonts w:ascii="Arial" w:eastAsiaTheme="minorHAnsi" w:hAnsi="Arial" w:cs="Arial"/>
                <w:sz w:val="22"/>
                <w:szCs w:val="22"/>
                <w:lang w:val="es-CR" w:eastAsia="en-US"/>
              </w:rPr>
              <w:t>proceso de verificación</w:t>
            </w:r>
            <w:r w:rsidRPr="000614F6">
              <w:rPr>
                <w:rFonts w:ascii="Arial" w:eastAsiaTheme="minorHAnsi" w:hAnsi="Arial" w:cs="Arial"/>
                <w:sz w:val="22"/>
                <w:szCs w:val="22"/>
                <w:lang w:val="es-CR" w:eastAsia="en-US"/>
              </w:rPr>
              <w:t xml:space="preserve">” de los proyectos rechazados. </w:t>
            </w:r>
          </w:p>
          <w:p w14:paraId="6CC5067B" w14:textId="77777777" w:rsidR="000614F6" w:rsidRPr="000614F6" w:rsidRDefault="000614F6" w:rsidP="000614F6">
            <w:pPr>
              <w:pStyle w:val="Prrafodelista"/>
              <w:jc w:val="both"/>
              <w:rPr>
                <w:rFonts w:ascii="Arial" w:hAnsi="Arial" w:cs="Arial"/>
              </w:rPr>
            </w:pPr>
          </w:p>
          <w:p w14:paraId="5B6DD08B" w14:textId="64C39691" w:rsidR="000614F6" w:rsidRPr="000614F6" w:rsidRDefault="000614F6" w:rsidP="000614F6">
            <w:pPr>
              <w:jc w:val="both"/>
              <w:rPr>
                <w:rFonts w:ascii="Arial" w:hAnsi="Arial" w:cs="Arial"/>
              </w:rPr>
            </w:pPr>
            <w:r>
              <w:rPr>
                <w:rFonts w:ascii="Arial" w:hAnsi="Arial" w:cs="Arial"/>
              </w:rPr>
              <w:t xml:space="preserve">Lo anterior es muy importante, en tanto las organizaciones deben definir la </w:t>
            </w:r>
            <w:r w:rsidRPr="000614F6">
              <w:rPr>
                <w:rFonts w:ascii="Arial" w:hAnsi="Arial" w:cs="Arial"/>
              </w:rPr>
              <w:t>estructura de gobernanza</w:t>
            </w:r>
            <w:r>
              <w:rPr>
                <w:rFonts w:ascii="Arial" w:hAnsi="Arial" w:cs="Arial"/>
              </w:rPr>
              <w:t xml:space="preserve"> del proceso o los procesos de gestión del portafolio y sus componentes, siendo necesario dejar claro que no se trata de un solo proceso y poder aclarar y definir roles y responsabilidades a lo interno de las instituciones.  </w:t>
            </w:r>
          </w:p>
        </w:tc>
      </w:tr>
      <w:tr w:rsidR="002824F9" w:rsidRPr="00114D2D" w14:paraId="161CF17D" w14:textId="77777777" w:rsidTr="00EB7326">
        <w:trPr>
          <w:jc w:val="center"/>
        </w:trPr>
        <w:tc>
          <w:tcPr>
            <w:tcW w:w="4081" w:type="dxa"/>
          </w:tcPr>
          <w:p w14:paraId="06C36370" w14:textId="3BDE243B" w:rsidR="002824F9" w:rsidRPr="00114D2D" w:rsidRDefault="00EB7326" w:rsidP="005F50E1">
            <w:pPr>
              <w:rPr>
                <w:rFonts w:ascii="Arial" w:hAnsi="Arial" w:cs="Arial"/>
              </w:rPr>
            </w:pPr>
            <w:r w:rsidRPr="00EB7326">
              <w:rPr>
                <w:rFonts w:ascii="Arial" w:hAnsi="Arial" w:cs="Arial"/>
              </w:rPr>
              <w:lastRenderedPageBreak/>
              <w:t>Artículo 2º- Definición del SNIP</w:t>
            </w:r>
          </w:p>
          <w:p w14:paraId="10CA6F7F" w14:textId="77777777" w:rsidR="002824F9" w:rsidRPr="00114D2D" w:rsidRDefault="002824F9" w:rsidP="005F50E1">
            <w:pPr>
              <w:rPr>
                <w:rFonts w:ascii="Arial" w:hAnsi="Arial" w:cs="Arial"/>
              </w:rPr>
            </w:pPr>
          </w:p>
        </w:tc>
        <w:tc>
          <w:tcPr>
            <w:tcW w:w="3257" w:type="dxa"/>
          </w:tcPr>
          <w:p w14:paraId="41240A44" w14:textId="77F73B28" w:rsidR="002824F9" w:rsidRPr="00114D2D" w:rsidRDefault="00EB7326" w:rsidP="005F50E1">
            <w:pPr>
              <w:rPr>
                <w:rFonts w:ascii="Arial" w:hAnsi="Arial" w:cs="Arial"/>
              </w:rPr>
            </w:pPr>
            <w:r>
              <w:rPr>
                <w:rFonts w:ascii="Arial" w:hAnsi="Arial" w:cs="Arial"/>
              </w:rPr>
              <w:t xml:space="preserve">“… </w:t>
            </w:r>
            <w:r w:rsidRPr="00EB7326">
              <w:rPr>
                <w:rFonts w:ascii="Arial" w:hAnsi="Arial" w:cs="Arial"/>
              </w:rPr>
              <w:t xml:space="preserve">objetivo ordenar y orientar </w:t>
            </w:r>
            <w:r w:rsidRPr="00EB7326">
              <w:rPr>
                <w:rFonts w:ascii="Arial" w:hAnsi="Arial" w:cs="Arial"/>
                <w:color w:val="4F81BD" w:themeColor="accent1"/>
              </w:rPr>
              <w:t xml:space="preserve">los </w:t>
            </w:r>
            <w:r w:rsidRPr="00EB7326">
              <w:rPr>
                <w:rFonts w:ascii="Arial" w:hAnsi="Arial" w:cs="Arial"/>
                <w:color w:val="4F81BD" w:themeColor="accent1"/>
              </w:rPr>
              <w:t>proceso</w:t>
            </w:r>
            <w:r w:rsidRPr="00EB7326">
              <w:rPr>
                <w:rFonts w:ascii="Arial" w:hAnsi="Arial" w:cs="Arial"/>
                <w:color w:val="4F81BD" w:themeColor="accent1"/>
              </w:rPr>
              <w:t>s</w:t>
            </w:r>
            <w:r w:rsidRPr="00EB7326">
              <w:rPr>
                <w:rFonts w:ascii="Arial" w:hAnsi="Arial" w:cs="Arial"/>
                <w:color w:val="4F81BD" w:themeColor="accent1"/>
              </w:rPr>
              <w:t xml:space="preserve"> </w:t>
            </w:r>
            <w:r w:rsidRPr="00EB7326">
              <w:rPr>
                <w:rFonts w:ascii="Arial" w:hAnsi="Arial" w:cs="Arial"/>
              </w:rPr>
              <w:t>de la inversión pública</w:t>
            </w:r>
            <w:r>
              <w:rPr>
                <w:rFonts w:ascii="Arial" w:hAnsi="Arial" w:cs="Arial"/>
              </w:rPr>
              <w:t>…”</w:t>
            </w:r>
          </w:p>
        </w:tc>
        <w:tc>
          <w:tcPr>
            <w:tcW w:w="4704" w:type="dxa"/>
          </w:tcPr>
          <w:p w14:paraId="104EB073" w14:textId="1B28BDCC" w:rsidR="002824F9" w:rsidRDefault="00EB7326" w:rsidP="005F50E1">
            <w:pPr>
              <w:rPr>
                <w:rFonts w:ascii="Arial" w:hAnsi="Arial" w:cs="Arial"/>
              </w:rPr>
            </w:pPr>
            <w:r>
              <w:rPr>
                <w:rFonts w:ascii="Arial" w:hAnsi="Arial" w:cs="Arial"/>
              </w:rPr>
              <w:t>Ídem</w:t>
            </w:r>
          </w:p>
          <w:p w14:paraId="1EAAB636" w14:textId="2CC80403" w:rsidR="00EB7326" w:rsidRPr="00114D2D" w:rsidRDefault="00EB7326" w:rsidP="005F50E1">
            <w:pPr>
              <w:rPr>
                <w:rFonts w:ascii="Arial" w:hAnsi="Arial" w:cs="Arial"/>
              </w:rPr>
            </w:pPr>
          </w:p>
        </w:tc>
      </w:tr>
      <w:tr w:rsidR="00C72344" w:rsidRPr="00114D2D" w14:paraId="32A10FA3" w14:textId="77777777" w:rsidTr="00EB7326">
        <w:trPr>
          <w:jc w:val="center"/>
        </w:trPr>
        <w:tc>
          <w:tcPr>
            <w:tcW w:w="4081" w:type="dxa"/>
          </w:tcPr>
          <w:p w14:paraId="2A549C79" w14:textId="0AF4DE23" w:rsidR="00C72344" w:rsidRPr="00114D2D" w:rsidRDefault="00C72344" w:rsidP="00C72344">
            <w:pPr>
              <w:rPr>
                <w:rFonts w:ascii="Arial" w:hAnsi="Arial" w:cs="Arial"/>
              </w:rPr>
            </w:pPr>
            <w:r w:rsidRPr="00EB7326">
              <w:rPr>
                <w:rFonts w:ascii="Arial" w:hAnsi="Arial" w:cs="Arial"/>
              </w:rPr>
              <w:t>Artículo 4º- Definiciones</w:t>
            </w:r>
          </w:p>
        </w:tc>
        <w:tc>
          <w:tcPr>
            <w:tcW w:w="3257" w:type="dxa"/>
          </w:tcPr>
          <w:p w14:paraId="6EFA9F28" w14:textId="77777777" w:rsidR="00C72344" w:rsidRDefault="00C72344" w:rsidP="00AC1350">
            <w:pPr>
              <w:jc w:val="both"/>
              <w:rPr>
                <w:rFonts w:ascii="Arial" w:hAnsi="Arial" w:cs="Arial"/>
              </w:rPr>
            </w:pPr>
            <w:r w:rsidRPr="00EB7326">
              <w:rPr>
                <w:rFonts w:ascii="Arial" w:hAnsi="Arial" w:cs="Arial"/>
              </w:rPr>
              <w:t xml:space="preserve">Artículo 4º- Definiciones. </w:t>
            </w:r>
          </w:p>
          <w:p w14:paraId="1FB8B573" w14:textId="77777777" w:rsidR="00C72344" w:rsidRDefault="00C72344" w:rsidP="00AC1350">
            <w:pPr>
              <w:jc w:val="both"/>
              <w:rPr>
                <w:rFonts w:ascii="Arial" w:hAnsi="Arial" w:cs="Arial"/>
                <w:color w:val="4F81BD" w:themeColor="accent1"/>
              </w:rPr>
            </w:pPr>
            <w:r>
              <w:rPr>
                <w:rFonts w:ascii="Arial" w:hAnsi="Arial" w:cs="Arial"/>
              </w:rPr>
              <w:t xml:space="preserve">[…] </w:t>
            </w:r>
          </w:p>
          <w:p w14:paraId="0B039FDB" w14:textId="0C15B042" w:rsidR="00C72344" w:rsidRPr="00114D2D" w:rsidRDefault="00C72344" w:rsidP="00AC1350">
            <w:pPr>
              <w:jc w:val="both"/>
              <w:rPr>
                <w:rFonts w:ascii="Arial" w:hAnsi="Arial" w:cs="Arial"/>
              </w:rPr>
            </w:pPr>
            <w:r>
              <w:rPr>
                <w:rFonts w:ascii="Arial" w:hAnsi="Arial" w:cs="Arial"/>
              </w:rPr>
              <w:t xml:space="preserve">d) </w:t>
            </w:r>
            <w:r w:rsidRPr="003351E7">
              <w:rPr>
                <w:rFonts w:ascii="Arial" w:hAnsi="Arial" w:cs="Arial"/>
              </w:rPr>
              <w:t xml:space="preserve">Aval técnico del proyecto: Emitido por la persona funcionaria de la institución </w:t>
            </w:r>
            <w:r w:rsidRPr="003351E7">
              <w:rPr>
                <w:rFonts w:ascii="Arial" w:hAnsi="Arial" w:cs="Arial"/>
                <w:strike/>
                <w:color w:val="4F81BD" w:themeColor="accent1"/>
              </w:rPr>
              <w:t>encargada del proyecto</w:t>
            </w:r>
            <w:r w:rsidRPr="003351E7">
              <w:rPr>
                <w:rFonts w:ascii="Arial" w:hAnsi="Arial" w:cs="Arial"/>
              </w:rPr>
              <w:t xml:space="preserve">, designada para revisar y aprobar los aspectos técnicos del proyecto e indicar la siguiente etapa a la que debe avanzar el proyecto. </w:t>
            </w:r>
            <w:proofErr w:type="gramStart"/>
            <w:r w:rsidRPr="003351E7">
              <w:rPr>
                <w:rFonts w:ascii="Arial" w:hAnsi="Arial" w:cs="Arial"/>
              </w:rPr>
              <w:t>Estos avales se emitirá</w:t>
            </w:r>
            <w:proofErr w:type="gramEnd"/>
            <w:r w:rsidRPr="003351E7">
              <w:rPr>
                <w:rFonts w:ascii="Arial" w:hAnsi="Arial" w:cs="Arial"/>
              </w:rPr>
              <w:t xml:space="preserve"> para cada una de las etapas de la fase de </w:t>
            </w:r>
            <w:proofErr w:type="spellStart"/>
            <w:r w:rsidRPr="003351E7">
              <w:rPr>
                <w:rFonts w:ascii="Arial" w:hAnsi="Arial" w:cs="Arial"/>
              </w:rPr>
              <w:t>preinversión</w:t>
            </w:r>
            <w:proofErr w:type="spellEnd"/>
            <w:r w:rsidRPr="003351E7">
              <w:rPr>
                <w:rFonts w:ascii="Arial" w:hAnsi="Arial" w:cs="Arial"/>
              </w:rPr>
              <w:t xml:space="preserve"> que requiera completar el proyecto antes de entrar a la fase de inversión.</w:t>
            </w:r>
          </w:p>
        </w:tc>
        <w:tc>
          <w:tcPr>
            <w:tcW w:w="4704" w:type="dxa"/>
          </w:tcPr>
          <w:p w14:paraId="37177F49" w14:textId="187585F5" w:rsidR="00C72344" w:rsidRDefault="00C72344" w:rsidP="00AC1350">
            <w:pPr>
              <w:autoSpaceDE w:val="0"/>
              <w:autoSpaceDN w:val="0"/>
              <w:adjustRightInd w:val="0"/>
              <w:jc w:val="both"/>
              <w:rPr>
                <w:rFonts w:ascii="Arial" w:hAnsi="Arial" w:cs="Arial"/>
              </w:rPr>
            </w:pPr>
            <w:r>
              <w:rPr>
                <w:rFonts w:ascii="Arial" w:hAnsi="Arial" w:cs="Arial"/>
              </w:rPr>
              <w:t xml:space="preserve">Se sugiere eliminar de la redacción la referencia de “encargado de proyecto”, considerando lo estipulado </w:t>
            </w:r>
            <w:r>
              <w:rPr>
                <w:rFonts w:ascii="Arial" w:hAnsi="Arial" w:cs="Arial"/>
              </w:rPr>
              <w:t xml:space="preserve">artículo 24, </w:t>
            </w:r>
            <w:r>
              <w:rPr>
                <w:rFonts w:ascii="Arial" w:hAnsi="Arial" w:cs="Arial"/>
              </w:rPr>
              <w:t xml:space="preserve">los incisos e), f) y g) del </w:t>
            </w:r>
            <w:r w:rsidRPr="00C86DF9">
              <w:rPr>
                <w:rFonts w:ascii="Arial" w:hAnsi="Arial" w:cs="Arial"/>
              </w:rPr>
              <w:t xml:space="preserve">Artículo 14 </w:t>
            </w:r>
            <w:r>
              <w:rPr>
                <w:rFonts w:ascii="Arial" w:hAnsi="Arial" w:cs="Arial"/>
              </w:rPr>
              <w:t xml:space="preserve">y los </w:t>
            </w:r>
            <w:r w:rsidRPr="00C72344">
              <w:rPr>
                <w:rFonts w:ascii="Arial" w:hAnsi="Arial" w:cs="Arial"/>
              </w:rPr>
              <w:t>incisos d) y e) del Artículo 15 de la propuesta del reglamento,</w:t>
            </w:r>
            <w:r>
              <w:rPr>
                <w:rFonts w:ascii="Arial" w:hAnsi="Arial" w:cs="Arial"/>
              </w:rPr>
              <w:t xml:space="preserve"> estos últimos, </w:t>
            </w:r>
            <w:r>
              <w:rPr>
                <w:rFonts w:ascii="Arial" w:hAnsi="Arial" w:cs="Arial"/>
              </w:rPr>
              <w:t xml:space="preserve">relativos a </w:t>
            </w:r>
            <w:r w:rsidRPr="00C86DF9">
              <w:rPr>
                <w:rFonts w:ascii="Arial" w:hAnsi="Arial" w:cs="Arial"/>
              </w:rPr>
              <w:t>las funciones de las entidades dentro del ámbito de cobertura del SNIP</w:t>
            </w:r>
            <w:r>
              <w:rPr>
                <w:rFonts w:ascii="Arial" w:hAnsi="Arial" w:cs="Arial"/>
              </w:rPr>
              <w:t xml:space="preserve"> y </w:t>
            </w:r>
            <w:proofErr w:type="gramStart"/>
            <w:r>
              <w:rPr>
                <w:rFonts w:ascii="Arial" w:hAnsi="Arial" w:cs="Arial"/>
              </w:rPr>
              <w:t xml:space="preserve">las </w:t>
            </w:r>
            <w:r w:rsidRPr="00C86DF9">
              <w:rPr>
                <w:rFonts w:ascii="Arial" w:hAnsi="Arial" w:cs="Arial"/>
              </w:rPr>
              <w:t xml:space="preserve"> </w:t>
            </w:r>
            <w:r w:rsidRPr="00C72344">
              <w:rPr>
                <w:rFonts w:ascii="Arial" w:hAnsi="Arial" w:cs="Arial"/>
              </w:rPr>
              <w:t>funciones</w:t>
            </w:r>
            <w:proofErr w:type="gramEnd"/>
            <w:r w:rsidRPr="00C72344">
              <w:rPr>
                <w:rFonts w:ascii="Arial" w:hAnsi="Arial" w:cs="Arial"/>
              </w:rPr>
              <w:t xml:space="preserve"> de las Unidades de Planificación Institucional</w:t>
            </w:r>
            <w:r>
              <w:rPr>
                <w:rFonts w:ascii="Arial" w:hAnsi="Arial" w:cs="Arial"/>
              </w:rPr>
              <w:t xml:space="preserve">, respectivamente. </w:t>
            </w:r>
          </w:p>
          <w:p w14:paraId="1B7AECE9" w14:textId="77777777" w:rsidR="00C72344" w:rsidRDefault="00C72344" w:rsidP="00AC1350">
            <w:pPr>
              <w:autoSpaceDE w:val="0"/>
              <w:autoSpaceDN w:val="0"/>
              <w:adjustRightInd w:val="0"/>
              <w:jc w:val="both"/>
              <w:rPr>
                <w:rFonts w:ascii="Arial" w:hAnsi="Arial" w:cs="Arial"/>
              </w:rPr>
            </w:pPr>
          </w:p>
          <w:p w14:paraId="68B74408" w14:textId="59CF1A81" w:rsidR="00C72344" w:rsidRDefault="00C72344" w:rsidP="00AC1350">
            <w:pPr>
              <w:autoSpaceDE w:val="0"/>
              <w:autoSpaceDN w:val="0"/>
              <w:adjustRightInd w:val="0"/>
              <w:jc w:val="both"/>
              <w:rPr>
                <w:rFonts w:ascii="Arial" w:hAnsi="Arial" w:cs="Arial"/>
              </w:rPr>
            </w:pPr>
            <w:r>
              <w:rPr>
                <w:rFonts w:ascii="Arial" w:hAnsi="Arial" w:cs="Arial"/>
              </w:rPr>
              <w:t>Además, tomando en consideración lo estipulado en el “</w:t>
            </w:r>
            <w:r w:rsidRPr="003351E7">
              <w:rPr>
                <w:rFonts w:ascii="Arial" w:hAnsi="Arial" w:cs="Arial"/>
              </w:rPr>
              <w:t>Lineamiento Metodológico para la definición y gestión del portafolio de Inversión Pública de las entidades del SNIP</w:t>
            </w:r>
            <w:r>
              <w:rPr>
                <w:rFonts w:ascii="Arial" w:hAnsi="Arial" w:cs="Arial"/>
              </w:rPr>
              <w:t>”, tanto en la definición del encargado de proyecto (</w:t>
            </w:r>
            <w:r w:rsidRPr="003351E7">
              <w:rPr>
                <w:rFonts w:ascii="Arial" w:hAnsi="Arial" w:cs="Arial"/>
              </w:rPr>
              <w:t>responsable de liderar al equipo de proyecto para alcanzar los</w:t>
            </w:r>
            <w:r>
              <w:rPr>
                <w:rFonts w:ascii="Arial" w:hAnsi="Arial" w:cs="Arial"/>
              </w:rPr>
              <w:t xml:space="preserve"> </w:t>
            </w:r>
            <w:r w:rsidRPr="003351E7">
              <w:rPr>
                <w:rFonts w:ascii="Arial" w:hAnsi="Arial" w:cs="Arial"/>
              </w:rPr>
              <w:t>objetivos establecidos</w:t>
            </w:r>
            <w:r>
              <w:rPr>
                <w:rFonts w:ascii="Arial" w:hAnsi="Arial" w:cs="Arial"/>
              </w:rPr>
              <w:t>)</w:t>
            </w:r>
            <w:r w:rsidRPr="003351E7">
              <w:rPr>
                <w:rFonts w:ascii="Arial" w:hAnsi="Arial" w:cs="Arial"/>
              </w:rPr>
              <w:t xml:space="preserve"> </w:t>
            </w:r>
            <w:r>
              <w:rPr>
                <w:rFonts w:ascii="Arial" w:hAnsi="Arial" w:cs="Arial"/>
              </w:rPr>
              <w:t>como en el lineamiento de definir las responsabilidades específicas de dicho rol por parte de las entidades</w:t>
            </w:r>
            <w:r>
              <w:rPr>
                <w:rFonts w:ascii="Arial" w:hAnsi="Arial" w:cs="Arial"/>
              </w:rPr>
              <w:t xml:space="preserve">, </w:t>
            </w:r>
            <w:r w:rsidR="00680DFC">
              <w:rPr>
                <w:rFonts w:ascii="Arial" w:hAnsi="Arial" w:cs="Arial"/>
              </w:rPr>
              <w:t xml:space="preserve">incluyendo el rol de las UPI, </w:t>
            </w:r>
            <w:r>
              <w:rPr>
                <w:rFonts w:ascii="Arial" w:hAnsi="Arial" w:cs="Arial"/>
              </w:rPr>
              <w:t>d</w:t>
            </w:r>
            <w:r>
              <w:rPr>
                <w:rFonts w:ascii="Arial" w:hAnsi="Arial" w:cs="Arial"/>
              </w:rPr>
              <w:t xml:space="preserve">e manera tal, que el encargado de proyecto puede ser designado para todo el ciclo de vida o bien solamente una de las fases del proyecto, por ejemplo la </w:t>
            </w:r>
            <w:proofErr w:type="spellStart"/>
            <w:r>
              <w:rPr>
                <w:rFonts w:ascii="Arial" w:hAnsi="Arial" w:cs="Arial"/>
              </w:rPr>
              <w:t>preinversión</w:t>
            </w:r>
            <w:proofErr w:type="spellEnd"/>
            <w:r>
              <w:rPr>
                <w:rFonts w:ascii="Arial" w:hAnsi="Arial" w:cs="Arial"/>
              </w:rPr>
              <w:t xml:space="preserve">, siendo necesario establecer </w:t>
            </w:r>
            <w:r w:rsidR="00680DFC">
              <w:rPr>
                <w:rFonts w:ascii="Arial" w:hAnsi="Arial" w:cs="Arial"/>
              </w:rPr>
              <w:t xml:space="preserve">controles institucionales respecto la </w:t>
            </w:r>
            <w:r w:rsidR="00680DFC" w:rsidRPr="00680DFC">
              <w:rPr>
                <w:rFonts w:ascii="Arial" w:hAnsi="Arial" w:cs="Arial"/>
              </w:rPr>
              <w:t>correcta aplicación de las normas y lineamientos de inversión pública</w:t>
            </w:r>
            <w:r w:rsidR="00680DFC">
              <w:rPr>
                <w:rFonts w:ascii="Arial" w:hAnsi="Arial" w:cs="Arial"/>
              </w:rPr>
              <w:t>.</w:t>
            </w:r>
          </w:p>
          <w:p w14:paraId="25185C7E" w14:textId="7E14380D" w:rsidR="00680DFC" w:rsidRPr="00114D2D" w:rsidRDefault="00680DFC" w:rsidP="00AC1350">
            <w:pPr>
              <w:autoSpaceDE w:val="0"/>
              <w:autoSpaceDN w:val="0"/>
              <w:adjustRightInd w:val="0"/>
              <w:jc w:val="both"/>
              <w:rPr>
                <w:rFonts w:ascii="Arial" w:hAnsi="Arial" w:cs="Arial"/>
              </w:rPr>
            </w:pPr>
          </w:p>
        </w:tc>
      </w:tr>
      <w:tr w:rsidR="00FF2D2C" w:rsidRPr="00114D2D" w14:paraId="29B12909" w14:textId="77777777" w:rsidTr="00EB7326">
        <w:trPr>
          <w:jc w:val="center"/>
        </w:trPr>
        <w:tc>
          <w:tcPr>
            <w:tcW w:w="4081" w:type="dxa"/>
          </w:tcPr>
          <w:p w14:paraId="4D31466D" w14:textId="2510A20D" w:rsidR="00FF2D2C" w:rsidRPr="00EB7326" w:rsidRDefault="00FF2D2C" w:rsidP="00EB7326">
            <w:pPr>
              <w:rPr>
                <w:rFonts w:ascii="Arial" w:hAnsi="Arial" w:cs="Arial"/>
              </w:rPr>
            </w:pPr>
            <w:r w:rsidRPr="00EB7326">
              <w:rPr>
                <w:rFonts w:ascii="Arial" w:hAnsi="Arial" w:cs="Arial"/>
              </w:rPr>
              <w:lastRenderedPageBreak/>
              <w:t>Artículo 4º- Definiciones</w:t>
            </w:r>
          </w:p>
        </w:tc>
        <w:tc>
          <w:tcPr>
            <w:tcW w:w="3257" w:type="dxa"/>
          </w:tcPr>
          <w:p w14:paraId="39C3B85C" w14:textId="44D28A07" w:rsidR="00FF2D2C" w:rsidRDefault="00FF2D2C" w:rsidP="00EB7326">
            <w:pPr>
              <w:rPr>
                <w:rFonts w:ascii="Arial" w:hAnsi="Arial" w:cs="Arial"/>
              </w:rPr>
            </w:pPr>
            <w:r w:rsidRPr="00EB7326">
              <w:rPr>
                <w:rFonts w:ascii="Arial" w:hAnsi="Arial" w:cs="Arial"/>
              </w:rPr>
              <w:t>Artículo 4º- Definiciones.</w:t>
            </w:r>
          </w:p>
          <w:p w14:paraId="3F810D3F" w14:textId="77777777" w:rsidR="00FF2D2C" w:rsidRDefault="00FF2D2C" w:rsidP="00FF2D2C">
            <w:pPr>
              <w:rPr>
                <w:rFonts w:ascii="Arial" w:hAnsi="Arial" w:cs="Arial"/>
                <w:color w:val="4F81BD" w:themeColor="accent1"/>
              </w:rPr>
            </w:pPr>
            <w:r>
              <w:rPr>
                <w:rFonts w:ascii="Arial" w:hAnsi="Arial" w:cs="Arial"/>
              </w:rPr>
              <w:t xml:space="preserve">[…] </w:t>
            </w:r>
          </w:p>
          <w:p w14:paraId="12073642" w14:textId="77777777" w:rsidR="00194C61" w:rsidRDefault="00FF2D2C" w:rsidP="00194C61">
            <w:pPr>
              <w:pBdr>
                <w:top w:val="nil"/>
                <w:left w:val="nil"/>
                <w:bottom w:val="nil"/>
                <w:right w:val="nil"/>
                <w:between w:val="nil"/>
              </w:pBdr>
              <w:jc w:val="both"/>
              <w:rPr>
                <w:rFonts w:ascii="Arial" w:hAnsi="Arial" w:cs="Arial"/>
              </w:rPr>
            </w:pPr>
            <w:r w:rsidRPr="00FF2D2C">
              <w:rPr>
                <w:rFonts w:ascii="Arial" w:hAnsi="Arial" w:cs="Arial"/>
              </w:rPr>
              <w:t>n)</w:t>
            </w:r>
            <w:r w:rsidRPr="00FF2D2C">
              <w:rPr>
                <w:rFonts w:ascii="Arial" w:hAnsi="Arial" w:cs="Arial"/>
              </w:rPr>
              <w:tab/>
              <w:t xml:space="preserve">Inversión en capital fijo: Se entiende por inversión en capital fijo el uso de recursos públicos para la adquisición de bienes duraderos capaces de producir otros bienes y servicios. Se incluyen dentro de estos: maquinaria y equipo para la producción, </w:t>
            </w:r>
            <w:r w:rsidRPr="00FF2D2C">
              <w:rPr>
                <w:rFonts w:ascii="Arial" w:hAnsi="Arial" w:cs="Arial"/>
                <w:color w:val="4F81BD" w:themeColor="accent1"/>
              </w:rPr>
              <w:t xml:space="preserve">equipo de </w:t>
            </w:r>
            <w:r w:rsidRPr="00FF2D2C">
              <w:rPr>
                <w:rFonts w:ascii="Arial" w:hAnsi="Arial" w:cs="Arial"/>
              </w:rPr>
              <w:t xml:space="preserve">comunicaciones, </w:t>
            </w:r>
            <w:r w:rsidRPr="00FF2D2C">
              <w:rPr>
                <w:rFonts w:ascii="Arial" w:hAnsi="Arial" w:cs="Arial"/>
                <w:color w:val="4F81BD" w:themeColor="accent1"/>
              </w:rPr>
              <w:t xml:space="preserve">equipo de </w:t>
            </w:r>
            <w:r w:rsidRPr="00FF2D2C">
              <w:rPr>
                <w:rFonts w:ascii="Arial" w:hAnsi="Arial" w:cs="Arial"/>
              </w:rPr>
              <w:t xml:space="preserve">transporte, </w:t>
            </w:r>
            <w:r w:rsidR="00194C61" w:rsidRPr="00194C61">
              <w:rPr>
                <w:rFonts w:ascii="Arial" w:hAnsi="Arial" w:cs="Arial"/>
                <w:color w:val="4F81BD" w:themeColor="accent1"/>
              </w:rPr>
              <w:t xml:space="preserve">equipo de cómputo, </w:t>
            </w:r>
            <w:r w:rsidRPr="00FF2D2C">
              <w:rPr>
                <w:rFonts w:ascii="Arial" w:hAnsi="Arial" w:cs="Arial"/>
              </w:rPr>
              <w:t>edificios, obras de infraestructura como carreteras, puentes, proyectos hidroeléctricos y adiciones o mejoras a estos activos fijos destinados a prorrogar su vida útil o su capacidad de producción.</w:t>
            </w:r>
            <w:r w:rsidR="00194C61">
              <w:rPr>
                <w:rFonts w:ascii="Arial" w:hAnsi="Arial" w:cs="Arial"/>
              </w:rPr>
              <w:t xml:space="preserve"> </w:t>
            </w:r>
          </w:p>
          <w:p w14:paraId="105E7F29" w14:textId="77777777" w:rsidR="00194C61" w:rsidRDefault="00194C61" w:rsidP="00194C61">
            <w:pPr>
              <w:pBdr>
                <w:top w:val="nil"/>
                <w:left w:val="nil"/>
                <w:bottom w:val="nil"/>
                <w:right w:val="nil"/>
                <w:between w:val="nil"/>
              </w:pBdr>
              <w:jc w:val="both"/>
              <w:rPr>
                <w:rFonts w:ascii="Arial" w:hAnsi="Arial" w:cs="Arial"/>
              </w:rPr>
            </w:pPr>
          </w:p>
          <w:p w14:paraId="0B7DE0DF" w14:textId="39B92F75" w:rsidR="00194C61" w:rsidRPr="00194C61" w:rsidRDefault="00194C61" w:rsidP="00194C61">
            <w:pPr>
              <w:pBdr>
                <w:top w:val="nil"/>
                <w:left w:val="nil"/>
                <w:bottom w:val="nil"/>
                <w:right w:val="nil"/>
                <w:between w:val="nil"/>
              </w:pBdr>
              <w:jc w:val="both"/>
              <w:rPr>
                <w:rFonts w:ascii="Arial" w:hAnsi="Arial" w:cs="Arial"/>
              </w:rPr>
            </w:pPr>
            <w:r>
              <w:rPr>
                <w:rFonts w:ascii="Arial" w:hAnsi="Arial" w:cs="Arial"/>
              </w:rPr>
              <w:t xml:space="preserve">o) </w:t>
            </w:r>
            <w:r w:rsidRPr="00194C61">
              <w:rPr>
                <w:rFonts w:ascii="Arial" w:hAnsi="Arial" w:cs="Arial"/>
              </w:rPr>
              <w:t>Inversión en capital no fijo: se entiende como los recursos públicos destinados a la ejecución de proyectos de fortalecimiento del capital humano institucional, que contempla acciones dirigidas a mejorar, capacitar, entrenar o preparar al talento humano del sector público con la finalidad de incrementar su productividad.</w:t>
            </w:r>
          </w:p>
          <w:p w14:paraId="7667AE84" w14:textId="7728824E" w:rsidR="00FF2D2C" w:rsidRPr="00EB7326" w:rsidRDefault="00FF2D2C" w:rsidP="00EB7326">
            <w:pPr>
              <w:rPr>
                <w:rFonts w:ascii="Arial" w:hAnsi="Arial" w:cs="Arial"/>
              </w:rPr>
            </w:pPr>
          </w:p>
        </w:tc>
        <w:tc>
          <w:tcPr>
            <w:tcW w:w="4704" w:type="dxa"/>
          </w:tcPr>
          <w:p w14:paraId="35B42F71" w14:textId="5AD381D3" w:rsidR="00FF2D2C" w:rsidRDefault="00FF2D2C" w:rsidP="00EB7326">
            <w:pPr>
              <w:rPr>
                <w:rFonts w:ascii="Arial" w:hAnsi="Arial" w:cs="Arial"/>
              </w:rPr>
            </w:pPr>
            <w:r>
              <w:rPr>
                <w:rFonts w:ascii="Arial" w:hAnsi="Arial" w:cs="Arial"/>
              </w:rPr>
              <w:lastRenderedPageBreak/>
              <w:t xml:space="preserve">De acuerdo con el clasificador del gasto del Ministerio de Hacienda, los bienes duraderos comprenden </w:t>
            </w:r>
            <w:r w:rsidRPr="00FF2D2C">
              <w:rPr>
                <w:rFonts w:ascii="Arial" w:hAnsi="Arial" w:cs="Arial"/>
              </w:rPr>
              <w:t>los siguientes grupos y subpartidas</w:t>
            </w:r>
            <w:r w:rsidR="00194C61">
              <w:rPr>
                <w:rFonts w:ascii="Arial" w:hAnsi="Arial" w:cs="Arial"/>
              </w:rPr>
              <w:t>, incluyendo inversión en tecnologías de información</w:t>
            </w:r>
            <w:r w:rsidRPr="00FF2D2C">
              <w:rPr>
                <w:rFonts w:ascii="Arial" w:hAnsi="Arial" w:cs="Arial"/>
              </w:rPr>
              <w:t>:</w:t>
            </w:r>
          </w:p>
          <w:p w14:paraId="143A9229" w14:textId="023BEC56" w:rsidR="00FF2D2C" w:rsidRDefault="00FF2D2C" w:rsidP="00EB7326">
            <w:pPr>
              <w:rPr>
                <w:rFonts w:ascii="Arial" w:hAnsi="Arial" w:cs="Arial"/>
              </w:rPr>
            </w:pPr>
            <w:r w:rsidRPr="00FF2D2C">
              <w:rPr>
                <w:rFonts w:ascii="Arial" w:hAnsi="Arial" w:cs="Arial"/>
              </w:rPr>
              <w:t>5.01 MAQUINARIA, EQUIPO Y MOBILIARIO</w:t>
            </w:r>
          </w:p>
          <w:p w14:paraId="633B0E5E" w14:textId="77777777" w:rsidR="00FF2D2C" w:rsidRPr="00680DFC" w:rsidRDefault="00FF2D2C" w:rsidP="00194C61">
            <w:pPr>
              <w:pStyle w:val="Prrafodelista"/>
              <w:numPr>
                <w:ilvl w:val="0"/>
                <w:numId w:val="2"/>
              </w:numPr>
              <w:rPr>
                <w:rFonts w:ascii="Arial" w:eastAsiaTheme="minorHAnsi" w:hAnsi="Arial" w:cs="Arial"/>
                <w:sz w:val="22"/>
                <w:szCs w:val="22"/>
                <w:lang w:val="es-CR" w:eastAsia="en-US"/>
              </w:rPr>
            </w:pPr>
            <w:r w:rsidRPr="00680DFC">
              <w:rPr>
                <w:rFonts w:ascii="Arial" w:eastAsiaTheme="minorHAnsi" w:hAnsi="Arial" w:cs="Arial"/>
                <w:sz w:val="22"/>
                <w:szCs w:val="22"/>
                <w:lang w:val="es-CR" w:eastAsia="en-US"/>
              </w:rPr>
              <w:t>5.01.01 Maquinaria y equipo para la producción</w:t>
            </w:r>
          </w:p>
          <w:p w14:paraId="20798DEE" w14:textId="77777777" w:rsidR="00FF2D2C" w:rsidRPr="00680DFC" w:rsidRDefault="00FF2D2C" w:rsidP="00194C61">
            <w:pPr>
              <w:pStyle w:val="Prrafodelista"/>
              <w:numPr>
                <w:ilvl w:val="0"/>
                <w:numId w:val="2"/>
              </w:numPr>
              <w:rPr>
                <w:rFonts w:ascii="Arial" w:eastAsiaTheme="minorHAnsi" w:hAnsi="Arial" w:cs="Arial"/>
                <w:sz w:val="22"/>
                <w:szCs w:val="22"/>
                <w:lang w:val="es-CR" w:eastAsia="en-US"/>
              </w:rPr>
            </w:pPr>
            <w:r w:rsidRPr="00680DFC">
              <w:rPr>
                <w:rFonts w:ascii="Arial" w:eastAsiaTheme="minorHAnsi" w:hAnsi="Arial" w:cs="Arial"/>
                <w:sz w:val="22"/>
                <w:szCs w:val="22"/>
                <w:lang w:val="es-CR" w:eastAsia="en-US"/>
              </w:rPr>
              <w:t>5.01.02 Equipo de transporte</w:t>
            </w:r>
          </w:p>
          <w:p w14:paraId="04653F49" w14:textId="77777777" w:rsidR="00FF2D2C" w:rsidRPr="00680DFC" w:rsidRDefault="00FF2D2C" w:rsidP="00194C61">
            <w:pPr>
              <w:pStyle w:val="Prrafodelista"/>
              <w:numPr>
                <w:ilvl w:val="0"/>
                <w:numId w:val="2"/>
              </w:numPr>
              <w:rPr>
                <w:rFonts w:ascii="Arial" w:eastAsiaTheme="minorHAnsi" w:hAnsi="Arial" w:cs="Arial"/>
                <w:sz w:val="22"/>
                <w:szCs w:val="22"/>
                <w:lang w:val="es-CR" w:eastAsia="en-US"/>
              </w:rPr>
            </w:pPr>
            <w:r w:rsidRPr="00680DFC">
              <w:rPr>
                <w:rFonts w:ascii="Arial" w:eastAsiaTheme="minorHAnsi" w:hAnsi="Arial" w:cs="Arial"/>
                <w:sz w:val="22"/>
                <w:szCs w:val="22"/>
                <w:lang w:val="es-CR" w:eastAsia="en-US"/>
              </w:rPr>
              <w:t>5.01.03 Equipo de comunicación</w:t>
            </w:r>
          </w:p>
          <w:p w14:paraId="326E31FC" w14:textId="77777777" w:rsidR="00FF2D2C" w:rsidRPr="00680DFC" w:rsidRDefault="00FF2D2C" w:rsidP="00194C61">
            <w:pPr>
              <w:pStyle w:val="Prrafodelista"/>
              <w:numPr>
                <w:ilvl w:val="0"/>
                <w:numId w:val="2"/>
              </w:numPr>
              <w:rPr>
                <w:rFonts w:ascii="Arial" w:eastAsiaTheme="minorHAnsi" w:hAnsi="Arial" w:cs="Arial"/>
                <w:sz w:val="22"/>
                <w:szCs w:val="22"/>
                <w:lang w:val="es-CR" w:eastAsia="en-US"/>
              </w:rPr>
            </w:pPr>
            <w:r w:rsidRPr="00680DFC">
              <w:rPr>
                <w:rFonts w:ascii="Arial" w:eastAsiaTheme="minorHAnsi" w:hAnsi="Arial" w:cs="Arial"/>
                <w:sz w:val="22"/>
                <w:szCs w:val="22"/>
                <w:lang w:val="es-CR" w:eastAsia="en-US"/>
              </w:rPr>
              <w:t>5.01.04 Equipo y mobiliario de oficina</w:t>
            </w:r>
          </w:p>
          <w:p w14:paraId="37E8BDF0" w14:textId="77777777" w:rsidR="00FF2D2C" w:rsidRPr="00680DFC" w:rsidRDefault="00FF2D2C" w:rsidP="00194C61">
            <w:pPr>
              <w:pStyle w:val="Prrafodelista"/>
              <w:numPr>
                <w:ilvl w:val="0"/>
                <w:numId w:val="2"/>
              </w:numPr>
              <w:rPr>
                <w:rFonts w:ascii="Arial" w:eastAsiaTheme="minorHAnsi" w:hAnsi="Arial" w:cs="Arial"/>
                <w:sz w:val="22"/>
                <w:szCs w:val="22"/>
                <w:lang w:val="es-CR" w:eastAsia="en-US"/>
              </w:rPr>
            </w:pPr>
            <w:r w:rsidRPr="00680DFC">
              <w:rPr>
                <w:rFonts w:ascii="Arial" w:eastAsiaTheme="minorHAnsi" w:hAnsi="Arial" w:cs="Arial"/>
                <w:sz w:val="22"/>
                <w:szCs w:val="22"/>
                <w:lang w:val="es-CR" w:eastAsia="en-US"/>
              </w:rPr>
              <w:t>5.01.05 Equipo de cómputo</w:t>
            </w:r>
          </w:p>
          <w:p w14:paraId="380CF2C4" w14:textId="77777777" w:rsidR="00FF2D2C" w:rsidRPr="00680DFC" w:rsidRDefault="00FF2D2C" w:rsidP="00194C61">
            <w:pPr>
              <w:pStyle w:val="Prrafodelista"/>
              <w:numPr>
                <w:ilvl w:val="0"/>
                <w:numId w:val="2"/>
              </w:numPr>
              <w:rPr>
                <w:rFonts w:ascii="Arial" w:eastAsiaTheme="minorHAnsi" w:hAnsi="Arial" w:cs="Arial"/>
                <w:sz w:val="22"/>
                <w:szCs w:val="22"/>
                <w:lang w:val="es-CR" w:eastAsia="en-US"/>
              </w:rPr>
            </w:pPr>
            <w:r w:rsidRPr="00680DFC">
              <w:rPr>
                <w:rFonts w:ascii="Arial" w:eastAsiaTheme="minorHAnsi" w:hAnsi="Arial" w:cs="Arial"/>
                <w:sz w:val="22"/>
                <w:szCs w:val="22"/>
                <w:lang w:val="es-CR" w:eastAsia="en-US"/>
              </w:rPr>
              <w:t>5.01.06 Equipo sanitario, de laboratorio e investigación</w:t>
            </w:r>
          </w:p>
          <w:p w14:paraId="7526C061" w14:textId="77777777" w:rsidR="00FF2D2C" w:rsidRPr="00680DFC" w:rsidRDefault="00FF2D2C" w:rsidP="00194C61">
            <w:pPr>
              <w:pStyle w:val="Prrafodelista"/>
              <w:numPr>
                <w:ilvl w:val="0"/>
                <w:numId w:val="2"/>
              </w:numPr>
              <w:rPr>
                <w:rFonts w:ascii="Arial" w:eastAsiaTheme="minorHAnsi" w:hAnsi="Arial" w:cs="Arial"/>
                <w:sz w:val="22"/>
                <w:szCs w:val="22"/>
                <w:lang w:val="es-CR" w:eastAsia="en-US"/>
              </w:rPr>
            </w:pPr>
            <w:r w:rsidRPr="00680DFC">
              <w:rPr>
                <w:rFonts w:ascii="Arial" w:eastAsiaTheme="minorHAnsi" w:hAnsi="Arial" w:cs="Arial"/>
                <w:sz w:val="22"/>
                <w:szCs w:val="22"/>
                <w:lang w:val="es-CR" w:eastAsia="en-US"/>
              </w:rPr>
              <w:t>5.01.07 Equipo y mobiliario educacional, deportivo y recreativo</w:t>
            </w:r>
          </w:p>
          <w:p w14:paraId="5075D832" w14:textId="77777777" w:rsidR="00FF2D2C" w:rsidRPr="00680DFC" w:rsidRDefault="00FF2D2C" w:rsidP="00194C61">
            <w:pPr>
              <w:pStyle w:val="Prrafodelista"/>
              <w:numPr>
                <w:ilvl w:val="0"/>
                <w:numId w:val="2"/>
              </w:numPr>
              <w:rPr>
                <w:rFonts w:ascii="Arial" w:eastAsiaTheme="minorHAnsi" w:hAnsi="Arial" w:cs="Arial"/>
                <w:sz w:val="22"/>
                <w:szCs w:val="22"/>
                <w:lang w:val="es-CR" w:eastAsia="en-US"/>
              </w:rPr>
            </w:pPr>
            <w:r w:rsidRPr="00680DFC">
              <w:rPr>
                <w:rFonts w:ascii="Arial" w:eastAsiaTheme="minorHAnsi" w:hAnsi="Arial" w:cs="Arial"/>
                <w:sz w:val="22"/>
                <w:szCs w:val="22"/>
                <w:lang w:val="es-CR" w:eastAsia="en-US"/>
              </w:rPr>
              <w:t>5.01.99 Maquinaria, equipo y mobiliario diverso</w:t>
            </w:r>
          </w:p>
          <w:p w14:paraId="1D68B802" w14:textId="5567D91A" w:rsidR="00194C61" w:rsidRDefault="00194C61" w:rsidP="00FF2D2C">
            <w:pPr>
              <w:rPr>
                <w:rFonts w:ascii="Arial" w:hAnsi="Arial" w:cs="Arial"/>
              </w:rPr>
            </w:pPr>
            <w:r w:rsidRPr="00194C61">
              <w:rPr>
                <w:rFonts w:ascii="Arial" w:hAnsi="Arial" w:cs="Arial"/>
              </w:rPr>
              <w:t>5.02 CONSTRUCCIONES, ADICIONES Y MEJORAS</w:t>
            </w:r>
          </w:p>
          <w:p w14:paraId="0C009304" w14:textId="766DD7B6" w:rsidR="00194C61" w:rsidRDefault="00194C61" w:rsidP="00FF2D2C">
            <w:pPr>
              <w:rPr>
                <w:rFonts w:ascii="Arial" w:hAnsi="Arial" w:cs="Arial"/>
              </w:rPr>
            </w:pPr>
            <w:r w:rsidRPr="00194C61">
              <w:rPr>
                <w:rFonts w:ascii="Arial" w:hAnsi="Arial" w:cs="Arial"/>
              </w:rPr>
              <w:t>5.03 BIENES PREEXISTENTES</w:t>
            </w:r>
            <w:r w:rsidRPr="00194C61">
              <w:rPr>
                <w:rFonts w:ascii="Arial" w:hAnsi="Arial" w:cs="Arial"/>
              </w:rPr>
              <w:cr/>
              <w:t>5.99 BIENES DURADEROS DIVERSOS</w:t>
            </w:r>
          </w:p>
          <w:p w14:paraId="6EF94FA2" w14:textId="6D70F70E" w:rsidR="00194C61" w:rsidRDefault="00194C61" w:rsidP="00FF2D2C">
            <w:pPr>
              <w:rPr>
                <w:rFonts w:ascii="Arial" w:hAnsi="Arial" w:cs="Arial"/>
              </w:rPr>
            </w:pPr>
          </w:p>
          <w:p w14:paraId="21C2C202" w14:textId="144111B4" w:rsidR="00194C61" w:rsidRDefault="00194C61" w:rsidP="00FF2D2C">
            <w:pPr>
              <w:rPr>
                <w:rFonts w:ascii="Arial" w:hAnsi="Arial" w:cs="Arial"/>
              </w:rPr>
            </w:pPr>
            <w:r>
              <w:rPr>
                <w:rFonts w:ascii="Arial" w:hAnsi="Arial" w:cs="Arial"/>
              </w:rPr>
              <w:t xml:space="preserve">Es necesario ampliar la definición o referencia, de tal forma que sea congruente con lo señado en las normas presupuestarias del presupuesto ordinario y extraordinario, así como en el lineamiento de gasto de capital. </w:t>
            </w:r>
          </w:p>
          <w:p w14:paraId="1F50D6A6" w14:textId="7B4750E1" w:rsidR="00194C61" w:rsidRDefault="00194C61" w:rsidP="00FF2D2C">
            <w:pPr>
              <w:rPr>
                <w:rFonts w:ascii="Arial" w:hAnsi="Arial" w:cs="Arial"/>
              </w:rPr>
            </w:pPr>
          </w:p>
          <w:p w14:paraId="029F05E1" w14:textId="76EAE9FC" w:rsidR="00194C61" w:rsidRDefault="00194C61" w:rsidP="00FF2D2C">
            <w:pPr>
              <w:rPr>
                <w:rFonts w:ascii="Arial" w:hAnsi="Arial" w:cs="Arial"/>
              </w:rPr>
            </w:pPr>
            <w:r>
              <w:rPr>
                <w:rFonts w:ascii="Arial" w:hAnsi="Arial" w:cs="Arial"/>
              </w:rPr>
              <w:t xml:space="preserve">La definición de </w:t>
            </w:r>
            <w:r w:rsidRPr="00194C61">
              <w:rPr>
                <w:rFonts w:ascii="Arial" w:hAnsi="Arial" w:cs="Arial"/>
              </w:rPr>
              <w:t xml:space="preserve">capital </w:t>
            </w:r>
            <w:r>
              <w:rPr>
                <w:rFonts w:ascii="Arial" w:hAnsi="Arial" w:cs="Arial"/>
              </w:rPr>
              <w:t xml:space="preserve">fijo y </w:t>
            </w:r>
            <w:r w:rsidRPr="00194C61">
              <w:rPr>
                <w:rFonts w:ascii="Arial" w:hAnsi="Arial" w:cs="Arial"/>
              </w:rPr>
              <w:t xml:space="preserve">no </w:t>
            </w:r>
            <w:r w:rsidRPr="00194C61">
              <w:rPr>
                <w:rFonts w:ascii="Arial" w:hAnsi="Arial" w:cs="Arial"/>
              </w:rPr>
              <w:t>fijo</w:t>
            </w:r>
            <w:r>
              <w:rPr>
                <w:rFonts w:ascii="Arial" w:hAnsi="Arial" w:cs="Arial"/>
              </w:rPr>
              <w:t xml:space="preserve"> excluye los servicios o proyectos de tecnologías de información</w:t>
            </w:r>
            <w:r w:rsidR="00D85191">
              <w:rPr>
                <w:rFonts w:ascii="Arial" w:hAnsi="Arial" w:cs="Arial"/>
              </w:rPr>
              <w:t xml:space="preserve">, por ejemplo, </w:t>
            </w:r>
            <w:r>
              <w:rPr>
                <w:rFonts w:ascii="Arial" w:hAnsi="Arial" w:cs="Arial"/>
              </w:rPr>
              <w:t xml:space="preserve">desarrollo o compra de solución de </w:t>
            </w:r>
            <w:r w:rsidR="00D85191">
              <w:rPr>
                <w:rFonts w:ascii="Arial" w:hAnsi="Arial" w:cs="Arial"/>
              </w:rPr>
              <w:t xml:space="preserve">software y desarrollo de solución de infraestructura tecnológica. </w:t>
            </w:r>
          </w:p>
        </w:tc>
      </w:tr>
      <w:tr w:rsidR="00C72344" w:rsidRPr="00114D2D" w14:paraId="691BA49F" w14:textId="77777777" w:rsidTr="00EB7326">
        <w:trPr>
          <w:jc w:val="center"/>
        </w:trPr>
        <w:tc>
          <w:tcPr>
            <w:tcW w:w="4081" w:type="dxa"/>
          </w:tcPr>
          <w:p w14:paraId="2AD837D5" w14:textId="6BF4C3A8" w:rsidR="00C72344" w:rsidRPr="00EB7326" w:rsidRDefault="00C72344" w:rsidP="00C72344">
            <w:pPr>
              <w:rPr>
                <w:rFonts w:ascii="Arial" w:hAnsi="Arial" w:cs="Arial"/>
              </w:rPr>
            </w:pPr>
            <w:r w:rsidRPr="00EB7326">
              <w:rPr>
                <w:rFonts w:ascii="Arial" w:hAnsi="Arial" w:cs="Arial"/>
              </w:rPr>
              <w:t>Artículo 4º- Definiciones</w:t>
            </w:r>
          </w:p>
        </w:tc>
        <w:tc>
          <w:tcPr>
            <w:tcW w:w="3257" w:type="dxa"/>
          </w:tcPr>
          <w:p w14:paraId="2802F0FB" w14:textId="77777777" w:rsidR="00C72344" w:rsidRDefault="00C72344" w:rsidP="00C72344">
            <w:pPr>
              <w:rPr>
                <w:rFonts w:ascii="Arial" w:hAnsi="Arial" w:cs="Arial"/>
              </w:rPr>
            </w:pPr>
            <w:r w:rsidRPr="00EB7326">
              <w:rPr>
                <w:rFonts w:ascii="Arial" w:hAnsi="Arial" w:cs="Arial"/>
              </w:rPr>
              <w:t xml:space="preserve">Artículo 4º- Definiciones. </w:t>
            </w:r>
          </w:p>
          <w:p w14:paraId="13E384DC" w14:textId="77777777" w:rsidR="00C72344" w:rsidRDefault="00C72344" w:rsidP="00C72344">
            <w:pPr>
              <w:rPr>
                <w:rFonts w:ascii="Arial" w:hAnsi="Arial" w:cs="Arial"/>
                <w:color w:val="4F81BD" w:themeColor="accent1"/>
              </w:rPr>
            </w:pPr>
            <w:r>
              <w:rPr>
                <w:rFonts w:ascii="Arial" w:hAnsi="Arial" w:cs="Arial"/>
              </w:rPr>
              <w:t xml:space="preserve">[…] </w:t>
            </w:r>
          </w:p>
          <w:p w14:paraId="43E2C05E" w14:textId="1A6C9DD4" w:rsidR="00C72344" w:rsidRPr="00EB7326" w:rsidRDefault="00C72344" w:rsidP="00C72344">
            <w:pPr>
              <w:rPr>
                <w:rFonts w:ascii="Arial" w:hAnsi="Arial" w:cs="Arial"/>
              </w:rPr>
            </w:pPr>
            <w:proofErr w:type="spellStart"/>
            <w:r>
              <w:rPr>
                <w:rFonts w:ascii="Arial" w:hAnsi="Arial" w:cs="Arial"/>
                <w:color w:val="4F81BD" w:themeColor="accent1"/>
              </w:rPr>
              <w:t>ww</w:t>
            </w:r>
            <w:proofErr w:type="spellEnd"/>
            <w:r>
              <w:rPr>
                <w:rFonts w:ascii="Arial" w:hAnsi="Arial" w:cs="Arial"/>
                <w:color w:val="4F81BD" w:themeColor="accent1"/>
              </w:rPr>
              <w:t xml:space="preserve">) </w:t>
            </w:r>
            <w:r w:rsidRPr="00EB7326">
              <w:rPr>
                <w:rFonts w:ascii="Arial" w:hAnsi="Arial" w:cs="Arial"/>
                <w:color w:val="4F81BD" w:themeColor="accent1"/>
              </w:rPr>
              <w:t xml:space="preserve">Unidad de Planificación Institucional: </w:t>
            </w:r>
          </w:p>
        </w:tc>
        <w:tc>
          <w:tcPr>
            <w:tcW w:w="4704" w:type="dxa"/>
          </w:tcPr>
          <w:p w14:paraId="53EF8071" w14:textId="77777777" w:rsidR="00C72344" w:rsidRDefault="00C72344" w:rsidP="00C72344">
            <w:pPr>
              <w:rPr>
                <w:rFonts w:ascii="Arial" w:hAnsi="Arial" w:cs="Arial"/>
              </w:rPr>
            </w:pPr>
            <w:r>
              <w:rPr>
                <w:rFonts w:ascii="Arial" w:hAnsi="Arial" w:cs="Arial"/>
              </w:rPr>
              <w:t xml:space="preserve">A fin de mantener la congruencia con los restantes “actores”, se sugiere incluir la definición de la “Unidad de Planificación Institucional”, conforme la normativa vigente, así como lo señalado en los artículos 4, 9 y 15 de la propuesta del Reglamento. </w:t>
            </w:r>
          </w:p>
          <w:p w14:paraId="6CFAB5C1" w14:textId="261F5242" w:rsidR="00C72344" w:rsidRDefault="00C72344" w:rsidP="00C72344">
            <w:pPr>
              <w:autoSpaceDE w:val="0"/>
              <w:autoSpaceDN w:val="0"/>
              <w:adjustRightInd w:val="0"/>
              <w:jc w:val="both"/>
              <w:rPr>
                <w:rFonts w:ascii="Arial" w:hAnsi="Arial" w:cs="Arial"/>
              </w:rPr>
            </w:pPr>
            <w:r>
              <w:rPr>
                <w:rFonts w:ascii="Arial" w:hAnsi="Arial" w:cs="Arial"/>
              </w:rPr>
              <w:t xml:space="preserve"> </w:t>
            </w:r>
          </w:p>
        </w:tc>
      </w:tr>
      <w:tr w:rsidR="00C72344" w:rsidRPr="00114D2D" w14:paraId="2599B479" w14:textId="77777777" w:rsidTr="00EB7326">
        <w:trPr>
          <w:jc w:val="center"/>
        </w:trPr>
        <w:tc>
          <w:tcPr>
            <w:tcW w:w="4081" w:type="dxa"/>
          </w:tcPr>
          <w:p w14:paraId="508B54A7" w14:textId="79D2CA5E" w:rsidR="00C72344" w:rsidRPr="00EB7326" w:rsidRDefault="00C72344" w:rsidP="00C72344">
            <w:pPr>
              <w:rPr>
                <w:rFonts w:ascii="Arial" w:hAnsi="Arial" w:cs="Arial"/>
              </w:rPr>
            </w:pPr>
            <w:r w:rsidRPr="00EB7326">
              <w:rPr>
                <w:rFonts w:ascii="Arial" w:hAnsi="Arial" w:cs="Arial"/>
              </w:rPr>
              <w:t>Artículo 5º- Órgano rector del SNIP.</w:t>
            </w:r>
          </w:p>
        </w:tc>
        <w:tc>
          <w:tcPr>
            <w:tcW w:w="3257" w:type="dxa"/>
          </w:tcPr>
          <w:p w14:paraId="0C3B59DF" w14:textId="26AA6519" w:rsidR="00C72344" w:rsidRPr="00EB7326" w:rsidRDefault="00C72344" w:rsidP="00C72344">
            <w:pPr>
              <w:pBdr>
                <w:top w:val="nil"/>
                <w:left w:val="nil"/>
                <w:bottom w:val="nil"/>
                <w:right w:val="nil"/>
                <w:between w:val="nil"/>
              </w:pBdr>
              <w:jc w:val="both"/>
              <w:rPr>
                <w:rFonts w:ascii="Arial" w:hAnsi="Arial" w:cs="Arial"/>
              </w:rPr>
            </w:pPr>
            <w:r>
              <w:rPr>
                <w:rFonts w:ascii="Arial" w:hAnsi="Arial" w:cs="Arial"/>
              </w:rPr>
              <w:t xml:space="preserve">“… </w:t>
            </w:r>
            <w:r w:rsidRPr="00EB7326">
              <w:rPr>
                <w:rFonts w:ascii="Arial" w:hAnsi="Arial" w:cs="Arial"/>
              </w:rPr>
              <w:t xml:space="preserve">sistema con la finalidad de organizar </w:t>
            </w:r>
            <w:r w:rsidRPr="00EB7326">
              <w:rPr>
                <w:rFonts w:ascii="Arial" w:hAnsi="Arial" w:cs="Arial"/>
                <w:color w:val="4F81BD" w:themeColor="accent1"/>
              </w:rPr>
              <w:t xml:space="preserve">los procesos </w:t>
            </w:r>
            <w:r w:rsidRPr="00EB7326">
              <w:rPr>
                <w:rFonts w:ascii="Arial" w:hAnsi="Arial" w:cs="Arial"/>
              </w:rPr>
              <w:t>de inversión pública</w:t>
            </w:r>
            <w:r>
              <w:rPr>
                <w:rFonts w:ascii="Arial" w:hAnsi="Arial" w:cs="Arial"/>
              </w:rPr>
              <w:t>”</w:t>
            </w:r>
          </w:p>
        </w:tc>
        <w:tc>
          <w:tcPr>
            <w:tcW w:w="4704" w:type="dxa"/>
          </w:tcPr>
          <w:p w14:paraId="5BF37343" w14:textId="71F527C0" w:rsidR="00C72344" w:rsidRDefault="00C72344" w:rsidP="00C72344">
            <w:pPr>
              <w:rPr>
                <w:rFonts w:ascii="Arial" w:hAnsi="Arial" w:cs="Arial"/>
              </w:rPr>
            </w:pPr>
            <w:r>
              <w:rPr>
                <w:rFonts w:ascii="Arial" w:hAnsi="Arial" w:cs="Arial"/>
              </w:rPr>
              <w:t>Ver justificación de la línea 1.</w:t>
            </w:r>
          </w:p>
        </w:tc>
      </w:tr>
      <w:tr w:rsidR="00C72344" w:rsidRPr="00114D2D" w14:paraId="5F874B4A" w14:textId="77777777" w:rsidTr="00EB7326">
        <w:trPr>
          <w:jc w:val="center"/>
        </w:trPr>
        <w:tc>
          <w:tcPr>
            <w:tcW w:w="4081" w:type="dxa"/>
          </w:tcPr>
          <w:p w14:paraId="57BA3321" w14:textId="5EBE6510" w:rsidR="00C72344" w:rsidRPr="00114D2D" w:rsidRDefault="00C72344" w:rsidP="00C72344">
            <w:pPr>
              <w:rPr>
                <w:rFonts w:ascii="Arial" w:hAnsi="Arial" w:cs="Arial"/>
              </w:rPr>
            </w:pPr>
            <w:r w:rsidRPr="00D85191">
              <w:rPr>
                <w:rFonts w:ascii="Arial" w:hAnsi="Arial" w:cs="Arial"/>
              </w:rPr>
              <w:t>Artículo 13- Funciones de la Secretaría Sectorial o el ente que el Ministro Rector designe para este fin.</w:t>
            </w:r>
          </w:p>
        </w:tc>
        <w:tc>
          <w:tcPr>
            <w:tcW w:w="3257" w:type="dxa"/>
          </w:tcPr>
          <w:p w14:paraId="7A012EC0" w14:textId="03E49B14" w:rsidR="00C72344" w:rsidRDefault="00C72344" w:rsidP="00C72344">
            <w:pPr>
              <w:rPr>
                <w:rFonts w:ascii="Arial" w:hAnsi="Arial" w:cs="Arial"/>
              </w:rPr>
            </w:pPr>
            <w:r w:rsidRPr="00D85191">
              <w:rPr>
                <w:rFonts w:ascii="Arial" w:hAnsi="Arial" w:cs="Arial"/>
              </w:rPr>
              <w:t>Artículo 13- Funciones de la Secretaría Sectorial o el ente que el Ministro Rector designe para este fin.</w:t>
            </w:r>
            <w:r>
              <w:t xml:space="preserve"> </w:t>
            </w:r>
            <w:r w:rsidRPr="00D85191">
              <w:rPr>
                <w:rFonts w:ascii="Arial" w:hAnsi="Arial" w:cs="Arial"/>
              </w:rPr>
              <w:t>La Secretaría Sectorial, o el ente que el Ministro Rector designe para este fin, tendrá las siguientes funciones:</w:t>
            </w:r>
            <w:r>
              <w:rPr>
                <w:rFonts w:ascii="Arial" w:hAnsi="Arial" w:cs="Arial"/>
              </w:rPr>
              <w:t xml:space="preserve"> […]</w:t>
            </w:r>
          </w:p>
          <w:p w14:paraId="741DF440" w14:textId="3C7FFEF2" w:rsidR="00C72344" w:rsidRDefault="00C72344" w:rsidP="00C72344">
            <w:pPr>
              <w:rPr>
                <w:rFonts w:ascii="Arial" w:hAnsi="Arial" w:cs="Arial"/>
              </w:rPr>
            </w:pPr>
            <w:r w:rsidRPr="00D85191">
              <w:rPr>
                <w:rFonts w:ascii="Arial" w:hAnsi="Arial" w:cs="Arial"/>
              </w:rPr>
              <w:t>c)</w:t>
            </w:r>
            <w:r w:rsidRPr="00D85191">
              <w:rPr>
                <w:rFonts w:ascii="Arial" w:hAnsi="Arial" w:cs="Arial"/>
              </w:rPr>
              <w:tab/>
              <w:t xml:space="preserve">Asesorar y apoyar al Ministro Rector en la toma de decisiones sobre </w:t>
            </w:r>
            <w:r w:rsidRPr="00D85191">
              <w:rPr>
                <w:rFonts w:ascii="Arial" w:hAnsi="Arial" w:cs="Arial"/>
                <w:color w:val="4F81BD" w:themeColor="accent1"/>
              </w:rPr>
              <w:t xml:space="preserve">los procesos </w:t>
            </w:r>
            <w:r w:rsidRPr="00D85191">
              <w:rPr>
                <w:rFonts w:ascii="Arial" w:hAnsi="Arial" w:cs="Arial"/>
              </w:rPr>
              <w:t>de inversión pública.</w:t>
            </w:r>
          </w:p>
          <w:p w14:paraId="1D4868C9" w14:textId="6A167130" w:rsidR="00C72344" w:rsidRPr="00114D2D" w:rsidRDefault="00C72344" w:rsidP="00C72344">
            <w:pPr>
              <w:rPr>
                <w:rFonts w:ascii="Arial" w:hAnsi="Arial" w:cs="Arial"/>
              </w:rPr>
            </w:pPr>
          </w:p>
        </w:tc>
        <w:tc>
          <w:tcPr>
            <w:tcW w:w="4704" w:type="dxa"/>
          </w:tcPr>
          <w:p w14:paraId="7DE89ACB" w14:textId="3776EFA8" w:rsidR="00C72344" w:rsidRPr="00114D2D" w:rsidRDefault="00C72344" w:rsidP="00C72344">
            <w:pPr>
              <w:rPr>
                <w:rFonts w:ascii="Arial" w:hAnsi="Arial" w:cs="Arial"/>
              </w:rPr>
            </w:pPr>
            <w:r>
              <w:rPr>
                <w:rFonts w:ascii="Arial" w:hAnsi="Arial" w:cs="Arial"/>
              </w:rPr>
              <w:t xml:space="preserve">Ídem </w:t>
            </w:r>
          </w:p>
        </w:tc>
      </w:tr>
      <w:tr w:rsidR="00C72344" w:rsidRPr="00114D2D" w14:paraId="2D6482ED" w14:textId="77777777" w:rsidTr="00EB7326">
        <w:trPr>
          <w:jc w:val="center"/>
        </w:trPr>
        <w:tc>
          <w:tcPr>
            <w:tcW w:w="4081" w:type="dxa"/>
          </w:tcPr>
          <w:p w14:paraId="493D4454" w14:textId="5FA52095" w:rsidR="00C72344" w:rsidRPr="00114D2D" w:rsidRDefault="00DA5EEB" w:rsidP="00C72344">
            <w:pPr>
              <w:rPr>
                <w:rFonts w:ascii="Arial" w:hAnsi="Arial" w:cs="Arial"/>
              </w:rPr>
            </w:pPr>
            <w:r w:rsidRPr="00DA5EEB">
              <w:rPr>
                <w:rFonts w:ascii="Arial" w:hAnsi="Arial" w:cs="Arial"/>
              </w:rPr>
              <w:t>Artículo 14- Funciones de las entidades dentro del ámbito de cobertura del SNIP</w:t>
            </w:r>
          </w:p>
          <w:p w14:paraId="4E732DCC" w14:textId="77777777" w:rsidR="00C72344" w:rsidRPr="00114D2D" w:rsidRDefault="00C72344" w:rsidP="00C72344">
            <w:pPr>
              <w:rPr>
                <w:rFonts w:ascii="Arial" w:hAnsi="Arial" w:cs="Arial"/>
              </w:rPr>
            </w:pPr>
          </w:p>
        </w:tc>
        <w:tc>
          <w:tcPr>
            <w:tcW w:w="3257" w:type="dxa"/>
          </w:tcPr>
          <w:p w14:paraId="36A7D0E2" w14:textId="77777777" w:rsidR="00432722" w:rsidRDefault="00432722" w:rsidP="00C72344">
            <w:pPr>
              <w:rPr>
                <w:rFonts w:ascii="Arial" w:hAnsi="Arial" w:cs="Arial"/>
              </w:rPr>
            </w:pPr>
            <w:r w:rsidRPr="00432722">
              <w:rPr>
                <w:rFonts w:ascii="Arial" w:hAnsi="Arial" w:cs="Arial"/>
              </w:rPr>
              <w:t>Artículo 14- Funciones de las entidades dentro del ámbito de cobertura del SNIP.  Las entidades tendrán las siguientes funciones:</w:t>
            </w:r>
          </w:p>
          <w:p w14:paraId="59533BA6" w14:textId="3B92C060" w:rsidR="00C72344" w:rsidRDefault="00432722" w:rsidP="00C72344">
            <w:pPr>
              <w:rPr>
                <w:rFonts w:ascii="Arial" w:hAnsi="Arial" w:cs="Arial"/>
              </w:rPr>
            </w:pPr>
            <w:r>
              <w:rPr>
                <w:rFonts w:ascii="Arial" w:hAnsi="Arial" w:cs="Arial"/>
              </w:rPr>
              <w:t>[…]</w:t>
            </w:r>
          </w:p>
          <w:p w14:paraId="07EB09C1" w14:textId="69DA3422" w:rsidR="00432722" w:rsidRDefault="00432722" w:rsidP="00C72344">
            <w:pPr>
              <w:rPr>
                <w:rFonts w:ascii="Arial" w:hAnsi="Arial" w:cs="Arial"/>
              </w:rPr>
            </w:pPr>
            <w:r w:rsidRPr="00432722">
              <w:rPr>
                <w:rFonts w:ascii="Arial" w:hAnsi="Arial" w:cs="Arial"/>
              </w:rPr>
              <w:t>j)</w:t>
            </w:r>
            <w:r w:rsidRPr="00432722">
              <w:rPr>
                <w:rFonts w:ascii="Arial" w:hAnsi="Arial" w:cs="Arial"/>
              </w:rPr>
              <w:tab/>
              <w:t xml:space="preserve">Inscribir y actualizar los proyectos en el BPIP antes de incluirlos en el Plan Operativo </w:t>
            </w:r>
            <w:r w:rsidRPr="00432722">
              <w:rPr>
                <w:rFonts w:ascii="Arial" w:hAnsi="Arial" w:cs="Arial"/>
              </w:rPr>
              <w:lastRenderedPageBreak/>
              <w:t xml:space="preserve">Institucional </w:t>
            </w:r>
            <w:r w:rsidRPr="00A526DC">
              <w:rPr>
                <w:rFonts w:ascii="Arial" w:hAnsi="Arial" w:cs="Arial"/>
                <w:color w:val="4F81BD" w:themeColor="accent1"/>
              </w:rPr>
              <w:t>(</w:t>
            </w:r>
            <w:r w:rsidR="00A526DC" w:rsidRPr="00A526DC">
              <w:rPr>
                <w:rFonts w:ascii="Arial" w:hAnsi="Arial" w:cs="Arial"/>
                <w:color w:val="4F81BD" w:themeColor="accent1"/>
              </w:rPr>
              <w:t xml:space="preserve">MAPP </w:t>
            </w:r>
            <w:r w:rsidR="00A526DC" w:rsidRPr="00A526DC">
              <w:rPr>
                <w:rFonts w:ascii="Arial" w:hAnsi="Arial" w:cs="Arial"/>
                <w:color w:val="4F81BD" w:themeColor="accent1"/>
              </w:rPr>
              <w:t>y sus instrumentos derivados</w:t>
            </w:r>
            <w:r w:rsidRPr="00A526DC">
              <w:rPr>
                <w:rFonts w:ascii="Arial" w:hAnsi="Arial" w:cs="Arial"/>
                <w:color w:val="4F81BD" w:themeColor="accent1"/>
              </w:rPr>
              <w:t>)</w:t>
            </w:r>
            <w:r w:rsidRPr="00A526DC">
              <w:rPr>
                <w:rFonts w:ascii="Arial" w:hAnsi="Arial" w:cs="Arial"/>
                <w:color w:val="4F81BD" w:themeColor="accent1"/>
              </w:rPr>
              <w:t xml:space="preserve">. </w:t>
            </w:r>
          </w:p>
          <w:p w14:paraId="33B0B870" w14:textId="305C2063" w:rsidR="00432722" w:rsidRPr="00114D2D" w:rsidRDefault="00432722" w:rsidP="00C72344">
            <w:pPr>
              <w:rPr>
                <w:rFonts w:ascii="Arial" w:hAnsi="Arial" w:cs="Arial"/>
              </w:rPr>
            </w:pPr>
          </w:p>
        </w:tc>
        <w:tc>
          <w:tcPr>
            <w:tcW w:w="4704" w:type="dxa"/>
          </w:tcPr>
          <w:p w14:paraId="2974E8FB" w14:textId="6D65EF4E" w:rsidR="00A526DC" w:rsidRDefault="00432722" w:rsidP="00C72344">
            <w:pPr>
              <w:rPr>
                <w:rFonts w:ascii="Arial" w:hAnsi="Arial" w:cs="Arial"/>
              </w:rPr>
            </w:pPr>
            <w:r>
              <w:rPr>
                <w:rFonts w:ascii="Arial" w:hAnsi="Arial" w:cs="Arial"/>
              </w:rPr>
              <w:lastRenderedPageBreak/>
              <w:t xml:space="preserve">De acuerdo con los </w:t>
            </w:r>
            <w:r w:rsidRPr="00432722">
              <w:rPr>
                <w:rFonts w:ascii="Arial" w:hAnsi="Arial" w:cs="Arial"/>
              </w:rPr>
              <w:t>“Lineamientos técnicos y metodológicos para la planificación, programación presupuestaria, seguimiento y la evaluación estratégica en el Sector Público”</w:t>
            </w:r>
            <w:r>
              <w:rPr>
                <w:rFonts w:ascii="Arial" w:hAnsi="Arial" w:cs="Arial"/>
              </w:rPr>
              <w:t xml:space="preserve"> emitidos por el Ministerio de Hacienda y el MIDEPLAN cada año, el </w:t>
            </w:r>
            <w:r w:rsidR="00A526DC">
              <w:rPr>
                <w:rFonts w:ascii="Arial" w:hAnsi="Arial" w:cs="Arial"/>
              </w:rPr>
              <w:t>cual establece que el POI e</w:t>
            </w:r>
            <w:r w:rsidR="00A526DC" w:rsidRPr="00A526DC">
              <w:rPr>
                <w:rFonts w:ascii="Arial" w:hAnsi="Arial" w:cs="Arial"/>
              </w:rPr>
              <w:t>stá compuesto por la MAPP</w:t>
            </w:r>
            <w:r w:rsidR="00A526DC">
              <w:rPr>
                <w:rFonts w:ascii="Arial" w:hAnsi="Arial" w:cs="Arial"/>
              </w:rPr>
              <w:t xml:space="preserve">, </w:t>
            </w:r>
            <w:r w:rsidR="00A526DC" w:rsidRPr="00A526DC">
              <w:rPr>
                <w:rFonts w:ascii="Arial" w:hAnsi="Arial" w:cs="Arial"/>
              </w:rPr>
              <w:t>la Ficha Técnica del Indicador y</w:t>
            </w:r>
            <w:r w:rsidR="00A526DC">
              <w:rPr>
                <w:rFonts w:ascii="Arial" w:hAnsi="Arial" w:cs="Arial"/>
              </w:rPr>
              <w:t xml:space="preserve"> </w:t>
            </w:r>
            <w:r w:rsidR="00A526DC" w:rsidRPr="00A526DC">
              <w:rPr>
                <w:rFonts w:ascii="Arial" w:hAnsi="Arial" w:cs="Arial"/>
              </w:rPr>
              <w:t>la Ficha Técnica</w:t>
            </w:r>
            <w:r w:rsidR="00A526DC">
              <w:rPr>
                <w:rFonts w:ascii="Arial" w:hAnsi="Arial" w:cs="Arial"/>
              </w:rPr>
              <w:t xml:space="preserve"> del Programa Institucional de Inversión Pública (PIIP), siendo necesario </w:t>
            </w:r>
            <w:r w:rsidR="00A526DC">
              <w:rPr>
                <w:rFonts w:ascii="Arial" w:hAnsi="Arial" w:cs="Arial"/>
              </w:rPr>
              <w:lastRenderedPageBreak/>
              <w:t xml:space="preserve">actualizar dichos instrumentos, particularmente la </w:t>
            </w:r>
            <w:r w:rsidR="00A526DC" w:rsidRPr="00A526DC">
              <w:rPr>
                <w:rFonts w:ascii="Arial" w:hAnsi="Arial" w:cs="Arial"/>
              </w:rPr>
              <w:t>Ficha Técnica</w:t>
            </w:r>
            <w:r w:rsidR="00A526DC">
              <w:rPr>
                <w:rFonts w:ascii="Arial" w:hAnsi="Arial" w:cs="Arial"/>
              </w:rPr>
              <w:t xml:space="preserve"> del</w:t>
            </w:r>
            <w:r w:rsidR="00A526DC">
              <w:rPr>
                <w:rFonts w:ascii="Arial" w:hAnsi="Arial" w:cs="Arial"/>
              </w:rPr>
              <w:t xml:space="preserve"> </w:t>
            </w:r>
            <w:r w:rsidR="00A526DC">
              <w:rPr>
                <w:rFonts w:ascii="Arial" w:hAnsi="Arial" w:cs="Arial"/>
              </w:rPr>
              <w:t>PIIP</w:t>
            </w:r>
            <w:r w:rsidR="00A526DC">
              <w:rPr>
                <w:rFonts w:ascii="Arial" w:hAnsi="Arial" w:cs="Arial"/>
              </w:rPr>
              <w:t>.</w:t>
            </w:r>
          </w:p>
          <w:p w14:paraId="7A9A633E" w14:textId="0FDE2E8C" w:rsidR="00A526DC" w:rsidRDefault="00A526DC" w:rsidP="00C72344">
            <w:pPr>
              <w:rPr>
                <w:rFonts w:ascii="Arial" w:hAnsi="Arial" w:cs="Arial"/>
              </w:rPr>
            </w:pPr>
          </w:p>
          <w:p w14:paraId="72F282DF" w14:textId="77777777" w:rsidR="00432722" w:rsidRDefault="00A526DC" w:rsidP="003F5B7B">
            <w:pPr>
              <w:rPr>
                <w:rFonts w:ascii="Arial" w:hAnsi="Arial" w:cs="Arial"/>
              </w:rPr>
            </w:pPr>
            <w:r>
              <w:rPr>
                <w:rFonts w:ascii="Arial" w:hAnsi="Arial" w:cs="Arial"/>
              </w:rPr>
              <w:t>Lo anterior, considerando la m</w:t>
            </w:r>
            <w:r w:rsidRPr="00A526DC">
              <w:rPr>
                <w:rFonts w:ascii="Arial" w:hAnsi="Arial" w:cs="Arial"/>
              </w:rPr>
              <w:t>odific</w:t>
            </w:r>
            <w:r>
              <w:rPr>
                <w:rFonts w:ascii="Arial" w:hAnsi="Arial" w:cs="Arial"/>
              </w:rPr>
              <w:t>ación</w:t>
            </w:r>
            <w:r w:rsidR="003F5B7B">
              <w:rPr>
                <w:rFonts w:ascii="Arial" w:hAnsi="Arial" w:cs="Arial"/>
              </w:rPr>
              <w:t xml:space="preserve"> propuesta en el artículo 32, relativo al ajuste del </w:t>
            </w:r>
            <w:r w:rsidRPr="00A526DC">
              <w:rPr>
                <w:rFonts w:ascii="Arial" w:hAnsi="Arial" w:cs="Arial"/>
              </w:rPr>
              <w:t>artículo 8 del Reglamento a la Ley</w:t>
            </w:r>
            <w:r>
              <w:rPr>
                <w:rFonts w:ascii="Arial" w:hAnsi="Arial" w:cs="Arial"/>
              </w:rPr>
              <w:t xml:space="preserve"> </w:t>
            </w:r>
            <w:r w:rsidRPr="00A526DC">
              <w:rPr>
                <w:rFonts w:ascii="Arial" w:hAnsi="Arial" w:cs="Arial"/>
              </w:rPr>
              <w:t>de la Administración Financiera de la República y Presupuestos Públicos (Decreto Ejecutivo N°32988-H</w:t>
            </w:r>
            <w:r>
              <w:rPr>
                <w:rFonts w:ascii="Arial" w:hAnsi="Arial" w:cs="Arial"/>
              </w:rPr>
              <w:t>).</w:t>
            </w:r>
          </w:p>
          <w:p w14:paraId="1DA0658D" w14:textId="740B5CC2" w:rsidR="003F5B7B" w:rsidRPr="00114D2D" w:rsidRDefault="003F5B7B" w:rsidP="003F5B7B">
            <w:pPr>
              <w:rPr>
                <w:rFonts w:ascii="Arial" w:hAnsi="Arial" w:cs="Arial"/>
              </w:rPr>
            </w:pPr>
          </w:p>
        </w:tc>
      </w:tr>
      <w:tr w:rsidR="00C72344" w:rsidRPr="00114D2D" w14:paraId="1180640E" w14:textId="77777777" w:rsidTr="00EB7326">
        <w:trPr>
          <w:jc w:val="center"/>
        </w:trPr>
        <w:tc>
          <w:tcPr>
            <w:tcW w:w="4081" w:type="dxa"/>
          </w:tcPr>
          <w:p w14:paraId="03FF9A7D" w14:textId="678D98E8" w:rsidR="00C72344" w:rsidRPr="00114D2D" w:rsidRDefault="00A526DC" w:rsidP="00C72344">
            <w:pPr>
              <w:rPr>
                <w:rFonts w:ascii="Arial" w:hAnsi="Arial" w:cs="Arial"/>
              </w:rPr>
            </w:pPr>
            <w:r w:rsidRPr="00A526DC">
              <w:rPr>
                <w:rFonts w:ascii="Arial" w:hAnsi="Arial" w:cs="Arial"/>
              </w:rPr>
              <w:lastRenderedPageBreak/>
              <w:t>Artículo 19- Evaluación Final o de Cierre.</w:t>
            </w:r>
          </w:p>
          <w:p w14:paraId="7FD65F75" w14:textId="77777777" w:rsidR="00C72344" w:rsidRPr="00114D2D" w:rsidRDefault="00C72344" w:rsidP="00C72344">
            <w:pPr>
              <w:rPr>
                <w:rFonts w:ascii="Arial" w:hAnsi="Arial" w:cs="Arial"/>
              </w:rPr>
            </w:pPr>
          </w:p>
        </w:tc>
        <w:tc>
          <w:tcPr>
            <w:tcW w:w="3257" w:type="dxa"/>
          </w:tcPr>
          <w:p w14:paraId="5E191898" w14:textId="0A23EFEB" w:rsidR="00C72344" w:rsidRPr="00114D2D" w:rsidRDefault="00A526DC" w:rsidP="00C72344">
            <w:pPr>
              <w:rPr>
                <w:rFonts w:ascii="Arial" w:hAnsi="Arial" w:cs="Arial"/>
              </w:rPr>
            </w:pPr>
            <w:r w:rsidRPr="00A526DC">
              <w:rPr>
                <w:rFonts w:ascii="Arial" w:hAnsi="Arial" w:cs="Arial"/>
              </w:rPr>
              <w:t xml:space="preserve">Artículo 19- Evaluación Final o de Cierre. Las instituciones deben realizar una evaluación final al término de la fase de ejecución del proyecto, </w:t>
            </w:r>
            <w:proofErr w:type="gramStart"/>
            <w:r w:rsidRPr="00A526DC">
              <w:rPr>
                <w:rFonts w:ascii="Arial" w:hAnsi="Arial" w:cs="Arial"/>
              </w:rPr>
              <w:t>de acuerdo a</w:t>
            </w:r>
            <w:proofErr w:type="gramEnd"/>
            <w:r w:rsidRPr="00A526DC">
              <w:rPr>
                <w:rFonts w:ascii="Arial" w:hAnsi="Arial" w:cs="Arial"/>
              </w:rPr>
              <w:t xml:space="preserve"> la guía que Mideplan establezca para tal fin. Esta será requisito para que el proyecto avance a la fase de </w:t>
            </w:r>
            <w:r w:rsidRPr="00A526DC">
              <w:rPr>
                <w:rFonts w:ascii="Arial" w:hAnsi="Arial" w:cs="Arial"/>
                <w:color w:val="4F81BD" w:themeColor="accent1"/>
              </w:rPr>
              <w:t>post inversión</w:t>
            </w:r>
            <w:r w:rsidRPr="00A526DC">
              <w:rPr>
                <w:rFonts w:ascii="Arial" w:hAnsi="Arial" w:cs="Arial"/>
              </w:rPr>
              <w:t>. Estas evaluaciones deberán presentarse a Mideplan a través del módulo digital del BPIP.</w:t>
            </w:r>
          </w:p>
        </w:tc>
        <w:tc>
          <w:tcPr>
            <w:tcW w:w="4704" w:type="dxa"/>
          </w:tcPr>
          <w:p w14:paraId="03D15A43" w14:textId="4462AEB2" w:rsidR="00C72344" w:rsidRPr="00114D2D" w:rsidRDefault="00A526DC" w:rsidP="00C72344">
            <w:pPr>
              <w:rPr>
                <w:rFonts w:ascii="Arial" w:hAnsi="Arial" w:cs="Arial"/>
              </w:rPr>
            </w:pPr>
            <w:r>
              <w:rPr>
                <w:rFonts w:ascii="Arial" w:hAnsi="Arial" w:cs="Arial"/>
              </w:rPr>
              <w:t xml:space="preserve">Corregir el nombre de la </w:t>
            </w:r>
            <w:r w:rsidRPr="00A526DC">
              <w:rPr>
                <w:rFonts w:ascii="Arial" w:hAnsi="Arial" w:cs="Arial"/>
              </w:rPr>
              <w:t>fase de operación y mantenimiento</w:t>
            </w:r>
            <w:r w:rsidRPr="00A526DC">
              <w:rPr>
                <w:rFonts w:ascii="Arial" w:hAnsi="Arial" w:cs="Arial"/>
              </w:rPr>
              <w:t xml:space="preserve"> a </w:t>
            </w:r>
            <w:r w:rsidRPr="00A526DC">
              <w:rPr>
                <w:rFonts w:ascii="Arial" w:hAnsi="Arial" w:cs="Arial"/>
              </w:rPr>
              <w:t>post inversión</w:t>
            </w:r>
            <w:r w:rsidRPr="00A526DC">
              <w:rPr>
                <w:rFonts w:ascii="Arial" w:hAnsi="Arial" w:cs="Arial"/>
              </w:rPr>
              <w:t xml:space="preserve"> según lo señalado en el articulo 4 de la propuesta de reglamento. </w:t>
            </w:r>
          </w:p>
        </w:tc>
      </w:tr>
      <w:tr w:rsidR="003F5B7B" w:rsidRPr="00114D2D" w14:paraId="0DB7ED56" w14:textId="77777777" w:rsidTr="00EB7326">
        <w:trPr>
          <w:jc w:val="center"/>
        </w:trPr>
        <w:tc>
          <w:tcPr>
            <w:tcW w:w="4081" w:type="dxa"/>
          </w:tcPr>
          <w:p w14:paraId="6DBE1CA3" w14:textId="77777777" w:rsidR="003F5B7B" w:rsidRPr="00114D2D" w:rsidRDefault="003F5B7B" w:rsidP="003F5B7B">
            <w:pPr>
              <w:rPr>
                <w:rFonts w:ascii="Arial" w:hAnsi="Arial" w:cs="Arial"/>
              </w:rPr>
            </w:pPr>
            <w:r w:rsidRPr="0009523E">
              <w:rPr>
                <w:rFonts w:ascii="Arial" w:hAnsi="Arial" w:cs="Arial"/>
              </w:rPr>
              <w:t>Artículo 25-Normas, lineamientos y procedimientos de inversión.</w:t>
            </w:r>
          </w:p>
          <w:p w14:paraId="46F9B423" w14:textId="77777777" w:rsidR="003F5B7B" w:rsidRPr="00114D2D" w:rsidRDefault="003F5B7B" w:rsidP="003F5B7B">
            <w:pPr>
              <w:rPr>
                <w:rFonts w:ascii="Arial" w:hAnsi="Arial" w:cs="Arial"/>
              </w:rPr>
            </w:pPr>
          </w:p>
        </w:tc>
        <w:tc>
          <w:tcPr>
            <w:tcW w:w="3257" w:type="dxa"/>
          </w:tcPr>
          <w:p w14:paraId="748082D8" w14:textId="315D92E6" w:rsidR="003F5B7B" w:rsidRPr="00114D2D" w:rsidRDefault="003F5B7B" w:rsidP="003F5B7B">
            <w:pPr>
              <w:rPr>
                <w:rFonts w:ascii="Arial" w:hAnsi="Arial" w:cs="Arial"/>
              </w:rPr>
            </w:pPr>
            <w:r w:rsidRPr="0009523E">
              <w:rPr>
                <w:rFonts w:ascii="Arial" w:hAnsi="Arial" w:cs="Arial"/>
              </w:rPr>
              <w:t xml:space="preserve">Artículo 25-Normas, lineamientos y procedimientos de inversión. Mideplan deberá emitir y definir cada año, a través del componente Normas Técnicas, Lineamientos y Procedimientos de Inversión Pública, los requisitos de información y </w:t>
            </w:r>
            <w:r w:rsidRPr="0009523E">
              <w:rPr>
                <w:rFonts w:ascii="Arial" w:hAnsi="Arial" w:cs="Arial"/>
                <w:color w:val="4F81BD" w:themeColor="accent1"/>
              </w:rPr>
              <w:t>procesos</w:t>
            </w:r>
            <w:r w:rsidRPr="0009523E">
              <w:rPr>
                <w:rFonts w:ascii="Arial" w:hAnsi="Arial" w:cs="Arial"/>
              </w:rPr>
              <w:t xml:space="preserve"> que </w:t>
            </w:r>
            <w:r w:rsidRPr="0009523E">
              <w:rPr>
                <w:rFonts w:ascii="Arial" w:hAnsi="Arial" w:cs="Arial"/>
              </w:rPr>
              <w:lastRenderedPageBreak/>
              <w:t xml:space="preserve">deberán cumplir las instituciones bajo la cobertura </w:t>
            </w:r>
            <w:proofErr w:type="gramStart"/>
            <w:r w:rsidRPr="0009523E">
              <w:rPr>
                <w:rFonts w:ascii="Arial" w:hAnsi="Arial" w:cs="Arial"/>
              </w:rPr>
              <w:t>del  SNIP</w:t>
            </w:r>
            <w:proofErr w:type="gramEnd"/>
            <w:r w:rsidRPr="0009523E">
              <w:rPr>
                <w:rFonts w:ascii="Arial" w:hAnsi="Arial" w:cs="Arial"/>
              </w:rPr>
              <w:t>, las cuales estarán disponibles en la página web de Mideplan.</w:t>
            </w:r>
          </w:p>
        </w:tc>
        <w:tc>
          <w:tcPr>
            <w:tcW w:w="4704" w:type="dxa"/>
          </w:tcPr>
          <w:p w14:paraId="01289A66" w14:textId="24746049" w:rsidR="003F5B7B" w:rsidRPr="00114D2D" w:rsidRDefault="003F5B7B" w:rsidP="003F5B7B">
            <w:pPr>
              <w:rPr>
                <w:rFonts w:ascii="Arial" w:hAnsi="Arial" w:cs="Arial"/>
              </w:rPr>
            </w:pPr>
            <w:r>
              <w:rPr>
                <w:rFonts w:ascii="Arial" w:hAnsi="Arial" w:cs="Arial"/>
              </w:rPr>
              <w:lastRenderedPageBreak/>
              <w:t>Ver justificación de la línea 1.</w:t>
            </w:r>
          </w:p>
        </w:tc>
      </w:tr>
      <w:tr w:rsidR="00654A21" w:rsidRPr="00114D2D" w14:paraId="3740C67B" w14:textId="77777777" w:rsidTr="00EB7326">
        <w:trPr>
          <w:jc w:val="center"/>
        </w:trPr>
        <w:tc>
          <w:tcPr>
            <w:tcW w:w="4081" w:type="dxa"/>
          </w:tcPr>
          <w:p w14:paraId="216AAAE8" w14:textId="23184F0D" w:rsidR="00654A21" w:rsidRPr="00654A21" w:rsidRDefault="00654A21" w:rsidP="00654A21">
            <w:pPr>
              <w:rPr>
                <w:rFonts w:ascii="Arial" w:hAnsi="Arial" w:cs="Arial"/>
              </w:rPr>
            </w:pPr>
            <w:r w:rsidRPr="00654A21">
              <w:rPr>
                <w:rFonts w:ascii="Arial" w:hAnsi="Arial" w:cs="Arial"/>
              </w:rPr>
              <w:t xml:space="preserve">Artículo 13- Funciones de la Secretaría Sectorial o el ente que el Ministro Rector designe para este fin. </w:t>
            </w:r>
          </w:p>
        </w:tc>
        <w:tc>
          <w:tcPr>
            <w:tcW w:w="3257" w:type="dxa"/>
          </w:tcPr>
          <w:p w14:paraId="5655333F" w14:textId="4A93CBB4" w:rsidR="00CB21D8" w:rsidRDefault="00CB21D8" w:rsidP="00CB21D8">
            <w:pPr>
              <w:pBdr>
                <w:top w:val="nil"/>
                <w:left w:val="nil"/>
                <w:bottom w:val="nil"/>
                <w:right w:val="nil"/>
                <w:between w:val="nil"/>
              </w:pBdr>
              <w:jc w:val="both"/>
              <w:rPr>
                <w:rFonts w:ascii="Arial" w:eastAsia="Times New Roman" w:hAnsi="Arial" w:cs="Arial"/>
                <w:color w:val="000000"/>
                <w:sz w:val="24"/>
                <w:szCs w:val="24"/>
              </w:rPr>
            </w:pPr>
            <w:r w:rsidRPr="00CB21D8">
              <w:rPr>
                <w:rFonts w:ascii="Arial" w:eastAsia="Times New Roman" w:hAnsi="Arial" w:cs="Arial"/>
                <w:color w:val="000000"/>
                <w:sz w:val="24"/>
                <w:szCs w:val="24"/>
              </w:rPr>
              <w:t>Artículo 13- Funciones de la Secretaría Sectorial o el ente que el Ministro Rector designe para este fin. La Secretaría Sectorial, o el ente que el Ministro Rector designe para este fin, tendrá las siguientes funciones:</w:t>
            </w:r>
          </w:p>
          <w:p w14:paraId="28B876C0" w14:textId="77777777" w:rsidR="00CB21D8" w:rsidRDefault="00CB21D8" w:rsidP="00CB21D8">
            <w:pPr>
              <w:pBdr>
                <w:top w:val="nil"/>
                <w:left w:val="nil"/>
                <w:bottom w:val="nil"/>
                <w:right w:val="nil"/>
                <w:between w:val="nil"/>
              </w:pBdr>
              <w:jc w:val="both"/>
              <w:rPr>
                <w:rFonts w:ascii="Arial" w:eastAsia="Times New Roman" w:hAnsi="Arial" w:cs="Arial"/>
                <w:color w:val="000000"/>
                <w:sz w:val="24"/>
                <w:szCs w:val="24"/>
              </w:rPr>
            </w:pPr>
          </w:p>
          <w:p w14:paraId="05038B05" w14:textId="7A9D35AA" w:rsidR="00654A21" w:rsidRPr="00CB21D8" w:rsidRDefault="00CB21D8" w:rsidP="00CB21D8">
            <w:pPr>
              <w:pBdr>
                <w:top w:val="nil"/>
                <w:left w:val="nil"/>
                <w:bottom w:val="nil"/>
                <w:right w:val="nil"/>
                <w:between w:val="nil"/>
              </w:pBdr>
              <w:jc w:val="both"/>
              <w:rPr>
                <w:rFonts w:ascii="Arial" w:eastAsia="Times New Roman" w:hAnsi="Arial" w:cs="Arial"/>
                <w:sz w:val="24"/>
                <w:szCs w:val="24"/>
              </w:rPr>
            </w:pPr>
            <w:r>
              <w:rPr>
                <w:rFonts w:ascii="Arial" w:eastAsia="Times New Roman" w:hAnsi="Arial" w:cs="Arial"/>
                <w:color w:val="000000"/>
                <w:sz w:val="24"/>
                <w:szCs w:val="24"/>
              </w:rPr>
              <w:t xml:space="preserve">a) </w:t>
            </w:r>
            <w:r w:rsidR="00654A21" w:rsidRPr="00CB21D8">
              <w:rPr>
                <w:rFonts w:ascii="Arial" w:eastAsia="Times New Roman" w:hAnsi="Arial" w:cs="Arial"/>
                <w:color w:val="000000"/>
                <w:sz w:val="24"/>
                <w:szCs w:val="24"/>
              </w:rPr>
              <w:t xml:space="preserve">Dar seguimiento a los programas y proyectos de inversión incluidos en el PNDIP y a los proyectos del BPIP </w:t>
            </w:r>
            <w:r w:rsidR="00654A21" w:rsidRPr="00CB21D8">
              <w:rPr>
                <w:rFonts w:ascii="Arial" w:eastAsia="Times New Roman" w:hAnsi="Arial" w:cs="Arial"/>
                <w:color w:val="0070C0"/>
                <w:sz w:val="24"/>
                <w:szCs w:val="24"/>
              </w:rPr>
              <w:t xml:space="preserve">de las instituciones </w:t>
            </w:r>
            <w:r w:rsidR="00654A21" w:rsidRPr="00CB21D8">
              <w:rPr>
                <w:rFonts w:ascii="Arial" w:eastAsia="Times New Roman" w:hAnsi="Arial" w:cs="Arial"/>
                <w:color w:val="000000"/>
                <w:sz w:val="24"/>
                <w:szCs w:val="24"/>
              </w:rPr>
              <w:t>correspondientes al Sector</w:t>
            </w:r>
            <w:r w:rsidR="00654A21" w:rsidRPr="00CB21D8">
              <w:rPr>
                <w:rFonts w:ascii="Arial" w:eastAsia="Times New Roman" w:hAnsi="Arial" w:cs="Arial"/>
                <w:sz w:val="24"/>
                <w:szCs w:val="24"/>
              </w:rPr>
              <w:t>.</w:t>
            </w:r>
          </w:p>
          <w:p w14:paraId="6718A806" w14:textId="77777777" w:rsidR="00CB21D8" w:rsidRDefault="00CB21D8" w:rsidP="00CB21D8">
            <w:pPr>
              <w:pBdr>
                <w:top w:val="nil"/>
                <w:left w:val="nil"/>
                <w:bottom w:val="nil"/>
                <w:right w:val="nil"/>
                <w:between w:val="nil"/>
              </w:pBdr>
              <w:jc w:val="both"/>
              <w:rPr>
                <w:rFonts w:ascii="Arial" w:eastAsia="Times New Roman" w:hAnsi="Arial" w:cs="Arial"/>
                <w:color w:val="000000"/>
                <w:sz w:val="24"/>
                <w:szCs w:val="24"/>
              </w:rPr>
            </w:pPr>
            <w:r>
              <w:rPr>
                <w:rFonts w:ascii="Arial" w:eastAsia="Times New Roman" w:hAnsi="Arial" w:cs="Arial"/>
                <w:color w:val="000000"/>
                <w:sz w:val="24"/>
                <w:szCs w:val="24"/>
              </w:rPr>
              <w:t>[…]</w:t>
            </w:r>
          </w:p>
          <w:p w14:paraId="17AFF33A" w14:textId="77777777" w:rsidR="00CB21D8" w:rsidRPr="00CB21D8" w:rsidRDefault="00CB21D8" w:rsidP="00CB21D8">
            <w:pPr>
              <w:pBdr>
                <w:top w:val="nil"/>
                <w:left w:val="nil"/>
                <w:bottom w:val="nil"/>
                <w:right w:val="nil"/>
                <w:between w:val="nil"/>
              </w:pBdr>
              <w:jc w:val="both"/>
              <w:rPr>
                <w:rFonts w:ascii="Arial" w:eastAsia="Times New Roman" w:hAnsi="Arial" w:cs="Arial"/>
                <w:color w:val="000000"/>
                <w:sz w:val="24"/>
                <w:szCs w:val="24"/>
                <w:lang w:val="es-ES_tradnl"/>
              </w:rPr>
            </w:pPr>
          </w:p>
          <w:p w14:paraId="142B5D33" w14:textId="77777777" w:rsidR="00654A21" w:rsidRPr="00654A21" w:rsidRDefault="00654A21" w:rsidP="00654A21">
            <w:pPr>
              <w:rPr>
                <w:rFonts w:ascii="Arial" w:hAnsi="Arial" w:cs="Arial"/>
              </w:rPr>
            </w:pPr>
          </w:p>
        </w:tc>
        <w:tc>
          <w:tcPr>
            <w:tcW w:w="4704" w:type="dxa"/>
          </w:tcPr>
          <w:p w14:paraId="73F901F3" w14:textId="77777777" w:rsidR="00654A21" w:rsidRPr="00654A21" w:rsidRDefault="00654A21" w:rsidP="00654A21">
            <w:pPr>
              <w:numPr>
                <w:ilvl w:val="0"/>
                <w:numId w:val="5"/>
              </w:numPr>
              <w:pBdr>
                <w:top w:val="nil"/>
                <w:left w:val="nil"/>
                <w:bottom w:val="nil"/>
                <w:right w:val="nil"/>
                <w:between w:val="nil"/>
              </w:pBdr>
              <w:ind w:left="-68" w:hanging="357"/>
              <w:jc w:val="both"/>
              <w:rPr>
                <w:rFonts w:ascii="Arial" w:eastAsia="Times New Roman" w:hAnsi="Arial" w:cs="Arial"/>
                <w:color w:val="000000"/>
                <w:sz w:val="24"/>
                <w:szCs w:val="24"/>
              </w:rPr>
            </w:pPr>
            <w:r w:rsidRPr="00654A21">
              <w:rPr>
                <w:rFonts w:ascii="Arial" w:hAnsi="Arial" w:cs="Arial"/>
              </w:rPr>
              <w:t>Según el artículo 12, el Ministro Rector debe: “</w:t>
            </w:r>
            <w:r w:rsidRPr="00654A21">
              <w:rPr>
                <w:rFonts w:ascii="Arial" w:eastAsia="Times New Roman" w:hAnsi="Arial" w:cs="Arial"/>
                <w:color w:val="000000"/>
                <w:sz w:val="24"/>
                <w:szCs w:val="24"/>
              </w:rPr>
              <w:t xml:space="preserve">Emitir el aval sectorial a las diferentes etapas de los proyectos de inversión </w:t>
            </w:r>
            <w:r w:rsidRPr="00654A21">
              <w:rPr>
                <w:rFonts w:ascii="Arial" w:eastAsia="Times New Roman" w:hAnsi="Arial" w:cs="Arial"/>
                <w:b/>
                <w:bCs/>
                <w:color w:val="000000"/>
                <w:sz w:val="24"/>
                <w:szCs w:val="24"/>
              </w:rPr>
              <w:t>institucionales</w:t>
            </w:r>
            <w:r w:rsidRPr="00654A21">
              <w:rPr>
                <w:rFonts w:ascii="Arial" w:eastAsia="Times New Roman" w:hAnsi="Arial" w:cs="Arial"/>
                <w:color w:val="000000"/>
                <w:sz w:val="24"/>
                <w:szCs w:val="24"/>
              </w:rPr>
              <w:t xml:space="preserve"> basados en la recomendación de la Secretaría Sectorial o la instancia que designe para tales efectos.” (la negrita no es del original), por lo que se entiende, que debe darse el aval de todos los proyectos de inversión de las instituciones que conforman el sector.</w:t>
            </w:r>
          </w:p>
          <w:p w14:paraId="32CCBDE4" w14:textId="77777777" w:rsidR="00654A21" w:rsidRPr="00654A21" w:rsidRDefault="00654A21" w:rsidP="00654A21">
            <w:pPr>
              <w:pBdr>
                <w:top w:val="nil"/>
                <w:left w:val="nil"/>
                <w:bottom w:val="nil"/>
                <w:right w:val="nil"/>
                <w:between w:val="nil"/>
              </w:pBdr>
              <w:jc w:val="both"/>
              <w:rPr>
                <w:rFonts w:ascii="Arial" w:eastAsia="Times New Roman" w:hAnsi="Arial" w:cs="Arial"/>
                <w:color w:val="000000"/>
                <w:sz w:val="24"/>
                <w:szCs w:val="24"/>
              </w:rPr>
            </w:pPr>
          </w:p>
          <w:p w14:paraId="739D9BFB" w14:textId="77777777" w:rsidR="00654A21" w:rsidRPr="00654A21" w:rsidRDefault="00654A21" w:rsidP="00654A21">
            <w:pPr>
              <w:pBdr>
                <w:top w:val="nil"/>
                <w:left w:val="nil"/>
                <w:bottom w:val="nil"/>
                <w:right w:val="nil"/>
                <w:between w:val="nil"/>
              </w:pBdr>
              <w:jc w:val="both"/>
              <w:rPr>
                <w:rFonts w:ascii="Arial" w:eastAsia="Times New Roman" w:hAnsi="Arial" w:cs="Arial"/>
                <w:color w:val="000000"/>
                <w:sz w:val="24"/>
                <w:szCs w:val="24"/>
              </w:rPr>
            </w:pPr>
            <w:r w:rsidRPr="00654A21">
              <w:rPr>
                <w:rFonts w:ascii="Arial" w:eastAsia="Times New Roman" w:hAnsi="Arial" w:cs="Arial"/>
                <w:color w:val="000000"/>
                <w:sz w:val="24"/>
                <w:szCs w:val="24"/>
              </w:rPr>
              <w:t xml:space="preserve">En el artículo 13 para evitar mal interpretaciones y en congruencia con el artículo 12, se adiciona que también se da seguimiento a los proyectos de las instituciones que son del Sector. Si se deja como está, podría interpretarse que sólo se da seguimiento a los proyectos que son sectoriales y no a todos los proyectos de todas las instituciones del sector. </w:t>
            </w:r>
          </w:p>
          <w:p w14:paraId="5EA33BFA" w14:textId="77777777" w:rsidR="00654A21" w:rsidRPr="00654A21" w:rsidRDefault="00654A21" w:rsidP="00654A21">
            <w:pPr>
              <w:rPr>
                <w:rFonts w:ascii="Arial" w:hAnsi="Arial" w:cs="Arial"/>
              </w:rPr>
            </w:pPr>
          </w:p>
        </w:tc>
      </w:tr>
      <w:tr w:rsidR="00654A21" w:rsidRPr="00114D2D" w14:paraId="7B4548F2" w14:textId="77777777" w:rsidTr="00EB7326">
        <w:trPr>
          <w:jc w:val="center"/>
        </w:trPr>
        <w:tc>
          <w:tcPr>
            <w:tcW w:w="4081" w:type="dxa"/>
          </w:tcPr>
          <w:p w14:paraId="46848917" w14:textId="7C2B6A79" w:rsidR="00654A21" w:rsidRDefault="00CB21D8" w:rsidP="00654A21">
            <w:pPr>
              <w:rPr>
                <w:rFonts w:ascii="Arial" w:hAnsi="Arial" w:cs="Arial"/>
              </w:rPr>
            </w:pPr>
            <w:r w:rsidRPr="00CB21D8">
              <w:rPr>
                <w:rFonts w:ascii="Arial" w:hAnsi="Arial" w:cs="Arial"/>
              </w:rPr>
              <w:t xml:space="preserve">Artículo 14- Funciones de las entidades dentro del ámbito de cobertura del SNIP.  </w:t>
            </w:r>
          </w:p>
          <w:p w14:paraId="28A0AA15" w14:textId="77777777" w:rsidR="00CB21D8" w:rsidRPr="008B1528" w:rsidRDefault="00CB21D8" w:rsidP="00654A21">
            <w:pPr>
              <w:rPr>
                <w:rFonts w:ascii="Arial" w:hAnsi="Arial" w:cs="Arial"/>
              </w:rPr>
            </w:pPr>
          </w:p>
          <w:p w14:paraId="0449719F" w14:textId="658C07D4" w:rsidR="00654A21" w:rsidRPr="008B1528" w:rsidRDefault="00654A21" w:rsidP="00654A21">
            <w:pPr>
              <w:rPr>
                <w:rFonts w:ascii="Arial" w:hAnsi="Arial" w:cs="Arial"/>
              </w:rPr>
            </w:pPr>
            <w:r w:rsidRPr="008B1528">
              <w:rPr>
                <w:rFonts w:ascii="Arial" w:hAnsi="Arial" w:cs="Arial"/>
                <w:color w:val="0070C0"/>
              </w:rPr>
              <w:lastRenderedPageBreak/>
              <w:t>SE HACEN OBSERVACIONES Y CONSULTAS DE INCISOS DEL ARTÍCULO</w:t>
            </w:r>
          </w:p>
        </w:tc>
        <w:tc>
          <w:tcPr>
            <w:tcW w:w="3257" w:type="dxa"/>
          </w:tcPr>
          <w:p w14:paraId="5A58AB87" w14:textId="60A1395C" w:rsidR="00CB21D8" w:rsidRDefault="00CB21D8" w:rsidP="00CB21D8">
            <w:pPr>
              <w:pBdr>
                <w:top w:val="nil"/>
                <w:left w:val="nil"/>
                <w:bottom w:val="nil"/>
                <w:right w:val="nil"/>
                <w:between w:val="nil"/>
              </w:pBdr>
              <w:ind w:left="-66"/>
              <w:jc w:val="both"/>
              <w:rPr>
                <w:rFonts w:ascii="Arial" w:eastAsia="Times New Roman" w:hAnsi="Arial" w:cs="Arial"/>
                <w:color w:val="000000"/>
                <w:sz w:val="24"/>
                <w:szCs w:val="24"/>
              </w:rPr>
            </w:pPr>
            <w:r w:rsidRPr="00CB21D8">
              <w:rPr>
                <w:rFonts w:ascii="Arial" w:eastAsia="Times New Roman" w:hAnsi="Arial" w:cs="Arial"/>
                <w:color w:val="000000"/>
                <w:sz w:val="24"/>
                <w:szCs w:val="24"/>
              </w:rPr>
              <w:lastRenderedPageBreak/>
              <w:t>Artículo 14- Funciones de las entidades dentro del ámbito de cobertura del SNIP.  Las entidades tendrán las siguientes funciones:</w:t>
            </w:r>
          </w:p>
          <w:p w14:paraId="56D171CC" w14:textId="77777777" w:rsidR="00CB21D8" w:rsidRDefault="00CB21D8" w:rsidP="00CB21D8">
            <w:pPr>
              <w:pBdr>
                <w:top w:val="nil"/>
                <w:left w:val="nil"/>
                <w:bottom w:val="nil"/>
                <w:right w:val="nil"/>
                <w:between w:val="nil"/>
              </w:pBdr>
              <w:jc w:val="both"/>
              <w:rPr>
                <w:rFonts w:ascii="Arial" w:eastAsia="Times New Roman" w:hAnsi="Arial" w:cs="Arial"/>
                <w:color w:val="000000"/>
                <w:sz w:val="24"/>
                <w:szCs w:val="24"/>
              </w:rPr>
            </w:pPr>
            <w:r>
              <w:rPr>
                <w:rFonts w:ascii="Arial" w:eastAsia="Times New Roman" w:hAnsi="Arial" w:cs="Arial"/>
                <w:color w:val="000000"/>
                <w:sz w:val="24"/>
                <w:szCs w:val="24"/>
              </w:rPr>
              <w:t>[…]</w:t>
            </w:r>
          </w:p>
          <w:p w14:paraId="48153877" w14:textId="514C5C9E" w:rsidR="00654A21" w:rsidRPr="00CB21D8" w:rsidRDefault="00CB21D8" w:rsidP="00CB21D8">
            <w:pPr>
              <w:pBdr>
                <w:top w:val="nil"/>
                <w:left w:val="nil"/>
                <w:bottom w:val="nil"/>
                <w:right w:val="nil"/>
                <w:between w:val="nil"/>
              </w:pBdr>
              <w:jc w:val="both"/>
              <w:rPr>
                <w:rFonts w:ascii="Arial" w:eastAsia="Times New Roman" w:hAnsi="Arial" w:cs="Arial"/>
                <w:color w:val="000000"/>
                <w:sz w:val="24"/>
                <w:szCs w:val="24"/>
              </w:rPr>
            </w:pPr>
            <w:r>
              <w:rPr>
                <w:rFonts w:ascii="Arial" w:eastAsia="Times New Roman" w:hAnsi="Arial" w:cs="Arial"/>
                <w:color w:val="000000"/>
                <w:sz w:val="24"/>
                <w:szCs w:val="24"/>
              </w:rPr>
              <w:lastRenderedPageBreak/>
              <w:t xml:space="preserve">e) </w:t>
            </w:r>
            <w:r w:rsidR="00654A21" w:rsidRPr="00CB21D8">
              <w:rPr>
                <w:rFonts w:ascii="Arial" w:eastAsia="Times New Roman" w:hAnsi="Arial" w:cs="Arial"/>
                <w:color w:val="000000"/>
                <w:sz w:val="24"/>
                <w:szCs w:val="24"/>
              </w:rPr>
              <w:t xml:space="preserve">Establecer el responsable de otorgar el aval técnico a cada uno de los proyectos durante las diferentes </w:t>
            </w:r>
            <w:r w:rsidR="00654A21" w:rsidRPr="00CB21D8">
              <w:rPr>
                <w:rFonts w:ascii="Arial" w:eastAsia="Times New Roman" w:hAnsi="Arial" w:cs="Arial"/>
                <w:color w:val="0070C0"/>
                <w:sz w:val="24"/>
                <w:szCs w:val="24"/>
              </w:rPr>
              <w:t xml:space="preserve">etapas de la fase de </w:t>
            </w:r>
            <w:proofErr w:type="spellStart"/>
            <w:r w:rsidR="00654A21" w:rsidRPr="00CB21D8">
              <w:rPr>
                <w:rFonts w:ascii="Arial" w:eastAsia="Times New Roman" w:hAnsi="Arial" w:cs="Arial"/>
                <w:color w:val="0070C0"/>
                <w:sz w:val="24"/>
                <w:szCs w:val="24"/>
              </w:rPr>
              <w:t>preinversión</w:t>
            </w:r>
            <w:proofErr w:type="spellEnd"/>
            <w:r w:rsidR="00654A21" w:rsidRPr="00CB21D8">
              <w:rPr>
                <w:rFonts w:ascii="Arial" w:eastAsia="Times New Roman" w:hAnsi="Arial" w:cs="Arial"/>
                <w:color w:val="000000"/>
                <w:sz w:val="24"/>
                <w:szCs w:val="24"/>
              </w:rPr>
              <w:t xml:space="preserve"> del proyecto.</w:t>
            </w:r>
          </w:p>
          <w:p w14:paraId="71240F02" w14:textId="7D9B5950" w:rsidR="00654A21" w:rsidRPr="00CB21D8" w:rsidRDefault="00CB21D8" w:rsidP="00CB21D8">
            <w:pPr>
              <w:pBdr>
                <w:top w:val="nil"/>
                <w:left w:val="nil"/>
                <w:bottom w:val="nil"/>
                <w:right w:val="nil"/>
                <w:between w:val="nil"/>
              </w:pBdr>
              <w:jc w:val="both"/>
              <w:rPr>
                <w:rFonts w:ascii="Arial" w:eastAsia="Times New Roman" w:hAnsi="Arial" w:cs="Arial"/>
                <w:color w:val="000000"/>
                <w:sz w:val="24"/>
                <w:szCs w:val="24"/>
              </w:rPr>
            </w:pPr>
            <w:r>
              <w:rPr>
                <w:rFonts w:ascii="Arial" w:eastAsia="Times New Roman" w:hAnsi="Arial" w:cs="Arial"/>
                <w:color w:val="000000"/>
                <w:sz w:val="24"/>
                <w:szCs w:val="24"/>
              </w:rPr>
              <w:t xml:space="preserve">f) </w:t>
            </w:r>
            <w:r w:rsidR="00654A21" w:rsidRPr="00CB21D8">
              <w:rPr>
                <w:rFonts w:ascii="Arial" w:eastAsia="Times New Roman" w:hAnsi="Arial" w:cs="Arial"/>
                <w:color w:val="000000"/>
                <w:sz w:val="24"/>
                <w:szCs w:val="24"/>
              </w:rPr>
              <w:t xml:space="preserve">Emitir el aval técnico </w:t>
            </w:r>
            <w:proofErr w:type="gramStart"/>
            <w:r w:rsidR="00654A21" w:rsidRPr="00CB21D8">
              <w:rPr>
                <w:rFonts w:ascii="Arial" w:eastAsia="Times New Roman" w:hAnsi="Arial" w:cs="Arial"/>
                <w:color w:val="000000"/>
                <w:sz w:val="24"/>
                <w:szCs w:val="24"/>
              </w:rPr>
              <w:t>de  cada</w:t>
            </w:r>
            <w:proofErr w:type="gramEnd"/>
            <w:r w:rsidR="00654A21" w:rsidRPr="00CB21D8">
              <w:rPr>
                <w:rFonts w:ascii="Arial" w:eastAsia="Times New Roman" w:hAnsi="Arial" w:cs="Arial"/>
                <w:color w:val="000000"/>
                <w:sz w:val="24"/>
                <w:szCs w:val="24"/>
              </w:rPr>
              <w:t xml:space="preserve"> </w:t>
            </w:r>
            <w:r w:rsidR="00654A21" w:rsidRPr="00CB21D8">
              <w:rPr>
                <w:rFonts w:ascii="Arial" w:eastAsia="Times New Roman" w:hAnsi="Arial" w:cs="Arial"/>
                <w:color w:val="0070C0"/>
                <w:sz w:val="24"/>
                <w:szCs w:val="24"/>
              </w:rPr>
              <w:t xml:space="preserve">etapa de la </w:t>
            </w:r>
            <w:proofErr w:type="spellStart"/>
            <w:r w:rsidR="00654A21" w:rsidRPr="00CB21D8">
              <w:rPr>
                <w:rFonts w:ascii="Arial" w:eastAsia="Times New Roman" w:hAnsi="Arial" w:cs="Arial"/>
                <w:color w:val="0070C0"/>
                <w:sz w:val="24"/>
                <w:szCs w:val="24"/>
              </w:rPr>
              <w:t>preinversión</w:t>
            </w:r>
            <w:proofErr w:type="spellEnd"/>
            <w:r w:rsidR="00654A21" w:rsidRPr="00CB21D8">
              <w:rPr>
                <w:rFonts w:ascii="Arial" w:eastAsia="Times New Roman" w:hAnsi="Arial" w:cs="Arial"/>
                <w:color w:val="0070C0"/>
                <w:sz w:val="24"/>
                <w:szCs w:val="24"/>
              </w:rPr>
              <w:t xml:space="preserve"> </w:t>
            </w:r>
            <w:r w:rsidR="00654A21" w:rsidRPr="00CB21D8">
              <w:rPr>
                <w:rFonts w:ascii="Arial" w:eastAsia="Times New Roman" w:hAnsi="Arial" w:cs="Arial"/>
                <w:color w:val="000000"/>
                <w:sz w:val="24"/>
                <w:szCs w:val="24"/>
              </w:rPr>
              <w:t>del proyecto de inversión pública.</w:t>
            </w:r>
          </w:p>
          <w:p w14:paraId="1098845B" w14:textId="77777777" w:rsidR="00654A21" w:rsidRPr="008B1528" w:rsidRDefault="00654A21" w:rsidP="00654A21">
            <w:pPr>
              <w:rPr>
                <w:rFonts w:ascii="Arial" w:hAnsi="Arial" w:cs="Arial"/>
              </w:rPr>
            </w:pPr>
          </w:p>
        </w:tc>
        <w:tc>
          <w:tcPr>
            <w:tcW w:w="4704" w:type="dxa"/>
          </w:tcPr>
          <w:p w14:paraId="0F60C181" w14:textId="77777777" w:rsidR="00654A21" w:rsidRPr="008B1528" w:rsidRDefault="00654A21" w:rsidP="00654A21">
            <w:pPr>
              <w:jc w:val="both"/>
              <w:rPr>
                <w:rFonts w:ascii="Arial" w:eastAsia="Times New Roman" w:hAnsi="Arial" w:cs="Arial"/>
                <w:color w:val="000000"/>
                <w:sz w:val="24"/>
                <w:szCs w:val="24"/>
              </w:rPr>
            </w:pPr>
            <w:r w:rsidRPr="008B1528">
              <w:rPr>
                <w:rFonts w:ascii="Arial" w:eastAsia="Times New Roman" w:hAnsi="Arial" w:cs="Arial"/>
                <w:color w:val="000000"/>
                <w:sz w:val="24"/>
                <w:szCs w:val="24"/>
              </w:rPr>
              <w:lastRenderedPageBreak/>
              <w:t>Es una observación, referente a si el aval técnico es a diferentes fases (inciso e) o a cada etapa (inciso f) o a ambos. Sería ajustar la redacción en función de los avales que deban darse al proyecto.</w:t>
            </w:r>
          </w:p>
          <w:p w14:paraId="0DEC3C6C" w14:textId="77777777" w:rsidR="00654A21" w:rsidRPr="008B1528" w:rsidRDefault="00654A21" w:rsidP="00654A21">
            <w:pPr>
              <w:jc w:val="both"/>
              <w:rPr>
                <w:rFonts w:ascii="Arial" w:eastAsia="Times New Roman" w:hAnsi="Arial" w:cs="Arial"/>
                <w:color w:val="000000"/>
                <w:sz w:val="24"/>
                <w:szCs w:val="24"/>
              </w:rPr>
            </w:pPr>
          </w:p>
          <w:p w14:paraId="3AD6A472" w14:textId="06CE6248" w:rsidR="00654A21" w:rsidRPr="008B1528" w:rsidRDefault="00654A21" w:rsidP="00654A21">
            <w:pPr>
              <w:jc w:val="both"/>
              <w:rPr>
                <w:rFonts w:ascii="Arial" w:eastAsia="Times New Roman" w:hAnsi="Arial" w:cs="Arial"/>
                <w:color w:val="000000"/>
                <w:sz w:val="24"/>
                <w:szCs w:val="24"/>
              </w:rPr>
            </w:pPr>
            <w:r w:rsidRPr="008B1528">
              <w:rPr>
                <w:rFonts w:ascii="Arial" w:eastAsia="Times New Roman" w:hAnsi="Arial" w:cs="Arial"/>
                <w:color w:val="000000"/>
                <w:sz w:val="24"/>
                <w:szCs w:val="24"/>
              </w:rPr>
              <w:lastRenderedPageBreak/>
              <w:t xml:space="preserve">Sin embargo, leyendo el artículo 21, el aval técnico es a las etapas de </w:t>
            </w:r>
            <w:proofErr w:type="spellStart"/>
            <w:r w:rsidRPr="008B1528">
              <w:rPr>
                <w:rFonts w:ascii="Arial" w:eastAsia="Times New Roman" w:hAnsi="Arial" w:cs="Arial"/>
                <w:color w:val="000000"/>
                <w:sz w:val="24"/>
                <w:szCs w:val="24"/>
              </w:rPr>
              <w:t>preinversión</w:t>
            </w:r>
            <w:proofErr w:type="spellEnd"/>
            <w:r w:rsidRPr="008B1528">
              <w:rPr>
                <w:rFonts w:ascii="Arial" w:eastAsia="Times New Roman" w:hAnsi="Arial" w:cs="Arial"/>
                <w:color w:val="000000"/>
                <w:sz w:val="24"/>
                <w:szCs w:val="24"/>
              </w:rPr>
              <w:t xml:space="preserve"> o para pasar de la fase de </w:t>
            </w:r>
            <w:proofErr w:type="spellStart"/>
            <w:r w:rsidRPr="008B1528">
              <w:rPr>
                <w:rFonts w:ascii="Arial" w:eastAsia="Times New Roman" w:hAnsi="Arial" w:cs="Arial"/>
                <w:color w:val="000000"/>
                <w:sz w:val="24"/>
                <w:szCs w:val="24"/>
              </w:rPr>
              <w:t>preinversión</w:t>
            </w:r>
            <w:proofErr w:type="spellEnd"/>
            <w:r w:rsidRPr="008B1528">
              <w:rPr>
                <w:rFonts w:ascii="Arial" w:eastAsia="Times New Roman" w:hAnsi="Arial" w:cs="Arial"/>
                <w:color w:val="000000"/>
                <w:sz w:val="24"/>
                <w:szCs w:val="24"/>
              </w:rPr>
              <w:t xml:space="preserve"> a inversión, se indica textualmente que “</w:t>
            </w:r>
            <w:r w:rsidRPr="008B1528">
              <w:rPr>
                <w:rFonts w:ascii="Arial" w:eastAsia="Times New Roman" w:hAnsi="Arial" w:cs="Arial"/>
                <w:color w:val="222222"/>
                <w:sz w:val="24"/>
                <w:szCs w:val="24"/>
              </w:rPr>
              <w:t xml:space="preserve">Este aval es necesario para cada una de las etapas de la </w:t>
            </w:r>
            <w:proofErr w:type="spellStart"/>
            <w:r w:rsidRPr="008B1528">
              <w:rPr>
                <w:rFonts w:ascii="Arial" w:eastAsia="Times New Roman" w:hAnsi="Arial" w:cs="Arial"/>
                <w:color w:val="222222"/>
                <w:sz w:val="24"/>
                <w:szCs w:val="24"/>
              </w:rPr>
              <w:t>preinversión</w:t>
            </w:r>
            <w:proofErr w:type="spellEnd"/>
            <w:r w:rsidRPr="008B1528">
              <w:rPr>
                <w:rFonts w:ascii="Arial" w:eastAsia="Times New Roman" w:hAnsi="Arial" w:cs="Arial"/>
                <w:color w:val="222222"/>
                <w:sz w:val="24"/>
                <w:szCs w:val="24"/>
              </w:rPr>
              <w:t>.</w:t>
            </w:r>
            <w:r w:rsidR="008B1528">
              <w:rPr>
                <w:rFonts w:ascii="Arial" w:eastAsia="Times New Roman" w:hAnsi="Arial" w:cs="Arial"/>
                <w:color w:val="222222"/>
                <w:sz w:val="24"/>
                <w:szCs w:val="24"/>
              </w:rPr>
              <w:t>.</w:t>
            </w:r>
            <w:r w:rsidRPr="008B1528">
              <w:rPr>
                <w:rFonts w:ascii="Arial" w:eastAsia="Times New Roman" w:hAnsi="Arial" w:cs="Arial"/>
                <w:color w:val="222222"/>
                <w:sz w:val="24"/>
                <w:szCs w:val="24"/>
              </w:rPr>
              <w:t>.” se sugiere modificar los incisos e y f del artículo 14 para que sea congruente la información</w:t>
            </w:r>
          </w:p>
          <w:p w14:paraId="461A5540" w14:textId="77777777" w:rsidR="00654A21" w:rsidRPr="008B1528" w:rsidRDefault="00654A21" w:rsidP="00654A21">
            <w:pPr>
              <w:rPr>
                <w:rFonts w:ascii="Arial" w:hAnsi="Arial" w:cs="Arial"/>
              </w:rPr>
            </w:pPr>
          </w:p>
        </w:tc>
      </w:tr>
      <w:tr w:rsidR="00654A21" w:rsidRPr="00114D2D" w14:paraId="3267CD94" w14:textId="77777777" w:rsidTr="00EB7326">
        <w:trPr>
          <w:jc w:val="center"/>
        </w:trPr>
        <w:tc>
          <w:tcPr>
            <w:tcW w:w="4081" w:type="dxa"/>
          </w:tcPr>
          <w:p w14:paraId="576F7F81" w14:textId="77777777" w:rsidR="00654A21" w:rsidRPr="008B1528" w:rsidRDefault="00654A21" w:rsidP="00654A21">
            <w:pPr>
              <w:rPr>
                <w:rFonts w:ascii="Arial" w:hAnsi="Arial" w:cs="Arial"/>
              </w:rPr>
            </w:pPr>
          </w:p>
          <w:p w14:paraId="1CE67F2B" w14:textId="77777777" w:rsidR="00CB21D8" w:rsidRDefault="00CB21D8" w:rsidP="00CB21D8">
            <w:pPr>
              <w:rPr>
                <w:rFonts w:ascii="Arial" w:hAnsi="Arial" w:cs="Arial"/>
              </w:rPr>
            </w:pPr>
            <w:r w:rsidRPr="00CB21D8">
              <w:rPr>
                <w:rFonts w:ascii="Arial" w:hAnsi="Arial" w:cs="Arial"/>
              </w:rPr>
              <w:t xml:space="preserve">Artículo 14- Funciones de las entidades dentro del ámbito de cobertura del SNIP.  </w:t>
            </w:r>
          </w:p>
          <w:p w14:paraId="7ACDF5D0" w14:textId="77777777" w:rsidR="00654A21" w:rsidRPr="008B1528" w:rsidRDefault="00654A21" w:rsidP="00654A21">
            <w:pPr>
              <w:rPr>
                <w:rFonts w:ascii="Arial" w:hAnsi="Arial" w:cs="Arial"/>
              </w:rPr>
            </w:pPr>
          </w:p>
        </w:tc>
        <w:tc>
          <w:tcPr>
            <w:tcW w:w="3257" w:type="dxa"/>
          </w:tcPr>
          <w:p w14:paraId="73AC4749" w14:textId="77777777" w:rsidR="00CB21D8" w:rsidRDefault="00CB21D8" w:rsidP="00CB21D8">
            <w:pPr>
              <w:pBdr>
                <w:top w:val="nil"/>
                <w:left w:val="nil"/>
                <w:bottom w:val="nil"/>
                <w:right w:val="nil"/>
                <w:between w:val="nil"/>
              </w:pBdr>
              <w:ind w:left="-66"/>
              <w:jc w:val="both"/>
              <w:rPr>
                <w:rFonts w:ascii="Arial" w:eastAsia="Times New Roman" w:hAnsi="Arial" w:cs="Arial"/>
                <w:color w:val="000000"/>
                <w:sz w:val="24"/>
                <w:szCs w:val="24"/>
              </w:rPr>
            </w:pPr>
            <w:r w:rsidRPr="00CB21D8">
              <w:rPr>
                <w:rFonts w:ascii="Arial" w:eastAsia="Times New Roman" w:hAnsi="Arial" w:cs="Arial"/>
                <w:color w:val="000000"/>
                <w:sz w:val="24"/>
                <w:szCs w:val="24"/>
              </w:rPr>
              <w:t>Artículo 14- Funciones de las entidades dentro del ámbito de cobertura del SNIP.  Las entidades tendrán las siguientes funciones:</w:t>
            </w:r>
          </w:p>
          <w:p w14:paraId="7C5DF8D6" w14:textId="77777777" w:rsidR="00CB21D8" w:rsidRDefault="00CB21D8" w:rsidP="00CB21D8">
            <w:pPr>
              <w:pBdr>
                <w:top w:val="nil"/>
                <w:left w:val="nil"/>
                <w:bottom w:val="nil"/>
                <w:right w:val="nil"/>
                <w:between w:val="nil"/>
              </w:pBdr>
              <w:jc w:val="both"/>
              <w:rPr>
                <w:rFonts w:ascii="Arial" w:eastAsia="Times New Roman" w:hAnsi="Arial" w:cs="Arial"/>
                <w:color w:val="000000"/>
                <w:sz w:val="24"/>
                <w:szCs w:val="24"/>
              </w:rPr>
            </w:pPr>
            <w:r>
              <w:rPr>
                <w:rFonts w:ascii="Arial" w:eastAsia="Times New Roman" w:hAnsi="Arial" w:cs="Arial"/>
                <w:color w:val="000000"/>
                <w:sz w:val="24"/>
                <w:szCs w:val="24"/>
              </w:rPr>
              <w:t>[…]</w:t>
            </w:r>
          </w:p>
          <w:p w14:paraId="3A8E284C" w14:textId="77777777" w:rsidR="00CB21D8" w:rsidRDefault="00CB21D8" w:rsidP="00CB21D8">
            <w:pPr>
              <w:pBdr>
                <w:top w:val="nil"/>
                <w:left w:val="nil"/>
                <w:bottom w:val="nil"/>
                <w:right w:val="nil"/>
                <w:between w:val="nil"/>
              </w:pBdr>
              <w:jc w:val="both"/>
              <w:rPr>
                <w:rFonts w:ascii="Arial" w:eastAsia="Times New Roman" w:hAnsi="Arial" w:cs="Arial"/>
                <w:color w:val="000000"/>
                <w:sz w:val="24"/>
                <w:szCs w:val="24"/>
              </w:rPr>
            </w:pPr>
          </w:p>
          <w:p w14:paraId="6B7B6CC0" w14:textId="7AACC239" w:rsidR="00654A21" w:rsidRPr="00CB21D8" w:rsidRDefault="00CB21D8" w:rsidP="00CB21D8">
            <w:pPr>
              <w:pBdr>
                <w:top w:val="nil"/>
                <w:left w:val="nil"/>
                <w:bottom w:val="nil"/>
                <w:right w:val="nil"/>
                <w:between w:val="nil"/>
              </w:pBdr>
              <w:jc w:val="both"/>
              <w:rPr>
                <w:rFonts w:ascii="Arial" w:eastAsia="Times New Roman" w:hAnsi="Arial" w:cs="Arial"/>
                <w:color w:val="000000"/>
                <w:sz w:val="24"/>
                <w:szCs w:val="24"/>
              </w:rPr>
            </w:pPr>
            <w:r>
              <w:rPr>
                <w:rFonts w:ascii="Arial" w:eastAsia="Times New Roman" w:hAnsi="Arial" w:cs="Arial"/>
                <w:color w:val="000000"/>
                <w:sz w:val="24"/>
                <w:szCs w:val="24"/>
              </w:rPr>
              <w:t xml:space="preserve">k) </w:t>
            </w:r>
            <w:r w:rsidR="00654A21" w:rsidRPr="00CB21D8">
              <w:rPr>
                <w:rFonts w:ascii="Arial" w:eastAsia="Times New Roman" w:hAnsi="Arial" w:cs="Arial"/>
                <w:color w:val="000000"/>
                <w:sz w:val="24"/>
                <w:szCs w:val="24"/>
              </w:rPr>
              <w:t>Solicitar a Mideplan la declaratoria de viabilidad del proyecto antes de iniciar la fase de inversión.</w:t>
            </w:r>
          </w:p>
          <w:p w14:paraId="4A5C3874" w14:textId="77777777" w:rsidR="00654A21" w:rsidRPr="008B1528" w:rsidRDefault="00654A21" w:rsidP="00654A21">
            <w:pPr>
              <w:rPr>
                <w:rFonts w:ascii="Arial" w:hAnsi="Arial" w:cs="Arial"/>
              </w:rPr>
            </w:pPr>
          </w:p>
        </w:tc>
        <w:tc>
          <w:tcPr>
            <w:tcW w:w="4704" w:type="dxa"/>
          </w:tcPr>
          <w:p w14:paraId="7907E95F" w14:textId="77777777" w:rsidR="00654A21" w:rsidRPr="008B1528" w:rsidRDefault="00654A21" w:rsidP="00654A21">
            <w:pPr>
              <w:rPr>
                <w:rFonts w:ascii="Arial" w:hAnsi="Arial" w:cs="Arial"/>
              </w:rPr>
            </w:pPr>
            <w:r w:rsidRPr="008B1528">
              <w:rPr>
                <w:rFonts w:ascii="Arial" w:hAnsi="Arial" w:cs="Arial"/>
              </w:rPr>
              <w:t>¿a qué se refiere? ¿Es un nuevo documento que emitirá el MIDEPLAN, un paso diferente a la asignación del código en el BPIP?</w:t>
            </w:r>
          </w:p>
          <w:p w14:paraId="3F90E9CE" w14:textId="77777777" w:rsidR="00654A21" w:rsidRPr="008B1528" w:rsidRDefault="00654A21" w:rsidP="00654A21">
            <w:pPr>
              <w:rPr>
                <w:rFonts w:ascii="Arial" w:hAnsi="Arial" w:cs="Arial"/>
              </w:rPr>
            </w:pPr>
          </w:p>
          <w:p w14:paraId="35666D43" w14:textId="77777777" w:rsidR="00654A21" w:rsidRPr="008B1528" w:rsidRDefault="00654A21" w:rsidP="00654A21">
            <w:pPr>
              <w:jc w:val="both"/>
              <w:rPr>
                <w:rFonts w:ascii="Arial" w:eastAsia="Times New Roman" w:hAnsi="Arial" w:cs="Arial"/>
                <w:color w:val="222222"/>
                <w:sz w:val="24"/>
                <w:szCs w:val="24"/>
              </w:rPr>
            </w:pPr>
            <w:r w:rsidRPr="008B1528">
              <w:rPr>
                <w:rFonts w:ascii="Arial" w:hAnsi="Arial" w:cs="Arial"/>
              </w:rPr>
              <w:t>Se amplía en el artículo 24 pero dice que: “</w:t>
            </w:r>
            <w:r w:rsidRPr="008B1528">
              <w:rPr>
                <w:rFonts w:ascii="Arial" w:eastAsia="Times New Roman" w:hAnsi="Arial" w:cs="Arial"/>
                <w:color w:val="222222"/>
                <w:sz w:val="24"/>
                <w:szCs w:val="24"/>
              </w:rPr>
              <w:t>Los elementos que conformarán esta Declaratoria de Viabilidad se especificarán en las Normas Técnicas, Lineamientos y Procedimientos de Inversión Pública.”, por lo que debe hacerse dicho ajuste.</w:t>
            </w:r>
          </w:p>
          <w:p w14:paraId="357A6C9F" w14:textId="77777777" w:rsidR="00654A21" w:rsidRPr="008B1528" w:rsidRDefault="00654A21" w:rsidP="00654A21">
            <w:pPr>
              <w:jc w:val="both"/>
              <w:rPr>
                <w:rFonts w:ascii="Arial" w:eastAsia="Times New Roman" w:hAnsi="Arial" w:cs="Arial"/>
                <w:color w:val="222222"/>
                <w:sz w:val="24"/>
                <w:szCs w:val="24"/>
              </w:rPr>
            </w:pPr>
          </w:p>
          <w:p w14:paraId="34A5DBF7" w14:textId="77777777" w:rsidR="00654A21" w:rsidRPr="008B1528" w:rsidRDefault="00654A21" w:rsidP="00654A21">
            <w:pPr>
              <w:jc w:val="both"/>
              <w:rPr>
                <w:rFonts w:ascii="Arial" w:eastAsia="Times New Roman" w:hAnsi="Arial" w:cs="Arial"/>
                <w:color w:val="222222"/>
                <w:sz w:val="24"/>
                <w:szCs w:val="24"/>
              </w:rPr>
            </w:pPr>
            <w:r w:rsidRPr="008B1528">
              <w:rPr>
                <w:rFonts w:ascii="Arial" w:eastAsia="Times New Roman" w:hAnsi="Arial" w:cs="Arial"/>
                <w:color w:val="222222"/>
                <w:sz w:val="24"/>
                <w:szCs w:val="24"/>
              </w:rPr>
              <w:t xml:space="preserve">Consulta: ¿Cuál es la finalidad de esta viabilidad si ya el proyecto tendría el código del BPIP y para ello, </w:t>
            </w:r>
            <w:proofErr w:type="gramStart"/>
            <w:r w:rsidRPr="008B1528">
              <w:rPr>
                <w:rFonts w:ascii="Arial" w:eastAsia="Times New Roman" w:hAnsi="Arial" w:cs="Arial"/>
                <w:color w:val="222222"/>
                <w:sz w:val="24"/>
                <w:szCs w:val="24"/>
              </w:rPr>
              <w:t>tendría que tener</w:t>
            </w:r>
            <w:proofErr w:type="gramEnd"/>
            <w:r w:rsidRPr="008B1528">
              <w:rPr>
                <w:rFonts w:ascii="Arial" w:eastAsia="Times New Roman" w:hAnsi="Arial" w:cs="Arial"/>
                <w:color w:val="222222"/>
                <w:sz w:val="24"/>
                <w:szCs w:val="24"/>
              </w:rPr>
              <w:t xml:space="preserve"> su documento de proyecto que lo respalda, así como las viabilidades técnicas y aval sectorial? </w:t>
            </w:r>
          </w:p>
          <w:p w14:paraId="4EEE98C6" w14:textId="77777777" w:rsidR="00654A21" w:rsidRPr="008B1528" w:rsidRDefault="00654A21" w:rsidP="00654A21">
            <w:pPr>
              <w:rPr>
                <w:rFonts w:ascii="Arial" w:hAnsi="Arial" w:cs="Arial"/>
              </w:rPr>
            </w:pPr>
          </w:p>
        </w:tc>
      </w:tr>
      <w:tr w:rsidR="00654A21" w:rsidRPr="00114D2D" w14:paraId="0E120264" w14:textId="77777777" w:rsidTr="00EB7326">
        <w:trPr>
          <w:jc w:val="center"/>
        </w:trPr>
        <w:tc>
          <w:tcPr>
            <w:tcW w:w="4081" w:type="dxa"/>
          </w:tcPr>
          <w:p w14:paraId="59F46227" w14:textId="77777777" w:rsidR="00654A21" w:rsidRPr="00CB21D8" w:rsidRDefault="00654A21" w:rsidP="00654A21">
            <w:pPr>
              <w:rPr>
                <w:rFonts w:ascii="Arial" w:hAnsi="Arial" w:cs="Arial"/>
              </w:rPr>
            </w:pPr>
          </w:p>
          <w:p w14:paraId="534684F3" w14:textId="78A9F2C2" w:rsidR="00654A21" w:rsidRPr="00CB21D8" w:rsidRDefault="00CB21D8" w:rsidP="00654A21">
            <w:pPr>
              <w:rPr>
                <w:rFonts w:ascii="Arial" w:hAnsi="Arial" w:cs="Arial"/>
              </w:rPr>
            </w:pPr>
            <w:r w:rsidRPr="00CB21D8">
              <w:rPr>
                <w:rFonts w:ascii="Arial" w:hAnsi="Arial" w:cs="Arial"/>
              </w:rPr>
              <w:t>Artículo 15. Funciones de las Unidades de Planificación Institucional.</w:t>
            </w:r>
          </w:p>
        </w:tc>
        <w:tc>
          <w:tcPr>
            <w:tcW w:w="3257" w:type="dxa"/>
          </w:tcPr>
          <w:p w14:paraId="675E19CD" w14:textId="3D983349" w:rsidR="00CB21D8" w:rsidRDefault="00CB21D8" w:rsidP="00CB21D8">
            <w:pPr>
              <w:pBdr>
                <w:top w:val="nil"/>
                <w:left w:val="nil"/>
                <w:bottom w:val="nil"/>
                <w:right w:val="nil"/>
                <w:between w:val="nil"/>
              </w:pBdr>
              <w:jc w:val="both"/>
              <w:rPr>
                <w:rFonts w:ascii="Arial" w:eastAsia="Times New Roman" w:hAnsi="Arial" w:cs="Arial"/>
                <w:color w:val="000000"/>
                <w:sz w:val="24"/>
                <w:szCs w:val="24"/>
              </w:rPr>
            </w:pPr>
            <w:r w:rsidRPr="00CB21D8">
              <w:rPr>
                <w:rFonts w:ascii="Arial" w:eastAsia="Times New Roman" w:hAnsi="Arial" w:cs="Arial"/>
                <w:color w:val="000000"/>
                <w:sz w:val="24"/>
                <w:szCs w:val="24"/>
              </w:rPr>
              <w:t xml:space="preserve">Artículo 15. Funciones de las Unidades de Planificación Institucional. Las Unidades </w:t>
            </w:r>
            <w:r w:rsidRPr="00CB21D8">
              <w:rPr>
                <w:rFonts w:ascii="Arial" w:eastAsia="Times New Roman" w:hAnsi="Arial" w:cs="Arial"/>
                <w:color w:val="000000"/>
                <w:sz w:val="24"/>
                <w:szCs w:val="24"/>
              </w:rPr>
              <w:lastRenderedPageBreak/>
              <w:t>de Planificación Institucional tendrán las siguientes funciones:</w:t>
            </w:r>
          </w:p>
          <w:p w14:paraId="438E54D3" w14:textId="77777777" w:rsidR="00CB21D8" w:rsidRDefault="00CB21D8" w:rsidP="00CB21D8">
            <w:pPr>
              <w:pBdr>
                <w:top w:val="nil"/>
                <w:left w:val="nil"/>
                <w:bottom w:val="nil"/>
                <w:right w:val="nil"/>
                <w:between w:val="nil"/>
              </w:pBdr>
              <w:jc w:val="both"/>
              <w:rPr>
                <w:rFonts w:ascii="Arial" w:eastAsia="Times New Roman" w:hAnsi="Arial" w:cs="Arial"/>
                <w:color w:val="000000"/>
                <w:sz w:val="24"/>
                <w:szCs w:val="24"/>
              </w:rPr>
            </w:pPr>
            <w:r>
              <w:rPr>
                <w:rFonts w:ascii="Arial" w:eastAsia="Times New Roman" w:hAnsi="Arial" w:cs="Arial"/>
                <w:color w:val="000000"/>
                <w:sz w:val="24"/>
                <w:szCs w:val="24"/>
              </w:rPr>
              <w:t>[…]</w:t>
            </w:r>
          </w:p>
          <w:p w14:paraId="3F9DF84C" w14:textId="77777777" w:rsidR="00CB21D8" w:rsidRDefault="00CB21D8" w:rsidP="00CB21D8">
            <w:pPr>
              <w:pBdr>
                <w:top w:val="nil"/>
                <w:left w:val="nil"/>
                <w:bottom w:val="nil"/>
                <w:right w:val="nil"/>
                <w:between w:val="nil"/>
              </w:pBdr>
              <w:jc w:val="both"/>
              <w:rPr>
                <w:rFonts w:ascii="Arial" w:eastAsia="Times New Roman" w:hAnsi="Arial" w:cs="Arial"/>
                <w:color w:val="000000"/>
                <w:sz w:val="24"/>
                <w:szCs w:val="24"/>
              </w:rPr>
            </w:pPr>
          </w:p>
          <w:p w14:paraId="659816B4" w14:textId="2D27C7B9" w:rsidR="00654A21" w:rsidRPr="00CB21D8" w:rsidRDefault="00CB21D8" w:rsidP="00CB21D8">
            <w:pPr>
              <w:pBdr>
                <w:top w:val="nil"/>
                <w:left w:val="nil"/>
                <w:bottom w:val="nil"/>
                <w:right w:val="nil"/>
                <w:between w:val="nil"/>
              </w:pBdr>
              <w:jc w:val="both"/>
              <w:rPr>
                <w:rFonts w:ascii="Arial" w:eastAsia="Times New Roman" w:hAnsi="Arial" w:cs="Arial"/>
                <w:color w:val="000000"/>
                <w:sz w:val="24"/>
                <w:szCs w:val="24"/>
              </w:rPr>
            </w:pPr>
            <w:r>
              <w:rPr>
                <w:rFonts w:ascii="Arial" w:eastAsia="Times New Roman" w:hAnsi="Arial" w:cs="Arial"/>
                <w:color w:val="000000"/>
                <w:sz w:val="24"/>
                <w:szCs w:val="24"/>
              </w:rPr>
              <w:t xml:space="preserve">i) </w:t>
            </w:r>
            <w:r w:rsidR="00654A21" w:rsidRPr="00CB21D8">
              <w:rPr>
                <w:rFonts w:ascii="Arial" w:eastAsia="Times New Roman" w:hAnsi="Arial" w:cs="Arial"/>
                <w:color w:val="000000"/>
                <w:sz w:val="24"/>
                <w:szCs w:val="24"/>
              </w:rPr>
              <w:t xml:space="preserve">Realizar las gestiones necesarias </w:t>
            </w:r>
            <w:r w:rsidR="00654A21" w:rsidRPr="00CB21D8">
              <w:rPr>
                <w:rFonts w:ascii="Arial" w:eastAsia="Times New Roman" w:hAnsi="Arial" w:cs="Arial"/>
                <w:color w:val="0070C0"/>
                <w:sz w:val="24"/>
                <w:szCs w:val="24"/>
              </w:rPr>
              <w:t>a lo interno de la institución,</w:t>
            </w:r>
            <w:r w:rsidR="00654A21" w:rsidRPr="00CB21D8">
              <w:rPr>
                <w:rFonts w:ascii="Arial" w:eastAsia="Times New Roman" w:hAnsi="Arial" w:cs="Arial"/>
                <w:color w:val="000000"/>
                <w:sz w:val="24"/>
                <w:szCs w:val="24"/>
              </w:rPr>
              <w:t xml:space="preserve"> para presentar el cierre técnico y financiero del proyecto una vez concluido, al Ministro Rector y Mideplan.</w:t>
            </w:r>
          </w:p>
          <w:p w14:paraId="5367447B" w14:textId="77777777" w:rsidR="00654A21" w:rsidRPr="00CB21D8" w:rsidRDefault="00654A21" w:rsidP="00654A21">
            <w:pPr>
              <w:rPr>
                <w:rFonts w:ascii="Arial" w:hAnsi="Arial" w:cs="Arial"/>
              </w:rPr>
            </w:pPr>
          </w:p>
        </w:tc>
        <w:tc>
          <w:tcPr>
            <w:tcW w:w="4704" w:type="dxa"/>
          </w:tcPr>
          <w:p w14:paraId="3BBAF33B" w14:textId="16ABDE45" w:rsidR="00654A21" w:rsidRPr="00CB21D8" w:rsidRDefault="00654A21" w:rsidP="00654A21">
            <w:pPr>
              <w:rPr>
                <w:rFonts w:ascii="Arial" w:hAnsi="Arial" w:cs="Arial"/>
              </w:rPr>
            </w:pPr>
            <w:r w:rsidRPr="00CB21D8">
              <w:rPr>
                <w:rFonts w:ascii="Arial" w:hAnsi="Arial" w:cs="Arial"/>
              </w:rPr>
              <w:lastRenderedPageBreak/>
              <w:t>Para aclarar que la UPI debe coordinar a lo interno, para obtener la información correspondiente.</w:t>
            </w:r>
          </w:p>
        </w:tc>
      </w:tr>
      <w:tr w:rsidR="00654A21" w:rsidRPr="00114D2D" w14:paraId="7B4B55C4" w14:textId="77777777" w:rsidTr="00EB7326">
        <w:trPr>
          <w:jc w:val="center"/>
        </w:trPr>
        <w:tc>
          <w:tcPr>
            <w:tcW w:w="4081" w:type="dxa"/>
          </w:tcPr>
          <w:p w14:paraId="5A7ABF9A" w14:textId="77777777" w:rsidR="00654A21" w:rsidRPr="00CB21D8" w:rsidRDefault="00654A21" w:rsidP="00654A21">
            <w:pPr>
              <w:rPr>
                <w:rFonts w:ascii="Arial" w:hAnsi="Arial" w:cs="Arial"/>
              </w:rPr>
            </w:pPr>
          </w:p>
          <w:p w14:paraId="1275BCAA" w14:textId="6DDA4E50" w:rsidR="00654A21" w:rsidRPr="00CB21D8" w:rsidRDefault="00CB21D8" w:rsidP="00654A21">
            <w:pPr>
              <w:rPr>
                <w:rFonts w:ascii="Arial" w:hAnsi="Arial" w:cs="Arial"/>
              </w:rPr>
            </w:pPr>
            <w:r w:rsidRPr="00CB21D8">
              <w:rPr>
                <w:rFonts w:ascii="Arial" w:hAnsi="Arial" w:cs="Arial"/>
              </w:rPr>
              <w:t>Artículo 32.-</w:t>
            </w:r>
          </w:p>
        </w:tc>
        <w:tc>
          <w:tcPr>
            <w:tcW w:w="3257" w:type="dxa"/>
          </w:tcPr>
          <w:p w14:paraId="49D37E2E" w14:textId="70E84BB9" w:rsidR="00654A21" w:rsidRPr="00CB21D8" w:rsidRDefault="00FB2DDB" w:rsidP="00654A21">
            <w:pPr>
              <w:rPr>
                <w:rFonts w:ascii="Arial" w:hAnsi="Arial" w:cs="Arial"/>
              </w:rPr>
            </w:pPr>
            <w:r>
              <w:rPr>
                <w:rFonts w:ascii="Arial" w:hAnsi="Arial" w:cs="Arial"/>
              </w:rPr>
              <w:t>--</w:t>
            </w:r>
          </w:p>
        </w:tc>
        <w:tc>
          <w:tcPr>
            <w:tcW w:w="4704" w:type="dxa"/>
          </w:tcPr>
          <w:p w14:paraId="787DED08" w14:textId="77777777" w:rsidR="00654A21" w:rsidRPr="00CB21D8" w:rsidRDefault="00654A21" w:rsidP="00654A21">
            <w:pPr>
              <w:rPr>
                <w:rFonts w:ascii="Arial" w:hAnsi="Arial" w:cs="Arial"/>
              </w:rPr>
            </w:pPr>
            <w:r w:rsidRPr="00CB21D8">
              <w:rPr>
                <w:rFonts w:ascii="Arial" w:hAnsi="Arial" w:cs="Arial"/>
              </w:rPr>
              <w:t xml:space="preserve">Menciona lo del dictamen respectivo de vinculación que emite el MIDEPLAN para los proyectos del PNDIP, sin embargo, en el resto del documento, no se hace mención </w:t>
            </w:r>
            <w:proofErr w:type="gramStart"/>
            <w:r w:rsidRPr="00CB21D8">
              <w:rPr>
                <w:rFonts w:ascii="Arial" w:hAnsi="Arial" w:cs="Arial"/>
              </w:rPr>
              <w:t>al</w:t>
            </w:r>
            <w:proofErr w:type="gramEnd"/>
            <w:r w:rsidRPr="00CB21D8">
              <w:rPr>
                <w:rFonts w:ascii="Arial" w:hAnsi="Arial" w:cs="Arial"/>
              </w:rPr>
              <w:t xml:space="preserve"> mismo.</w:t>
            </w:r>
          </w:p>
          <w:p w14:paraId="11FB3F13" w14:textId="77777777" w:rsidR="00654A21" w:rsidRPr="00CB21D8" w:rsidRDefault="00654A21" w:rsidP="00654A21">
            <w:pPr>
              <w:rPr>
                <w:rFonts w:ascii="Arial" w:hAnsi="Arial" w:cs="Arial"/>
              </w:rPr>
            </w:pPr>
          </w:p>
          <w:p w14:paraId="6EAF766B" w14:textId="77777777" w:rsidR="00654A21" w:rsidRPr="00CB21D8" w:rsidRDefault="00654A21" w:rsidP="00654A21">
            <w:pPr>
              <w:rPr>
                <w:rFonts w:ascii="Arial" w:eastAsia="Times New Roman" w:hAnsi="Arial" w:cs="Arial"/>
                <w:b/>
                <w:color w:val="000000"/>
                <w:sz w:val="24"/>
                <w:szCs w:val="24"/>
              </w:rPr>
            </w:pPr>
            <w:r w:rsidRPr="00CB21D8">
              <w:rPr>
                <w:rFonts w:ascii="Arial" w:hAnsi="Arial" w:cs="Arial"/>
              </w:rPr>
              <w:t xml:space="preserve">Sería conveniente incluir la explicación </w:t>
            </w:r>
            <w:proofErr w:type="gramStart"/>
            <w:r w:rsidRPr="00CB21D8">
              <w:rPr>
                <w:rFonts w:ascii="Arial" w:hAnsi="Arial" w:cs="Arial"/>
              </w:rPr>
              <w:t>del mismo</w:t>
            </w:r>
            <w:proofErr w:type="gramEnd"/>
            <w:r w:rsidRPr="00CB21D8">
              <w:rPr>
                <w:rFonts w:ascii="Arial" w:hAnsi="Arial" w:cs="Arial"/>
              </w:rPr>
              <w:t xml:space="preserve"> como parte del reglamento. La definición puede incluirse en el apartado: </w:t>
            </w:r>
            <w:r w:rsidRPr="00CB21D8">
              <w:rPr>
                <w:rFonts w:ascii="Arial" w:eastAsia="Times New Roman" w:hAnsi="Arial" w:cs="Arial"/>
                <w:b/>
                <w:color w:val="000000"/>
                <w:sz w:val="24"/>
                <w:szCs w:val="24"/>
              </w:rPr>
              <w:t>TIPOS DE AVALES DE LOS PROYECTOS DE INVERSIÓN PÚBLICA</w:t>
            </w:r>
          </w:p>
          <w:p w14:paraId="519C7BEF" w14:textId="77777777" w:rsidR="00654A21" w:rsidRPr="00CB21D8" w:rsidRDefault="00654A21" w:rsidP="00654A21">
            <w:pPr>
              <w:rPr>
                <w:rFonts w:ascii="Arial" w:hAnsi="Arial" w:cs="Arial"/>
              </w:rPr>
            </w:pPr>
          </w:p>
        </w:tc>
      </w:tr>
    </w:tbl>
    <w:p w14:paraId="2F4B99B7" w14:textId="77777777" w:rsidR="00C604FB" w:rsidRPr="00114D2D" w:rsidRDefault="00C604FB">
      <w:pPr>
        <w:spacing w:after="0" w:line="240" w:lineRule="auto"/>
        <w:jc w:val="both"/>
        <w:rPr>
          <w:rFonts w:ascii="Arial" w:eastAsia="Arial" w:hAnsi="Arial" w:cs="Arial"/>
        </w:rPr>
      </w:pPr>
    </w:p>
    <w:sectPr w:rsidR="00C604FB" w:rsidRPr="00114D2D" w:rsidSect="002824F9">
      <w:headerReference w:type="even" r:id="rId8"/>
      <w:headerReference w:type="default" r:id="rId9"/>
      <w:footerReference w:type="even" r:id="rId10"/>
      <w:footerReference w:type="default" r:id="rId11"/>
      <w:headerReference w:type="first" r:id="rId12"/>
      <w:footerReference w:type="first" r:id="rId13"/>
      <w:pgSz w:w="15840" w:h="12240" w:orient="landscape"/>
      <w:pgMar w:top="1701" w:right="1418" w:bottom="1701" w:left="2370" w:header="1050"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0D6FE" w14:textId="77777777" w:rsidR="00EF0024" w:rsidRDefault="00EF0024">
      <w:pPr>
        <w:spacing w:after="0" w:line="240" w:lineRule="auto"/>
      </w:pPr>
      <w:r>
        <w:separator/>
      </w:r>
    </w:p>
  </w:endnote>
  <w:endnote w:type="continuationSeparator" w:id="0">
    <w:p w14:paraId="3E9C40CE" w14:textId="77777777" w:rsidR="00EF0024" w:rsidRDefault="00EF0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24572" w14:textId="77777777" w:rsidR="00FA36D5" w:rsidRDefault="00FA36D5">
    <w:pPr>
      <w:pBdr>
        <w:top w:val="nil"/>
        <w:left w:val="nil"/>
        <w:bottom w:val="nil"/>
        <w:right w:val="nil"/>
        <w:between w:val="nil"/>
      </w:pBdr>
      <w:tabs>
        <w:tab w:val="center" w:pos="4153"/>
        <w:tab w:val="right" w:pos="830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1DE08" w14:textId="77777777" w:rsidR="00FA36D5" w:rsidRDefault="001441E6">
    <w:pPr>
      <w:tabs>
        <w:tab w:val="center" w:pos="4419"/>
        <w:tab w:val="right" w:pos="8838"/>
      </w:tabs>
      <w:spacing w:after="0" w:line="240" w:lineRule="auto"/>
      <w:jc w:val="center"/>
      <w:rPr>
        <w:sz w:val="16"/>
        <w:szCs w:val="16"/>
        <w:highlight w:val="yellow"/>
      </w:rPr>
    </w:pPr>
    <w:r>
      <w:rPr>
        <w:noProof/>
      </w:rPr>
      <mc:AlternateContent>
        <mc:Choice Requires="wps">
          <w:drawing>
            <wp:anchor distT="0" distB="0" distL="114300" distR="114300" simplePos="0" relativeHeight="251659264" behindDoc="0" locked="0" layoutInCell="1" hidden="0" allowOverlap="1" wp14:anchorId="6BBF6196" wp14:editId="280F9B39">
              <wp:simplePos x="0" y="0"/>
              <wp:positionH relativeFrom="column">
                <wp:posOffset>-431799</wp:posOffset>
              </wp:positionH>
              <wp:positionV relativeFrom="paragraph">
                <wp:posOffset>-88899</wp:posOffset>
              </wp:positionV>
              <wp:extent cx="6581775" cy="22225"/>
              <wp:effectExtent l="0" t="0" r="0" b="0"/>
              <wp:wrapNone/>
              <wp:docPr id="3" name="3 Conector recto de flecha"/>
              <wp:cNvGraphicFramePr/>
              <a:graphic xmlns:a="http://schemas.openxmlformats.org/drawingml/2006/main">
                <a:graphicData uri="http://schemas.microsoft.com/office/word/2010/wordprocessingShape">
                  <wps:wsp>
                    <wps:cNvCnPr/>
                    <wps:spPr>
                      <a:xfrm>
                        <a:off x="2059875" y="3780000"/>
                        <a:ext cx="657225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type w14:anchorId="1F109168" id="_x0000_t32" coordsize="21600,21600" o:spt="32" o:oned="t" path="m,l21600,21600e" filled="f">
              <v:path arrowok="t" fillok="f" o:connecttype="none"/>
              <o:lock v:ext="edit" shapetype="t"/>
            </v:shapetype>
            <v:shape id="3 Conector recto de flecha" o:spid="_x0000_s1026" type="#_x0000_t32" style="position:absolute;margin-left:-34pt;margin-top:-7pt;width:518.25pt;height:1.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">
              <v:stroke startarrowwidth="narrow" startarrowlength="short" endarrowwidth="narrow" endarrowlength="short"/>
            </v:shape>
          </w:pict>
        </mc:Fallback>
      </mc:AlternateContent>
    </w:r>
  </w:p>
  <w:p w14:paraId="2FEF9560" w14:textId="10D91671" w:rsidR="00FA36D5" w:rsidRPr="00F50AA0" w:rsidRDefault="002824F9">
    <w:pPr>
      <w:tabs>
        <w:tab w:val="center" w:pos="4419"/>
        <w:tab w:val="right" w:pos="8838"/>
      </w:tabs>
      <w:spacing w:after="0" w:line="240" w:lineRule="auto"/>
      <w:jc w:val="center"/>
      <w:rPr>
        <w:sz w:val="16"/>
        <w:szCs w:val="16"/>
      </w:rPr>
    </w:pPr>
    <w:bookmarkStart w:id="0" w:name="_heading=h.gjdgxs" w:colFirst="0" w:colLast="0"/>
    <w:bookmarkEnd w:id="0"/>
    <w:r w:rsidRPr="002824F9">
      <w:rPr>
        <w:sz w:val="16"/>
        <w:szCs w:val="16"/>
      </w:rPr>
      <w:t>Área Inversiones -  Unidad de Inversiones</w:t>
    </w:r>
    <w:r>
      <w:rPr>
        <w:sz w:val="16"/>
        <w:szCs w:val="16"/>
      </w:rPr>
      <w:t xml:space="preserve"> Públicas</w:t>
    </w:r>
    <w:r w:rsidR="001441E6" w:rsidRPr="00F50AA0">
      <w:rPr>
        <w:sz w:val="16"/>
        <w:szCs w:val="16"/>
      </w:rPr>
      <w:t xml:space="preserve">  -Teléfono: 22</w:t>
    </w:r>
    <w:r w:rsidR="001441E6" w:rsidRPr="002824F9">
      <w:rPr>
        <w:sz w:val="16"/>
        <w:szCs w:val="16"/>
      </w:rPr>
      <w:t>028400  E-mail:</w:t>
    </w:r>
    <w:r>
      <w:rPr>
        <w:sz w:val="16"/>
        <w:szCs w:val="16"/>
      </w:rPr>
      <w:t xml:space="preserve"> </w:t>
    </w:r>
    <w:r w:rsidRPr="002824F9">
      <w:rPr>
        <w:sz w:val="16"/>
        <w:szCs w:val="16"/>
      </w:rPr>
      <w:t>inversiones</w:t>
    </w:r>
    <w:r w:rsidR="006905FE">
      <w:rPr>
        <w:sz w:val="16"/>
        <w:szCs w:val="16"/>
      </w:rPr>
      <w:t>publicas</w:t>
    </w:r>
    <w:r w:rsidR="001441E6" w:rsidRPr="002824F9">
      <w:rPr>
        <w:sz w:val="16"/>
        <w:szCs w:val="16"/>
      </w:rPr>
      <w:t>@mideplan.go.cr,</w:t>
    </w:r>
    <w:r w:rsidR="001441E6" w:rsidRPr="00F50AA0">
      <w:rPr>
        <w:sz w:val="16"/>
        <w:szCs w:val="16"/>
      </w:rPr>
      <w:t xml:space="preserve"> </w:t>
    </w:r>
  </w:p>
  <w:p w14:paraId="15424DC2" w14:textId="77777777" w:rsidR="00FA36D5" w:rsidRPr="00F50AA0" w:rsidRDefault="001441E6">
    <w:pPr>
      <w:tabs>
        <w:tab w:val="center" w:pos="4419"/>
        <w:tab w:val="right" w:pos="8838"/>
      </w:tabs>
      <w:spacing w:after="0" w:line="240" w:lineRule="auto"/>
      <w:jc w:val="center"/>
      <w:rPr>
        <w:sz w:val="16"/>
        <w:szCs w:val="16"/>
      </w:rPr>
    </w:pPr>
    <w:bookmarkStart w:id="1" w:name="_heading=h.wfu6cvhuv7wo" w:colFirst="0" w:colLast="0"/>
    <w:bookmarkEnd w:id="1"/>
    <w:r w:rsidRPr="00F50AA0">
      <w:rPr>
        <w:sz w:val="16"/>
        <w:szCs w:val="16"/>
      </w:rPr>
      <w:t xml:space="preserve">Dirección: De Automercado </w:t>
    </w:r>
    <w:r w:rsidR="00F71493" w:rsidRPr="00F50AA0">
      <w:rPr>
        <w:sz w:val="16"/>
        <w:szCs w:val="16"/>
      </w:rPr>
      <w:t>L</w:t>
    </w:r>
    <w:r w:rsidRPr="00F50AA0">
      <w:rPr>
        <w:sz w:val="16"/>
        <w:szCs w:val="16"/>
      </w:rPr>
      <w:t xml:space="preserve">os Yoses, 75 este y  200 norte, Edificio Adriático, </w:t>
    </w:r>
  </w:p>
  <w:p w14:paraId="2BADC2B3" w14:textId="77777777" w:rsidR="00FA36D5" w:rsidRDefault="001441E6">
    <w:pPr>
      <w:tabs>
        <w:tab w:val="center" w:pos="4419"/>
        <w:tab w:val="right" w:pos="8838"/>
      </w:tabs>
      <w:spacing w:after="0" w:line="240" w:lineRule="auto"/>
      <w:jc w:val="center"/>
      <w:rPr>
        <w:color w:val="000000"/>
        <w:sz w:val="16"/>
        <w:szCs w:val="16"/>
      </w:rPr>
    </w:pPr>
    <w:bookmarkStart w:id="2" w:name="_heading=h.oqeclg6laa1d" w:colFirst="0" w:colLast="0"/>
    <w:bookmarkEnd w:id="2"/>
    <w:r w:rsidRPr="00F50AA0">
      <w:rPr>
        <w:sz w:val="16"/>
        <w:szCs w:val="16"/>
      </w:rPr>
      <w:t>San Pedro de Montes de Oca, Costa Rica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B705A" w14:textId="77777777" w:rsidR="00FA36D5" w:rsidRDefault="00FA36D5">
    <w:pPr>
      <w:pBdr>
        <w:top w:val="nil"/>
        <w:left w:val="nil"/>
        <w:bottom w:val="nil"/>
        <w:right w:val="nil"/>
        <w:between w:val="nil"/>
      </w:pBdr>
      <w:tabs>
        <w:tab w:val="center" w:pos="4153"/>
        <w:tab w:val="right" w:pos="830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14A89" w14:textId="77777777" w:rsidR="00EF0024" w:rsidRDefault="00EF0024">
      <w:pPr>
        <w:spacing w:after="0" w:line="240" w:lineRule="auto"/>
      </w:pPr>
      <w:r>
        <w:separator/>
      </w:r>
    </w:p>
  </w:footnote>
  <w:footnote w:type="continuationSeparator" w:id="0">
    <w:p w14:paraId="3D826D33" w14:textId="77777777" w:rsidR="00EF0024" w:rsidRDefault="00EF00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F9F52" w14:textId="77777777" w:rsidR="00FA36D5" w:rsidRDefault="00FA36D5">
    <w:pPr>
      <w:pBdr>
        <w:top w:val="nil"/>
        <w:left w:val="nil"/>
        <w:bottom w:val="nil"/>
        <w:right w:val="nil"/>
        <w:between w:val="nil"/>
      </w:pBdr>
      <w:tabs>
        <w:tab w:val="center" w:pos="4153"/>
        <w:tab w:val="right" w:pos="830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87CF2" w14:textId="0EB9D38D" w:rsidR="00FA36D5" w:rsidRDefault="00C03381">
    <w:pPr>
      <w:pBdr>
        <w:top w:val="nil"/>
        <w:left w:val="nil"/>
        <w:bottom w:val="nil"/>
        <w:right w:val="nil"/>
        <w:between w:val="nil"/>
      </w:pBdr>
      <w:tabs>
        <w:tab w:val="center" w:pos="4419"/>
        <w:tab w:val="right" w:pos="8838"/>
      </w:tabs>
      <w:spacing w:after="0" w:line="240" w:lineRule="auto"/>
      <w:rPr>
        <w:color w:val="000000"/>
        <w:sz w:val="20"/>
        <w:szCs w:val="20"/>
      </w:rPr>
    </w:pPr>
    <w:r>
      <w:rPr>
        <w:noProof/>
      </w:rPr>
      <w:drawing>
        <wp:anchor distT="0" distB="0" distL="0" distR="0" simplePos="0" relativeHeight="251658240" behindDoc="0" locked="0" layoutInCell="1" hidden="0" allowOverlap="1" wp14:anchorId="442DE994" wp14:editId="46B54180">
          <wp:simplePos x="0" y="0"/>
          <wp:positionH relativeFrom="column">
            <wp:posOffset>771525</wp:posOffset>
          </wp:positionH>
          <wp:positionV relativeFrom="paragraph">
            <wp:posOffset>-771525</wp:posOffset>
          </wp:positionV>
          <wp:extent cx="5626735" cy="1152525"/>
          <wp:effectExtent l="0" t="0" r="0" b="0"/>
          <wp:wrapSquare wrapText="bothSides" distT="0" distB="0" distL="0" distR="0"/>
          <wp:docPr id="4" name="image1.png"/>
          <wp:cNvGraphicFramePr/>
          <a:graphic xmlns:a="http://schemas.openxmlformats.org/drawingml/2006/main">
            <a:graphicData uri="http://schemas.openxmlformats.org/drawingml/2006/picture">
              <pic:pic xmlns:pic="http://schemas.openxmlformats.org/drawingml/2006/picture">
                <pic:nvPicPr>
                  <pic:cNvPr id="4" name="image1.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5626735" cy="1152525"/>
                  </a:xfrm>
                  <a:prstGeom prst="rect">
                    <a:avLst/>
                  </a:prstGeom>
                  <a:ln/>
                </pic:spPr>
              </pic:pic>
            </a:graphicData>
          </a:graphic>
          <wp14:sizeRelH relativeFrom="margin">
            <wp14:pctWidth>0</wp14:pctWidth>
          </wp14:sizeRelH>
          <wp14:sizeRelV relativeFrom="margin">
            <wp14:pctHeight>0</wp14:pctHeight>
          </wp14:sizeRelV>
        </wp:anchor>
      </w:drawing>
    </w:r>
    <w:r w:rsidR="001441E6">
      <w:rPr>
        <w:color w:val="00000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64CFD" w14:textId="77777777" w:rsidR="00FA36D5" w:rsidRDefault="00FA36D5">
    <w:pPr>
      <w:pBdr>
        <w:top w:val="nil"/>
        <w:left w:val="nil"/>
        <w:bottom w:val="nil"/>
        <w:right w:val="nil"/>
        <w:between w:val="nil"/>
      </w:pBdr>
      <w:tabs>
        <w:tab w:val="center" w:pos="4153"/>
        <w:tab w:val="right" w:pos="830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C48E5"/>
    <w:multiLevelType w:val="multilevel"/>
    <w:tmpl w:val="55C616D2"/>
    <w:lvl w:ilvl="0">
      <w:start w:val="1"/>
      <w:numFmt w:val="lowerLetter"/>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51C15D0"/>
    <w:multiLevelType w:val="multilevel"/>
    <w:tmpl w:val="F2AE917E"/>
    <w:lvl w:ilvl="0">
      <w:start w:val="1"/>
      <w:numFmt w:val="lowerLetter"/>
      <w:lvlText w:val="%1)"/>
      <w:lvlJc w:val="left"/>
      <w:pPr>
        <w:ind w:left="-66" w:hanging="360"/>
      </w:pPr>
    </w:lvl>
    <w:lvl w:ilvl="1">
      <w:start w:val="1"/>
      <w:numFmt w:val="lowerLetter"/>
      <w:lvlText w:val="%2."/>
      <w:lvlJc w:val="left"/>
      <w:pPr>
        <w:ind w:left="654" w:hanging="357"/>
      </w:pPr>
    </w:lvl>
    <w:lvl w:ilvl="2">
      <w:start w:val="1"/>
      <w:numFmt w:val="lowerRoman"/>
      <w:lvlText w:val="%3."/>
      <w:lvlJc w:val="right"/>
      <w:pPr>
        <w:ind w:left="1374" w:hanging="180"/>
      </w:pPr>
    </w:lvl>
    <w:lvl w:ilvl="3">
      <w:start w:val="1"/>
      <w:numFmt w:val="decimal"/>
      <w:lvlText w:val="%4."/>
      <w:lvlJc w:val="left"/>
      <w:pPr>
        <w:ind w:left="2094" w:hanging="360"/>
      </w:pPr>
    </w:lvl>
    <w:lvl w:ilvl="4">
      <w:start w:val="1"/>
      <w:numFmt w:val="lowerLetter"/>
      <w:lvlText w:val="%5."/>
      <w:lvlJc w:val="left"/>
      <w:pPr>
        <w:ind w:left="2814" w:hanging="360"/>
      </w:pPr>
    </w:lvl>
    <w:lvl w:ilvl="5">
      <w:start w:val="1"/>
      <w:numFmt w:val="lowerRoman"/>
      <w:lvlText w:val="%6."/>
      <w:lvlJc w:val="right"/>
      <w:pPr>
        <w:ind w:left="3534" w:hanging="180"/>
      </w:pPr>
    </w:lvl>
    <w:lvl w:ilvl="6">
      <w:start w:val="1"/>
      <w:numFmt w:val="decimal"/>
      <w:lvlText w:val="%7."/>
      <w:lvlJc w:val="left"/>
      <w:pPr>
        <w:ind w:left="4254" w:hanging="360"/>
      </w:pPr>
    </w:lvl>
    <w:lvl w:ilvl="7">
      <w:start w:val="1"/>
      <w:numFmt w:val="lowerLetter"/>
      <w:lvlText w:val="%8."/>
      <w:lvlJc w:val="left"/>
      <w:pPr>
        <w:ind w:left="4974" w:hanging="360"/>
      </w:pPr>
    </w:lvl>
    <w:lvl w:ilvl="8">
      <w:start w:val="1"/>
      <w:numFmt w:val="lowerRoman"/>
      <w:lvlText w:val="%9."/>
      <w:lvlJc w:val="right"/>
      <w:pPr>
        <w:ind w:left="5694" w:hanging="180"/>
      </w:pPr>
    </w:lvl>
  </w:abstractNum>
  <w:abstractNum w:abstractNumId="2" w15:restartNumberingAfterBreak="0">
    <w:nsid w:val="19311740"/>
    <w:multiLevelType w:val="multilevel"/>
    <w:tmpl w:val="4BFA4C16"/>
    <w:lvl w:ilvl="0">
      <w:start w:val="1"/>
      <w:numFmt w:val="lowerLetter"/>
      <w:lvlText w:val="%1)"/>
      <w:lvlJc w:val="left"/>
      <w:pPr>
        <w:ind w:left="360" w:hanging="360"/>
      </w:pPr>
      <w:rPr>
        <w:b w:val="0"/>
      </w:rPr>
    </w:lvl>
    <w:lvl w:ilvl="1">
      <w:start w:val="1"/>
      <w:numFmt w:val="lowerLetter"/>
      <w:lvlText w:val="%2."/>
      <w:lvlJc w:val="left"/>
      <w:pPr>
        <w:ind w:left="654" w:hanging="357"/>
      </w:pPr>
    </w:lvl>
    <w:lvl w:ilvl="2">
      <w:start w:val="1"/>
      <w:numFmt w:val="lowerRoman"/>
      <w:lvlText w:val="%3."/>
      <w:lvlJc w:val="right"/>
      <w:pPr>
        <w:ind w:left="1374" w:hanging="180"/>
      </w:pPr>
    </w:lvl>
    <w:lvl w:ilvl="3">
      <w:start w:val="1"/>
      <w:numFmt w:val="decimal"/>
      <w:lvlText w:val="%4."/>
      <w:lvlJc w:val="left"/>
      <w:pPr>
        <w:ind w:left="2094" w:hanging="360"/>
      </w:pPr>
    </w:lvl>
    <w:lvl w:ilvl="4">
      <w:start w:val="1"/>
      <w:numFmt w:val="lowerLetter"/>
      <w:lvlText w:val="%5."/>
      <w:lvlJc w:val="left"/>
      <w:pPr>
        <w:ind w:left="2814" w:hanging="360"/>
      </w:pPr>
    </w:lvl>
    <w:lvl w:ilvl="5">
      <w:start w:val="1"/>
      <w:numFmt w:val="lowerRoman"/>
      <w:lvlText w:val="%6."/>
      <w:lvlJc w:val="right"/>
      <w:pPr>
        <w:ind w:left="3534" w:hanging="180"/>
      </w:pPr>
    </w:lvl>
    <w:lvl w:ilvl="6">
      <w:start w:val="1"/>
      <w:numFmt w:val="decimal"/>
      <w:lvlText w:val="%7."/>
      <w:lvlJc w:val="left"/>
      <w:pPr>
        <w:ind w:left="4254" w:hanging="360"/>
      </w:pPr>
    </w:lvl>
    <w:lvl w:ilvl="7">
      <w:start w:val="1"/>
      <w:numFmt w:val="lowerLetter"/>
      <w:lvlText w:val="%8."/>
      <w:lvlJc w:val="left"/>
      <w:pPr>
        <w:ind w:left="4974" w:hanging="360"/>
      </w:pPr>
    </w:lvl>
    <w:lvl w:ilvl="8">
      <w:start w:val="1"/>
      <w:numFmt w:val="lowerRoman"/>
      <w:lvlText w:val="%9."/>
      <w:lvlJc w:val="right"/>
      <w:pPr>
        <w:ind w:left="5694" w:hanging="180"/>
      </w:pPr>
    </w:lvl>
  </w:abstractNum>
  <w:abstractNum w:abstractNumId="3" w15:restartNumberingAfterBreak="0">
    <w:nsid w:val="21847E17"/>
    <w:multiLevelType w:val="hybridMultilevel"/>
    <w:tmpl w:val="E4B246A6"/>
    <w:lvl w:ilvl="0" w:tplc="0C0A0017">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0165B2E"/>
    <w:multiLevelType w:val="hybridMultilevel"/>
    <w:tmpl w:val="B2E6AB3C"/>
    <w:lvl w:ilvl="0" w:tplc="0C0A0017">
      <w:start w:val="1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3F34EA3"/>
    <w:multiLevelType w:val="hybridMultilevel"/>
    <w:tmpl w:val="272C197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5B10428B"/>
    <w:multiLevelType w:val="hybridMultilevel"/>
    <w:tmpl w:val="FC722D6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5ECC0C13"/>
    <w:multiLevelType w:val="hybridMultilevel"/>
    <w:tmpl w:val="2276761C"/>
    <w:lvl w:ilvl="0" w:tplc="60A2B3BE">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B4B5A96"/>
    <w:multiLevelType w:val="hybridMultilevel"/>
    <w:tmpl w:val="7610DD3A"/>
    <w:lvl w:ilvl="0" w:tplc="F81A801E">
      <w:start w:val="1"/>
      <w:numFmt w:val="lowerLetter"/>
      <w:lvlText w:val="%1)"/>
      <w:lvlJc w:val="left"/>
      <w:pPr>
        <w:ind w:left="750" w:hanging="39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2"/>
  </w:num>
  <w:num w:numId="5">
    <w:abstractNumId w:val="1"/>
  </w:num>
  <w:num w:numId="6">
    <w:abstractNumId w:val="3"/>
  </w:num>
  <w:num w:numId="7">
    <w:abstractNumId w:val="4"/>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6D5"/>
    <w:rsid w:val="000369DF"/>
    <w:rsid w:val="0006091E"/>
    <w:rsid w:val="000614F6"/>
    <w:rsid w:val="0009523E"/>
    <w:rsid w:val="000C5221"/>
    <w:rsid w:val="000F6C0D"/>
    <w:rsid w:val="00114D2D"/>
    <w:rsid w:val="001441E6"/>
    <w:rsid w:val="00194C61"/>
    <w:rsid w:val="001E268E"/>
    <w:rsid w:val="00247484"/>
    <w:rsid w:val="002824F9"/>
    <w:rsid w:val="002C74E7"/>
    <w:rsid w:val="002E307F"/>
    <w:rsid w:val="00300278"/>
    <w:rsid w:val="003351E7"/>
    <w:rsid w:val="0034009D"/>
    <w:rsid w:val="00347512"/>
    <w:rsid w:val="003664B5"/>
    <w:rsid w:val="003F5B7B"/>
    <w:rsid w:val="00432722"/>
    <w:rsid w:val="00480026"/>
    <w:rsid w:val="00481D89"/>
    <w:rsid w:val="005108F1"/>
    <w:rsid w:val="005377CD"/>
    <w:rsid w:val="0055428A"/>
    <w:rsid w:val="0057787A"/>
    <w:rsid w:val="00654A21"/>
    <w:rsid w:val="00680DFC"/>
    <w:rsid w:val="006905FE"/>
    <w:rsid w:val="00697E03"/>
    <w:rsid w:val="006D7209"/>
    <w:rsid w:val="0079181F"/>
    <w:rsid w:val="00835CC5"/>
    <w:rsid w:val="00843DB8"/>
    <w:rsid w:val="0087556A"/>
    <w:rsid w:val="008B1528"/>
    <w:rsid w:val="00923C20"/>
    <w:rsid w:val="009849A5"/>
    <w:rsid w:val="00A06255"/>
    <w:rsid w:val="00A418B3"/>
    <w:rsid w:val="00A526DC"/>
    <w:rsid w:val="00AC1350"/>
    <w:rsid w:val="00BE2724"/>
    <w:rsid w:val="00C03381"/>
    <w:rsid w:val="00C604FB"/>
    <w:rsid w:val="00C72344"/>
    <w:rsid w:val="00C86DF9"/>
    <w:rsid w:val="00CB21D8"/>
    <w:rsid w:val="00D85191"/>
    <w:rsid w:val="00DA5EEB"/>
    <w:rsid w:val="00E00E25"/>
    <w:rsid w:val="00E25A59"/>
    <w:rsid w:val="00E517BC"/>
    <w:rsid w:val="00E72517"/>
    <w:rsid w:val="00EA0CD8"/>
    <w:rsid w:val="00EB7326"/>
    <w:rsid w:val="00EF0024"/>
    <w:rsid w:val="00F50AA0"/>
    <w:rsid w:val="00F671FA"/>
    <w:rsid w:val="00F71493"/>
    <w:rsid w:val="00F92E6D"/>
    <w:rsid w:val="00FA36D5"/>
    <w:rsid w:val="00FB2DDB"/>
    <w:rsid w:val="00FF2D2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15E30D"/>
  <w15:docId w15:val="{4D004EB4-90BE-4559-82A9-F6F450FAC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R" w:eastAsia="es-C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055173"/>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055173"/>
  </w:style>
  <w:style w:type="paragraph" w:styleId="Piedepgina">
    <w:name w:val="footer"/>
    <w:basedOn w:val="Normal"/>
    <w:link w:val="PiedepginaCar"/>
    <w:uiPriority w:val="99"/>
    <w:unhideWhenUsed/>
    <w:rsid w:val="00055173"/>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055173"/>
  </w:style>
  <w:style w:type="paragraph" w:styleId="Prrafodelista">
    <w:name w:val="List Paragraph"/>
    <w:basedOn w:val="Normal"/>
    <w:uiPriority w:val="34"/>
    <w:qFormat/>
    <w:rsid w:val="00643A84"/>
    <w:pPr>
      <w:spacing w:after="0" w:line="240" w:lineRule="auto"/>
      <w:ind w:left="720"/>
      <w:contextualSpacing/>
    </w:pPr>
    <w:rPr>
      <w:rFonts w:ascii="Times New Roman" w:eastAsia="Batang" w:hAnsi="Times New Roman" w:cs="Times New Roman"/>
      <w:sz w:val="20"/>
      <w:szCs w:val="20"/>
      <w:lang w:val="es-ES_tradnl" w:eastAsia="es-ES"/>
    </w:rPr>
  </w:style>
  <w:style w:type="character" w:styleId="Hipervnculo">
    <w:name w:val="Hyperlink"/>
    <w:basedOn w:val="Fuentedeprrafopredeter"/>
    <w:uiPriority w:val="99"/>
    <w:semiHidden/>
    <w:unhideWhenUsed/>
    <w:rsid w:val="00181D69"/>
    <w:rPr>
      <w:color w:val="0000FF"/>
      <w:u w:val="single"/>
    </w:rPr>
  </w:style>
  <w:style w:type="character" w:styleId="Refdecomentario">
    <w:name w:val="annotation reference"/>
    <w:basedOn w:val="Fuentedeprrafopredeter"/>
    <w:uiPriority w:val="99"/>
    <w:semiHidden/>
    <w:unhideWhenUsed/>
    <w:rsid w:val="001B5A3C"/>
    <w:rPr>
      <w:sz w:val="16"/>
      <w:szCs w:val="16"/>
    </w:rPr>
  </w:style>
  <w:style w:type="paragraph" w:styleId="Textocomentario">
    <w:name w:val="annotation text"/>
    <w:basedOn w:val="Normal"/>
    <w:link w:val="TextocomentarioCar"/>
    <w:uiPriority w:val="99"/>
    <w:semiHidden/>
    <w:unhideWhenUsed/>
    <w:rsid w:val="001B5A3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B5A3C"/>
    <w:rPr>
      <w:sz w:val="20"/>
      <w:szCs w:val="20"/>
    </w:rPr>
  </w:style>
  <w:style w:type="paragraph" w:styleId="Asuntodelcomentario">
    <w:name w:val="annotation subject"/>
    <w:basedOn w:val="Textocomentario"/>
    <w:next w:val="Textocomentario"/>
    <w:link w:val="AsuntodelcomentarioCar"/>
    <w:uiPriority w:val="99"/>
    <w:semiHidden/>
    <w:unhideWhenUsed/>
    <w:rsid w:val="001B5A3C"/>
    <w:rPr>
      <w:b/>
      <w:bCs/>
    </w:rPr>
  </w:style>
  <w:style w:type="character" w:customStyle="1" w:styleId="AsuntodelcomentarioCar">
    <w:name w:val="Asunto del comentario Car"/>
    <w:basedOn w:val="TextocomentarioCar"/>
    <w:link w:val="Asuntodelcomentario"/>
    <w:uiPriority w:val="99"/>
    <w:semiHidden/>
    <w:rsid w:val="001B5A3C"/>
    <w:rPr>
      <w:b/>
      <w:bCs/>
      <w:sz w:val="20"/>
      <w:szCs w:val="20"/>
    </w:rPr>
  </w:style>
  <w:style w:type="paragraph" w:styleId="Textodeglobo">
    <w:name w:val="Balloon Text"/>
    <w:basedOn w:val="Normal"/>
    <w:link w:val="TextodegloboCar"/>
    <w:uiPriority w:val="99"/>
    <w:semiHidden/>
    <w:unhideWhenUsed/>
    <w:rsid w:val="001B5A3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B5A3C"/>
    <w:rPr>
      <w:rFonts w:ascii="Tahoma" w:hAnsi="Tahoma" w:cs="Tahoma"/>
      <w:sz w:val="16"/>
      <w:szCs w:val="16"/>
    </w:rPr>
  </w:style>
  <w:style w:type="table" w:styleId="Tablaconcuadrcula">
    <w:name w:val="Table Grid"/>
    <w:basedOn w:val="Tablanormal"/>
    <w:uiPriority w:val="59"/>
    <w:rsid w:val="002824F9"/>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QIktEaudjwLyx2329IeW37WLdg==">AMUW2mUq4wRI7/U84u9cOm8APoj5cMvEc0eYSpNZXDlE6jkRFhQaesOFsBlOKp18Lvawroy0hemr6cWJqz1NTUMMvO9bP+uRXpISP5BMi4FLVi+C0laTYg7NPHS2xZrUPYDSCnBpY3mcMfJYX0MvRJsXIt3F+ChNouAfdeDKYuIWdDCk7Ffr/hM=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2050</Words>
  <Characters>11276</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Ivannia Vindas Rivera</dc:creator>
  <cp:lastModifiedBy>Karla Vasquez Quesada</cp:lastModifiedBy>
  <cp:revision>2</cp:revision>
  <dcterms:created xsi:type="dcterms:W3CDTF">2021-04-13T20:47:00Z</dcterms:created>
  <dcterms:modified xsi:type="dcterms:W3CDTF">2021-04-13T20:47:00Z</dcterms:modified>
</cp:coreProperties>
</file>