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04B0FE" w14:textId="06F7F99D" w:rsidR="00FF444C" w:rsidRPr="008606FC" w:rsidRDefault="00B35CF7" w:rsidP="00354ABA">
      <w:pPr>
        <w:pStyle w:val="Title"/>
        <w:ind w:right="-180"/>
        <w:rPr>
          <w:rFonts w:asciiTheme="minorHAnsi" w:hAnsiTheme="minorHAnsi" w:cstheme="minorHAnsi"/>
          <w:sz w:val="42"/>
          <w:szCs w:val="42"/>
          <w:lang w:val="es-ES"/>
        </w:rPr>
      </w:pPr>
      <w:r w:rsidRPr="008606FC">
        <w:rPr>
          <w:rFonts w:asciiTheme="minorHAnsi" w:hAnsiTheme="minorHAnsi" w:cstheme="minorHAnsi"/>
          <w:sz w:val="42"/>
          <w:szCs w:val="42"/>
          <w:lang w:val="es-ES"/>
        </w:rPr>
        <w:t xml:space="preserve">fORTALECER LA </w:t>
      </w:r>
      <w:r w:rsidR="00CD7C87" w:rsidRPr="008606FC">
        <w:rPr>
          <w:rFonts w:asciiTheme="minorHAnsi" w:hAnsiTheme="minorHAnsi" w:cstheme="minorHAnsi"/>
          <w:sz w:val="42"/>
          <w:szCs w:val="42"/>
          <w:lang w:val="es-ES"/>
        </w:rPr>
        <w:t xml:space="preserve">resiliencia y </w:t>
      </w:r>
      <w:r w:rsidRPr="008606FC">
        <w:rPr>
          <w:rFonts w:asciiTheme="minorHAnsi" w:hAnsiTheme="minorHAnsi" w:cstheme="minorHAnsi"/>
          <w:sz w:val="42"/>
          <w:szCs w:val="42"/>
          <w:lang w:val="es-ES"/>
        </w:rPr>
        <w:t xml:space="preserve">LA </w:t>
      </w:r>
      <w:r w:rsidR="00CD7C87" w:rsidRPr="008606FC">
        <w:rPr>
          <w:rFonts w:asciiTheme="minorHAnsi" w:hAnsiTheme="minorHAnsi" w:cstheme="minorHAnsi"/>
          <w:sz w:val="42"/>
          <w:szCs w:val="42"/>
          <w:lang w:val="es-ES"/>
        </w:rPr>
        <w:t xml:space="preserve">seguridad en la Región de las Américas: </w:t>
      </w:r>
      <w:r w:rsidR="00354ABA" w:rsidRPr="008606FC">
        <w:rPr>
          <w:rFonts w:asciiTheme="minorHAnsi" w:hAnsiTheme="minorHAnsi" w:cstheme="minorHAnsi"/>
          <w:sz w:val="42"/>
          <w:szCs w:val="42"/>
          <w:lang w:val="es-ES"/>
        </w:rPr>
        <w:br/>
      </w:r>
      <w:r w:rsidR="00CD7C87" w:rsidRPr="008606FC">
        <w:rPr>
          <w:rFonts w:asciiTheme="minorHAnsi" w:hAnsiTheme="minorHAnsi" w:cstheme="minorHAnsi"/>
          <w:sz w:val="42"/>
          <w:szCs w:val="42"/>
          <w:lang w:val="es-ES"/>
        </w:rPr>
        <w:t>Alianza Interamericana para mejorar el acceso a las vacunas contra la COVID-19</w:t>
      </w:r>
    </w:p>
    <w:p w14:paraId="4D06AE21" w14:textId="77777777" w:rsidR="00FF444C" w:rsidRPr="008606FC" w:rsidRDefault="00CD7C87" w:rsidP="00ED45DF">
      <w:pPr>
        <w:pStyle w:val="Subtitle"/>
        <w:spacing w:after="480"/>
        <w:rPr>
          <w:lang w:val="es-ES"/>
        </w:rPr>
      </w:pPr>
      <w:r w:rsidRPr="008606FC">
        <w:rPr>
          <w:lang w:val="es-ES"/>
        </w:rPr>
        <w:t>5 de abril del 2021</w:t>
      </w:r>
    </w:p>
    <w:p w14:paraId="14530820" w14:textId="77777777" w:rsidR="00D74819" w:rsidRPr="008606FC" w:rsidRDefault="00D74819" w:rsidP="00D74819">
      <w:pPr>
        <w:rPr>
          <w:rFonts w:asciiTheme="minorHAnsi" w:hAnsiTheme="minorHAnsi" w:cstheme="minorHAnsi"/>
          <w:b/>
          <w:bCs/>
          <w:lang w:val="es-ES"/>
        </w:rPr>
      </w:pPr>
      <w:r w:rsidRPr="008606FC">
        <w:rPr>
          <w:rFonts w:asciiTheme="minorHAnsi" w:hAnsiTheme="minorHAnsi" w:cstheme="minorHAnsi"/>
          <w:b/>
          <w:bCs/>
          <w:lang w:val="es-ES"/>
        </w:rPr>
        <w:t>Antecedentes</w:t>
      </w:r>
    </w:p>
    <w:p w14:paraId="506B68D3" w14:textId="5CAE0ADA" w:rsidR="00D74819" w:rsidRPr="008606FC" w:rsidRDefault="00D74819" w:rsidP="00D74819">
      <w:pPr>
        <w:ind w:firstLine="720"/>
        <w:rPr>
          <w:rFonts w:asciiTheme="minorHAnsi" w:hAnsiTheme="minorHAnsi" w:cstheme="minorHAnsi"/>
          <w:lang w:val="es-ES"/>
        </w:rPr>
      </w:pPr>
      <w:r w:rsidRPr="008606FC">
        <w:rPr>
          <w:rFonts w:asciiTheme="minorHAnsi" w:hAnsiTheme="minorHAnsi" w:cstheme="minorHAnsi"/>
          <w:lang w:val="es-ES"/>
        </w:rPr>
        <w:t xml:space="preserve">Desde que se detectó el primer caso de COVID-19 en la Región de las Américas en enero del 2020, más de 55 millones de personas han </w:t>
      </w:r>
      <w:r w:rsidR="00B35CF7" w:rsidRPr="008606FC">
        <w:rPr>
          <w:rFonts w:asciiTheme="minorHAnsi" w:hAnsiTheme="minorHAnsi" w:cstheme="minorHAnsi"/>
          <w:lang w:val="es-ES"/>
        </w:rPr>
        <w:t xml:space="preserve">contraído la infección por </w:t>
      </w:r>
      <w:r w:rsidRPr="008606FC">
        <w:rPr>
          <w:rFonts w:asciiTheme="minorHAnsi" w:hAnsiTheme="minorHAnsi" w:cstheme="minorHAnsi"/>
          <w:lang w:val="es-ES"/>
        </w:rPr>
        <w:t xml:space="preserve">el virus causante de esta enfermedad, la cual ha provocado más de 1,3 millones de muertes. Cincuenta y un países y territorios de la Región han notificado casi la mitad de los casos registrados en todo el mundo, así como la mitad de todas las muertes. Teniendo en cuenta que la edad promedio de la población en los países y territorios de América Latina y el Caribe es mayor que la de otras regiones del mundo, hay más posibilidades de que </w:t>
      </w:r>
      <w:r w:rsidR="00B35CF7" w:rsidRPr="008606FC">
        <w:rPr>
          <w:rFonts w:asciiTheme="minorHAnsi" w:hAnsiTheme="minorHAnsi" w:cstheme="minorHAnsi"/>
          <w:lang w:val="es-ES"/>
        </w:rPr>
        <w:t xml:space="preserve">haya </w:t>
      </w:r>
      <w:r w:rsidRPr="008606FC">
        <w:rPr>
          <w:rFonts w:asciiTheme="minorHAnsi" w:hAnsiTheme="minorHAnsi" w:cstheme="minorHAnsi"/>
          <w:lang w:val="es-ES"/>
        </w:rPr>
        <w:t xml:space="preserve">enfermedades crónicas, lo que implica tasas más elevadas de morbilidad por COVID-19 y de mortalidad </w:t>
      </w:r>
      <w:r w:rsidR="00B35CF7" w:rsidRPr="008606FC">
        <w:rPr>
          <w:rFonts w:asciiTheme="minorHAnsi" w:hAnsiTheme="minorHAnsi" w:cstheme="minorHAnsi"/>
          <w:lang w:val="es-ES"/>
        </w:rPr>
        <w:t>conexa</w:t>
      </w:r>
      <w:r w:rsidRPr="008606FC">
        <w:rPr>
          <w:rFonts w:asciiTheme="minorHAnsi" w:hAnsiTheme="minorHAnsi" w:cstheme="minorHAnsi"/>
          <w:lang w:val="es-ES"/>
        </w:rPr>
        <w:t xml:space="preserve">. </w:t>
      </w:r>
      <w:bookmarkStart w:id="0" w:name="PAHOMTS0000005E"/>
      <w:bookmarkStart w:id="1" w:name="PAHOMTS0000006B"/>
      <w:bookmarkStart w:id="2" w:name="PAHOMTS0000006E"/>
      <w:bookmarkStart w:id="3" w:name="PAHOMTS0000007B"/>
      <w:bookmarkEnd w:id="0"/>
      <w:bookmarkEnd w:id="1"/>
      <w:bookmarkEnd w:id="2"/>
      <w:bookmarkEnd w:id="3"/>
    </w:p>
    <w:p w14:paraId="43A13F25" w14:textId="287A892B" w:rsidR="00D74819" w:rsidRPr="008606FC" w:rsidRDefault="00D74819" w:rsidP="00D74819">
      <w:pPr>
        <w:ind w:firstLine="720"/>
        <w:rPr>
          <w:rFonts w:asciiTheme="minorHAnsi" w:hAnsiTheme="minorHAnsi" w:cstheme="minorHAnsi"/>
          <w:lang w:val="es-ES"/>
        </w:rPr>
      </w:pPr>
      <w:bookmarkStart w:id="4" w:name="PAHOMTS0000009B"/>
      <w:bookmarkEnd w:id="4"/>
      <w:r w:rsidRPr="008606FC">
        <w:rPr>
          <w:rFonts w:asciiTheme="minorHAnsi" w:hAnsiTheme="minorHAnsi" w:cstheme="minorHAnsi"/>
          <w:lang w:val="es-ES"/>
        </w:rPr>
        <w:t xml:space="preserve">Muchos otros factores presentes en América Latina y el Caribe —como la inequidad, la pobreza, </w:t>
      </w:r>
      <w:r w:rsidR="00B35CF7" w:rsidRPr="008606FC">
        <w:rPr>
          <w:rFonts w:asciiTheme="minorHAnsi" w:hAnsiTheme="minorHAnsi" w:cstheme="minorHAnsi"/>
          <w:lang w:val="es-ES"/>
        </w:rPr>
        <w:t xml:space="preserve">el gran tamaño de </w:t>
      </w:r>
      <w:r w:rsidRPr="008606FC">
        <w:rPr>
          <w:rFonts w:asciiTheme="minorHAnsi" w:hAnsiTheme="minorHAnsi" w:cstheme="minorHAnsi"/>
          <w:lang w:val="es-ES"/>
        </w:rPr>
        <w:t>la economía informal y las precarias condiciones de las viviendas— limitan la ef</w:t>
      </w:r>
      <w:r w:rsidR="00B35CF7" w:rsidRPr="008606FC">
        <w:rPr>
          <w:rFonts w:asciiTheme="minorHAnsi" w:hAnsiTheme="minorHAnsi" w:cstheme="minorHAnsi"/>
          <w:lang w:val="es-ES"/>
        </w:rPr>
        <w:t>ectividad</w:t>
      </w:r>
      <w:r w:rsidRPr="008606FC">
        <w:rPr>
          <w:rFonts w:asciiTheme="minorHAnsi" w:hAnsiTheme="minorHAnsi" w:cstheme="minorHAnsi"/>
          <w:lang w:val="es-ES"/>
        </w:rPr>
        <w:t xml:space="preserve"> de las medidas de salud pública adoptadas con el fin de reducir la velocidad de transmisión del S</w:t>
      </w:r>
      <w:r w:rsidR="00B35CF7" w:rsidRPr="008606FC">
        <w:rPr>
          <w:rFonts w:asciiTheme="minorHAnsi" w:hAnsiTheme="minorHAnsi" w:cstheme="minorHAnsi"/>
          <w:lang w:val="es-ES"/>
        </w:rPr>
        <w:t>ARS</w:t>
      </w:r>
      <w:r w:rsidRPr="008606FC">
        <w:rPr>
          <w:rFonts w:asciiTheme="minorHAnsi" w:hAnsiTheme="minorHAnsi" w:cstheme="minorHAnsi"/>
          <w:lang w:val="es-ES"/>
        </w:rPr>
        <w:t xml:space="preserve">-CoV-2. Esto </w:t>
      </w:r>
      <w:r w:rsidR="00B35CF7" w:rsidRPr="008606FC">
        <w:rPr>
          <w:rFonts w:asciiTheme="minorHAnsi" w:hAnsiTheme="minorHAnsi" w:cstheme="minorHAnsi"/>
          <w:lang w:val="es-ES"/>
        </w:rPr>
        <w:t xml:space="preserve">significa </w:t>
      </w:r>
      <w:r w:rsidRPr="008606FC">
        <w:rPr>
          <w:rFonts w:asciiTheme="minorHAnsi" w:hAnsiTheme="minorHAnsi" w:cstheme="minorHAnsi"/>
          <w:lang w:val="es-ES"/>
        </w:rPr>
        <w:t xml:space="preserve">que los países de </w:t>
      </w:r>
      <w:r w:rsidR="004D66EE">
        <w:rPr>
          <w:rFonts w:asciiTheme="minorHAnsi" w:hAnsiTheme="minorHAnsi" w:cstheme="minorHAnsi"/>
          <w:lang w:val="es-ES"/>
        </w:rPr>
        <w:t>América Latina y el Caribe</w:t>
      </w:r>
      <w:r w:rsidRPr="008606FC">
        <w:rPr>
          <w:rFonts w:asciiTheme="minorHAnsi" w:hAnsiTheme="minorHAnsi" w:cstheme="minorHAnsi"/>
          <w:lang w:val="es-ES"/>
        </w:rPr>
        <w:t xml:space="preserve"> corren constantemente el riesgo de afrontar aumentos repentinos en la transmisión del virus, lo que podría saturar los sistemas de salud.</w:t>
      </w:r>
      <w:bookmarkStart w:id="5" w:name="PAHOMTS0000009E"/>
      <w:bookmarkStart w:id="6" w:name="PAHOMTS0000010B"/>
      <w:bookmarkStart w:id="7" w:name="PAHOMTS0000010E"/>
      <w:bookmarkEnd w:id="5"/>
      <w:bookmarkEnd w:id="6"/>
      <w:bookmarkEnd w:id="7"/>
    </w:p>
    <w:p w14:paraId="1C0035C7" w14:textId="32A08556" w:rsidR="00D74819" w:rsidRPr="008606FC" w:rsidRDefault="00D74819" w:rsidP="00D74819">
      <w:pPr>
        <w:spacing w:line="276" w:lineRule="auto"/>
        <w:ind w:firstLine="720"/>
        <w:rPr>
          <w:rFonts w:asciiTheme="minorHAnsi" w:hAnsiTheme="minorHAnsi" w:cstheme="minorHAnsi"/>
          <w:b/>
          <w:bCs/>
          <w:u w:val="single"/>
          <w:lang w:val="es-ES"/>
        </w:rPr>
      </w:pPr>
      <w:r w:rsidRPr="008606FC">
        <w:rPr>
          <w:rFonts w:asciiTheme="minorHAnsi" w:hAnsiTheme="minorHAnsi" w:cstheme="minorHAnsi"/>
          <w:lang w:val="es-ES"/>
        </w:rPr>
        <w:t xml:space="preserve">La pandemia también ha generado una crisis social y económica en toda </w:t>
      </w:r>
      <w:r w:rsidR="004D66EE">
        <w:rPr>
          <w:rFonts w:asciiTheme="minorHAnsi" w:hAnsiTheme="minorHAnsi" w:cstheme="minorHAnsi"/>
          <w:lang w:val="es-ES"/>
        </w:rPr>
        <w:t xml:space="preserve">América Latina y el Caribe </w:t>
      </w:r>
      <w:r w:rsidR="00B35CF7" w:rsidRPr="008606FC">
        <w:rPr>
          <w:rFonts w:asciiTheme="minorHAnsi" w:hAnsiTheme="minorHAnsi" w:cstheme="minorHAnsi"/>
          <w:lang w:val="es-ES"/>
        </w:rPr>
        <w:t xml:space="preserve"> y h</w:t>
      </w:r>
      <w:r w:rsidRPr="008606FC">
        <w:rPr>
          <w:rFonts w:asciiTheme="minorHAnsi" w:hAnsiTheme="minorHAnsi" w:cstheme="minorHAnsi"/>
          <w:lang w:val="es-ES"/>
        </w:rPr>
        <w:t>a exacerbado las grandes brechas estructurales que</w:t>
      </w:r>
      <w:r w:rsidR="00B35CF7" w:rsidRPr="008606FC">
        <w:rPr>
          <w:rFonts w:asciiTheme="minorHAnsi" w:hAnsiTheme="minorHAnsi" w:cstheme="minorHAnsi"/>
          <w:lang w:val="es-ES"/>
        </w:rPr>
        <w:t xml:space="preserve"> ya</w:t>
      </w:r>
      <w:r w:rsidRPr="008606FC">
        <w:rPr>
          <w:rFonts w:asciiTheme="minorHAnsi" w:hAnsiTheme="minorHAnsi" w:cstheme="minorHAnsi"/>
          <w:lang w:val="es-ES"/>
        </w:rPr>
        <w:t xml:space="preserve"> existían </w:t>
      </w:r>
      <w:r w:rsidR="004D66EE">
        <w:rPr>
          <w:rFonts w:asciiTheme="minorHAnsi" w:hAnsiTheme="minorHAnsi" w:cstheme="minorHAnsi"/>
          <w:lang w:val="es-ES"/>
        </w:rPr>
        <w:t>allí</w:t>
      </w:r>
      <w:r w:rsidRPr="008606FC">
        <w:rPr>
          <w:rFonts w:asciiTheme="minorHAnsi" w:hAnsiTheme="minorHAnsi" w:cstheme="minorHAnsi"/>
          <w:lang w:val="es-ES"/>
        </w:rPr>
        <w:t>: las desigualdades, la productividad</w:t>
      </w:r>
      <w:r w:rsidR="00B35CF7" w:rsidRPr="008606FC">
        <w:rPr>
          <w:rFonts w:asciiTheme="minorHAnsi" w:hAnsiTheme="minorHAnsi" w:cstheme="minorHAnsi"/>
          <w:lang w:val="es-ES"/>
        </w:rPr>
        <w:t xml:space="preserve"> baja</w:t>
      </w:r>
      <w:r w:rsidRPr="008606FC">
        <w:rPr>
          <w:rFonts w:asciiTheme="minorHAnsi" w:hAnsiTheme="minorHAnsi" w:cstheme="minorHAnsi"/>
          <w:lang w:val="es-ES"/>
        </w:rPr>
        <w:t xml:space="preserve">, el desempleo y la informalidad, los sistemas de protección social </w:t>
      </w:r>
      <w:r w:rsidR="00B35CF7" w:rsidRPr="008606FC">
        <w:rPr>
          <w:rFonts w:asciiTheme="minorHAnsi" w:hAnsiTheme="minorHAnsi" w:cstheme="minorHAnsi"/>
          <w:lang w:val="es-ES"/>
        </w:rPr>
        <w:t xml:space="preserve">débiles </w:t>
      </w:r>
      <w:r w:rsidRPr="008606FC">
        <w:rPr>
          <w:rFonts w:asciiTheme="minorHAnsi" w:hAnsiTheme="minorHAnsi" w:cstheme="minorHAnsi"/>
          <w:lang w:val="es-ES"/>
        </w:rPr>
        <w:t xml:space="preserve">y el </w:t>
      </w:r>
      <w:r w:rsidR="00B35CF7" w:rsidRPr="008606FC">
        <w:rPr>
          <w:rFonts w:asciiTheme="minorHAnsi" w:hAnsiTheme="minorHAnsi" w:cstheme="minorHAnsi"/>
          <w:lang w:val="es-ES"/>
        </w:rPr>
        <w:t xml:space="preserve">limitado </w:t>
      </w:r>
      <w:r w:rsidRPr="008606FC">
        <w:rPr>
          <w:rFonts w:asciiTheme="minorHAnsi" w:hAnsiTheme="minorHAnsi" w:cstheme="minorHAnsi"/>
          <w:lang w:val="es-ES"/>
        </w:rPr>
        <w:t xml:space="preserve">margen fiscal. Se estima que en el 2020 el producto interno bruto (PIB) </w:t>
      </w:r>
      <w:r w:rsidR="00B35CF7" w:rsidRPr="008606FC">
        <w:rPr>
          <w:rFonts w:asciiTheme="minorHAnsi" w:hAnsiTheme="minorHAnsi" w:cstheme="minorHAnsi"/>
          <w:lang w:val="es-ES"/>
        </w:rPr>
        <w:t>disminuyó </w:t>
      </w:r>
      <w:r w:rsidRPr="008606FC">
        <w:rPr>
          <w:rFonts w:asciiTheme="minorHAnsi" w:hAnsiTheme="minorHAnsi" w:cstheme="minorHAnsi"/>
          <w:lang w:val="es-ES"/>
        </w:rPr>
        <w:t xml:space="preserve">7,7%. La tasa de pobreza, incluso teniendo en cuenta el efecto de las medidas de protección social que aplicaron los países, aumentó a 33,7%, mientras que la pobreza extrema </w:t>
      </w:r>
      <w:r w:rsidR="00B35CF7" w:rsidRPr="008606FC">
        <w:rPr>
          <w:rFonts w:asciiTheme="minorHAnsi" w:hAnsiTheme="minorHAnsi" w:cstheme="minorHAnsi"/>
          <w:lang w:val="es-ES"/>
        </w:rPr>
        <w:t xml:space="preserve">aumentó </w:t>
      </w:r>
      <w:r w:rsidRPr="008606FC">
        <w:rPr>
          <w:rFonts w:asciiTheme="minorHAnsi" w:hAnsiTheme="minorHAnsi" w:cstheme="minorHAnsi"/>
          <w:lang w:val="es-ES"/>
        </w:rPr>
        <w:t>a 12,5% de la población</w:t>
      </w:r>
      <w:r w:rsidR="00B35CF7" w:rsidRPr="008606FC">
        <w:rPr>
          <w:rFonts w:asciiTheme="minorHAnsi" w:hAnsiTheme="minorHAnsi" w:cstheme="minorHAnsi"/>
          <w:lang w:val="es-ES"/>
        </w:rPr>
        <w:t xml:space="preserve"> de esa subregión</w:t>
      </w:r>
      <w:r w:rsidRPr="008606FC">
        <w:rPr>
          <w:rFonts w:asciiTheme="minorHAnsi" w:hAnsiTheme="minorHAnsi" w:cstheme="minorHAnsi"/>
          <w:lang w:val="es-ES"/>
        </w:rPr>
        <w:t>, lo que equivale a 78 millones de personas</w:t>
      </w:r>
      <w:r w:rsidR="00442358" w:rsidRPr="008606FC">
        <w:rPr>
          <w:rFonts w:asciiTheme="minorHAnsi" w:hAnsiTheme="minorHAnsi" w:cstheme="minorHAnsi"/>
          <w:lang w:val="es-ES"/>
        </w:rPr>
        <w:t xml:space="preserve"> en pobreza extrema y un total de </w:t>
      </w:r>
      <w:r w:rsidRPr="008606FC">
        <w:rPr>
          <w:rFonts w:asciiTheme="minorHAnsi" w:hAnsiTheme="minorHAnsi" w:cstheme="minorHAnsi"/>
          <w:lang w:val="es-ES"/>
        </w:rPr>
        <w:t>209 millones de personas en condiciones de pobreza en América Latina y el Caribe.</w:t>
      </w:r>
      <w:r w:rsidRPr="008606FC">
        <w:rPr>
          <w:rStyle w:val="FootnoteReference"/>
          <w:rFonts w:asciiTheme="minorHAnsi" w:hAnsiTheme="minorHAnsi" w:cstheme="minorHAnsi"/>
          <w:lang w:val="es-ES"/>
        </w:rPr>
        <w:footnoteReference w:id="1"/>
      </w:r>
      <w:r w:rsidRPr="008606FC">
        <w:rPr>
          <w:rFonts w:asciiTheme="minorHAnsi" w:hAnsiTheme="minorHAnsi" w:cstheme="minorHAnsi"/>
          <w:lang w:val="es-ES"/>
        </w:rPr>
        <w:t xml:space="preserve"> </w:t>
      </w:r>
    </w:p>
    <w:p w14:paraId="4F1BC3C5" w14:textId="77777777" w:rsidR="00D74819" w:rsidRPr="008606FC" w:rsidRDefault="00D74819" w:rsidP="00442358">
      <w:pPr>
        <w:keepNext/>
        <w:spacing w:line="276" w:lineRule="auto"/>
        <w:jc w:val="both"/>
        <w:rPr>
          <w:rFonts w:asciiTheme="minorHAnsi" w:hAnsiTheme="minorHAnsi" w:cstheme="minorHAnsi"/>
          <w:lang w:val="es-ES"/>
        </w:rPr>
      </w:pPr>
      <w:r w:rsidRPr="008606FC">
        <w:rPr>
          <w:rFonts w:asciiTheme="minorHAnsi" w:hAnsiTheme="minorHAnsi" w:cstheme="minorHAnsi"/>
          <w:b/>
          <w:bCs/>
          <w:lang w:val="es-ES"/>
        </w:rPr>
        <w:t>América Latina y el Caribe se enfrentan a una aguda escasez de vacunas contra la COVID-19</w:t>
      </w:r>
    </w:p>
    <w:p w14:paraId="77324A69" w14:textId="1719945F" w:rsidR="00D74819" w:rsidRPr="008606FC" w:rsidRDefault="00D74819" w:rsidP="00C05C53">
      <w:pPr>
        <w:ind w:firstLine="720"/>
        <w:rPr>
          <w:rFonts w:asciiTheme="minorHAnsi" w:hAnsiTheme="minorHAnsi" w:cstheme="minorHAnsi"/>
          <w:lang w:val="es-ES"/>
        </w:rPr>
      </w:pPr>
      <w:r w:rsidRPr="008606FC">
        <w:rPr>
          <w:rFonts w:asciiTheme="minorHAnsi" w:hAnsiTheme="minorHAnsi" w:cstheme="minorHAnsi"/>
          <w:lang w:val="es-ES"/>
        </w:rPr>
        <w:t xml:space="preserve">Se prevé que los fabricantes de vacunas producirán 8.740 millones de dosis de vacunas contra la COVID-19 en el 2021, suficientes para cubrir al 63% de la población mundial. Sin embargo, América Latina y el Caribe seguirá lejos de alcanzar la inmunidad colectiva por medio de la vacunación este año debido a las </w:t>
      </w:r>
      <w:r w:rsidRPr="008606FC">
        <w:rPr>
          <w:rFonts w:asciiTheme="minorHAnsi" w:hAnsiTheme="minorHAnsi" w:cstheme="minorHAnsi"/>
          <w:lang w:val="es-ES"/>
        </w:rPr>
        <w:lastRenderedPageBreak/>
        <w:t>inequidades en la distribución y el acceso a las vacunas.</w:t>
      </w:r>
      <w:r w:rsidRPr="008606FC">
        <w:rPr>
          <w:rFonts w:asciiTheme="minorHAnsi" w:hAnsiTheme="minorHAnsi" w:cstheme="minorHAnsi"/>
          <w:vertAlign w:val="superscript"/>
          <w:lang w:val="es-ES"/>
        </w:rPr>
        <w:footnoteReference w:id="2"/>
      </w:r>
      <w:r w:rsidRPr="008606FC">
        <w:rPr>
          <w:rFonts w:asciiTheme="minorHAnsi" w:hAnsiTheme="minorHAnsi" w:cstheme="minorHAnsi"/>
          <w:lang w:val="es-ES"/>
        </w:rPr>
        <w:t xml:space="preserve"> </w:t>
      </w:r>
      <w:r w:rsidR="006E7EFC" w:rsidRPr="008606FC">
        <w:rPr>
          <w:rFonts w:asciiTheme="minorHAnsi" w:hAnsiTheme="minorHAnsi" w:cstheme="minorHAnsi"/>
          <w:lang w:val="es-ES"/>
        </w:rPr>
        <w:t>Al</w:t>
      </w:r>
      <w:r w:rsidRPr="008606FC">
        <w:rPr>
          <w:rFonts w:asciiTheme="minorHAnsi" w:hAnsiTheme="minorHAnsi" w:cstheme="minorHAnsi"/>
          <w:lang w:val="es-ES"/>
        </w:rPr>
        <w:t xml:space="preserve"> 25 de marzo, 47 países y territorios de la Región de las Américas</w:t>
      </w:r>
      <w:r w:rsidR="00662980" w:rsidRPr="008606FC">
        <w:rPr>
          <w:rFonts w:asciiTheme="minorHAnsi" w:hAnsiTheme="minorHAnsi" w:cstheme="minorHAnsi"/>
          <w:vertAlign w:val="superscript"/>
          <w:lang w:val="es-ES"/>
        </w:rPr>
        <w:footnoteReference w:id="3"/>
      </w:r>
      <w:r w:rsidRPr="008606FC">
        <w:rPr>
          <w:rFonts w:asciiTheme="minorHAnsi" w:hAnsiTheme="minorHAnsi" w:cstheme="minorHAnsi"/>
          <w:lang w:val="es-ES"/>
        </w:rPr>
        <w:t xml:space="preserve"> habían iniciado la vacunación contra la COVID-19, incluidos 33 de los 35 Estados Miembros de la OPS. Hasta </w:t>
      </w:r>
      <w:r w:rsidR="00612403" w:rsidRPr="008606FC">
        <w:rPr>
          <w:rFonts w:asciiTheme="minorHAnsi" w:hAnsiTheme="minorHAnsi" w:cstheme="minorHAnsi"/>
          <w:lang w:val="es-ES"/>
        </w:rPr>
        <w:t>esa</w:t>
      </w:r>
      <w:r w:rsidR="000117EC" w:rsidRPr="008606FC">
        <w:rPr>
          <w:rFonts w:asciiTheme="minorHAnsi" w:hAnsiTheme="minorHAnsi" w:cstheme="minorHAnsi"/>
          <w:lang w:val="es-ES"/>
        </w:rPr>
        <w:t xml:space="preserve"> </w:t>
      </w:r>
      <w:r w:rsidRPr="008606FC">
        <w:rPr>
          <w:rFonts w:asciiTheme="minorHAnsi" w:hAnsiTheme="minorHAnsi" w:cstheme="minorHAnsi"/>
          <w:lang w:val="es-ES"/>
        </w:rPr>
        <w:t>fecha, se habían administrado más de 170 millones de dosis de vacunas contra esta enfermedad en la Región, pero solo 31 millones en los países de América Latina y el Caribe.</w:t>
      </w:r>
      <w:r w:rsidRPr="008606FC">
        <w:rPr>
          <w:rFonts w:asciiTheme="minorHAnsi" w:hAnsiTheme="minorHAnsi" w:cstheme="minorHAnsi"/>
          <w:vertAlign w:val="superscript"/>
          <w:lang w:val="es-ES"/>
        </w:rPr>
        <w:footnoteReference w:id="4"/>
      </w:r>
      <w:r w:rsidRPr="008606FC">
        <w:rPr>
          <w:rFonts w:asciiTheme="minorHAnsi" w:hAnsiTheme="minorHAnsi" w:cstheme="minorHAnsi"/>
          <w:lang w:val="es-ES"/>
        </w:rPr>
        <w:t xml:space="preserve"> Un grupo de países desarrollados, que representan 12,9% de la población mundial, han negociado 45,5% de los acuerdos de compra de vacunas. Esta concentración se </w:t>
      </w:r>
      <w:r w:rsidR="00C2700C" w:rsidRPr="008606FC">
        <w:rPr>
          <w:rFonts w:asciiTheme="minorHAnsi" w:hAnsiTheme="minorHAnsi" w:cstheme="minorHAnsi"/>
          <w:lang w:val="es-ES"/>
        </w:rPr>
        <w:t xml:space="preserve">está traduciendo </w:t>
      </w:r>
      <w:r w:rsidRPr="008606FC">
        <w:rPr>
          <w:rFonts w:asciiTheme="minorHAnsi" w:hAnsiTheme="minorHAnsi" w:cstheme="minorHAnsi"/>
          <w:lang w:val="es-ES"/>
        </w:rPr>
        <w:t>en un déficit importante en la disponibilidad de vacunas para América Latina y el Caribe</w:t>
      </w:r>
      <w:r w:rsidR="006D5761" w:rsidRPr="008606FC">
        <w:rPr>
          <w:rFonts w:asciiTheme="minorHAnsi" w:hAnsiTheme="minorHAnsi" w:cstheme="minorHAnsi"/>
          <w:lang w:val="es-ES"/>
        </w:rPr>
        <w:t xml:space="preserve">, con </w:t>
      </w:r>
      <w:r w:rsidRPr="008606FC">
        <w:rPr>
          <w:rFonts w:asciiTheme="minorHAnsi" w:hAnsiTheme="minorHAnsi" w:cstheme="minorHAnsi"/>
          <w:lang w:val="es-ES"/>
        </w:rPr>
        <w:t>desigualdades considerables entre los países en cuanto al acceso (figura 1). El progreso actual de la vacunación en América Latina y el Caribe está muy lejos de la cobertura necesaria para proteger a los grupos más vulnerables (</w:t>
      </w:r>
      <w:r w:rsidR="00A32444" w:rsidRPr="008606FC">
        <w:rPr>
          <w:rFonts w:asciiTheme="minorHAnsi" w:hAnsiTheme="minorHAnsi" w:cstheme="minorHAnsi"/>
          <w:lang w:val="es-ES"/>
        </w:rPr>
        <w:t xml:space="preserve">estimada en </w:t>
      </w:r>
      <w:r w:rsidRPr="008606FC">
        <w:rPr>
          <w:rFonts w:asciiTheme="minorHAnsi" w:hAnsiTheme="minorHAnsi" w:cstheme="minorHAnsi"/>
          <w:lang w:val="es-ES"/>
        </w:rPr>
        <w:t>20% de la población</w:t>
      </w:r>
      <w:r w:rsidR="00E60AFC" w:rsidRPr="008606FC">
        <w:rPr>
          <w:rFonts w:asciiTheme="minorHAnsi" w:hAnsiTheme="minorHAnsi" w:cstheme="minorHAnsi"/>
          <w:lang w:val="es-ES"/>
        </w:rPr>
        <w:t xml:space="preserve"> aproximadamente</w:t>
      </w:r>
      <w:r w:rsidRPr="008606FC">
        <w:rPr>
          <w:rFonts w:asciiTheme="minorHAnsi" w:hAnsiTheme="minorHAnsi" w:cstheme="minorHAnsi"/>
          <w:lang w:val="es-ES"/>
        </w:rPr>
        <w:t>) y reducir la alta mortalidad que han registrado</w:t>
      </w:r>
      <w:r w:rsidR="00E60AFC" w:rsidRPr="008606FC">
        <w:rPr>
          <w:rFonts w:asciiTheme="minorHAnsi" w:hAnsiTheme="minorHAnsi" w:cstheme="minorHAnsi"/>
          <w:lang w:val="es-ES"/>
        </w:rPr>
        <w:t xml:space="preserve"> allí</w:t>
      </w:r>
      <w:r w:rsidRPr="008606FC">
        <w:rPr>
          <w:rFonts w:asciiTheme="minorHAnsi" w:hAnsiTheme="minorHAnsi" w:cstheme="minorHAnsi"/>
          <w:lang w:val="es-ES"/>
        </w:rPr>
        <w:t xml:space="preserve">, e incluso más lejos de la cobertura necesaria para lograr la inmunidad colectiva contra la COVID-19 (estimada entre 70% y 80% de la población) y controlar la transmisión. </w:t>
      </w:r>
    </w:p>
    <w:p w14:paraId="397B587D" w14:textId="1A73740F" w:rsidR="00A71852" w:rsidRPr="008606FC" w:rsidRDefault="00A71852" w:rsidP="00C05C53">
      <w:pPr>
        <w:ind w:firstLine="720"/>
        <w:rPr>
          <w:rFonts w:asciiTheme="minorHAnsi" w:hAnsiTheme="minorHAnsi" w:cstheme="minorHAnsi"/>
          <w:lang w:val="es-ES"/>
        </w:rPr>
      </w:pPr>
      <w:r w:rsidRPr="008606FC">
        <w:rPr>
          <w:rFonts w:asciiTheme="minorHAnsi" w:hAnsiTheme="minorHAnsi" w:cstheme="minorHAnsi"/>
          <w:lang w:val="es-ES"/>
        </w:rPr>
        <w:t>La vulnerabilidad de América Latina y el Caribe frente al virus causante de la COVID-19 es muy alta, y el riesgo es mayor si se consideran las variantes emergentes, que podrían ser más contagiosas y letales. Dado que las variantes migran de un país a otro, los esfuerzos de un país por contener la pandemia únicamente por medio de medidas de salud pública serán insuficientes</w:t>
      </w:r>
      <w:r w:rsidR="001F759B" w:rsidRPr="008606FC">
        <w:rPr>
          <w:rFonts w:asciiTheme="minorHAnsi" w:hAnsiTheme="minorHAnsi" w:cstheme="minorHAnsi"/>
          <w:lang w:val="es-ES"/>
        </w:rPr>
        <w:t xml:space="preserve">, puesto que </w:t>
      </w:r>
      <w:r w:rsidRPr="008606FC">
        <w:rPr>
          <w:rFonts w:asciiTheme="minorHAnsi" w:hAnsiTheme="minorHAnsi" w:cstheme="minorHAnsi"/>
          <w:lang w:val="es-ES"/>
        </w:rPr>
        <w:t>la pandemia solo podrá contenerse desplegando con rapidez las vacunas contra la COVID-19 en toda América Latina y el Caribe.</w:t>
      </w:r>
    </w:p>
    <w:p w14:paraId="656B66FB" w14:textId="77777777" w:rsidR="00ED45DF" w:rsidRPr="00A10534" w:rsidRDefault="00ED45DF" w:rsidP="00ED45DF">
      <w:pPr>
        <w:spacing w:after="0" w:line="240" w:lineRule="auto"/>
        <w:jc w:val="center"/>
        <w:rPr>
          <w:rFonts w:ascii="Times New Roman" w:hAnsi="Times New Roman" w:cs="Times New Roman"/>
          <w:b/>
          <w:bCs/>
          <w:sz w:val="18"/>
          <w:szCs w:val="18"/>
          <w:lang w:val="es-419"/>
        </w:rPr>
      </w:pPr>
      <w:bookmarkStart w:id="10" w:name="PAHOMTS0000028E"/>
      <w:bookmarkStart w:id="11" w:name="PAHOMTS0000029B"/>
      <w:bookmarkStart w:id="12" w:name="PAHOMTS0000029E"/>
      <w:bookmarkEnd w:id="10"/>
      <w:bookmarkEnd w:id="11"/>
      <w:bookmarkEnd w:id="12"/>
      <w:r>
        <w:rPr>
          <w:b/>
          <w:bCs/>
          <w:lang w:val="es-ES"/>
        </w:rPr>
        <w:t xml:space="preserve">Figura 1. Cobertura potencial de la población considerando </w:t>
      </w:r>
      <w:r>
        <w:rPr>
          <w:b/>
          <w:bCs/>
          <w:lang w:val="es-ES"/>
        </w:rPr>
        <w:br/>
        <w:t>las vacunas comprometidas</w:t>
      </w:r>
    </w:p>
    <w:p w14:paraId="1D6348BF" w14:textId="00438221" w:rsidR="00A07CCE" w:rsidRDefault="00ED45DF" w:rsidP="00A07CCE">
      <w:pPr>
        <w:spacing w:line="276" w:lineRule="auto"/>
        <w:ind w:firstLine="720"/>
        <w:jc w:val="both"/>
        <w:rPr>
          <w:rFonts w:asciiTheme="minorHAnsi" w:hAnsiTheme="minorHAnsi" w:cstheme="minorHAnsi"/>
          <w:highlight w:val="yellow"/>
          <w:lang w:val="es-ES"/>
        </w:rPr>
      </w:pPr>
      <w:r>
        <w:rPr>
          <w:rFonts w:asciiTheme="minorHAnsi" w:hAnsiTheme="minorHAnsi" w:cstheme="minorHAnsi"/>
          <w:noProof/>
          <w:lang w:val="es-ES"/>
        </w:rPr>
        <w:drawing>
          <wp:inline distT="0" distB="0" distL="0" distR="0" wp14:anchorId="38E3EEE6" wp14:editId="53BF3017">
            <wp:extent cx="4756150" cy="2875992"/>
            <wp:effectExtent l="0" t="0" r="6350" b="635"/>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1.jpg"/>
                    <pic:cNvPicPr/>
                  </pic:nvPicPr>
                  <pic:blipFill>
                    <a:blip r:embed="rId12">
                      <a:extLst>
                        <a:ext uri="{28A0092B-C50C-407E-A947-70E740481C1C}">
                          <a14:useLocalDpi xmlns:a14="http://schemas.microsoft.com/office/drawing/2010/main" val="0"/>
                        </a:ext>
                      </a:extLst>
                    </a:blip>
                    <a:stretch>
                      <a:fillRect/>
                    </a:stretch>
                  </pic:blipFill>
                  <pic:spPr>
                    <a:xfrm>
                      <a:off x="0" y="0"/>
                      <a:ext cx="4763461" cy="2880413"/>
                    </a:xfrm>
                    <a:prstGeom prst="rect">
                      <a:avLst/>
                    </a:prstGeom>
                  </pic:spPr>
                </pic:pic>
              </a:graphicData>
            </a:graphic>
          </wp:inline>
        </w:drawing>
      </w:r>
    </w:p>
    <w:p w14:paraId="03FF8D5D" w14:textId="77777777" w:rsidR="00ED45DF" w:rsidRPr="00E83CCB" w:rsidRDefault="00ED45DF" w:rsidP="00ED45DF">
      <w:pPr>
        <w:spacing w:after="0" w:line="257" w:lineRule="auto"/>
        <w:rPr>
          <w:rFonts w:asciiTheme="minorHAnsi" w:hAnsiTheme="minorHAnsi" w:cstheme="minorHAnsi"/>
          <w:sz w:val="16"/>
          <w:szCs w:val="16"/>
          <w:lang w:val="es-419"/>
        </w:rPr>
      </w:pPr>
      <w:r w:rsidRPr="00E83CCB">
        <w:rPr>
          <w:rFonts w:asciiTheme="minorHAnsi" w:hAnsiTheme="minorHAnsi" w:cstheme="minorHAnsi"/>
          <w:sz w:val="16"/>
          <w:szCs w:val="16"/>
          <w:lang w:val="es-ES"/>
        </w:rPr>
        <w:t>(*) Incluye los compromisos adquiridos mediante el Mecanismo COVAX, pero no incluye los Compromisos Anticipados de Mercado de COVAX.</w:t>
      </w:r>
    </w:p>
    <w:p w14:paraId="7DDECF4B" w14:textId="682D29C8" w:rsidR="00ED45DF" w:rsidRPr="00E83CCB" w:rsidRDefault="00ED45DF" w:rsidP="00ED45DF">
      <w:pPr>
        <w:spacing w:after="0" w:line="257" w:lineRule="auto"/>
        <w:rPr>
          <w:rFonts w:asciiTheme="minorHAnsi" w:hAnsiTheme="minorHAnsi" w:cstheme="minorHAnsi"/>
          <w:sz w:val="16"/>
          <w:szCs w:val="16"/>
          <w:lang w:val="es-419"/>
        </w:rPr>
      </w:pPr>
      <w:r w:rsidRPr="00E83CCB">
        <w:rPr>
          <w:rFonts w:asciiTheme="minorHAnsi" w:hAnsiTheme="minorHAnsi" w:cstheme="minorHAnsi"/>
          <w:sz w:val="16"/>
          <w:szCs w:val="16"/>
          <w:lang w:val="es-ES"/>
        </w:rPr>
        <w:t xml:space="preserve">Fuentes: CEPAL, sobre la base de información pública y oficial de los países; Duke Global Health Innovation Center (2020), Launch and Scale Speedometer, Duke University, disponible en </w:t>
      </w:r>
      <w:hyperlink r:id="rId13" w:history="1">
        <w:r w:rsidRPr="00ED45DF">
          <w:rPr>
            <w:rFonts w:asciiTheme="minorHAnsi" w:hAnsiTheme="minorHAnsi" w:cstheme="minorHAnsi"/>
            <w:sz w:val="16"/>
            <w:szCs w:val="16"/>
            <w:u w:val="single"/>
            <w:lang w:val="es-419"/>
          </w:rPr>
          <w:t>h</w:t>
        </w:r>
        <w:r w:rsidRPr="00ED45DF">
          <w:rPr>
            <w:rStyle w:val="Hyperlink"/>
            <w:rFonts w:eastAsiaTheme="minorHAnsi" w:cstheme="minorBidi"/>
            <w:sz w:val="18"/>
            <w:szCs w:val="18"/>
            <w:lang w:val="es-ES"/>
          </w:rPr>
          <w:t xml:space="preserve">ttps://launchandscalefaster.org/covid-19  </w:t>
        </w:r>
        <w:r w:rsidRPr="00E83CCB">
          <w:rPr>
            <w:rFonts w:asciiTheme="minorHAnsi" w:hAnsiTheme="minorHAnsi" w:cstheme="minorHAnsi"/>
            <w:sz w:val="16"/>
            <w:szCs w:val="16"/>
            <w:lang w:val="es-419"/>
          </w:rPr>
          <w:t xml:space="preserve">(revisado el 16 de marzo del 2021, actualizado el 12 de marzo del 2021); y la base de datos de población de las Naciones Unidas. </w:t>
        </w:r>
      </w:hyperlink>
    </w:p>
    <w:p w14:paraId="1B939B02" w14:textId="5BF57389" w:rsidR="00D74819" w:rsidRPr="008606FC" w:rsidRDefault="00F8172B" w:rsidP="00AE7EDA">
      <w:pPr>
        <w:spacing w:line="276" w:lineRule="auto"/>
        <w:jc w:val="both"/>
        <w:rPr>
          <w:rFonts w:asciiTheme="minorHAnsi" w:hAnsiTheme="minorHAnsi" w:cstheme="minorHAnsi"/>
          <w:b/>
          <w:bCs/>
          <w:lang w:val="es-ES"/>
        </w:rPr>
      </w:pPr>
      <w:r w:rsidRPr="008606FC">
        <w:rPr>
          <w:rFonts w:asciiTheme="minorHAnsi" w:hAnsiTheme="minorHAnsi" w:cstheme="minorHAnsi"/>
          <w:b/>
          <w:bCs/>
          <w:noProof/>
          <w:lang w:val="es-ES"/>
        </w:rPr>
        <mc:AlternateContent>
          <mc:Choice Requires="wps">
            <w:drawing>
              <wp:anchor distT="45720" distB="45720" distL="114300" distR="114300" simplePos="0" relativeHeight="251666432" behindDoc="0" locked="0" layoutInCell="1" allowOverlap="1" wp14:anchorId="52B3CBDF" wp14:editId="237B511F">
                <wp:simplePos x="0" y="0"/>
                <wp:positionH relativeFrom="margin">
                  <wp:posOffset>1187151</wp:posOffset>
                </wp:positionH>
                <wp:positionV relativeFrom="paragraph">
                  <wp:posOffset>309754</wp:posOffset>
                </wp:positionV>
                <wp:extent cx="3917950" cy="14046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1404620"/>
                        </a:xfrm>
                        <a:prstGeom prst="rect">
                          <a:avLst/>
                        </a:prstGeom>
                        <a:noFill/>
                        <a:ln w="9525">
                          <a:noFill/>
                          <a:miter lim="800000"/>
                          <a:headEnd/>
                          <a:tailEnd/>
                        </a:ln>
                      </wps:spPr>
                      <wps:txbx>
                        <w:txbxContent>
                          <w:p w14:paraId="6E498F91" w14:textId="3845BBD4" w:rsidR="00D74819" w:rsidRPr="00A10534" w:rsidRDefault="00D74819" w:rsidP="003F7232">
                            <w:pPr>
                              <w:spacing w:after="0" w:line="240" w:lineRule="auto"/>
                              <w:jc w:val="center"/>
                              <w:rPr>
                                <w:rFonts w:ascii="Times New Roman" w:hAnsi="Times New Roman" w:cs="Times New Roman"/>
                                <w:b/>
                                <w:bCs/>
                                <w:sz w:val="18"/>
                                <w:szCs w:val="18"/>
                                <w:lang w:val="es-419"/>
                              </w:rPr>
                            </w:pPr>
                            <w:r>
                              <w:rPr>
                                <w:b/>
                                <w:bCs/>
                                <w:lang w:val="es-ES"/>
                              </w:rPr>
                              <w:t>Figura 2</w:t>
                            </w:r>
                            <w:r w:rsidR="003F7232">
                              <w:rPr>
                                <w:b/>
                                <w:bCs/>
                                <w:lang w:val="es-ES"/>
                              </w:rPr>
                              <w:t>.</w:t>
                            </w:r>
                            <w:r>
                              <w:rPr>
                                <w:b/>
                                <w:bCs/>
                                <w:lang w:val="es-ES"/>
                              </w:rPr>
                              <w:t xml:space="preserve"> Porcentaje de la población objetivo con acceso </w:t>
                            </w:r>
                            <w:r w:rsidR="003F7232">
                              <w:rPr>
                                <w:b/>
                                <w:bCs/>
                                <w:lang w:val="es-ES"/>
                              </w:rPr>
                              <w:br/>
                            </w:r>
                            <w:r>
                              <w:rPr>
                                <w:b/>
                                <w:bCs/>
                                <w:lang w:val="es-ES"/>
                              </w:rPr>
                              <w:t>a</w:t>
                            </w:r>
                            <w:r w:rsidR="003F7232">
                              <w:rPr>
                                <w:b/>
                                <w:bCs/>
                                <w:lang w:val="es-ES"/>
                              </w:rPr>
                              <w:t xml:space="preserve"> </w:t>
                            </w:r>
                            <w:r>
                              <w:rPr>
                                <w:b/>
                                <w:bCs/>
                                <w:lang w:val="es-ES"/>
                              </w:rPr>
                              <w:t>las</w:t>
                            </w:r>
                            <w:r w:rsidR="003F7232">
                              <w:rPr>
                                <w:b/>
                                <w:bCs/>
                                <w:lang w:val="es-ES"/>
                              </w:rPr>
                              <w:t xml:space="preserve"> </w:t>
                            </w:r>
                            <w:r>
                              <w:rPr>
                                <w:b/>
                                <w:bCs/>
                                <w:lang w:val="es-ES"/>
                              </w:rPr>
                              <w:t>vacunas contra la COVID-19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B3CBDF" id="_x0000_t202" coordsize="21600,21600" o:spt="202" path="m,l,21600r21600,l21600,xe">
                <v:stroke joinstyle="miter"/>
                <v:path gradientshapeok="t" o:connecttype="rect"/>
              </v:shapetype>
              <v:shape id="Text Box 2" o:spid="_x0000_s1026" type="#_x0000_t202" style="position:absolute;left:0;text-align:left;margin-left:93.5pt;margin-top:24.4pt;width:308.5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" filled="f" stroked="f">
                <v:textbox style="mso-fit-shape-to-text:t">
                  <w:txbxContent>
                    <w:p w14:paraId="6E498F91" w14:textId="3845BBD4" w:rsidR="00D74819" w:rsidRPr="00A10534" w:rsidRDefault="00D74819" w:rsidP="003F7232">
                      <w:pPr>
                        <w:spacing w:after="0" w:line="240" w:lineRule="auto"/>
                        <w:jc w:val="center"/>
                        <w:rPr>
                          <w:rFonts w:ascii="Times New Roman" w:hAnsi="Times New Roman" w:cs="Times New Roman"/>
                          <w:b/>
                          <w:bCs/>
                          <w:sz w:val="18"/>
                          <w:szCs w:val="18"/>
                          <w:lang w:val="es-419"/>
                        </w:rPr>
                      </w:pPr>
                      <w:r>
                        <w:rPr>
                          <w:b/>
                          <w:bCs/>
                          <w:lang w:val="es-ES"/>
                        </w:rPr>
                        <w:t>Figura 2</w:t>
                      </w:r>
                      <w:r w:rsidR="003F7232">
                        <w:rPr>
                          <w:b/>
                          <w:bCs/>
                          <w:lang w:val="es-ES"/>
                        </w:rPr>
                        <w:t>.</w:t>
                      </w:r>
                      <w:r>
                        <w:rPr>
                          <w:b/>
                          <w:bCs/>
                          <w:lang w:val="es-ES"/>
                        </w:rPr>
                        <w:t xml:space="preserve"> Porcentaje de la población objetivo con acceso </w:t>
                      </w:r>
                      <w:r w:rsidR="003F7232">
                        <w:rPr>
                          <w:b/>
                          <w:bCs/>
                          <w:lang w:val="es-ES"/>
                        </w:rPr>
                        <w:br/>
                      </w:r>
                      <w:r>
                        <w:rPr>
                          <w:b/>
                          <w:bCs/>
                          <w:lang w:val="es-ES"/>
                        </w:rPr>
                        <w:t>a</w:t>
                      </w:r>
                      <w:r w:rsidR="003F7232">
                        <w:rPr>
                          <w:b/>
                          <w:bCs/>
                          <w:lang w:val="es-ES"/>
                        </w:rPr>
                        <w:t xml:space="preserve"> </w:t>
                      </w:r>
                      <w:r>
                        <w:rPr>
                          <w:b/>
                          <w:bCs/>
                          <w:lang w:val="es-ES"/>
                        </w:rPr>
                        <w:t>las</w:t>
                      </w:r>
                      <w:r w:rsidR="003F7232">
                        <w:rPr>
                          <w:b/>
                          <w:bCs/>
                          <w:lang w:val="es-ES"/>
                        </w:rPr>
                        <w:t xml:space="preserve"> </w:t>
                      </w:r>
                      <w:r>
                        <w:rPr>
                          <w:b/>
                          <w:bCs/>
                          <w:lang w:val="es-ES"/>
                        </w:rPr>
                        <w:t>vacunas contra la COVID-19</w:t>
                      </w:r>
                    </w:p>
                  </w:txbxContent>
                </v:textbox>
                <w10:wrap type="square" anchorx="margin"/>
              </v:shape>
            </w:pict>
          </mc:Fallback>
        </mc:AlternateContent>
      </w:r>
    </w:p>
    <w:p w14:paraId="08AE66E2" w14:textId="61F054E3" w:rsidR="00D74819" w:rsidRPr="008606FC" w:rsidRDefault="00D74819" w:rsidP="00D74819">
      <w:pPr>
        <w:pStyle w:val="ListParagraph"/>
        <w:spacing w:line="276" w:lineRule="auto"/>
        <w:rPr>
          <w:rFonts w:asciiTheme="minorHAnsi" w:hAnsiTheme="minorHAnsi" w:cstheme="minorHAnsi"/>
          <w:lang w:val="es-ES"/>
        </w:rPr>
      </w:pPr>
    </w:p>
    <w:p w14:paraId="01F3433B" w14:textId="77777777" w:rsidR="00A71852" w:rsidRPr="008606FC" w:rsidRDefault="00A71852" w:rsidP="00D74819">
      <w:pPr>
        <w:pStyle w:val="ListParagraph"/>
        <w:spacing w:line="276" w:lineRule="auto"/>
        <w:rPr>
          <w:rFonts w:asciiTheme="minorHAnsi" w:hAnsiTheme="minorHAnsi" w:cstheme="minorHAnsi"/>
          <w:lang w:val="es-ES"/>
        </w:rPr>
      </w:pPr>
    </w:p>
    <w:p w14:paraId="4370E83F" w14:textId="77777777" w:rsidR="00A71852" w:rsidRPr="008606FC" w:rsidRDefault="00A71852" w:rsidP="00D74819">
      <w:pPr>
        <w:pStyle w:val="ListParagraph"/>
        <w:spacing w:line="276" w:lineRule="auto"/>
        <w:rPr>
          <w:rFonts w:asciiTheme="minorHAnsi" w:hAnsiTheme="minorHAnsi" w:cstheme="minorHAnsi"/>
          <w:lang w:val="es-ES"/>
        </w:rPr>
      </w:pPr>
    </w:p>
    <w:p w14:paraId="2A876016" w14:textId="0C7ED207" w:rsidR="00A71852" w:rsidRPr="008606FC" w:rsidRDefault="00F8172B" w:rsidP="00F8172B">
      <w:pPr>
        <w:pStyle w:val="ListParagraph"/>
        <w:spacing w:line="276" w:lineRule="auto"/>
        <w:jc w:val="center"/>
        <w:rPr>
          <w:rFonts w:asciiTheme="minorHAnsi" w:hAnsiTheme="minorHAnsi" w:cstheme="minorHAnsi"/>
          <w:lang w:val="es-ES"/>
        </w:rPr>
      </w:pPr>
      <w:r>
        <w:rPr>
          <w:rFonts w:asciiTheme="minorHAnsi" w:hAnsiTheme="minorHAnsi" w:cstheme="minorHAnsi"/>
          <w:noProof/>
          <w:lang w:val="es-ES"/>
        </w:rPr>
        <w:drawing>
          <wp:inline distT="0" distB="0" distL="0" distR="0" wp14:anchorId="784C0957" wp14:editId="1F36DDC1">
            <wp:extent cx="4657725" cy="2800350"/>
            <wp:effectExtent l="0" t="0" r="9525" b="0"/>
            <wp:docPr id="6" name="Picture 6"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 2.jpg"/>
                    <pic:cNvPicPr/>
                  </pic:nvPicPr>
                  <pic:blipFill>
                    <a:blip r:embed="rId14">
                      <a:extLst>
                        <a:ext uri="{28A0092B-C50C-407E-A947-70E740481C1C}">
                          <a14:useLocalDpi xmlns:a14="http://schemas.microsoft.com/office/drawing/2010/main" val="0"/>
                        </a:ext>
                      </a:extLst>
                    </a:blip>
                    <a:stretch>
                      <a:fillRect/>
                    </a:stretch>
                  </pic:blipFill>
                  <pic:spPr>
                    <a:xfrm>
                      <a:off x="0" y="0"/>
                      <a:ext cx="4657725" cy="2800350"/>
                    </a:xfrm>
                    <a:prstGeom prst="rect">
                      <a:avLst/>
                    </a:prstGeom>
                  </pic:spPr>
                </pic:pic>
              </a:graphicData>
            </a:graphic>
          </wp:inline>
        </w:drawing>
      </w:r>
    </w:p>
    <w:p w14:paraId="11E0D628" w14:textId="57EBAA1E" w:rsidR="00D74819" w:rsidRPr="008606FC" w:rsidRDefault="00D74819" w:rsidP="00D74819">
      <w:pPr>
        <w:pStyle w:val="ListParagraph"/>
        <w:spacing w:line="276" w:lineRule="auto"/>
        <w:rPr>
          <w:rFonts w:asciiTheme="minorHAnsi" w:hAnsiTheme="minorHAnsi" w:cstheme="minorHAnsi"/>
          <w:lang w:val="es-ES"/>
        </w:rPr>
      </w:pPr>
      <w:r w:rsidRPr="008606FC">
        <w:rPr>
          <w:rFonts w:asciiTheme="minorHAnsi" w:hAnsiTheme="minorHAnsi" w:cstheme="minorHAnsi"/>
          <w:lang w:val="es-ES"/>
        </w:rPr>
        <w:t xml:space="preserve">Al mismo tiempo, de acuerdo con estimaciones del Banco Mundial y UNICEF, los países desarrollados tendrán acceso a vacunas contra la COVID-19 para cubrir a más del 100% de su población objetivo (figura 2). </w:t>
      </w:r>
      <w:r w:rsidR="00862111" w:rsidRPr="008606FC">
        <w:rPr>
          <w:rFonts w:asciiTheme="minorHAnsi" w:hAnsiTheme="minorHAnsi" w:cstheme="minorHAnsi"/>
          <w:lang w:val="es-ES"/>
        </w:rPr>
        <w:t xml:space="preserve">Aquellos </w:t>
      </w:r>
      <w:r w:rsidRPr="008606FC">
        <w:rPr>
          <w:rFonts w:asciiTheme="minorHAnsi" w:hAnsiTheme="minorHAnsi" w:cstheme="minorHAnsi"/>
          <w:lang w:val="es-ES"/>
        </w:rPr>
        <w:t xml:space="preserve">países </w:t>
      </w:r>
      <w:r w:rsidR="00862111" w:rsidRPr="008606FC">
        <w:rPr>
          <w:rFonts w:asciiTheme="minorHAnsi" w:hAnsiTheme="minorHAnsi" w:cstheme="minorHAnsi"/>
          <w:lang w:val="es-ES"/>
        </w:rPr>
        <w:t xml:space="preserve">que </w:t>
      </w:r>
      <w:r w:rsidRPr="008606FC">
        <w:rPr>
          <w:rFonts w:asciiTheme="minorHAnsi" w:hAnsiTheme="minorHAnsi" w:cstheme="minorHAnsi"/>
          <w:lang w:val="es-ES"/>
        </w:rPr>
        <w:t xml:space="preserve">realicen el despliegue de las vacunas de manera </w:t>
      </w:r>
      <w:r w:rsidR="00B91008" w:rsidRPr="008606FC">
        <w:rPr>
          <w:rFonts w:asciiTheme="minorHAnsi" w:hAnsiTheme="minorHAnsi" w:cstheme="minorHAnsi"/>
          <w:lang w:val="es-ES"/>
        </w:rPr>
        <w:t>exitosa</w:t>
      </w:r>
      <w:r w:rsidRPr="008606FC">
        <w:rPr>
          <w:rFonts w:asciiTheme="minorHAnsi" w:hAnsiTheme="minorHAnsi" w:cstheme="minorHAnsi"/>
          <w:lang w:val="es-ES"/>
        </w:rPr>
        <w:t xml:space="preserve"> comenzarán a registrar un excedente de vacunas, lo que implica un fuerte contraste con los países y las regiones de menores ingresos que</w:t>
      </w:r>
      <w:r w:rsidR="003B1624" w:rsidRPr="008606FC">
        <w:rPr>
          <w:rFonts w:asciiTheme="minorHAnsi" w:hAnsiTheme="minorHAnsi" w:cstheme="minorHAnsi"/>
          <w:lang w:val="es-ES"/>
        </w:rPr>
        <w:t xml:space="preserve"> tienen poco </w:t>
      </w:r>
      <w:r w:rsidRPr="008606FC">
        <w:rPr>
          <w:rFonts w:asciiTheme="minorHAnsi" w:hAnsiTheme="minorHAnsi" w:cstheme="minorHAnsi"/>
          <w:lang w:val="es-ES"/>
        </w:rPr>
        <w:t>o ningún acceso directo a las vacunas</w:t>
      </w:r>
      <w:r w:rsidR="003B1624" w:rsidRPr="008606FC">
        <w:rPr>
          <w:rFonts w:asciiTheme="minorHAnsi" w:hAnsiTheme="minorHAnsi" w:cstheme="minorHAnsi"/>
          <w:lang w:val="es-ES"/>
        </w:rPr>
        <w:t xml:space="preserve"> y </w:t>
      </w:r>
      <w:r w:rsidRPr="008606FC">
        <w:rPr>
          <w:rFonts w:asciiTheme="minorHAnsi" w:hAnsiTheme="minorHAnsi" w:cstheme="minorHAnsi"/>
          <w:lang w:val="es-ES"/>
        </w:rPr>
        <w:t>no lograrán la inmunidad colectiva en el 2021.</w:t>
      </w:r>
    </w:p>
    <w:p w14:paraId="50780EA8" w14:textId="37B2DA2F" w:rsidR="00D74819" w:rsidRPr="008606FC" w:rsidRDefault="00F8172B" w:rsidP="00F8172B">
      <w:pPr>
        <w:spacing w:line="276" w:lineRule="auto"/>
        <w:jc w:val="center"/>
        <w:rPr>
          <w:rFonts w:asciiTheme="minorHAnsi" w:hAnsiTheme="minorHAnsi" w:cstheme="minorHAnsi"/>
          <w:lang w:val="es-ES"/>
        </w:rPr>
      </w:pPr>
      <w:r w:rsidRPr="008606FC">
        <w:rPr>
          <w:rFonts w:asciiTheme="minorHAnsi" w:hAnsiTheme="minorHAnsi" w:cstheme="minorHAnsi"/>
          <w:b/>
          <w:bCs/>
          <w:noProof/>
          <w:lang w:val="es-ES"/>
        </w:rPr>
        <mc:AlternateContent>
          <mc:Choice Requires="wps">
            <w:drawing>
              <wp:anchor distT="45720" distB="45720" distL="114300" distR="114300" simplePos="0" relativeHeight="251660288" behindDoc="0" locked="0" layoutInCell="1" allowOverlap="1" wp14:anchorId="351AA006" wp14:editId="7946957B">
                <wp:simplePos x="0" y="0"/>
                <wp:positionH relativeFrom="margin">
                  <wp:align>center</wp:align>
                </wp:positionH>
                <wp:positionV relativeFrom="paragraph">
                  <wp:posOffset>6985</wp:posOffset>
                </wp:positionV>
                <wp:extent cx="3917950" cy="585470"/>
                <wp:effectExtent l="0" t="0" r="0" b="508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7950" cy="585470"/>
                        </a:xfrm>
                        <a:prstGeom prst="rect">
                          <a:avLst/>
                        </a:prstGeom>
                        <a:noFill/>
                        <a:ln w="9525">
                          <a:noFill/>
                          <a:miter lim="800000"/>
                          <a:headEnd/>
                          <a:tailEnd/>
                        </a:ln>
                      </wps:spPr>
                      <wps:txbx>
                        <w:txbxContent>
                          <w:p w14:paraId="0FC5A8FB" w14:textId="5B93B97F" w:rsidR="00D74819" w:rsidRPr="00A10534" w:rsidRDefault="00D74819" w:rsidP="00D74819">
                            <w:pPr>
                              <w:spacing w:after="0"/>
                              <w:jc w:val="center"/>
                              <w:rPr>
                                <w:rFonts w:ascii="Times New Roman" w:hAnsi="Times New Roman" w:cs="Times New Roman"/>
                                <w:b/>
                                <w:bCs/>
                                <w:sz w:val="18"/>
                                <w:szCs w:val="18"/>
                                <w:lang w:val="es-419"/>
                              </w:rPr>
                            </w:pPr>
                            <w:r>
                              <w:rPr>
                                <w:b/>
                                <w:bCs/>
                                <w:lang w:val="es-ES"/>
                              </w:rPr>
                              <w:t>Figura 3</w:t>
                            </w:r>
                            <w:r w:rsidR="003B1624">
                              <w:rPr>
                                <w:b/>
                                <w:bCs/>
                                <w:lang w:val="es-ES"/>
                              </w:rPr>
                              <w:t>.</w:t>
                            </w:r>
                            <w:r>
                              <w:rPr>
                                <w:b/>
                                <w:bCs/>
                                <w:lang w:val="es-ES"/>
                              </w:rPr>
                              <w:t xml:space="preserve"> Proporción del excedente mundial de vacunas</w:t>
                            </w:r>
                          </w:p>
                          <w:p w14:paraId="2CF05703" w14:textId="77777777" w:rsidR="00D74819" w:rsidRPr="00A10534" w:rsidRDefault="00D74819" w:rsidP="00D74819">
                            <w:pPr>
                              <w:spacing w:line="240" w:lineRule="auto"/>
                              <w:jc w:val="center"/>
                              <w:rPr>
                                <w:b/>
                                <w:bCs/>
                                <w:sz w:val="18"/>
                                <w:szCs w:val="18"/>
                                <w:lang w:val="es-419"/>
                              </w:rPr>
                            </w:pPr>
                            <w:r>
                              <w:rPr>
                                <w:b/>
                                <w:bCs/>
                                <w:lang w:val="es-ES"/>
                              </w:rPr>
                              <w:t>(entre paréntesis, el número de personas que podrían vacunarse con el excedente).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AA006" id="_x0000_s1027" type="#_x0000_t202" style="position:absolute;left:0;text-align:left;margin-left:0;margin-top:.55pt;width:308.5pt;height:46.1pt;z-index:2516602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" filled="f" stroked="f">
                <v:textbox>
                  <w:txbxContent>
                    <w:p w14:paraId="0FC5A8FB" w14:textId="5B93B97F" w:rsidR="00D74819" w:rsidRPr="00A10534" w:rsidRDefault="00D74819" w:rsidP="00D74819">
                      <w:pPr>
                        <w:spacing w:after="0"/>
                        <w:jc w:val="center"/>
                        <w:rPr>
                          <w:rFonts w:ascii="Times New Roman" w:hAnsi="Times New Roman" w:cs="Times New Roman"/>
                          <w:b/>
                          <w:bCs/>
                          <w:sz w:val="18"/>
                          <w:szCs w:val="18"/>
                          <w:lang w:val="es-419"/>
                        </w:rPr>
                      </w:pPr>
                      <w:r>
                        <w:rPr>
                          <w:b/>
                          <w:bCs/>
                          <w:lang w:val="es-ES"/>
                        </w:rPr>
                        <w:t>Figura 3</w:t>
                      </w:r>
                      <w:r w:rsidR="003B1624">
                        <w:rPr>
                          <w:b/>
                          <w:bCs/>
                          <w:lang w:val="es-ES"/>
                        </w:rPr>
                        <w:t>.</w:t>
                      </w:r>
                      <w:r>
                        <w:rPr>
                          <w:b/>
                          <w:bCs/>
                          <w:lang w:val="es-ES"/>
                        </w:rPr>
                        <w:t xml:space="preserve"> Proporción del excedente mundial de vacunas</w:t>
                      </w:r>
                    </w:p>
                    <w:p w14:paraId="2CF05703" w14:textId="77777777" w:rsidR="00D74819" w:rsidRPr="00A10534" w:rsidRDefault="00D74819" w:rsidP="00D74819">
                      <w:pPr>
                        <w:spacing w:line="240" w:lineRule="auto"/>
                        <w:jc w:val="center"/>
                        <w:rPr>
                          <w:b/>
                          <w:bCs/>
                          <w:sz w:val="18"/>
                          <w:szCs w:val="18"/>
                          <w:lang w:val="es-419"/>
                        </w:rPr>
                      </w:pPr>
                      <w:r>
                        <w:rPr>
                          <w:b/>
                          <w:bCs/>
                          <w:lang w:val="es-ES"/>
                        </w:rPr>
                        <w:t>(entre paréntesis, el número de personas que podrían vacunarse con el excedente).</w:t>
                      </w:r>
                    </w:p>
                  </w:txbxContent>
                </v:textbox>
                <w10:wrap type="square" anchorx="margin"/>
              </v:shape>
            </w:pict>
          </mc:Fallback>
        </mc:AlternateContent>
      </w:r>
    </w:p>
    <w:p w14:paraId="1F4015DD" w14:textId="245FDD78" w:rsidR="009F3F82" w:rsidRPr="008606FC" w:rsidRDefault="009F3F82" w:rsidP="00F8172B">
      <w:pPr>
        <w:spacing w:line="276" w:lineRule="auto"/>
        <w:jc w:val="center"/>
        <w:rPr>
          <w:rFonts w:asciiTheme="minorHAnsi" w:hAnsiTheme="minorHAnsi" w:cstheme="minorHAnsi"/>
          <w:b/>
          <w:bCs/>
          <w:lang w:val="es-ES"/>
        </w:rPr>
      </w:pPr>
    </w:p>
    <w:p w14:paraId="4EB45156" w14:textId="63690EE5" w:rsidR="009F3F82" w:rsidRPr="008606FC" w:rsidRDefault="00F8172B" w:rsidP="00F8172B">
      <w:pPr>
        <w:spacing w:line="276" w:lineRule="auto"/>
        <w:jc w:val="center"/>
        <w:rPr>
          <w:rFonts w:asciiTheme="minorHAnsi" w:hAnsiTheme="minorHAnsi" w:cstheme="minorHAnsi"/>
          <w:b/>
          <w:bCs/>
          <w:lang w:val="es-ES"/>
        </w:rPr>
      </w:pPr>
      <w:r w:rsidRPr="008606FC">
        <w:rPr>
          <w:rFonts w:asciiTheme="minorHAnsi" w:hAnsiTheme="minorHAnsi" w:cstheme="minorHAnsi"/>
          <w:noProof/>
          <w:lang w:val="es-ES"/>
        </w:rPr>
        <w:drawing>
          <wp:anchor distT="0" distB="0" distL="114300" distR="114300" simplePos="0" relativeHeight="251663360" behindDoc="0" locked="0" layoutInCell="1" allowOverlap="1" wp14:anchorId="5CD81C87" wp14:editId="13375C1A">
            <wp:simplePos x="0" y="0"/>
            <wp:positionH relativeFrom="column">
              <wp:posOffset>1075055</wp:posOffset>
            </wp:positionH>
            <wp:positionV relativeFrom="paragraph">
              <wp:posOffset>1905</wp:posOffset>
            </wp:positionV>
            <wp:extent cx="4253865" cy="2400300"/>
            <wp:effectExtent l="0" t="0" r="0" b="0"/>
            <wp:wrapSquare wrapText="bothSides"/>
            <wp:docPr id="2" name="Gráfico 2">
              <a:extLst xmlns:a="http://schemas.openxmlformats.org/drawingml/2006/main">
                <a:ext uri="{FF2B5EF4-FFF2-40B4-BE49-F238E27FC236}">
                  <a16:creationId xmlns:a16="http://schemas.microsoft.com/office/drawing/2014/main" id="{64F49D0C-8198-4CEA-AA8A-1B2CF526F9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p>
    <w:p w14:paraId="1E8AC84E" w14:textId="77777777" w:rsidR="009F3F82" w:rsidRPr="008606FC" w:rsidRDefault="009F3F82" w:rsidP="00F8172B">
      <w:pPr>
        <w:spacing w:line="276" w:lineRule="auto"/>
        <w:jc w:val="center"/>
        <w:rPr>
          <w:rFonts w:asciiTheme="minorHAnsi" w:hAnsiTheme="minorHAnsi" w:cstheme="minorHAnsi"/>
          <w:b/>
          <w:bCs/>
          <w:lang w:val="es-ES"/>
        </w:rPr>
      </w:pPr>
    </w:p>
    <w:p w14:paraId="3CF3DE3B" w14:textId="77777777" w:rsidR="009F3F82" w:rsidRPr="008606FC" w:rsidRDefault="009F3F82" w:rsidP="00F8172B">
      <w:pPr>
        <w:spacing w:line="276" w:lineRule="auto"/>
        <w:jc w:val="center"/>
        <w:rPr>
          <w:rFonts w:asciiTheme="minorHAnsi" w:hAnsiTheme="minorHAnsi" w:cstheme="minorHAnsi"/>
          <w:b/>
          <w:bCs/>
          <w:lang w:val="es-ES"/>
        </w:rPr>
      </w:pPr>
    </w:p>
    <w:p w14:paraId="32FFA5B5" w14:textId="77777777" w:rsidR="009F3F82" w:rsidRPr="008606FC" w:rsidRDefault="009F3F82" w:rsidP="00F8172B">
      <w:pPr>
        <w:spacing w:line="276" w:lineRule="auto"/>
        <w:jc w:val="center"/>
        <w:rPr>
          <w:rFonts w:asciiTheme="minorHAnsi" w:hAnsiTheme="minorHAnsi" w:cstheme="minorHAnsi"/>
          <w:b/>
          <w:bCs/>
          <w:lang w:val="es-ES"/>
        </w:rPr>
      </w:pPr>
    </w:p>
    <w:p w14:paraId="465746DC" w14:textId="77777777" w:rsidR="009F3F82" w:rsidRPr="008606FC" w:rsidRDefault="009F3F82" w:rsidP="00D74819">
      <w:pPr>
        <w:spacing w:line="276" w:lineRule="auto"/>
        <w:rPr>
          <w:rFonts w:asciiTheme="minorHAnsi" w:hAnsiTheme="minorHAnsi" w:cstheme="minorHAnsi"/>
          <w:b/>
          <w:bCs/>
          <w:lang w:val="es-ES"/>
        </w:rPr>
      </w:pPr>
    </w:p>
    <w:p w14:paraId="2DFA0BA1" w14:textId="77777777" w:rsidR="009F3F82" w:rsidRPr="008606FC" w:rsidRDefault="009F3F82" w:rsidP="00D74819">
      <w:pPr>
        <w:spacing w:line="276" w:lineRule="auto"/>
        <w:rPr>
          <w:rFonts w:asciiTheme="minorHAnsi" w:hAnsiTheme="minorHAnsi" w:cstheme="minorHAnsi"/>
          <w:b/>
          <w:bCs/>
          <w:lang w:val="es-ES"/>
        </w:rPr>
      </w:pPr>
    </w:p>
    <w:p w14:paraId="63842FA9" w14:textId="77777777" w:rsidR="009F3F82" w:rsidRPr="008606FC" w:rsidRDefault="009F3F82" w:rsidP="00D74819">
      <w:pPr>
        <w:spacing w:line="276" w:lineRule="auto"/>
        <w:rPr>
          <w:rFonts w:asciiTheme="minorHAnsi" w:hAnsiTheme="minorHAnsi" w:cstheme="minorHAnsi"/>
          <w:b/>
          <w:bCs/>
          <w:lang w:val="es-ES"/>
        </w:rPr>
      </w:pPr>
    </w:p>
    <w:p w14:paraId="28D71501" w14:textId="4B7E7409" w:rsidR="00D74819" w:rsidRPr="008606FC" w:rsidRDefault="0009183C" w:rsidP="00D74819">
      <w:pPr>
        <w:spacing w:line="276" w:lineRule="auto"/>
        <w:rPr>
          <w:rFonts w:asciiTheme="minorHAnsi" w:hAnsiTheme="minorHAnsi" w:cstheme="minorHAnsi"/>
          <w:lang w:val="es-ES"/>
        </w:rPr>
      </w:pPr>
      <w:r w:rsidRPr="008606FC">
        <w:rPr>
          <w:rFonts w:asciiTheme="minorHAnsi" w:hAnsiTheme="minorHAnsi" w:cstheme="minorHAnsi"/>
          <w:b/>
          <w:bCs/>
          <w:lang w:val="es-ES"/>
        </w:rPr>
        <w:t xml:space="preserve">Los países </w:t>
      </w:r>
      <w:r w:rsidR="00F55291" w:rsidRPr="008606FC">
        <w:rPr>
          <w:rFonts w:asciiTheme="minorHAnsi" w:hAnsiTheme="minorHAnsi" w:cstheme="minorHAnsi"/>
          <w:b/>
          <w:bCs/>
          <w:lang w:val="es-ES"/>
        </w:rPr>
        <w:t xml:space="preserve">con </w:t>
      </w:r>
      <w:r w:rsidRPr="008606FC">
        <w:rPr>
          <w:rFonts w:asciiTheme="minorHAnsi" w:hAnsiTheme="minorHAnsi" w:cstheme="minorHAnsi"/>
          <w:b/>
          <w:bCs/>
          <w:lang w:val="es-ES"/>
        </w:rPr>
        <w:t xml:space="preserve">un excedente </w:t>
      </w:r>
      <w:r w:rsidR="00F55291" w:rsidRPr="008606FC">
        <w:rPr>
          <w:rFonts w:asciiTheme="minorHAnsi" w:hAnsiTheme="minorHAnsi" w:cstheme="minorHAnsi"/>
          <w:b/>
          <w:bCs/>
          <w:lang w:val="es-ES"/>
        </w:rPr>
        <w:t xml:space="preserve">tienen un número consolidado de </w:t>
      </w:r>
      <w:r w:rsidR="00D74819" w:rsidRPr="008606FC">
        <w:rPr>
          <w:rFonts w:asciiTheme="minorHAnsi" w:hAnsiTheme="minorHAnsi" w:cstheme="minorHAnsi"/>
          <w:b/>
          <w:bCs/>
          <w:lang w:val="es-ES"/>
        </w:rPr>
        <w:t xml:space="preserve">dosis </w:t>
      </w:r>
      <w:r w:rsidR="00F55291" w:rsidRPr="008606FC">
        <w:rPr>
          <w:rFonts w:asciiTheme="minorHAnsi" w:hAnsiTheme="minorHAnsi" w:cstheme="minorHAnsi"/>
          <w:b/>
          <w:bCs/>
          <w:lang w:val="es-ES"/>
        </w:rPr>
        <w:t>que per</w:t>
      </w:r>
      <w:r w:rsidR="00D74819" w:rsidRPr="008606FC">
        <w:rPr>
          <w:rFonts w:asciiTheme="minorHAnsi" w:hAnsiTheme="minorHAnsi" w:cstheme="minorHAnsi"/>
          <w:b/>
          <w:bCs/>
          <w:lang w:val="es-ES"/>
        </w:rPr>
        <w:t>mitirían vacunar a casi 2.500 millones de personas en los países con acceso limitado a las vacunas.</w:t>
      </w:r>
      <w:r w:rsidR="00D74819" w:rsidRPr="008606FC">
        <w:rPr>
          <w:rFonts w:asciiTheme="minorHAnsi" w:hAnsiTheme="minorHAnsi" w:cstheme="minorHAnsi"/>
          <w:lang w:val="es-ES"/>
        </w:rPr>
        <w:t xml:space="preserve"> En la figura 3 puede observarse que Estados Unidos tiene dos tercios del excedente mundial total que podría utilizarse para fortalecer la cooperación con otros países en el ámbito de las vacunas y así contribuir a controlar la COVID-19 en la Región y en el mundo entero. El presidente Joe Biden anunció que Estados Unidos tendrá suficientes vacunas para toda la población </w:t>
      </w:r>
      <w:r w:rsidR="006971E8" w:rsidRPr="008606FC">
        <w:rPr>
          <w:rFonts w:asciiTheme="minorHAnsi" w:hAnsiTheme="minorHAnsi" w:cstheme="minorHAnsi"/>
          <w:lang w:val="es-ES"/>
        </w:rPr>
        <w:t>destinataria</w:t>
      </w:r>
      <w:r w:rsidR="00D74819" w:rsidRPr="008606FC">
        <w:rPr>
          <w:rFonts w:asciiTheme="minorHAnsi" w:hAnsiTheme="minorHAnsi" w:cstheme="minorHAnsi"/>
          <w:lang w:val="es-ES"/>
        </w:rPr>
        <w:t xml:space="preserve"> para mayo del 2021; a partir de ese momento, el excedente de ese país </w:t>
      </w:r>
      <w:r w:rsidR="00E3272D" w:rsidRPr="008606FC">
        <w:rPr>
          <w:rFonts w:asciiTheme="minorHAnsi" w:hAnsiTheme="minorHAnsi" w:cstheme="minorHAnsi"/>
          <w:lang w:val="es-ES"/>
        </w:rPr>
        <w:t xml:space="preserve">aumentaría </w:t>
      </w:r>
      <w:r w:rsidR="00D74819" w:rsidRPr="008606FC">
        <w:rPr>
          <w:rFonts w:asciiTheme="minorHAnsi" w:hAnsiTheme="minorHAnsi" w:cstheme="minorHAnsi"/>
          <w:lang w:val="es-ES"/>
        </w:rPr>
        <w:t xml:space="preserve">exponencialmente, lo que crearía una oportunidad extraordinaria para poner en práctica la diplomacia </w:t>
      </w:r>
      <w:r w:rsidR="00D81FFA" w:rsidRPr="008606FC">
        <w:rPr>
          <w:rFonts w:asciiTheme="minorHAnsi" w:hAnsiTheme="minorHAnsi" w:cstheme="minorHAnsi"/>
          <w:lang w:val="es-ES"/>
        </w:rPr>
        <w:t xml:space="preserve">mediante </w:t>
      </w:r>
      <w:r w:rsidR="00D74819" w:rsidRPr="008606FC">
        <w:rPr>
          <w:rFonts w:asciiTheme="minorHAnsi" w:hAnsiTheme="minorHAnsi" w:cstheme="minorHAnsi"/>
          <w:lang w:val="es-ES"/>
        </w:rPr>
        <w:t>las vacunas y obtener beneficios de esa cooperación.</w:t>
      </w:r>
    </w:p>
    <w:p w14:paraId="28A239CF" w14:textId="77777777" w:rsidR="00D74819" w:rsidRPr="008606FC" w:rsidRDefault="00D74819" w:rsidP="001D3C30">
      <w:pPr>
        <w:keepNext/>
        <w:spacing w:line="276" w:lineRule="auto"/>
        <w:jc w:val="both"/>
        <w:rPr>
          <w:rFonts w:asciiTheme="minorHAnsi" w:hAnsiTheme="minorHAnsi" w:cstheme="minorHAnsi"/>
          <w:b/>
          <w:bCs/>
          <w:lang w:val="es-ES"/>
        </w:rPr>
      </w:pPr>
      <w:r w:rsidRPr="008606FC">
        <w:rPr>
          <w:rFonts w:asciiTheme="minorHAnsi" w:hAnsiTheme="minorHAnsi" w:cstheme="minorHAnsi"/>
          <w:b/>
          <w:bCs/>
          <w:lang w:val="es-ES"/>
        </w:rPr>
        <w:t>El liderazgo de Estados Unidos en una Alianza Interamericana para mejorar el acceso a las vacunas contra la COVID-19</w:t>
      </w:r>
      <w:r w:rsidRPr="008606FC">
        <w:rPr>
          <w:rFonts w:asciiTheme="minorHAnsi" w:hAnsiTheme="minorHAnsi" w:cstheme="minorHAnsi"/>
          <w:lang w:val="es-ES"/>
        </w:rPr>
        <w:t xml:space="preserve"> </w:t>
      </w:r>
    </w:p>
    <w:p w14:paraId="72906FC5" w14:textId="38E39D15" w:rsidR="00D74819" w:rsidRPr="008606FC" w:rsidRDefault="00D74819" w:rsidP="00D74819">
      <w:pPr>
        <w:spacing w:line="276" w:lineRule="auto"/>
        <w:ind w:firstLine="720"/>
        <w:rPr>
          <w:rFonts w:asciiTheme="minorHAnsi" w:hAnsiTheme="minorHAnsi" w:cstheme="minorHAnsi"/>
          <w:lang w:val="es-ES"/>
        </w:rPr>
      </w:pPr>
      <w:r w:rsidRPr="008606FC">
        <w:rPr>
          <w:rFonts w:asciiTheme="minorHAnsi" w:hAnsiTheme="minorHAnsi" w:cstheme="minorHAnsi"/>
          <w:lang w:val="es-ES"/>
        </w:rPr>
        <w:t xml:space="preserve">La cooperación entre Estados Unidos y </w:t>
      </w:r>
      <w:r w:rsidR="00560B7A">
        <w:rPr>
          <w:rFonts w:asciiTheme="minorHAnsi" w:hAnsiTheme="minorHAnsi" w:cstheme="minorHAnsi"/>
          <w:lang w:val="es-ES"/>
        </w:rPr>
        <w:t xml:space="preserve">los países y territorios de </w:t>
      </w:r>
      <w:r w:rsidRPr="008606FC">
        <w:rPr>
          <w:rFonts w:asciiTheme="minorHAnsi" w:hAnsiTheme="minorHAnsi" w:cstheme="minorHAnsi"/>
          <w:lang w:val="es-ES"/>
        </w:rPr>
        <w:t xml:space="preserve">América Latina y el Caribe en </w:t>
      </w:r>
      <w:r w:rsidR="001B2FBB" w:rsidRPr="008606FC">
        <w:rPr>
          <w:rFonts w:asciiTheme="minorHAnsi" w:hAnsiTheme="minorHAnsi" w:cstheme="minorHAnsi"/>
          <w:lang w:val="es-ES"/>
        </w:rPr>
        <w:t>materia</w:t>
      </w:r>
      <w:r w:rsidR="00E05AF6" w:rsidRPr="008606FC">
        <w:rPr>
          <w:rFonts w:asciiTheme="minorHAnsi" w:hAnsiTheme="minorHAnsi" w:cstheme="minorHAnsi"/>
          <w:lang w:val="es-ES"/>
        </w:rPr>
        <w:t xml:space="preserve"> </w:t>
      </w:r>
      <w:r w:rsidRPr="008606FC">
        <w:rPr>
          <w:rFonts w:asciiTheme="minorHAnsi" w:hAnsiTheme="minorHAnsi" w:cstheme="minorHAnsi"/>
          <w:lang w:val="es-ES"/>
        </w:rPr>
        <w:t xml:space="preserve">de vacunas representa </w:t>
      </w:r>
      <w:r w:rsidR="00B172DF" w:rsidRPr="008606FC">
        <w:rPr>
          <w:rFonts w:asciiTheme="minorHAnsi" w:hAnsiTheme="minorHAnsi" w:cstheme="minorHAnsi"/>
          <w:lang w:val="es-ES"/>
        </w:rPr>
        <w:t>una</w:t>
      </w:r>
      <w:r w:rsidRPr="008606FC">
        <w:rPr>
          <w:rFonts w:asciiTheme="minorHAnsi" w:hAnsiTheme="minorHAnsi" w:cstheme="minorHAnsi"/>
          <w:lang w:val="es-ES"/>
        </w:rPr>
        <w:t xml:space="preserve"> oportunidad de apoyar a las economías de Estados Unidos y de la </w:t>
      </w:r>
      <w:r w:rsidR="006F65F3">
        <w:rPr>
          <w:rFonts w:asciiTheme="minorHAnsi" w:hAnsiTheme="minorHAnsi" w:cstheme="minorHAnsi"/>
          <w:lang w:val="es-ES"/>
        </w:rPr>
        <w:t>subr</w:t>
      </w:r>
      <w:r w:rsidRPr="008606FC">
        <w:rPr>
          <w:rFonts w:asciiTheme="minorHAnsi" w:hAnsiTheme="minorHAnsi" w:cstheme="minorHAnsi"/>
          <w:lang w:val="es-ES"/>
        </w:rPr>
        <w:t>egión</w:t>
      </w:r>
      <w:r w:rsidR="00E05AF6" w:rsidRPr="008606FC">
        <w:rPr>
          <w:rFonts w:asciiTheme="minorHAnsi" w:hAnsiTheme="minorHAnsi" w:cstheme="minorHAnsi"/>
          <w:lang w:val="es-ES"/>
        </w:rPr>
        <w:t>,</w:t>
      </w:r>
      <w:r w:rsidRPr="008606FC">
        <w:rPr>
          <w:rFonts w:asciiTheme="minorHAnsi" w:hAnsiTheme="minorHAnsi" w:cstheme="minorHAnsi"/>
          <w:lang w:val="es-ES"/>
        </w:rPr>
        <w:t xml:space="preserve"> y </w:t>
      </w:r>
      <w:r w:rsidR="00E05AF6" w:rsidRPr="008606FC">
        <w:rPr>
          <w:rFonts w:asciiTheme="minorHAnsi" w:hAnsiTheme="minorHAnsi" w:cstheme="minorHAnsi"/>
          <w:lang w:val="es-ES"/>
        </w:rPr>
        <w:t xml:space="preserve">de </w:t>
      </w:r>
      <w:r w:rsidRPr="008606FC">
        <w:rPr>
          <w:rFonts w:asciiTheme="minorHAnsi" w:hAnsiTheme="minorHAnsi" w:cstheme="minorHAnsi"/>
          <w:lang w:val="es-ES"/>
        </w:rPr>
        <w:t>proteger la salud y la seguridad nacional de los ciudadanos de Estados Unidos y sus países vecinos. Teniendo en cuenta el tamaño previsto del excedente de vacunas que tendrá Estados Unidos a mediados de</w:t>
      </w:r>
      <w:r w:rsidR="00E05AF6" w:rsidRPr="008606FC">
        <w:rPr>
          <w:rFonts w:asciiTheme="minorHAnsi" w:hAnsiTheme="minorHAnsi" w:cstheme="minorHAnsi"/>
          <w:lang w:val="es-ES"/>
        </w:rPr>
        <w:t>l</w:t>
      </w:r>
      <w:r w:rsidRPr="008606FC">
        <w:rPr>
          <w:rFonts w:asciiTheme="minorHAnsi" w:hAnsiTheme="minorHAnsi" w:cstheme="minorHAnsi"/>
          <w:lang w:val="es-ES"/>
        </w:rPr>
        <w:t xml:space="preserve"> año, la cooperación en el </w:t>
      </w:r>
      <w:r w:rsidR="001B2FBB" w:rsidRPr="008606FC">
        <w:rPr>
          <w:rFonts w:asciiTheme="minorHAnsi" w:hAnsiTheme="minorHAnsi" w:cstheme="minorHAnsi"/>
          <w:lang w:val="es-ES"/>
        </w:rPr>
        <w:t xml:space="preserve">en materia </w:t>
      </w:r>
      <w:r w:rsidRPr="008606FC">
        <w:rPr>
          <w:rFonts w:asciiTheme="minorHAnsi" w:hAnsiTheme="minorHAnsi" w:cstheme="minorHAnsi"/>
          <w:lang w:val="es-ES"/>
        </w:rPr>
        <w:t>de vacunas brinda la mejor oportunidad de consolidar su liderazgo en la salud y el desarrollo mundiales</w:t>
      </w:r>
      <w:r w:rsidR="00F40E36" w:rsidRPr="008606FC">
        <w:rPr>
          <w:rFonts w:asciiTheme="minorHAnsi" w:hAnsiTheme="minorHAnsi" w:cstheme="minorHAnsi"/>
          <w:lang w:val="es-ES"/>
        </w:rPr>
        <w:t>,</w:t>
      </w:r>
      <w:r w:rsidRPr="008606FC">
        <w:rPr>
          <w:rFonts w:asciiTheme="minorHAnsi" w:hAnsiTheme="minorHAnsi" w:cstheme="minorHAnsi"/>
          <w:lang w:val="es-ES"/>
        </w:rPr>
        <w:t xml:space="preserve"> </w:t>
      </w:r>
      <w:r w:rsidR="00236D5A" w:rsidRPr="008606FC">
        <w:rPr>
          <w:rFonts w:asciiTheme="minorHAnsi" w:hAnsiTheme="minorHAnsi" w:cstheme="minorHAnsi"/>
          <w:lang w:val="es-ES"/>
        </w:rPr>
        <w:t xml:space="preserve">así como </w:t>
      </w:r>
      <w:r w:rsidRPr="008606FC">
        <w:rPr>
          <w:rFonts w:asciiTheme="minorHAnsi" w:hAnsiTheme="minorHAnsi" w:cstheme="minorHAnsi"/>
          <w:lang w:val="es-ES"/>
        </w:rPr>
        <w:t>su posición en el complejo entorno geopolítico regional.</w:t>
      </w:r>
      <w:r w:rsidRPr="008606FC">
        <w:rPr>
          <w:rStyle w:val="FootnoteReference"/>
          <w:rFonts w:asciiTheme="minorHAnsi" w:hAnsiTheme="minorHAnsi" w:cstheme="minorHAnsi"/>
          <w:lang w:val="es-ES"/>
        </w:rPr>
        <w:footnoteReference w:id="5"/>
      </w:r>
      <w:r w:rsidRPr="008606FC">
        <w:rPr>
          <w:rFonts w:asciiTheme="minorHAnsi" w:hAnsiTheme="minorHAnsi" w:cstheme="minorHAnsi"/>
          <w:lang w:val="es-ES"/>
        </w:rPr>
        <w:t xml:space="preserve"> Para moverse con celeridad cuando llegue ese momento, es necesario comenzar a planificar ahora.</w:t>
      </w:r>
    </w:p>
    <w:p w14:paraId="2A1CD3E6" w14:textId="601BF8D4" w:rsidR="00D74819" w:rsidRPr="008606FC" w:rsidRDefault="00D74819" w:rsidP="00D74819">
      <w:pPr>
        <w:spacing w:line="276" w:lineRule="auto"/>
        <w:ind w:firstLine="720"/>
        <w:rPr>
          <w:rFonts w:asciiTheme="minorHAnsi" w:hAnsiTheme="minorHAnsi" w:cstheme="minorHAnsi"/>
          <w:b/>
          <w:bCs/>
          <w:lang w:val="es-ES"/>
        </w:rPr>
      </w:pPr>
      <w:r w:rsidRPr="008606FC">
        <w:rPr>
          <w:rFonts w:asciiTheme="minorHAnsi" w:hAnsiTheme="minorHAnsi" w:cstheme="minorHAnsi"/>
          <w:lang w:val="es-ES"/>
        </w:rPr>
        <w:t>Hay varias razones estratégicas por las cuales Estados Unidos debe</w:t>
      </w:r>
      <w:r w:rsidR="000528E5" w:rsidRPr="008606FC">
        <w:rPr>
          <w:rFonts w:asciiTheme="minorHAnsi" w:hAnsiTheme="minorHAnsi" w:cstheme="minorHAnsi"/>
          <w:lang w:val="es-ES"/>
        </w:rPr>
        <w:t>ría</w:t>
      </w:r>
      <w:r w:rsidRPr="008606FC">
        <w:rPr>
          <w:rFonts w:asciiTheme="minorHAnsi" w:hAnsiTheme="minorHAnsi" w:cstheme="minorHAnsi"/>
          <w:lang w:val="es-ES"/>
        </w:rPr>
        <w:t xml:space="preserve"> dar prioridad a América Latina y el Caribe en las donaciones de vacunas contra la COVID-19 o en la asignación del excedente de vacunas contra esta enfermedad; las cuatro más </w:t>
      </w:r>
      <w:r w:rsidR="0018259F" w:rsidRPr="008606FC">
        <w:rPr>
          <w:rFonts w:asciiTheme="minorHAnsi" w:hAnsiTheme="minorHAnsi" w:cstheme="minorHAnsi"/>
          <w:lang w:val="es-ES"/>
        </w:rPr>
        <w:t xml:space="preserve">importantes se relacionan </w:t>
      </w:r>
      <w:r w:rsidRPr="008606FC">
        <w:rPr>
          <w:rFonts w:asciiTheme="minorHAnsi" w:hAnsiTheme="minorHAnsi" w:cstheme="minorHAnsi"/>
          <w:lang w:val="es-ES"/>
        </w:rPr>
        <w:t xml:space="preserve">con la seguridad nacional, la economía, la migración y el turismo. </w:t>
      </w:r>
    </w:p>
    <w:p w14:paraId="2EF9F7CC" w14:textId="3CDDF524" w:rsidR="00D74819" w:rsidRPr="008606FC" w:rsidRDefault="00D74819" w:rsidP="00D74819">
      <w:pPr>
        <w:spacing w:line="276" w:lineRule="auto"/>
        <w:ind w:firstLine="720"/>
        <w:rPr>
          <w:rFonts w:asciiTheme="minorHAnsi" w:hAnsiTheme="minorHAnsi" w:cstheme="minorHAnsi"/>
          <w:lang w:val="es-ES"/>
        </w:rPr>
      </w:pPr>
      <w:r w:rsidRPr="008606FC">
        <w:rPr>
          <w:rFonts w:asciiTheme="minorHAnsi" w:hAnsiTheme="minorHAnsi" w:cstheme="minorHAnsi"/>
          <w:b/>
          <w:bCs/>
          <w:lang w:val="es-ES"/>
        </w:rPr>
        <w:t xml:space="preserve">Seguridad nacional. </w:t>
      </w:r>
      <w:r w:rsidRPr="008606FC">
        <w:rPr>
          <w:rFonts w:asciiTheme="minorHAnsi" w:hAnsiTheme="minorHAnsi" w:cstheme="minorHAnsi"/>
          <w:lang w:val="es-ES"/>
        </w:rPr>
        <w:t xml:space="preserve">Dirigir el excedente de vacunas a América Latina y el Caribe fortalecería la seguridad nacional al reducir la presencia del virus en la Región de las Américas y, por lo tanto, minimizar las probabilidades de que reaparezcan variantes en Estados Unidos. Como se observó con la acelerada transmisión de la variante que se detectó por primera vez en Brasil, es de interés de Estados Unidos y de América Latina y el Caribe detener la ola pandémica en los países </w:t>
      </w:r>
      <w:r w:rsidR="0078135E" w:rsidRPr="008606FC">
        <w:rPr>
          <w:rFonts w:asciiTheme="minorHAnsi" w:hAnsiTheme="minorHAnsi" w:cstheme="minorHAnsi"/>
          <w:lang w:val="es-ES"/>
        </w:rPr>
        <w:t xml:space="preserve">que tienen </w:t>
      </w:r>
      <w:r w:rsidRPr="008606FC">
        <w:rPr>
          <w:rFonts w:asciiTheme="minorHAnsi" w:hAnsiTheme="minorHAnsi" w:cstheme="minorHAnsi"/>
          <w:lang w:val="es-ES"/>
        </w:rPr>
        <w:t xml:space="preserve">los lazos </w:t>
      </w:r>
      <w:r w:rsidR="008B04E9" w:rsidRPr="008606FC">
        <w:rPr>
          <w:rFonts w:asciiTheme="minorHAnsi" w:hAnsiTheme="minorHAnsi" w:cstheme="minorHAnsi"/>
          <w:lang w:val="es-ES"/>
        </w:rPr>
        <w:t xml:space="preserve">geográficos y regionales </w:t>
      </w:r>
      <w:r w:rsidRPr="008606FC">
        <w:rPr>
          <w:rFonts w:asciiTheme="minorHAnsi" w:hAnsiTheme="minorHAnsi" w:cstheme="minorHAnsi"/>
          <w:lang w:val="es-ES"/>
        </w:rPr>
        <w:t>más cercanos</w:t>
      </w:r>
      <w:r w:rsidR="008B04E9" w:rsidRPr="008606FC">
        <w:rPr>
          <w:rFonts w:asciiTheme="minorHAnsi" w:hAnsiTheme="minorHAnsi" w:cstheme="minorHAnsi"/>
          <w:lang w:val="es-ES"/>
        </w:rPr>
        <w:t xml:space="preserve"> con</w:t>
      </w:r>
      <w:r w:rsidRPr="008606FC">
        <w:rPr>
          <w:rFonts w:asciiTheme="minorHAnsi" w:hAnsiTheme="minorHAnsi" w:cstheme="minorHAnsi"/>
          <w:lang w:val="es-ES"/>
        </w:rPr>
        <w:t xml:space="preserve"> Estados Unidos. Además, dado que la pandemia ha causado </w:t>
      </w:r>
      <w:r w:rsidR="0078135E" w:rsidRPr="008606FC">
        <w:rPr>
          <w:rFonts w:asciiTheme="minorHAnsi" w:hAnsiTheme="minorHAnsi" w:cstheme="minorHAnsi"/>
          <w:lang w:val="es-ES"/>
        </w:rPr>
        <w:t xml:space="preserve">considerables disturbios </w:t>
      </w:r>
      <w:r w:rsidRPr="008606FC">
        <w:rPr>
          <w:rFonts w:asciiTheme="minorHAnsi" w:hAnsiTheme="minorHAnsi" w:cstheme="minorHAnsi"/>
          <w:lang w:val="es-ES"/>
        </w:rPr>
        <w:t>público</w:t>
      </w:r>
      <w:r w:rsidR="0078135E" w:rsidRPr="008606FC">
        <w:rPr>
          <w:rFonts w:asciiTheme="minorHAnsi" w:hAnsiTheme="minorHAnsi" w:cstheme="minorHAnsi"/>
          <w:lang w:val="es-ES"/>
        </w:rPr>
        <w:t>s</w:t>
      </w:r>
      <w:r w:rsidRPr="008606FC">
        <w:rPr>
          <w:rFonts w:asciiTheme="minorHAnsi" w:hAnsiTheme="minorHAnsi" w:cstheme="minorHAnsi"/>
          <w:lang w:val="es-ES"/>
        </w:rPr>
        <w:t xml:space="preserve"> en algunos países de</w:t>
      </w:r>
      <w:r w:rsidR="00604769" w:rsidRPr="008606FC">
        <w:rPr>
          <w:rFonts w:asciiTheme="minorHAnsi" w:hAnsiTheme="minorHAnsi" w:cstheme="minorHAnsi"/>
          <w:lang w:val="es-ES"/>
        </w:rPr>
        <w:t xml:space="preserve"> la Región</w:t>
      </w:r>
      <w:r w:rsidRPr="008606FC">
        <w:rPr>
          <w:rFonts w:asciiTheme="minorHAnsi" w:hAnsiTheme="minorHAnsi" w:cstheme="minorHAnsi"/>
          <w:lang w:val="es-ES"/>
        </w:rPr>
        <w:t xml:space="preserve">, el rápido despliegue de las vacunas contra la COVID-19 contribuirá </w:t>
      </w:r>
      <w:r w:rsidR="009438D4" w:rsidRPr="008606FC">
        <w:rPr>
          <w:rFonts w:asciiTheme="minorHAnsi" w:hAnsiTheme="minorHAnsi" w:cstheme="minorHAnsi"/>
          <w:lang w:val="es-ES"/>
        </w:rPr>
        <w:t xml:space="preserve">a </w:t>
      </w:r>
      <w:r w:rsidRPr="008606FC">
        <w:rPr>
          <w:rFonts w:asciiTheme="minorHAnsi" w:hAnsiTheme="minorHAnsi" w:cstheme="minorHAnsi"/>
          <w:lang w:val="es-ES"/>
        </w:rPr>
        <w:t>la estabilidad política de la Región y fortalecerá la cohe</w:t>
      </w:r>
      <w:r w:rsidR="009438D4" w:rsidRPr="008606FC">
        <w:rPr>
          <w:rFonts w:asciiTheme="minorHAnsi" w:hAnsiTheme="minorHAnsi" w:cstheme="minorHAnsi"/>
          <w:lang w:val="es-ES"/>
        </w:rPr>
        <w:t>sión</w:t>
      </w:r>
      <w:r w:rsidRPr="008606FC">
        <w:rPr>
          <w:rFonts w:asciiTheme="minorHAnsi" w:hAnsiTheme="minorHAnsi" w:cstheme="minorHAnsi"/>
          <w:lang w:val="es-ES"/>
        </w:rPr>
        <w:t xml:space="preserve"> </w:t>
      </w:r>
      <w:r w:rsidR="00386F6C" w:rsidRPr="008606FC">
        <w:rPr>
          <w:rFonts w:asciiTheme="minorHAnsi" w:hAnsiTheme="minorHAnsi" w:cstheme="minorHAnsi"/>
          <w:lang w:val="es-ES"/>
        </w:rPr>
        <w:t xml:space="preserve">interamericana </w:t>
      </w:r>
      <w:r w:rsidRPr="008606FC">
        <w:rPr>
          <w:rFonts w:asciiTheme="minorHAnsi" w:hAnsiTheme="minorHAnsi" w:cstheme="minorHAnsi"/>
          <w:lang w:val="es-ES"/>
        </w:rPr>
        <w:t xml:space="preserve">y la colaboración entre los países. </w:t>
      </w:r>
    </w:p>
    <w:p w14:paraId="46A40D66" w14:textId="5AF91AF7" w:rsidR="00D74819" w:rsidRPr="008606FC" w:rsidRDefault="00D74819" w:rsidP="00D74819">
      <w:pPr>
        <w:spacing w:line="276" w:lineRule="auto"/>
        <w:ind w:firstLine="720"/>
        <w:rPr>
          <w:rFonts w:asciiTheme="minorHAnsi" w:hAnsiTheme="minorHAnsi" w:cstheme="minorHAnsi"/>
          <w:lang w:val="es-ES"/>
        </w:rPr>
      </w:pPr>
      <w:r w:rsidRPr="008606FC">
        <w:rPr>
          <w:rFonts w:asciiTheme="minorHAnsi" w:hAnsiTheme="minorHAnsi" w:cstheme="minorHAnsi"/>
          <w:lang w:val="es-ES"/>
        </w:rPr>
        <w:t>Estados Unidos ha tenido un papel líder en el campo de la diplomacia en la salud</w:t>
      </w:r>
      <w:r w:rsidR="00386F6C" w:rsidRPr="008606FC">
        <w:rPr>
          <w:rFonts w:asciiTheme="minorHAnsi" w:hAnsiTheme="minorHAnsi" w:cstheme="minorHAnsi"/>
          <w:lang w:val="es-ES"/>
        </w:rPr>
        <w:t xml:space="preserve"> </w:t>
      </w:r>
      <w:r w:rsidR="00D25927" w:rsidRPr="008606FC">
        <w:rPr>
          <w:rFonts w:asciiTheme="minorHAnsi" w:hAnsiTheme="minorHAnsi" w:cstheme="minorHAnsi"/>
          <w:lang w:val="es-ES"/>
        </w:rPr>
        <w:t>e</w:t>
      </w:r>
      <w:r w:rsidR="00386F6C" w:rsidRPr="008606FC">
        <w:rPr>
          <w:rFonts w:asciiTheme="minorHAnsi" w:hAnsiTheme="minorHAnsi" w:cstheme="minorHAnsi"/>
          <w:lang w:val="es-ES"/>
        </w:rPr>
        <w:t>n América Latina y el Caribe</w:t>
      </w:r>
      <w:r w:rsidRPr="008606FC">
        <w:rPr>
          <w:rFonts w:asciiTheme="minorHAnsi" w:hAnsiTheme="minorHAnsi" w:cstheme="minorHAnsi"/>
          <w:lang w:val="es-ES"/>
        </w:rPr>
        <w:t xml:space="preserve">, </w:t>
      </w:r>
      <w:r w:rsidR="00D25927" w:rsidRPr="008606FC">
        <w:rPr>
          <w:rFonts w:asciiTheme="minorHAnsi" w:hAnsiTheme="minorHAnsi" w:cstheme="minorHAnsi"/>
          <w:lang w:val="es-ES"/>
        </w:rPr>
        <w:t>en especial e</w:t>
      </w:r>
      <w:r w:rsidRPr="008606FC">
        <w:rPr>
          <w:rFonts w:asciiTheme="minorHAnsi" w:hAnsiTheme="minorHAnsi" w:cstheme="minorHAnsi"/>
          <w:lang w:val="es-ES"/>
        </w:rPr>
        <w:t>n la esfera de la asistencia de la salud y el desarrollo a escala internacional por conducto de USAID, en cooperación con la OPS y sus asociados. Entre los ejemplos de ese liderazgo se encuentran el fortalecimiento de</w:t>
      </w:r>
      <w:r w:rsidR="006F65F3">
        <w:rPr>
          <w:rFonts w:asciiTheme="minorHAnsi" w:hAnsiTheme="minorHAnsi" w:cstheme="minorHAnsi"/>
          <w:lang w:val="es-ES"/>
        </w:rPr>
        <w:t>l</w:t>
      </w:r>
      <w:r w:rsidRPr="008606FC">
        <w:rPr>
          <w:rFonts w:asciiTheme="minorHAnsi" w:hAnsiTheme="minorHAnsi" w:cstheme="minorHAnsi"/>
          <w:lang w:val="es-ES"/>
        </w:rPr>
        <w:t xml:space="preserve"> Reglamento Sanitario Internacional, el apoyo al control y la eliminación de enfermedades prevenibles mediante vacunación, incluido el sarampión, y el apoyo al control de la propagación de la infección por VIH/sida. La participación de Estados Unidos en estas áreas estratégicas no solo ha generado beneficios directos para la salud en América Latina y el Caribe, sino que además las medidas que Estados Unidos ha adoptado han reducido la amenaza a la seguridad nacional asociada a la propagación y la transmisión de enfermedades dentro de su territorio. </w:t>
      </w:r>
      <w:r w:rsidR="002B1721" w:rsidRPr="008606FC">
        <w:rPr>
          <w:rFonts w:asciiTheme="minorHAnsi" w:hAnsiTheme="minorHAnsi" w:cstheme="minorHAnsi"/>
          <w:lang w:val="es-ES"/>
        </w:rPr>
        <w:t>L</w:t>
      </w:r>
      <w:r w:rsidRPr="008606FC">
        <w:rPr>
          <w:rFonts w:asciiTheme="minorHAnsi" w:hAnsiTheme="minorHAnsi" w:cstheme="minorHAnsi"/>
          <w:lang w:val="es-ES"/>
        </w:rPr>
        <w:t xml:space="preserve">a COVID-19 merece </w:t>
      </w:r>
      <w:r w:rsidR="002B1721" w:rsidRPr="008606FC">
        <w:rPr>
          <w:rFonts w:asciiTheme="minorHAnsi" w:hAnsiTheme="minorHAnsi" w:cstheme="minorHAnsi"/>
          <w:lang w:val="es-ES"/>
        </w:rPr>
        <w:t xml:space="preserve">actualmente </w:t>
      </w:r>
      <w:r w:rsidRPr="008606FC">
        <w:rPr>
          <w:rFonts w:asciiTheme="minorHAnsi" w:hAnsiTheme="minorHAnsi" w:cstheme="minorHAnsi"/>
          <w:lang w:val="es-ES"/>
        </w:rPr>
        <w:t xml:space="preserve">un enfoque similar, con </w:t>
      </w:r>
      <w:r w:rsidR="00FF3BD1" w:rsidRPr="008606FC">
        <w:rPr>
          <w:rFonts w:asciiTheme="minorHAnsi" w:hAnsiTheme="minorHAnsi" w:cstheme="minorHAnsi"/>
          <w:lang w:val="es-ES"/>
        </w:rPr>
        <w:t xml:space="preserve">el apoyo del </w:t>
      </w:r>
      <w:r w:rsidRPr="008606FC">
        <w:rPr>
          <w:rFonts w:asciiTheme="minorHAnsi" w:hAnsiTheme="minorHAnsi" w:cstheme="minorHAnsi"/>
          <w:lang w:val="es-ES"/>
        </w:rPr>
        <w:t xml:space="preserve">rápido despliegue de vacunas en América Latina y el Caribe. El número de dosis que América Latina y el Caribe necesitará en los próximos meses para este fin puede canalizarse estratégicamente para optimizar </w:t>
      </w:r>
      <w:r w:rsidR="006F661A" w:rsidRPr="008606FC">
        <w:rPr>
          <w:rFonts w:asciiTheme="minorHAnsi" w:hAnsiTheme="minorHAnsi" w:cstheme="minorHAnsi"/>
          <w:lang w:val="es-ES"/>
        </w:rPr>
        <w:t xml:space="preserve">su </w:t>
      </w:r>
      <w:r w:rsidRPr="008606FC">
        <w:rPr>
          <w:rFonts w:asciiTheme="minorHAnsi" w:hAnsiTheme="minorHAnsi" w:cstheme="minorHAnsi"/>
          <w:lang w:val="es-ES"/>
        </w:rPr>
        <w:t xml:space="preserve">impacto, a fin de asegurar el consiguiente beneficio para estos países y, al mismo tiempo, velar por los intereses de Estados Unidos en cuanto a </w:t>
      </w:r>
      <w:r w:rsidR="004F2ECF" w:rsidRPr="008606FC">
        <w:rPr>
          <w:rFonts w:asciiTheme="minorHAnsi" w:hAnsiTheme="minorHAnsi" w:cstheme="minorHAnsi"/>
          <w:lang w:val="es-ES"/>
        </w:rPr>
        <w:t>su</w:t>
      </w:r>
      <w:r w:rsidRPr="008606FC">
        <w:rPr>
          <w:rFonts w:asciiTheme="minorHAnsi" w:hAnsiTheme="minorHAnsi" w:cstheme="minorHAnsi"/>
          <w:lang w:val="es-ES"/>
        </w:rPr>
        <w:t xml:space="preserve"> seguridad nacional. </w:t>
      </w:r>
    </w:p>
    <w:p w14:paraId="0F720135" w14:textId="734088CF" w:rsidR="00D74819" w:rsidRPr="008606FC" w:rsidRDefault="00D74819" w:rsidP="00932A82">
      <w:pPr>
        <w:spacing w:line="276" w:lineRule="auto"/>
        <w:ind w:firstLine="720"/>
        <w:rPr>
          <w:rFonts w:asciiTheme="minorHAnsi" w:hAnsiTheme="minorHAnsi" w:cstheme="minorHAnsi"/>
          <w:lang w:val="es-ES"/>
        </w:rPr>
      </w:pPr>
      <w:r w:rsidRPr="008606FC">
        <w:rPr>
          <w:rFonts w:asciiTheme="minorHAnsi" w:hAnsiTheme="minorHAnsi" w:cstheme="minorHAnsi"/>
          <w:b/>
          <w:bCs/>
          <w:lang w:val="es-ES"/>
        </w:rPr>
        <w:t>Economía.</w:t>
      </w:r>
      <w:r w:rsidRPr="008606FC">
        <w:rPr>
          <w:rFonts w:asciiTheme="minorHAnsi" w:hAnsiTheme="minorHAnsi" w:cstheme="minorHAnsi"/>
          <w:lang w:val="es-ES"/>
        </w:rPr>
        <w:t xml:space="preserve"> El alcance del comercio y de la integración económica regional entre América Latina y el Caribe y Estados Unidos se ha ampliado en l</w:t>
      </w:r>
      <w:r w:rsidR="00D84942" w:rsidRPr="008606FC">
        <w:rPr>
          <w:rFonts w:asciiTheme="minorHAnsi" w:hAnsiTheme="minorHAnsi" w:cstheme="minorHAnsi"/>
          <w:lang w:val="es-ES"/>
        </w:rPr>
        <w:t xml:space="preserve">as </w:t>
      </w:r>
      <w:r w:rsidRPr="008606FC">
        <w:rPr>
          <w:rFonts w:asciiTheme="minorHAnsi" w:hAnsiTheme="minorHAnsi" w:cstheme="minorHAnsi"/>
          <w:lang w:val="es-ES"/>
        </w:rPr>
        <w:t>últim</w:t>
      </w:r>
      <w:r w:rsidR="00D84942" w:rsidRPr="008606FC">
        <w:rPr>
          <w:rFonts w:asciiTheme="minorHAnsi" w:hAnsiTheme="minorHAnsi" w:cstheme="minorHAnsi"/>
          <w:lang w:val="es-ES"/>
        </w:rPr>
        <w:t>as décadas</w:t>
      </w:r>
      <w:r w:rsidRPr="008606FC">
        <w:rPr>
          <w:rFonts w:asciiTheme="minorHAnsi" w:hAnsiTheme="minorHAnsi" w:cstheme="minorHAnsi"/>
          <w:lang w:val="es-ES"/>
        </w:rPr>
        <w:t xml:space="preserve"> con el establecimiento de importantes vínculos entre sus economías. De acuerdo con cifras de la C</w:t>
      </w:r>
      <w:r w:rsidR="00560B7A">
        <w:rPr>
          <w:rFonts w:asciiTheme="minorHAnsi" w:hAnsiTheme="minorHAnsi" w:cstheme="minorHAnsi"/>
          <w:lang w:val="es-ES"/>
        </w:rPr>
        <w:t xml:space="preserve">omisión </w:t>
      </w:r>
      <w:r w:rsidRPr="008606FC">
        <w:rPr>
          <w:rFonts w:asciiTheme="minorHAnsi" w:hAnsiTheme="minorHAnsi" w:cstheme="minorHAnsi"/>
          <w:lang w:val="es-ES"/>
        </w:rPr>
        <w:t>E</w:t>
      </w:r>
      <w:r w:rsidR="00560B7A">
        <w:rPr>
          <w:rFonts w:asciiTheme="minorHAnsi" w:hAnsiTheme="minorHAnsi" w:cstheme="minorHAnsi"/>
          <w:lang w:val="es-ES"/>
        </w:rPr>
        <w:t xml:space="preserve">conómica para </w:t>
      </w:r>
      <w:r w:rsidR="006D51C5">
        <w:rPr>
          <w:rFonts w:asciiTheme="minorHAnsi" w:hAnsiTheme="minorHAnsi" w:cstheme="minorHAnsi"/>
          <w:lang w:val="es-ES"/>
        </w:rPr>
        <w:t>América Latina y el Caribe (CE</w:t>
      </w:r>
      <w:r w:rsidRPr="008606FC">
        <w:rPr>
          <w:rFonts w:asciiTheme="minorHAnsi" w:hAnsiTheme="minorHAnsi" w:cstheme="minorHAnsi"/>
          <w:lang w:val="es-ES"/>
        </w:rPr>
        <w:t>PAL</w:t>
      </w:r>
      <w:r w:rsidR="006D51C5">
        <w:rPr>
          <w:rFonts w:asciiTheme="minorHAnsi" w:hAnsiTheme="minorHAnsi" w:cstheme="minorHAnsi"/>
          <w:lang w:val="es-ES"/>
        </w:rPr>
        <w:t>)</w:t>
      </w:r>
      <w:r w:rsidRPr="008606FC">
        <w:rPr>
          <w:rFonts w:asciiTheme="minorHAnsi" w:hAnsiTheme="minorHAnsi" w:cstheme="minorHAnsi"/>
          <w:lang w:val="es-ES"/>
        </w:rPr>
        <w:t>, los principales socios comerciales de Estados Unidos en América Latina y el Caribe son México, Brasil, Colombia y Chile, que en conjunto representan 83% del flujo comercial de bienes</w:t>
      </w:r>
      <w:r w:rsidR="00A27F49" w:rsidRPr="008606FC">
        <w:rPr>
          <w:rFonts w:asciiTheme="minorHAnsi" w:hAnsiTheme="minorHAnsi" w:cstheme="minorHAnsi"/>
          <w:lang w:val="es-ES"/>
        </w:rPr>
        <w:t xml:space="preserve"> con América Latina y el Caribe</w:t>
      </w:r>
      <w:r w:rsidRPr="008606FC">
        <w:rPr>
          <w:rFonts w:asciiTheme="minorHAnsi" w:hAnsiTheme="minorHAnsi" w:cstheme="minorHAnsi"/>
          <w:lang w:val="es-ES"/>
        </w:rPr>
        <w:t xml:space="preserve">. Entre las principales categorías de productos que Estados Unidos importa de América Latina y el Caribe se encuentran vehículos, </w:t>
      </w:r>
      <w:r w:rsidR="00E32965" w:rsidRPr="008606FC">
        <w:rPr>
          <w:rFonts w:asciiTheme="minorHAnsi" w:hAnsiTheme="minorHAnsi" w:cstheme="minorHAnsi"/>
          <w:lang w:val="es-ES"/>
        </w:rPr>
        <w:t>repuestos</w:t>
      </w:r>
      <w:r w:rsidRPr="008606FC">
        <w:rPr>
          <w:rFonts w:asciiTheme="minorHAnsi" w:hAnsiTheme="minorHAnsi" w:cstheme="minorHAnsi"/>
          <w:lang w:val="es-ES"/>
        </w:rPr>
        <w:t xml:space="preserve"> y accesorios automotores; reactores nucleares, calderas, maquinaria y aparatos mecánicos; maquinaria eléctrica, </w:t>
      </w:r>
      <w:r w:rsidR="009D5877" w:rsidRPr="008606FC">
        <w:rPr>
          <w:rFonts w:asciiTheme="minorHAnsi" w:hAnsiTheme="minorHAnsi" w:cstheme="minorHAnsi"/>
          <w:lang w:val="es-ES"/>
        </w:rPr>
        <w:t>repuestos y equipos</w:t>
      </w:r>
      <w:r w:rsidRPr="008606FC">
        <w:rPr>
          <w:rFonts w:asciiTheme="minorHAnsi" w:hAnsiTheme="minorHAnsi" w:cstheme="minorHAnsi"/>
          <w:lang w:val="es-ES"/>
        </w:rPr>
        <w:t>; y combustibles minerales, aceites minerales y productos de su destilación, sustancias bituminosas y ceras minerales. Las exportaciones de América Latina y el Caribe no podrán recuperarse por completo a menos que la pandemia en estos países esté bajo control y las medidas de salud pública puedan flexibilizarse por completo. Además, las importaciones de bienes intermedios o finales seguirán viéndose afectadas mientras los países proveedores no se recuperen completamente de la pandemia, lo que a su vez disminuye la capacidad de producción de Estados Unidos.</w:t>
      </w:r>
    </w:p>
    <w:p w14:paraId="23A4FF42" w14:textId="3C418D7C" w:rsidR="00D74819" w:rsidRPr="008606FC" w:rsidRDefault="00D74819" w:rsidP="0082280F">
      <w:pPr>
        <w:spacing w:line="276" w:lineRule="auto"/>
        <w:ind w:firstLine="720"/>
        <w:rPr>
          <w:rFonts w:asciiTheme="minorHAnsi" w:hAnsiTheme="minorHAnsi" w:cstheme="minorHAnsi"/>
          <w:lang w:val="es-ES"/>
        </w:rPr>
      </w:pPr>
      <w:r w:rsidRPr="008606FC">
        <w:rPr>
          <w:rFonts w:asciiTheme="minorHAnsi" w:hAnsiTheme="minorHAnsi" w:cstheme="minorHAnsi"/>
          <w:lang w:val="es-ES"/>
        </w:rPr>
        <w:t xml:space="preserve">La </w:t>
      </w:r>
      <w:r w:rsidR="0082280F" w:rsidRPr="008606FC">
        <w:rPr>
          <w:rFonts w:asciiTheme="minorHAnsi" w:hAnsiTheme="minorHAnsi" w:cstheme="minorHAnsi"/>
          <w:lang w:val="es-ES"/>
        </w:rPr>
        <w:t xml:space="preserve">disminución </w:t>
      </w:r>
      <w:r w:rsidR="001A5BBA" w:rsidRPr="008606FC">
        <w:rPr>
          <w:rFonts w:asciiTheme="minorHAnsi" w:hAnsiTheme="minorHAnsi" w:cstheme="minorHAnsi"/>
          <w:lang w:val="es-ES"/>
        </w:rPr>
        <w:t>d</w:t>
      </w:r>
      <w:r w:rsidRPr="008606FC">
        <w:rPr>
          <w:rFonts w:asciiTheme="minorHAnsi" w:hAnsiTheme="minorHAnsi" w:cstheme="minorHAnsi"/>
          <w:lang w:val="es-ES"/>
        </w:rPr>
        <w:t>el producto interno bruto (PIB) a escala mundial como consecuencia de la COVID-19 ha sido la mayor</w:t>
      </w:r>
      <w:r w:rsidR="001A5BBA" w:rsidRPr="008606FC">
        <w:rPr>
          <w:rFonts w:asciiTheme="minorHAnsi" w:hAnsiTheme="minorHAnsi" w:cstheme="minorHAnsi"/>
          <w:lang w:val="es-ES"/>
        </w:rPr>
        <w:t xml:space="preserve"> registrada</w:t>
      </w:r>
      <w:r w:rsidRPr="008606FC">
        <w:rPr>
          <w:rFonts w:asciiTheme="minorHAnsi" w:hAnsiTheme="minorHAnsi" w:cstheme="minorHAnsi"/>
          <w:lang w:val="es-ES"/>
        </w:rPr>
        <w:t xml:space="preserve"> desde 1946. América Latina y el Caribe ha recibido el golpe más fuerte: se estima que en estos países la caída del PIB oscila entre 6,9% y 8,1%. La evolución del PIB per cápita muestra que este ha vuelto a los niveles registrados en el 2010, y que la tasa de pobreza subió en tres puntos porcentuales para ubicarse en 33,7%</w:t>
      </w:r>
      <w:r w:rsidR="00CE3764" w:rsidRPr="008606FC">
        <w:rPr>
          <w:rFonts w:asciiTheme="minorHAnsi" w:hAnsiTheme="minorHAnsi" w:cstheme="minorHAnsi"/>
          <w:lang w:val="es-ES"/>
        </w:rPr>
        <w:t xml:space="preserve">, lo que representa </w:t>
      </w:r>
      <w:r w:rsidR="00E46A39" w:rsidRPr="008606FC">
        <w:rPr>
          <w:rFonts w:asciiTheme="minorHAnsi" w:hAnsiTheme="minorHAnsi" w:cstheme="minorHAnsi"/>
          <w:lang w:val="es-ES"/>
        </w:rPr>
        <w:t xml:space="preserve">14 años de avances en el alivio de la pobreza </w:t>
      </w:r>
      <w:r w:rsidR="00182688" w:rsidRPr="008606FC">
        <w:rPr>
          <w:rFonts w:asciiTheme="minorHAnsi" w:hAnsiTheme="minorHAnsi" w:cstheme="minorHAnsi"/>
          <w:lang w:val="es-ES"/>
        </w:rPr>
        <w:t xml:space="preserve">perdidos </w:t>
      </w:r>
      <w:r w:rsidR="00E46A39" w:rsidRPr="008606FC">
        <w:rPr>
          <w:rFonts w:asciiTheme="minorHAnsi" w:hAnsiTheme="minorHAnsi" w:cstheme="minorHAnsi"/>
          <w:lang w:val="es-ES"/>
        </w:rPr>
        <w:t>en un año</w:t>
      </w:r>
      <w:r w:rsidRPr="008606FC">
        <w:rPr>
          <w:rFonts w:asciiTheme="minorHAnsi" w:hAnsiTheme="minorHAnsi" w:cstheme="minorHAnsi"/>
          <w:lang w:val="es-ES"/>
        </w:rPr>
        <w:t>.</w:t>
      </w:r>
      <w:r w:rsidRPr="008606FC">
        <w:rPr>
          <w:rFonts w:asciiTheme="minorHAnsi" w:hAnsiTheme="minorHAnsi" w:cstheme="minorHAnsi"/>
          <w:vertAlign w:val="superscript"/>
          <w:lang w:val="es-ES"/>
        </w:rPr>
        <w:footnoteReference w:id="6"/>
      </w:r>
      <w:r w:rsidRPr="008606FC">
        <w:rPr>
          <w:rFonts w:asciiTheme="minorHAnsi" w:hAnsiTheme="minorHAnsi" w:cstheme="minorHAnsi"/>
          <w:vertAlign w:val="superscript"/>
          <w:lang w:val="es-ES"/>
        </w:rPr>
        <w:t xml:space="preserve"> </w:t>
      </w:r>
      <w:r w:rsidRPr="008606FC">
        <w:rPr>
          <w:rFonts w:asciiTheme="minorHAnsi" w:hAnsiTheme="minorHAnsi" w:cstheme="minorHAnsi"/>
          <w:lang w:val="es-ES"/>
        </w:rPr>
        <w:t xml:space="preserve">Los gobiernos de </w:t>
      </w:r>
      <w:r w:rsidR="005239C1">
        <w:rPr>
          <w:rFonts w:asciiTheme="minorHAnsi" w:hAnsiTheme="minorHAnsi" w:cstheme="minorHAnsi"/>
          <w:lang w:val="es-ES"/>
        </w:rPr>
        <w:t>América Latina y el Caribe</w:t>
      </w:r>
      <w:r w:rsidR="00EF3228" w:rsidRPr="008606FC">
        <w:rPr>
          <w:rFonts w:asciiTheme="minorHAnsi" w:hAnsiTheme="minorHAnsi" w:cstheme="minorHAnsi"/>
          <w:lang w:val="es-ES"/>
        </w:rPr>
        <w:t xml:space="preserve"> </w:t>
      </w:r>
      <w:r w:rsidRPr="008606FC">
        <w:rPr>
          <w:rFonts w:asciiTheme="minorHAnsi" w:hAnsiTheme="minorHAnsi" w:cstheme="minorHAnsi"/>
          <w:lang w:val="es-ES"/>
        </w:rPr>
        <w:t>han respondido a la pandemia con medidas de estímulo de gran escala destinadas a mitigar las repercusiones sociales, económicas y de salud. Sin este estímulo adicional, los efectos de la pandemia en la salud, el empleo, los ingresos de los hogares y la pobreza habrían sido mucho más catastróficos.</w:t>
      </w:r>
    </w:p>
    <w:p w14:paraId="5F1B514E" w14:textId="0B6E7B50" w:rsidR="00D74819" w:rsidRPr="008606FC" w:rsidRDefault="00D74819" w:rsidP="00163CC2">
      <w:pPr>
        <w:spacing w:line="276" w:lineRule="auto"/>
        <w:ind w:firstLine="720"/>
        <w:rPr>
          <w:rFonts w:asciiTheme="minorHAnsi" w:hAnsiTheme="minorHAnsi" w:cstheme="minorHAnsi"/>
          <w:lang w:val="es-ES"/>
        </w:rPr>
      </w:pPr>
      <w:r w:rsidRPr="008606FC">
        <w:rPr>
          <w:rFonts w:asciiTheme="minorHAnsi" w:hAnsiTheme="minorHAnsi" w:cstheme="minorHAnsi"/>
          <w:lang w:val="es-ES"/>
        </w:rPr>
        <w:t xml:space="preserve">Sin embargo, las economías de América Latina y el Caribe no pueden sostener este grado de estímulo debido a los altos niveles de endeudamiento y la falta de margen fiscal. La cooperación en materia de vacunas con Estados Unidos aliviará las presiones sobre las economías de América Latina y el Caribe y brindará apoyo a la estabilidad social. Además, el despliegue acelerado de las vacunas </w:t>
      </w:r>
      <w:r w:rsidR="00AB3983" w:rsidRPr="008606FC">
        <w:rPr>
          <w:rFonts w:asciiTheme="minorHAnsi" w:hAnsiTheme="minorHAnsi" w:cstheme="minorHAnsi"/>
          <w:lang w:val="es-ES"/>
        </w:rPr>
        <w:t xml:space="preserve">apoyará a </w:t>
      </w:r>
      <w:r w:rsidRPr="008606FC">
        <w:rPr>
          <w:rFonts w:asciiTheme="minorHAnsi" w:hAnsiTheme="minorHAnsi" w:cstheme="minorHAnsi"/>
          <w:lang w:val="es-ES"/>
        </w:rPr>
        <w:t xml:space="preserve">los grupos vulnerables </w:t>
      </w:r>
      <w:r w:rsidR="00BA3E1A" w:rsidRPr="008606FC">
        <w:rPr>
          <w:rFonts w:asciiTheme="minorHAnsi" w:hAnsiTheme="minorHAnsi" w:cstheme="minorHAnsi"/>
          <w:lang w:val="es-ES"/>
        </w:rPr>
        <w:t>en su reincorporación a</w:t>
      </w:r>
      <w:r w:rsidRPr="008606FC">
        <w:rPr>
          <w:rFonts w:asciiTheme="minorHAnsi" w:hAnsiTheme="minorHAnsi" w:cstheme="minorHAnsi"/>
          <w:lang w:val="es-ES"/>
        </w:rPr>
        <w:t xml:space="preserve">l mercado laboral, un factor que ha contribuido considerablemente con el aumento de los niveles de migración en la Región de las Américas. </w:t>
      </w:r>
    </w:p>
    <w:p w14:paraId="5FE13230" w14:textId="1148DC3A" w:rsidR="00D74819" w:rsidRPr="008606FC" w:rsidRDefault="00D74819" w:rsidP="00D74819">
      <w:pPr>
        <w:spacing w:line="276" w:lineRule="auto"/>
        <w:ind w:firstLine="720"/>
        <w:rPr>
          <w:rFonts w:asciiTheme="minorHAnsi" w:hAnsiTheme="minorHAnsi" w:cstheme="minorHAnsi"/>
          <w:lang w:val="es-ES"/>
        </w:rPr>
      </w:pPr>
      <w:r w:rsidRPr="008606FC">
        <w:rPr>
          <w:rFonts w:asciiTheme="minorHAnsi" w:hAnsiTheme="minorHAnsi" w:cstheme="minorHAnsi"/>
          <w:b/>
          <w:bCs/>
          <w:lang w:val="es-ES"/>
        </w:rPr>
        <w:t>Migración.</w:t>
      </w:r>
      <w:r w:rsidRPr="008606FC">
        <w:rPr>
          <w:rFonts w:asciiTheme="minorHAnsi" w:hAnsiTheme="minorHAnsi" w:cstheme="minorHAnsi"/>
          <w:lang w:val="es-ES"/>
        </w:rPr>
        <w:t xml:space="preserve"> La mitad de l</w:t>
      </w:r>
      <w:r w:rsidR="00FD5809" w:rsidRPr="008606FC">
        <w:rPr>
          <w:rFonts w:asciiTheme="minorHAnsi" w:hAnsiTheme="minorHAnsi" w:cstheme="minorHAnsi"/>
          <w:lang w:val="es-ES"/>
        </w:rPr>
        <w:t xml:space="preserve">os inmigrantes en </w:t>
      </w:r>
      <w:r w:rsidRPr="008606FC">
        <w:rPr>
          <w:rFonts w:asciiTheme="minorHAnsi" w:hAnsiTheme="minorHAnsi" w:cstheme="minorHAnsi"/>
          <w:lang w:val="es-ES"/>
        </w:rPr>
        <w:t>Estados Unidos proviene de América Latina y el Caribe (un tercio de México, el Triángulo Norte de Centroamérica y el Caribe), lo que representa un flujo anual promedio de más de 200.000 personas. Dada la persistente crisis económica causada por la pandemia de COVID-19 en América Latina y el Caribe (combinada con una recuperación de la economía estadounidense), estas cifras pueden aumentar si se registra un déficit en la creación de empleos en los países de origen.</w:t>
      </w:r>
    </w:p>
    <w:p w14:paraId="557CBC48" w14:textId="3F291E32" w:rsidR="00D74819" w:rsidRPr="008606FC" w:rsidRDefault="00D74819" w:rsidP="00DA645B">
      <w:pPr>
        <w:spacing w:line="276" w:lineRule="auto"/>
        <w:ind w:firstLine="720"/>
        <w:rPr>
          <w:rFonts w:asciiTheme="minorHAnsi" w:hAnsiTheme="minorHAnsi" w:cstheme="minorHAnsi"/>
          <w:lang w:val="es-ES"/>
        </w:rPr>
      </w:pPr>
      <w:r w:rsidRPr="008606FC">
        <w:rPr>
          <w:rFonts w:asciiTheme="minorHAnsi" w:hAnsiTheme="minorHAnsi" w:cstheme="minorHAnsi"/>
          <w:lang w:val="es-ES"/>
        </w:rPr>
        <w:t>Se estima que</w:t>
      </w:r>
      <w:r w:rsidR="00510AC4">
        <w:rPr>
          <w:rFonts w:asciiTheme="minorHAnsi" w:hAnsiTheme="minorHAnsi" w:cstheme="minorHAnsi"/>
          <w:lang w:val="es-ES"/>
        </w:rPr>
        <w:t>,</w:t>
      </w:r>
      <w:r w:rsidRPr="008606FC">
        <w:rPr>
          <w:rFonts w:asciiTheme="minorHAnsi" w:hAnsiTheme="minorHAnsi" w:cstheme="minorHAnsi"/>
          <w:lang w:val="es-ES"/>
        </w:rPr>
        <w:t xml:space="preserve"> </w:t>
      </w:r>
      <w:r w:rsidR="00FB5847" w:rsidRPr="008606FC">
        <w:rPr>
          <w:rFonts w:asciiTheme="minorHAnsi" w:hAnsiTheme="minorHAnsi" w:cstheme="minorHAnsi"/>
          <w:lang w:val="es-ES"/>
        </w:rPr>
        <w:t>si se vacunara a</w:t>
      </w:r>
      <w:r w:rsidRPr="008606FC">
        <w:rPr>
          <w:rFonts w:asciiTheme="minorHAnsi" w:hAnsiTheme="minorHAnsi" w:cstheme="minorHAnsi"/>
          <w:lang w:val="es-ES"/>
        </w:rPr>
        <w:t xml:space="preserve"> 269.000 personas mayores de 60 años en Ciudad de Guatemala, se podría prevenir 27% de la mortalidad por COVID-19 en todo el país. En Honduras, 36% de las muertes que actualmente se registran por COVID-19 se evitarían vacunando a 240.000 personas mayores de 60</w:t>
      </w:r>
      <w:r w:rsidR="00C607D0" w:rsidRPr="008606FC">
        <w:rPr>
          <w:rFonts w:asciiTheme="minorHAnsi" w:hAnsiTheme="minorHAnsi" w:cstheme="minorHAnsi"/>
          <w:lang w:val="es-ES"/>
        </w:rPr>
        <w:t> </w:t>
      </w:r>
      <w:r w:rsidRPr="008606FC">
        <w:rPr>
          <w:rFonts w:asciiTheme="minorHAnsi" w:hAnsiTheme="minorHAnsi" w:cstheme="minorHAnsi"/>
          <w:lang w:val="es-ES"/>
        </w:rPr>
        <w:t xml:space="preserve">años en </w:t>
      </w:r>
      <w:r w:rsidR="00C607D0" w:rsidRPr="008606FC">
        <w:rPr>
          <w:rFonts w:asciiTheme="minorHAnsi" w:hAnsiTheme="minorHAnsi" w:cstheme="minorHAnsi"/>
          <w:lang w:val="es-ES"/>
        </w:rPr>
        <w:t xml:space="preserve">tan </w:t>
      </w:r>
      <w:r w:rsidRPr="008606FC">
        <w:rPr>
          <w:rFonts w:asciiTheme="minorHAnsi" w:hAnsiTheme="minorHAnsi" w:cstheme="minorHAnsi"/>
          <w:lang w:val="es-ES"/>
        </w:rPr>
        <w:t xml:space="preserve">solo dos departamentos (Francisco Morazán y Cortés). En El Salvador, para proteger a toda la fuerza laboral de los sectores que se vieron </w:t>
      </w:r>
      <w:r w:rsidR="00634595" w:rsidRPr="008606FC">
        <w:rPr>
          <w:rFonts w:asciiTheme="minorHAnsi" w:hAnsiTheme="minorHAnsi" w:cstheme="minorHAnsi"/>
          <w:lang w:val="es-ES"/>
        </w:rPr>
        <w:t xml:space="preserve">sumamente </w:t>
      </w:r>
      <w:r w:rsidRPr="008606FC">
        <w:rPr>
          <w:rFonts w:asciiTheme="minorHAnsi" w:hAnsiTheme="minorHAnsi" w:cstheme="minorHAnsi"/>
          <w:lang w:val="es-ES"/>
        </w:rPr>
        <w:t xml:space="preserve">afectados por la COVID-19 (que aportan más de la mitad de su PIB), tendría que vacunarse a menos de 400.000 personas, lo que tendría un </w:t>
      </w:r>
      <w:r w:rsidR="00BC4FBB" w:rsidRPr="008606FC">
        <w:rPr>
          <w:rFonts w:asciiTheme="minorHAnsi" w:hAnsiTheme="minorHAnsi" w:cstheme="minorHAnsi"/>
          <w:lang w:val="es-ES"/>
        </w:rPr>
        <w:t xml:space="preserve">impacto </w:t>
      </w:r>
      <w:r w:rsidRPr="008606FC">
        <w:rPr>
          <w:rFonts w:asciiTheme="minorHAnsi" w:hAnsiTheme="minorHAnsi" w:cstheme="minorHAnsi"/>
          <w:lang w:val="es-ES"/>
        </w:rPr>
        <w:t xml:space="preserve">considerable </w:t>
      </w:r>
      <w:r w:rsidR="00843992" w:rsidRPr="008606FC">
        <w:rPr>
          <w:rFonts w:asciiTheme="minorHAnsi" w:hAnsiTheme="minorHAnsi" w:cstheme="minorHAnsi"/>
          <w:lang w:val="es-ES"/>
        </w:rPr>
        <w:t xml:space="preserve">en la reducción de </w:t>
      </w:r>
      <w:r w:rsidRPr="008606FC">
        <w:rPr>
          <w:rFonts w:asciiTheme="minorHAnsi" w:hAnsiTheme="minorHAnsi" w:cstheme="minorHAnsi"/>
          <w:lang w:val="es-ES"/>
        </w:rPr>
        <w:t>los incentivos para la migración por el desempleo.</w:t>
      </w:r>
    </w:p>
    <w:p w14:paraId="2D5003B4" w14:textId="70FECC00" w:rsidR="00D74819" w:rsidRPr="008606FC" w:rsidRDefault="00843992" w:rsidP="00D74819">
      <w:pPr>
        <w:spacing w:line="276" w:lineRule="auto"/>
        <w:ind w:firstLine="720"/>
        <w:rPr>
          <w:rFonts w:asciiTheme="minorHAnsi" w:hAnsiTheme="minorHAnsi" w:cstheme="minorHAnsi"/>
          <w:lang w:val="es-ES"/>
        </w:rPr>
      </w:pPr>
      <w:r w:rsidRPr="008606FC">
        <w:rPr>
          <w:rFonts w:asciiTheme="minorHAnsi" w:hAnsiTheme="minorHAnsi" w:cstheme="minorHAnsi"/>
          <w:lang w:val="es-ES"/>
        </w:rPr>
        <w:t>A</w:t>
      </w:r>
      <w:r w:rsidR="00D74819" w:rsidRPr="008606FC">
        <w:rPr>
          <w:rFonts w:asciiTheme="minorHAnsi" w:hAnsiTheme="minorHAnsi" w:cstheme="minorHAnsi"/>
          <w:lang w:val="es-ES"/>
        </w:rPr>
        <w:t xml:space="preserve">demás del impacto económico, </w:t>
      </w:r>
      <w:r w:rsidR="00672C8E" w:rsidRPr="008606FC">
        <w:rPr>
          <w:rFonts w:asciiTheme="minorHAnsi" w:hAnsiTheme="minorHAnsi" w:cstheme="minorHAnsi"/>
          <w:lang w:val="es-ES"/>
        </w:rPr>
        <w:t xml:space="preserve">hay </w:t>
      </w:r>
      <w:r w:rsidR="00D74819" w:rsidRPr="008606FC">
        <w:rPr>
          <w:rFonts w:asciiTheme="minorHAnsi" w:hAnsiTheme="minorHAnsi" w:cstheme="minorHAnsi"/>
          <w:lang w:val="es-ES"/>
        </w:rPr>
        <w:t xml:space="preserve">un riesgo </w:t>
      </w:r>
      <w:r w:rsidR="00672C8E" w:rsidRPr="008606FC">
        <w:rPr>
          <w:rFonts w:asciiTheme="minorHAnsi" w:hAnsiTheme="minorHAnsi" w:cstheme="minorHAnsi"/>
          <w:lang w:val="es-ES"/>
        </w:rPr>
        <w:t xml:space="preserve">de salud para Estados Unidos </w:t>
      </w:r>
      <w:r w:rsidR="00D74819" w:rsidRPr="008606FC">
        <w:rPr>
          <w:rFonts w:asciiTheme="minorHAnsi" w:hAnsiTheme="minorHAnsi" w:cstheme="minorHAnsi"/>
          <w:lang w:val="es-ES"/>
        </w:rPr>
        <w:t xml:space="preserve">asociado a la lentitud en la vacunación en aquellos países de América Latina y el Caribe con un alto flujo de migrantes o turistas. Cuanto más tiempo transcurra </w:t>
      </w:r>
      <w:r w:rsidR="0022740D" w:rsidRPr="008606FC">
        <w:rPr>
          <w:rFonts w:asciiTheme="minorHAnsi" w:hAnsiTheme="minorHAnsi" w:cstheme="minorHAnsi"/>
          <w:lang w:val="es-ES"/>
        </w:rPr>
        <w:t xml:space="preserve">con </w:t>
      </w:r>
      <w:r w:rsidR="00D74819" w:rsidRPr="008606FC">
        <w:rPr>
          <w:rFonts w:asciiTheme="minorHAnsi" w:hAnsiTheme="minorHAnsi" w:cstheme="minorHAnsi"/>
          <w:lang w:val="es-ES"/>
        </w:rPr>
        <w:t>un alto porcentaje de la población de esos países</w:t>
      </w:r>
      <w:r w:rsidR="0022740D" w:rsidRPr="008606FC">
        <w:rPr>
          <w:rFonts w:asciiTheme="minorHAnsi" w:hAnsiTheme="minorHAnsi" w:cstheme="minorHAnsi"/>
          <w:lang w:val="es-ES"/>
        </w:rPr>
        <w:t xml:space="preserve"> sin vacunarse</w:t>
      </w:r>
      <w:r w:rsidR="00D74819" w:rsidRPr="008606FC">
        <w:rPr>
          <w:rFonts w:asciiTheme="minorHAnsi" w:hAnsiTheme="minorHAnsi" w:cstheme="minorHAnsi"/>
          <w:lang w:val="es-ES"/>
        </w:rPr>
        <w:t>, mayor será el riesgo de que surja</w:t>
      </w:r>
      <w:r w:rsidR="00297D18" w:rsidRPr="008606FC">
        <w:rPr>
          <w:rFonts w:asciiTheme="minorHAnsi" w:hAnsiTheme="minorHAnsi" w:cstheme="minorHAnsi"/>
          <w:lang w:val="es-ES"/>
        </w:rPr>
        <w:t xml:space="preserve"> alguna</w:t>
      </w:r>
      <w:r w:rsidR="00D74819" w:rsidRPr="008606FC">
        <w:rPr>
          <w:rFonts w:asciiTheme="minorHAnsi" w:hAnsiTheme="minorHAnsi" w:cstheme="minorHAnsi"/>
          <w:lang w:val="es-ES"/>
        </w:rPr>
        <w:t xml:space="preserve"> nueva variante del virus causante de la COVID-19, que podría no ser reconocida por los anticuerpos generados con las vacunas aplicadas en Estados Unidos.</w:t>
      </w:r>
    </w:p>
    <w:p w14:paraId="71AAD94B" w14:textId="386EA91C" w:rsidR="00D74819" w:rsidRPr="008606FC" w:rsidRDefault="00D74819" w:rsidP="00D74819">
      <w:pPr>
        <w:spacing w:line="276" w:lineRule="auto"/>
        <w:ind w:firstLine="720"/>
        <w:rPr>
          <w:rFonts w:asciiTheme="minorHAnsi" w:hAnsiTheme="minorHAnsi" w:cstheme="minorHAnsi"/>
          <w:lang w:val="es-ES"/>
        </w:rPr>
      </w:pPr>
      <w:r w:rsidRPr="008606FC">
        <w:rPr>
          <w:rFonts w:asciiTheme="minorHAnsi" w:hAnsiTheme="minorHAnsi" w:cstheme="minorHAnsi"/>
          <w:b/>
          <w:bCs/>
          <w:lang w:val="es-ES"/>
        </w:rPr>
        <w:t>Turismo</w:t>
      </w:r>
      <w:r w:rsidRPr="008606FC">
        <w:rPr>
          <w:rFonts w:asciiTheme="minorHAnsi" w:hAnsiTheme="minorHAnsi" w:cstheme="minorHAnsi"/>
          <w:lang w:val="es-ES"/>
        </w:rPr>
        <w:t>. En promedio, cuatro de cada diez ciudadanos estadounidenses que viajan al ext</w:t>
      </w:r>
      <w:r w:rsidR="002372E8" w:rsidRPr="008606FC">
        <w:rPr>
          <w:rFonts w:asciiTheme="minorHAnsi" w:hAnsiTheme="minorHAnsi" w:cstheme="minorHAnsi"/>
          <w:lang w:val="es-ES"/>
        </w:rPr>
        <w:t xml:space="preserve">erior indican que </w:t>
      </w:r>
      <w:r w:rsidRPr="008606FC">
        <w:rPr>
          <w:rFonts w:asciiTheme="minorHAnsi" w:hAnsiTheme="minorHAnsi" w:cstheme="minorHAnsi"/>
          <w:lang w:val="es-ES"/>
        </w:rPr>
        <w:t xml:space="preserve">América Latina y el Caribe </w:t>
      </w:r>
      <w:r w:rsidR="002372E8" w:rsidRPr="008606FC">
        <w:rPr>
          <w:rFonts w:asciiTheme="minorHAnsi" w:hAnsiTheme="minorHAnsi" w:cstheme="minorHAnsi"/>
          <w:lang w:val="es-ES"/>
        </w:rPr>
        <w:t xml:space="preserve">es </w:t>
      </w:r>
      <w:r w:rsidRPr="008606FC">
        <w:rPr>
          <w:rFonts w:asciiTheme="minorHAnsi" w:hAnsiTheme="minorHAnsi" w:cstheme="minorHAnsi"/>
          <w:lang w:val="es-ES"/>
        </w:rPr>
        <w:t xml:space="preserve">su destino favorito para las vacaciones cada año. Se prevé que el turismo a estos destinos </w:t>
      </w:r>
      <w:r w:rsidR="002372E8" w:rsidRPr="008606FC">
        <w:rPr>
          <w:rFonts w:asciiTheme="minorHAnsi" w:hAnsiTheme="minorHAnsi" w:cstheme="minorHAnsi"/>
          <w:lang w:val="es-ES"/>
        </w:rPr>
        <w:t>aumentar</w:t>
      </w:r>
      <w:r w:rsidRPr="008606FC">
        <w:rPr>
          <w:rFonts w:asciiTheme="minorHAnsi" w:hAnsiTheme="minorHAnsi" w:cstheme="minorHAnsi"/>
          <w:lang w:val="es-ES"/>
        </w:rPr>
        <w:t>á considerablemente a medida que la población estadounidense se vacune.</w:t>
      </w:r>
    </w:p>
    <w:p w14:paraId="425F0855" w14:textId="25B0831C" w:rsidR="00D74819" w:rsidRPr="008606FC" w:rsidRDefault="002372E8" w:rsidP="00D74819">
      <w:pPr>
        <w:spacing w:line="276" w:lineRule="auto"/>
        <w:ind w:firstLine="720"/>
        <w:rPr>
          <w:rFonts w:asciiTheme="minorHAnsi" w:hAnsiTheme="minorHAnsi" w:cstheme="minorHAnsi"/>
          <w:lang w:val="es-ES"/>
        </w:rPr>
      </w:pPr>
      <w:r w:rsidRPr="008606FC">
        <w:rPr>
          <w:rFonts w:asciiTheme="minorHAnsi" w:hAnsiTheme="minorHAnsi" w:cstheme="minorHAnsi"/>
          <w:lang w:val="es-ES"/>
        </w:rPr>
        <w:t xml:space="preserve">En </w:t>
      </w:r>
      <w:r w:rsidR="00D74819" w:rsidRPr="008606FC">
        <w:rPr>
          <w:rFonts w:asciiTheme="minorHAnsi" w:hAnsiTheme="minorHAnsi" w:cstheme="minorHAnsi"/>
          <w:lang w:val="es-ES"/>
        </w:rPr>
        <w:t xml:space="preserve">la mayoría de los países del Caribe, </w:t>
      </w:r>
      <w:r w:rsidRPr="008606FC">
        <w:rPr>
          <w:rFonts w:asciiTheme="minorHAnsi" w:hAnsiTheme="minorHAnsi" w:cstheme="minorHAnsi"/>
          <w:lang w:val="es-ES"/>
        </w:rPr>
        <w:t xml:space="preserve">el turismo </w:t>
      </w:r>
      <w:r w:rsidR="00D74819" w:rsidRPr="008606FC">
        <w:rPr>
          <w:rFonts w:asciiTheme="minorHAnsi" w:hAnsiTheme="minorHAnsi" w:cstheme="minorHAnsi"/>
          <w:lang w:val="es-ES"/>
        </w:rPr>
        <w:t xml:space="preserve">procedente de América del Norte genera la principal fuente de ingresos y representa hasta 90% de todos los turistas que </w:t>
      </w:r>
      <w:r w:rsidR="003365F5" w:rsidRPr="008606FC">
        <w:rPr>
          <w:rFonts w:asciiTheme="minorHAnsi" w:hAnsiTheme="minorHAnsi" w:cstheme="minorHAnsi"/>
          <w:lang w:val="es-ES"/>
        </w:rPr>
        <w:t>reciben</w:t>
      </w:r>
      <w:r w:rsidR="00D74819" w:rsidRPr="008606FC">
        <w:rPr>
          <w:rFonts w:asciiTheme="minorHAnsi" w:hAnsiTheme="minorHAnsi" w:cstheme="minorHAnsi"/>
          <w:lang w:val="es-ES"/>
        </w:rPr>
        <w:t>. Incluso si viajan ya vacunados, los turistas pueden llevar el virus de regreso a su país (incluida una nueva cepa del virus), lo que aumenta el riesgo de nuevos brotes en grupos de la población.</w:t>
      </w:r>
    </w:p>
    <w:p w14:paraId="52CF88E8" w14:textId="6FA5700E" w:rsidR="00D74819" w:rsidRPr="008606FC" w:rsidRDefault="00D74819" w:rsidP="00D74819">
      <w:pPr>
        <w:spacing w:line="276" w:lineRule="auto"/>
        <w:ind w:firstLine="720"/>
        <w:rPr>
          <w:rFonts w:asciiTheme="minorHAnsi" w:hAnsiTheme="minorHAnsi" w:cstheme="minorHAnsi"/>
          <w:lang w:val="es-ES"/>
        </w:rPr>
      </w:pPr>
      <w:r w:rsidRPr="008606FC">
        <w:rPr>
          <w:rFonts w:asciiTheme="minorHAnsi" w:hAnsiTheme="minorHAnsi" w:cstheme="minorHAnsi"/>
          <w:lang w:val="es-ES"/>
        </w:rPr>
        <w:t xml:space="preserve">El número de vacunas necesarias para proteger la actividad turística de América del Norte en el Caribe es mínimo. Por ejemplo, en Bahamas, </w:t>
      </w:r>
      <w:r w:rsidR="0098171D" w:rsidRPr="008606FC">
        <w:rPr>
          <w:rFonts w:asciiTheme="minorHAnsi" w:hAnsiTheme="minorHAnsi" w:cstheme="minorHAnsi"/>
          <w:lang w:val="es-ES"/>
        </w:rPr>
        <w:t xml:space="preserve">si se vacunara </w:t>
      </w:r>
      <w:r w:rsidRPr="008606FC">
        <w:rPr>
          <w:rFonts w:asciiTheme="minorHAnsi" w:hAnsiTheme="minorHAnsi" w:cstheme="minorHAnsi"/>
          <w:lang w:val="es-ES"/>
        </w:rPr>
        <w:t xml:space="preserve">a 64.000 personas que trabajan directamente en el sector del turismo </w:t>
      </w:r>
      <w:r w:rsidR="00FF251B" w:rsidRPr="008606FC">
        <w:rPr>
          <w:rFonts w:asciiTheme="minorHAnsi" w:hAnsiTheme="minorHAnsi" w:cstheme="minorHAnsi"/>
          <w:lang w:val="es-ES"/>
        </w:rPr>
        <w:t xml:space="preserve">se podría </w:t>
      </w:r>
      <w:r w:rsidRPr="008606FC">
        <w:rPr>
          <w:rFonts w:asciiTheme="minorHAnsi" w:hAnsiTheme="minorHAnsi" w:cstheme="minorHAnsi"/>
          <w:lang w:val="es-ES"/>
        </w:rPr>
        <w:t xml:space="preserve">reactivar el 43% del PIB de la isla y proteger la salud de los turistas y sus familiares. En Jamaica, el turismo genera alrededor de 140.000 empleos directos, la mayoría en las cuatro parroquias donde se concentra 42% de los casos de COVID-19 de todo el país (Hanover, Saint James, Kingston y Saint Andrew). En las Antillas Menores (Antigua y Barbuda, Barbados, Dominica, Granada, Saint Kitts y Nevis, Santa Lucía, San Vicente y las Granadinas, y Trinidad y Tabago), toda la fuerza laboral </w:t>
      </w:r>
      <w:r w:rsidR="00937821" w:rsidRPr="008606FC">
        <w:rPr>
          <w:rFonts w:asciiTheme="minorHAnsi" w:hAnsiTheme="minorHAnsi" w:cstheme="minorHAnsi"/>
          <w:lang w:val="es-ES"/>
        </w:rPr>
        <w:t>de</w:t>
      </w:r>
      <w:r w:rsidRPr="008606FC">
        <w:rPr>
          <w:rFonts w:asciiTheme="minorHAnsi" w:hAnsiTheme="minorHAnsi" w:cstheme="minorHAnsi"/>
          <w:lang w:val="es-ES"/>
        </w:rPr>
        <w:t xml:space="preserve">l sector turístico está conformada por solo 120.000 personas (5% de la población) y vacunarlas puede brindar apoyo a la reactivación del 22% del PIB de esos países. </w:t>
      </w:r>
    </w:p>
    <w:p w14:paraId="7EC418EC" w14:textId="4CC6E8D3" w:rsidR="00D74819" w:rsidRPr="008606FC" w:rsidRDefault="00D74819" w:rsidP="00D74819">
      <w:pPr>
        <w:spacing w:line="276" w:lineRule="auto"/>
        <w:ind w:firstLine="720"/>
        <w:rPr>
          <w:rFonts w:asciiTheme="minorHAnsi" w:hAnsiTheme="minorHAnsi" w:cstheme="minorHAnsi"/>
          <w:b/>
          <w:bCs/>
          <w:u w:val="single"/>
          <w:lang w:val="es-ES"/>
        </w:rPr>
      </w:pPr>
      <w:r w:rsidRPr="008606FC">
        <w:rPr>
          <w:rFonts w:asciiTheme="minorHAnsi" w:hAnsiTheme="minorHAnsi" w:cstheme="minorHAnsi"/>
          <w:lang w:val="es-ES"/>
        </w:rPr>
        <w:t xml:space="preserve">La cooperación en materia de vacunas entre Estados Unidos y el Caribe, entablada con el objetivo de lograr una mayor cobertura de toda la población de estos pequeños Estados insulares, contribuirá a aumentar la seguridad de la salud no solo para los turistas sino también para Estados Unidos en general. </w:t>
      </w:r>
    </w:p>
    <w:p w14:paraId="616D10D8" w14:textId="6CC87A05" w:rsidR="00D74819" w:rsidRPr="008606FC" w:rsidRDefault="00D74819" w:rsidP="00D74819">
      <w:pPr>
        <w:spacing w:line="276" w:lineRule="auto"/>
        <w:rPr>
          <w:rFonts w:asciiTheme="minorHAnsi" w:hAnsiTheme="minorHAnsi" w:cstheme="minorHAnsi"/>
          <w:b/>
          <w:bCs/>
          <w:lang w:val="es-ES"/>
        </w:rPr>
      </w:pPr>
      <w:r w:rsidRPr="008606FC">
        <w:rPr>
          <w:rFonts w:asciiTheme="minorHAnsi" w:hAnsiTheme="minorHAnsi" w:cstheme="minorHAnsi"/>
          <w:b/>
          <w:bCs/>
          <w:lang w:val="es-ES"/>
        </w:rPr>
        <w:t xml:space="preserve">El papel de la Organización Panamericana de la Salud en una Alianza Interamericana para </w:t>
      </w:r>
      <w:r w:rsidR="002A7E6C" w:rsidRPr="008606FC">
        <w:rPr>
          <w:rFonts w:asciiTheme="minorHAnsi" w:hAnsiTheme="minorHAnsi" w:cstheme="minorHAnsi"/>
          <w:b/>
          <w:bCs/>
          <w:lang w:val="es-ES"/>
        </w:rPr>
        <w:t xml:space="preserve">mejorar el acceso a las </w:t>
      </w:r>
      <w:r w:rsidRPr="008606FC">
        <w:rPr>
          <w:rFonts w:asciiTheme="minorHAnsi" w:hAnsiTheme="minorHAnsi" w:cstheme="minorHAnsi"/>
          <w:b/>
          <w:bCs/>
          <w:lang w:val="es-ES"/>
        </w:rPr>
        <w:t>vacunas contra la COVID-19</w:t>
      </w:r>
    </w:p>
    <w:p w14:paraId="34F64D6D" w14:textId="18751FE5" w:rsidR="00D74819" w:rsidRPr="008606FC" w:rsidRDefault="00D74819" w:rsidP="00DA645B">
      <w:pPr>
        <w:spacing w:line="276" w:lineRule="auto"/>
        <w:ind w:firstLine="720"/>
        <w:rPr>
          <w:rFonts w:asciiTheme="minorHAnsi" w:hAnsiTheme="minorHAnsi" w:cstheme="minorHAnsi"/>
          <w:lang w:val="es-ES"/>
        </w:rPr>
      </w:pPr>
      <w:r w:rsidRPr="008606FC">
        <w:rPr>
          <w:rFonts w:asciiTheme="minorHAnsi" w:hAnsiTheme="minorHAnsi" w:cstheme="minorHAnsi"/>
          <w:lang w:val="es-ES"/>
        </w:rPr>
        <w:t xml:space="preserve">Es posible emprender un esfuerzo regional para acelerar la vacunación contra la COVID-19 en América Latina y el Caribe sustentándose en las fortalezas, la experiencia y el conocimiento especializado de la OPS, y en el mandato de la Organización Mundial de la Salud para que la OPS actúe en su nombre en la Región de las Américas. Con este fin, la OPS trabaja con una amplia red de autoridades de salud e interesados directos de este sector en los 35 Estados Miembros de la Región. Desde que la COVID-19 llegó a América Latina y el Caribe, la OPS ha proporcionado apoyo técnico a todos los países en </w:t>
      </w:r>
      <w:r w:rsidR="00CD50EB" w:rsidRPr="008606FC">
        <w:rPr>
          <w:rFonts w:asciiTheme="minorHAnsi" w:hAnsiTheme="minorHAnsi" w:cstheme="minorHAnsi"/>
          <w:lang w:val="es-ES"/>
        </w:rPr>
        <w:t xml:space="preserve">cuanto a </w:t>
      </w:r>
      <w:r w:rsidRPr="008606FC">
        <w:rPr>
          <w:rFonts w:asciiTheme="minorHAnsi" w:hAnsiTheme="minorHAnsi" w:cstheme="minorHAnsi"/>
          <w:lang w:val="es-ES"/>
        </w:rPr>
        <w:t>la vigilancia de enfermedades, la</w:t>
      </w:r>
      <w:r w:rsidR="00A15F30" w:rsidRPr="008606FC">
        <w:rPr>
          <w:rFonts w:asciiTheme="minorHAnsi" w:hAnsiTheme="minorHAnsi" w:cstheme="minorHAnsi"/>
          <w:lang w:val="es-ES"/>
        </w:rPr>
        <w:t xml:space="preserve"> realización de</w:t>
      </w:r>
      <w:r w:rsidRPr="008606FC">
        <w:rPr>
          <w:rFonts w:asciiTheme="minorHAnsi" w:hAnsiTheme="minorHAnsi" w:cstheme="minorHAnsi"/>
          <w:lang w:val="es-ES"/>
        </w:rPr>
        <w:t xml:space="preserve"> pruebas y la capacidad de laboratorio, y el fortalecimiento de los servicios de atención, </w:t>
      </w:r>
      <w:r w:rsidR="000107A2" w:rsidRPr="008606FC">
        <w:rPr>
          <w:rFonts w:asciiTheme="minorHAnsi" w:hAnsiTheme="minorHAnsi" w:cstheme="minorHAnsi"/>
          <w:lang w:val="es-ES"/>
        </w:rPr>
        <w:t>d</w:t>
      </w:r>
      <w:r w:rsidRPr="008606FC">
        <w:rPr>
          <w:rFonts w:asciiTheme="minorHAnsi" w:hAnsiTheme="minorHAnsi" w:cstheme="minorHAnsi"/>
          <w:lang w:val="es-ES"/>
        </w:rPr>
        <w:t xml:space="preserve">el control y la prevención de infecciones, y </w:t>
      </w:r>
      <w:r w:rsidR="000107A2" w:rsidRPr="008606FC">
        <w:rPr>
          <w:rFonts w:asciiTheme="minorHAnsi" w:hAnsiTheme="minorHAnsi" w:cstheme="minorHAnsi"/>
          <w:lang w:val="es-ES"/>
        </w:rPr>
        <w:t xml:space="preserve">de </w:t>
      </w:r>
      <w:r w:rsidRPr="008606FC">
        <w:rPr>
          <w:rFonts w:asciiTheme="minorHAnsi" w:hAnsiTheme="minorHAnsi" w:cstheme="minorHAnsi"/>
          <w:lang w:val="es-ES"/>
        </w:rPr>
        <w:t>la comunicación de riesgos. También ha brindado un apoyo esencial a los países en la elaboración de los planes nacionales para el despliegue de las vacunas, incluidos los aspectos logísticos y la coordinación de los interesados directos a nivel nacional, para que se evalúen las vacunas y que el despliegue se efectúe de una manera rápida y segura. Además, la OPS ha brindado apoyo a las campañas de información pública, y ha desempeñado un papel esencial en el Mecanismo COVAX por medio de</w:t>
      </w:r>
      <w:r w:rsidR="00835980" w:rsidRPr="008606FC">
        <w:rPr>
          <w:rFonts w:asciiTheme="minorHAnsi" w:hAnsiTheme="minorHAnsi" w:cstheme="minorHAnsi"/>
          <w:lang w:val="es-ES"/>
        </w:rPr>
        <w:t xml:space="preserve"> su</w:t>
      </w:r>
      <w:r w:rsidRPr="008606FC">
        <w:rPr>
          <w:rFonts w:asciiTheme="minorHAnsi" w:hAnsiTheme="minorHAnsi" w:cstheme="minorHAnsi"/>
          <w:lang w:val="es-ES"/>
        </w:rPr>
        <w:t xml:space="preserve"> Fondo Rotatorio para el Acceso a las Vacunas.</w:t>
      </w:r>
    </w:p>
    <w:p w14:paraId="68050F69" w14:textId="040CEABE" w:rsidR="00D74819" w:rsidRPr="008606FC" w:rsidRDefault="006A776B" w:rsidP="00D74819">
      <w:pPr>
        <w:spacing w:line="276" w:lineRule="auto"/>
        <w:ind w:firstLine="720"/>
        <w:rPr>
          <w:rFonts w:asciiTheme="minorHAnsi" w:hAnsiTheme="minorHAnsi" w:cstheme="minorHAnsi"/>
          <w:b/>
          <w:bCs/>
          <w:lang w:val="es-ES"/>
        </w:rPr>
      </w:pPr>
      <w:r w:rsidRPr="008606FC">
        <w:rPr>
          <w:rFonts w:asciiTheme="minorHAnsi" w:hAnsiTheme="minorHAnsi" w:cstheme="minorHAnsi"/>
          <w:lang w:val="es-ES"/>
        </w:rPr>
        <w:t>L</w:t>
      </w:r>
      <w:r w:rsidR="00D74819" w:rsidRPr="008606FC">
        <w:rPr>
          <w:rFonts w:asciiTheme="minorHAnsi" w:hAnsiTheme="minorHAnsi" w:cstheme="minorHAnsi"/>
          <w:lang w:val="es-ES"/>
        </w:rPr>
        <w:t xml:space="preserve">a OPS </w:t>
      </w:r>
      <w:r w:rsidR="002F6DF9" w:rsidRPr="008606FC">
        <w:rPr>
          <w:rFonts w:asciiTheme="minorHAnsi" w:hAnsiTheme="minorHAnsi" w:cstheme="minorHAnsi"/>
          <w:lang w:val="es-ES"/>
        </w:rPr>
        <w:t xml:space="preserve">lleva muchos decenios facilitando </w:t>
      </w:r>
      <w:r w:rsidR="00D74819" w:rsidRPr="008606FC">
        <w:rPr>
          <w:rFonts w:asciiTheme="minorHAnsi" w:hAnsiTheme="minorHAnsi" w:cstheme="minorHAnsi"/>
          <w:lang w:val="es-ES"/>
        </w:rPr>
        <w:t xml:space="preserve">el acceso a vacunas seguras y de buena calidad para los programas ordinarios de inmunización en toda la Región, al prestar cooperación técnica a los países que estiman sus necesidades de vacunas e insumos conexos y </w:t>
      </w:r>
      <w:r w:rsidR="00F81990" w:rsidRPr="008606FC">
        <w:rPr>
          <w:rFonts w:asciiTheme="minorHAnsi" w:hAnsiTheme="minorHAnsi" w:cstheme="minorHAnsi"/>
          <w:lang w:val="es-ES"/>
        </w:rPr>
        <w:t xml:space="preserve">al </w:t>
      </w:r>
      <w:r w:rsidR="00D74819" w:rsidRPr="008606FC">
        <w:rPr>
          <w:rFonts w:asciiTheme="minorHAnsi" w:hAnsiTheme="minorHAnsi" w:cstheme="minorHAnsi"/>
          <w:lang w:val="es-ES"/>
        </w:rPr>
        <w:t xml:space="preserve">brindar apoyo en el proceso de compra bajo los principios rectores de la transparencia, la solidaridad y la equidad. La Organización dispone de todo lo necesario para canalizar la distribución de las vacunas contra la COVID-19 y brindar un apoyo eficaz en el despliegue de las vacunas, puesto que conoce a fondo los sistemas de salud de cada país de América Latina y el Caribe, incluso a nivel de atención primaria y teniendo en cuenta la realidad local. Además, la OPS ya ha </w:t>
      </w:r>
      <w:r w:rsidR="00E9370D" w:rsidRPr="008606FC">
        <w:rPr>
          <w:rFonts w:asciiTheme="minorHAnsi" w:hAnsiTheme="minorHAnsi" w:cstheme="minorHAnsi"/>
          <w:lang w:val="es-ES"/>
        </w:rPr>
        <w:t xml:space="preserve">puesto de relieve </w:t>
      </w:r>
      <w:r w:rsidR="00D74819" w:rsidRPr="008606FC">
        <w:rPr>
          <w:rFonts w:asciiTheme="minorHAnsi" w:hAnsiTheme="minorHAnsi" w:cstheme="minorHAnsi"/>
          <w:lang w:val="es-ES"/>
        </w:rPr>
        <w:t xml:space="preserve">que la Región de las Américas tiene la capacidad necesaria para desplegar campañas de vacunación exitosas sobre la base de la experiencia con el control o la eliminación de la poliomielitis, el sarampión, la gripe y la fiebre amarilla. Por lo tanto, una vez que se asegure el suministro, la Región podrá administrar de forma segura y rápida todas las vacunas contra la COVID-19 necesarias para lograr la inmunidad colectiva, con el apoyo de la OPS y bajo su orientación directa.  </w:t>
      </w:r>
    </w:p>
    <w:p w14:paraId="252D0D8E" w14:textId="149F1C33" w:rsidR="00D74819" w:rsidRPr="008606FC" w:rsidRDefault="00D74819" w:rsidP="00D74819">
      <w:pPr>
        <w:spacing w:line="276" w:lineRule="auto"/>
        <w:ind w:firstLine="720"/>
        <w:rPr>
          <w:rFonts w:asciiTheme="minorHAnsi" w:hAnsiTheme="minorHAnsi" w:cstheme="minorHAnsi"/>
          <w:lang w:val="es-ES"/>
        </w:rPr>
      </w:pPr>
      <w:r w:rsidRPr="008606FC">
        <w:rPr>
          <w:rFonts w:asciiTheme="minorHAnsi" w:hAnsiTheme="minorHAnsi" w:cstheme="minorHAnsi"/>
          <w:lang w:val="es-ES"/>
        </w:rPr>
        <w:t xml:space="preserve">El Fondo Rotatorio de la OPS ha sido reconocido como el mecanismo para comprar las vacunas de la cartera del </w:t>
      </w:r>
      <w:r w:rsidR="006B0467" w:rsidRPr="008606FC">
        <w:rPr>
          <w:rFonts w:asciiTheme="minorHAnsi" w:hAnsiTheme="minorHAnsi" w:cstheme="minorHAnsi"/>
          <w:lang w:val="es-ES"/>
        </w:rPr>
        <w:t xml:space="preserve">Mecanismo </w:t>
      </w:r>
      <w:r w:rsidRPr="008606FC">
        <w:rPr>
          <w:rFonts w:asciiTheme="minorHAnsi" w:hAnsiTheme="minorHAnsi" w:cstheme="minorHAnsi"/>
          <w:lang w:val="es-ES"/>
        </w:rPr>
        <w:t xml:space="preserve">COVAX que se destinarán a los países participantes de América Latina y el Caribe. Sobre la base de los acuerdos de compra anticipada que Gavi, la Alianza para las Vacunas, negoció con los fabricantes de vacunas, y en coordinación con </w:t>
      </w:r>
      <w:r w:rsidR="00721AA8" w:rsidRPr="008606FC">
        <w:rPr>
          <w:rFonts w:asciiTheme="minorHAnsi" w:hAnsiTheme="minorHAnsi" w:cstheme="minorHAnsi"/>
          <w:lang w:val="es-ES"/>
        </w:rPr>
        <w:t xml:space="preserve">el </w:t>
      </w:r>
      <w:r w:rsidRPr="008606FC">
        <w:rPr>
          <w:rFonts w:asciiTheme="minorHAnsi" w:hAnsiTheme="minorHAnsi" w:cstheme="minorHAnsi"/>
          <w:lang w:val="es-ES"/>
        </w:rPr>
        <w:t>UNICEF, el Fondo Rotat</w:t>
      </w:r>
      <w:r w:rsidR="00510AC4">
        <w:rPr>
          <w:rFonts w:asciiTheme="minorHAnsi" w:hAnsiTheme="minorHAnsi" w:cstheme="minorHAnsi"/>
          <w:lang w:val="es-ES"/>
        </w:rPr>
        <w:t>orio</w:t>
      </w:r>
      <w:r w:rsidRPr="008606FC">
        <w:rPr>
          <w:rFonts w:asciiTheme="minorHAnsi" w:hAnsiTheme="minorHAnsi" w:cstheme="minorHAnsi"/>
          <w:lang w:val="es-ES"/>
        </w:rPr>
        <w:t xml:space="preserve"> ha logrado acuerdos con proveedores de vacunas dentro de la cartera del Mecanismo COVAX. La velocidad con la que los países están recibiendo las primer</w:t>
      </w:r>
      <w:r w:rsidR="00685ED9">
        <w:rPr>
          <w:rFonts w:asciiTheme="minorHAnsi" w:hAnsiTheme="minorHAnsi" w:cstheme="minorHAnsi"/>
          <w:lang w:val="es-ES"/>
        </w:rPr>
        <w:t>a</w:t>
      </w:r>
      <w:r w:rsidRPr="008606FC">
        <w:rPr>
          <w:rFonts w:asciiTheme="minorHAnsi" w:hAnsiTheme="minorHAnsi" w:cstheme="minorHAnsi"/>
          <w:lang w:val="es-ES"/>
        </w:rPr>
        <w:t xml:space="preserve">s entregas de vacunas contra la COVID-19 depende de la disponibilidad de dosis, no del riesgo ni de la vulnerabilidad del país. En esta primera ronda, el Mecanismo COVAX asignó 28,7 millones de dosis a la Región de las Américas para los próximos tres meses. Estas dosis cubren aproximadamente 2% de la población total en la mayoría de los países, y hasta 20% en algunas islas del Caribe cuya población es más pequeña. En marzo del 2021, se están entregando a 14 países de América Latina y el Caribe las primeras dosis de las vacunas contra la COVID-19 elaboradas por </w:t>
      </w:r>
      <w:r w:rsidR="009C6F5C" w:rsidRPr="008606FC">
        <w:rPr>
          <w:rFonts w:asciiTheme="minorHAnsi" w:hAnsiTheme="minorHAnsi" w:cstheme="minorHAnsi"/>
          <w:lang w:val="es-ES"/>
        </w:rPr>
        <w:t xml:space="preserve">los </w:t>
      </w:r>
      <w:r w:rsidRPr="008606FC">
        <w:rPr>
          <w:rFonts w:asciiTheme="minorHAnsi" w:hAnsiTheme="minorHAnsi" w:cstheme="minorHAnsi"/>
          <w:lang w:val="es-ES"/>
        </w:rPr>
        <w:t>proveedores incluidos en la cartera de COVAX (Pfizer, AstraZeneca y Serum Institute of India).</w:t>
      </w:r>
    </w:p>
    <w:p w14:paraId="4C6DD554" w14:textId="2932059D" w:rsidR="00D74819" w:rsidRPr="008606FC" w:rsidRDefault="00D74819" w:rsidP="00D74819">
      <w:pPr>
        <w:spacing w:line="276" w:lineRule="auto"/>
        <w:ind w:firstLine="720"/>
        <w:rPr>
          <w:rFonts w:asciiTheme="minorHAnsi" w:hAnsiTheme="minorHAnsi" w:cstheme="minorHAnsi"/>
          <w:lang w:val="es-ES"/>
        </w:rPr>
      </w:pPr>
      <w:r w:rsidRPr="008606FC">
        <w:rPr>
          <w:rFonts w:asciiTheme="minorHAnsi" w:hAnsiTheme="minorHAnsi" w:cstheme="minorHAnsi"/>
          <w:lang w:val="es-ES"/>
        </w:rPr>
        <w:t>Sin embargo, el despliegue de las vacunas contra la COVID-19 por medio de COVAX sigue haciéndose a</w:t>
      </w:r>
      <w:r w:rsidR="00A35966" w:rsidRPr="008606FC">
        <w:rPr>
          <w:rFonts w:asciiTheme="minorHAnsi" w:hAnsiTheme="minorHAnsi" w:cstheme="minorHAnsi"/>
          <w:lang w:val="es-ES"/>
        </w:rPr>
        <w:t xml:space="preserve"> un ritmo lento</w:t>
      </w:r>
      <w:r w:rsidRPr="008606FC">
        <w:rPr>
          <w:rFonts w:asciiTheme="minorHAnsi" w:hAnsiTheme="minorHAnsi" w:cstheme="minorHAnsi"/>
          <w:lang w:val="es-ES"/>
        </w:rPr>
        <w:t xml:space="preserve">. Esto se debe a las complejidades en la cadena de suministro mundial </w:t>
      </w:r>
      <w:r w:rsidR="00A35966" w:rsidRPr="008606FC">
        <w:rPr>
          <w:rFonts w:asciiTheme="minorHAnsi" w:hAnsiTheme="minorHAnsi" w:cstheme="minorHAnsi"/>
          <w:lang w:val="es-ES"/>
        </w:rPr>
        <w:t xml:space="preserve">y </w:t>
      </w:r>
      <w:r w:rsidRPr="008606FC">
        <w:rPr>
          <w:rFonts w:asciiTheme="minorHAnsi" w:hAnsiTheme="minorHAnsi" w:cstheme="minorHAnsi"/>
          <w:lang w:val="es-ES"/>
        </w:rPr>
        <w:t xml:space="preserve">a los problemas en la fabricación de vacunas que han enfrentado algunos proveedores del Mecanismo COVAX. Mientras se abordan estos problemas, los países de América Latina y el Caribe han buscado el apoyo de Estados Unidos a fin de frenar la transmisión de la COVID-19 en todos los países de la Región de las Américas, incluido Estados Unidos, de manera que la Región retome el camino hacia la recuperación económica. </w:t>
      </w:r>
    </w:p>
    <w:p w14:paraId="2C9DE211" w14:textId="60AAD587" w:rsidR="00D74819" w:rsidRPr="008606FC" w:rsidRDefault="00D74819" w:rsidP="00D74819">
      <w:pPr>
        <w:spacing w:line="276" w:lineRule="auto"/>
        <w:ind w:firstLine="720"/>
        <w:rPr>
          <w:rFonts w:asciiTheme="minorHAnsi" w:hAnsiTheme="minorHAnsi" w:cstheme="minorHAnsi"/>
          <w:lang w:val="es-ES"/>
        </w:rPr>
      </w:pPr>
      <w:r w:rsidRPr="008606FC">
        <w:rPr>
          <w:rFonts w:asciiTheme="minorHAnsi" w:hAnsiTheme="minorHAnsi" w:cstheme="minorHAnsi"/>
          <w:lang w:val="es-ES"/>
        </w:rPr>
        <w:t xml:space="preserve">Desde su creación en 1978, el Fondo Rotatorio de la OPS ha desplegado una red logística bien establecida y madura en todos los países de </w:t>
      </w:r>
      <w:r w:rsidR="00EC1774" w:rsidRPr="008606FC">
        <w:rPr>
          <w:rFonts w:asciiTheme="minorHAnsi" w:hAnsiTheme="minorHAnsi" w:cstheme="minorHAnsi"/>
          <w:lang w:val="es-ES"/>
        </w:rPr>
        <w:t>América Latina y el Caribe</w:t>
      </w:r>
      <w:r w:rsidRPr="008606FC">
        <w:rPr>
          <w:rFonts w:asciiTheme="minorHAnsi" w:hAnsiTheme="minorHAnsi" w:cstheme="minorHAnsi"/>
          <w:lang w:val="es-ES"/>
        </w:rPr>
        <w:t>. Al trabajar con Estados Unidos, la OPS puede aprovechar los mecanismos que ya ha establecido para facilitar con rapidez el despliegue de vacunas donadas o excedent</w:t>
      </w:r>
      <w:r w:rsidR="00410EFA" w:rsidRPr="008606FC">
        <w:rPr>
          <w:rFonts w:asciiTheme="minorHAnsi" w:hAnsiTheme="minorHAnsi" w:cstheme="minorHAnsi"/>
          <w:lang w:val="es-ES"/>
        </w:rPr>
        <w:t>es</w:t>
      </w:r>
      <w:r w:rsidRPr="008606FC">
        <w:rPr>
          <w:rFonts w:asciiTheme="minorHAnsi" w:hAnsiTheme="minorHAnsi" w:cstheme="minorHAnsi"/>
          <w:lang w:val="es-ES"/>
        </w:rPr>
        <w:t xml:space="preserve"> de una manera muy específica, en coordinación con las autoridades nacionales de salud de América Latina y el Caribe, garantizando la transparencia y la rendición de cuentas en la asignación y el uso de las vacunas contra la COVID-19 de Estados Unidos en toda la Región de las Américas.  </w:t>
      </w:r>
    </w:p>
    <w:p w14:paraId="33637247" w14:textId="6FB1F78D" w:rsidR="00D74819" w:rsidRPr="008606FC" w:rsidRDefault="00D74819" w:rsidP="00D74819">
      <w:pPr>
        <w:spacing w:line="276" w:lineRule="auto"/>
        <w:jc w:val="both"/>
        <w:rPr>
          <w:rFonts w:asciiTheme="minorHAnsi" w:hAnsiTheme="minorHAnsi" w:cstheme="minorHAnsi"/>
          <w:b/>
          <w:bCs/>
          <w:lang w:val="es-ES"/>
        </w:rPr>
      </w:pPr>
      <w:r w:rsidRPr="008606FC">
        <w:rPr>
          <w:rFonts w:asciiTheme="minorHAnsi" w:hAnsiTheme="minorHAnsi" w:cstheme="minorHAnsi"/>
          <w:b/>
          <w:bCs/>
          <w:lang w:val="es-ES"/>
        </w:rPr>
        <w:t xml:space="preserve">Fortalecer las alianzas y asociaciones </w:t>
      </w:r>
      <w:r w:rsidR="00557C2B" w:rsidRPr="008606FC">
        <w:rPr>
          <w:rFonts w:asciiTheme="minorHAnsi" w:hAnsiTheme="minorHAnsi" w:cstheme="minorHAnsi"/>
          <w:b/>
          <w:bCs/>
          <w:lang w:val="es-ES"/>
        </w:rPr>
        <w:t>regionales</w:t>
      </w:r>
      <w:r w:rsidRPr="008606FC">
        <w:rPr>
          <w:rFonts w:asciiTheme="minorHAnsi" w:hAnsiTheme="minorHAnsi" w:cstheme="minorHAnsi"/>
          <w:b/>
          <w:bCs/>
          <w:lang w:val="es-ES"/>
        </w:rPr>
        <w:t xml:space="preserve"> para hacer frente a los desafíos mundiales en el ámbito de la salud</w:t>
      </w:r>
      <w:r w:rsidRPr="008606FC">
        <w:rPr>
          <w:rFonts w:asciiTheme="minorHAnsi" w:hAnsiTheme="minorHAnsi" w:cstheme="minorHAnsi"/>
          <w:lang w:val="es-ES"/>
        </w:rPr>
        <w:t xml:space="preserve"> </w:t>
      </w:r>
    </w:p>
    <w:p w14:paraId="0923E264" w14:textId="6B34491A" w:rsidR="00D74819" w:rsidRPr="008606FC" w:rsidRDefault="00D74819" w:rsidP="00FD4F32">
      <w:pPr>
        <w:spacing w:line="276" w:lineRule="auto"/>
        <w:ind w:firstLine="720"/>
        <w:rPr>
          <w:rFonts w:asciiTheme="minorHAnsi" w:hAnsiTheme="minorHAnsi" w:cstheme="minorHAnsi"/>
          <w:lang w:val="es-ES"/>
        </w:rPr>
      </w:pPr>
      <w:r w:rsidRPr="008606FC">
        <w:rPr>
          <w:rFonts w:asciiTheme="minorHAnsi" w:hAnsiTheme="minorHAnsi" w:cstheme="minorHAnsi"/>
          <w:lang w:val="es-ES"/>
        </w:rPr>
        <w:t xml:space="preserve">La Región de las Américas tienen ante sí una oportunidad histórica única para </w:t>
      </w:r>
      <w:r w:rsidR="00557C2B" w:rsidRPr="008606FC">
        <w:rPr>
          <w:rFonts w:asciiTheme="minorHAnsi" w:hAnsiTheme="minorHAnsi" w:cstheme="minorHAnsi"/>
          <w:lang w:val="es-ES"/>
        </w:rPr>
        <w:t xml:space="preserve">combinar </w:t>
      </w:r>
      <w:r w:rsidRPr="008606FC">
        <w:rPr>
          <w:rFonts w:asciiTheme="minorHAnsi" w:hAnsiTheme="minorHAnsi" w:cstheme="minorHAnsi"/>
          <w:lang w:val="es-ES"/>
        </w:rPr>
        <w:t xml:space="preserve">e integrar </w:t>
      </w:r>
      <w:r w:rsidR="00557C2B" w:rsidRPr="008606FC">
        <w:rPr>
          <w:rFonts w:asciiTheme="minorHAnsi" w:hAnsiTheme="minorHAnsi" w:cstheme="minorHAnsi"/>
          <w:lang w:val="es-ES"/>
        </w:rPr>
        <w:t xml:space="preserve">los </w:t>
      </w:r>
      <w:r w:rsidRPr="008606FC">
        <w:rPr>
          <w:rFonts w:asciiTheme="minorHAnsi" w:hAnsiTheme="minorHAnsi" w:cstheme="minorHAnsi"/>
          <w:lang w:val="es-ES"/>
        </w:rPr>
        <w:t xml:space="preserve">esfuerzos con el fin de promover la salud en la Región y en el mundo entero, mediante el </w:t>
      </w:r>
      <w:r w:rsidR="006971E8" w:rsidRPr="008606FC">
        <w:rPr>
          <w:rFonts w:asciiTheme="minorHAnsi" w:hAnsiTheme="minorHAnsi" w:cstheme="minorHAnsi"/>
          <w:lang w:val="es-ES"/>
        </w:rPr>
        <w:t>establecimiento</w:t>
      </w:r>
      <w:r w:rsidRPr="008606FC">
        <w:rPr>
          <w:rFonts w:asciiTheme="minorHAnsi" w:hAnsiTheme="minorHAnsi" w:cstheme="minorHAnsi"/>
          <w:lang w:val="es-ES"/>
        </w:rPr>
        <w:t xml:space="preserve"> de una plataforma que le permita a la Región impulsar la cooperación y </w:t>
      </w:r>
      <w:r w:rsidR="00305847" w:rsidRPr="008606FC">
        <w:rPr>
          <w:rFonts w:asciiTheme="minorHAnsi" w:hAnsiTheme="minorHAnsi" w:cstheme="minorHAnsi"/>
          <w:lang w:val="es-ES"/>
        </w:rPr>
        <w:t xml:space="preserve">el </w:t>
      </w:r>
      <w:r w:rsidRPr="008606FC">
        <w:rPr>
          <w:rFonts w:asciiTheme="minorHAnsi" w:hAnsiTheme="minorHAnsi" w:cstheme="minorHAnsi"/>
          <w:lang w:val="es-ES"/>
        </w:rPr>
        <w:t>desarrollo regional</w:t>
      </w:r>
      <w:r w:rsidR="00305847" w:rsidRPr="008606FC">
        <w:rPr>
          <w:rFonts w:asciiTheme="minorHAnsi" w:hAnsiTheme="minorHAnsi" w:cstheme="minorHAnsi"/>
          <w:lang w:val="es-ES"/>
        </w:rPr>
        <w:t>es</w:t>
      </w:r>
      <w:r w:rsidRPr="008606FC">
        <w:rPr>
          <w:rFonts w:asciiTheme="minorHAnsi" w:hAnsiTheme="minorHAnsi" w:cstheme="minorHAnsi"/>
          <w:lang w:val="es-ES"/>
        </w:rPr>
        <w:t xml:space="preserve">. Por medio de la Alianza Interamericana, y </w:t>
      </w:r>
      <w:r w:rsidR="009D4C18" w:rsidRPr="008606FC">
        <w:rPr>
          <w:rFonts w:asciiTheme="minorHAnsi" w:hAnsiTheme="minorHAnsi" w:cstheme="minorHAnsi"/>
          <w:lang w:val="es-ES"/>
        </w:rPr>
        <w:t>con</w:t>
      </w:r>
      <w:r w:rsidRPr="008606FC">
        <w:rPr>
          <w:rFonts w:asciiTheme="minorHAnsi" w:hAnsiTheme="minorHAnsi" w:cstheme="minorHAnsi"/>
          <w:lang w:val="es-ES"/>
        </w:rPr>
        <w:t xml:space="preserve"> el liderazgo de Estados Unidos, la acción colectiva de los países permitirá a la Región abordar las crisis actuales y futuras, desde una posición de resiliencia de cara a futuras amenazas mundiales para la salud pública, una posición en la que los esfuerzos </w:t>
      </w:r>
      <w:r w:rsidR="00B83033" w:rsidRPr="008606FC">
        <w:rPr>
          <w:rFonts w:asciiTheme="minorHAnsi" w:hAnsiTheme="minorHAnsi" w:cstheme="minorHAnsi"/>
          <w:lang w:val="es-ES"/>
        </w:rPr>
        <w:t xml:space="preserve">se suman </w:t>
      </w:r>
      <w:r w:rsidRPr="008606FC">
        <w:rPr>
          <w:rFonts w:asciiTheme="minorHAnsi" w:hAnsiTheme="minorHAnsi" w:cstheme="minorHAnsi"/>
          <w:lang w:val="es-ES"/>
        </w:rPr>
        <w:t>de manera sinérgica, sobre la base de la solidaridad y la cooperación multilateral entre los países.</w:t>
      </w:r>
    </w:p>
    <w:p w14:paraId="40B0CC94" w14:textId="5817388D" w:rsidR="00D74819" w:rsidRPr="008606FC" w:rsidRDefault="00D74819" w:rsidP="00D74819">
      <w:pPr>
        <w:spacing w:line="276" w:lineRule="auto"/>
        <w:ind w:firstLine="720"/>
        <w:rPr>
          <w:rFonts w:asciiTheme="minorHAnsi" w:hAnsiTheme="minorHAnsi" w:cstheme="minorHAnsi"/>
          <w:lang w:val="es-ES"/>
        </w:rPr>
      </w:pPr>
      <w:r w:rsidRPr="008606FC">
        <w:rPr>
          <w:rFonts w:asciiTheme="minorHAnsi" w:hAnsiTheme="minorHAnsi" w:cstheme="minorHAnsi"/>
          <w:lang w:val="es-ES"/>
        </w:rPr>
        <w:t>A corto plazo, la Alianza tiene la oportunidad de desplegar rápidamente las vacunas contra la COVID</w:t>
      </w:r>
      <w:r w:rsidR="000D02CC" w:rsidRPr="008606FC">
        <w:rPr>
          <w:rFonts w:asciiTheme="minorHAnsi" w:hAnsiTheme="minorHAnsi" w:cstheme="minorHAnsi"/>
          <w:lang w:val="es-ES"/>
        </w:rPr>
        <w:noBreakHyphen/>
      </w:r>
      <w:r w:rsidRPr="008606FC">
        <w:rPr>
          <w:rFonts w:asciiTheme="minorHAnsi" w:hAnsiTheme="minorHAnsi" w:cstheme="minorHAnsi"/>
          <w:lang w:val="es-ES"/>
        </w:rPr>
        <w:t>19, optimizar la cobertura de la vacunación contra esta enfermedad en toda la Región, proteger a todos las personas y proporcionar la plataforma necesaria a fin de reconstruir mejor, con el apoyo de Estados Unidos. A medio y largo plazo, la Alianza puede comenzar a abordar la capacidad de producción de vacunas en toda la Región de las Américas, estableciendo una red en el ámbito de ciencia y tecnología, así como asociaciones en</w:t>
      </w:r>
      <w:r w:rsidR="00695D1D" w:rsidRPr="008606FC">
        <w:rPr>
          <w:rFonts w:asciiTheme="minorHAnsi" w:hAnsiTheme="minorHAnsi" w:cstheme="minorHAnsi"/>
          <w:lang w:val="es-ES"/>
        </w:rPr>
        <w:t>tre</w:t>
      </w:r>
      <w:r w:rsidRPr="008606FC">
        <w:rPr>
          <w:rFonts w:asciiTheme="minorHAnsi" w:hAnsiTheme="minorHAnsi" w:cstheme="minorHAnsi"/>
          <w:lang w:val="es-ES"/>
        </w:rPr>
        <w:t xml:space="preserve"> el sector público y el sector privado de todos los países, de modo que las inequidades en el acceso a las vacunas que observamos hoy en día puedan evitarse en cualquier pandemia </w:t>
      </w:r>
      <w:r w:rsidR="00D32E38" w:rsidRPr="008606FC">
        <w:rPr>
          <w:rFonts w:asciiTheme="minorHAnsi" w:hAnsiTheme="minorHAnsi" w:cstheme="minorHAnsi"/>
          <w:lang w:val="es-ES"/>
        </w:rPr>
        <w:t>futura</w:t>
      </w:r>
      <w:r w:rsidRPr="008606FC">
        <w:rPr>
          <w:rFonts w:asciiTheme="minorHAnsi" w:hAnsiTheme="minorHAnsi" w:cstheme="minorHAnsi"/>
          <w:lang w:val="es-ES"/>
        </w:rPr>
        <w:t xml:space="preserve">. </w:t>
      </w:r>
    </w:p>
    <w:p w14:paraId="59A510B9" w14:textId="6BA78591" w:rsidR="00D74819" w:rsidRPr="008606FC" w:rsidRDefault="00D74819" w:rsidP="00D74819">
      <w:pPr>
        <w:spacing w:line="276" w:lineRule="auto"/>
        <w:ind w:firstLine="720"/>
        <w:rPr>
          <w:rFonts w:asciiTheme="minorHAnsi" w:hAnsiTheme="minorHAnsi" w:cstheme="minorHAnsi"/>
          <w:lang w:val="es-ES"/>
        </w:rPr>
      </w:pPr>
      <w:r w:rsidRPr="008606FC">
        <w:rPr>
          <w:rFonts w:asciiTheme="minorHAnsi" w:hAnsiTheme="minorHAnsi" w:cstheme="minorHAnsi"/>
          <w:lang w:val="es-ES"/>
        </w:rPr>
        <w:t>Como ha indicado el presidente Biden</w:t>
      </w:r>
      <w:r w:rsidR="00042C5E" w:rsidRPr="008606FC">
        <w:rPr>
          <w:rFonts w:asciiTheme="minorHAnsi" w:hAnsiTheme="minorHAnsi" w:cstheme="minorHAnsi"/>
          <w:lang w:val="es-ES"/>
        </w:rPr>
        <w:t>, Estados Unidos t</w:t>
      </w:r>
      <w:r w:rsidRPr="008606FC">
        <w:rPr>
          <w:rFonts w:asciiTheme="minorHAnsi" w:hAnsiTheme="minorHAnsi" w:cstheme="minorHAnsi"/>
          <w:lang w:val="es-ES"/>
        </w:rPr>
        <w:t xml:space="preserve">ambién </w:t>
      </w:r>
      <w:r w:rsidR="00042C5E" w:rsidRPr="008606FC">
        <w:rPr>
          <w:rFonts w:asciiTheme="minorHAnsi" w:hAnsiTheme="minorHAnsi" w:cstheme="minorHAnsi"/>
          <w:lang w:val="es-ES"/>
        </w:rPr>
        <w:t xml:space="preserve">se ha </w:t>
      </w:r>
      <w:r w:rsidRPr="008606FC">
        <w:rPr>
          <w:rFonts w:asciiTheme="minorHAnsi" w:hAnsiTheme="minorHAnsi" w:cstheme="minorHAnsi"/>
          <w:lang w:val="es-ES"/>
        </w:rPr>
        <w:t>reincorporado a la Organización Mundial de la Salud</w:t>
      </w:r>
      <w:r w:rsidR="00AF2008" w:rsidRPr="008606FC">
        <w:rPr>
          <w:rFonts w:asciiTheme="minorHAnsi" w:hAnsiTheme="minorHAnsi" w:cstheme="minorHAnsi"/>
          <w:lang w:val="es-ES"/>
        </w:rPr>
        <w:t xml:space="preserve"> y, de esa manera</w:t>
      </w:r>
      <w:r w:rsidRPr="008606FC">
        <w:rPr>
          <w:rFonts w:asciiTheme="minorHAnsi" w:hAnsiTheme="minorHAnsi" w:cstheme="minorHAnsi"/>
          <w:lang w:val="es-ES"/>
        </w:rPr>
        <w:t>, p</w:t>
      </w:r>
      <w:r w:rsidR="000679D8" w:rsidRPr="008606FC">
        <w:rPr>
          <w:rFonts w:asciiTheme="minorHAnsi" w:hAnsiTheme="minorHAnsi" w:cstheme="minorHAnsi"/>
          <w:lang w:val="es-ES"/>
        </w:rPr>
        <w:t xml:space="preserve">uede </w:t>
      </w:r>
      <w:r w:rsidRPr="008606FC">
        <w:rPr>
          <w:rFonts w:asciiTheme="minorHAnsi" w:hAnsiTheme="minorHAnsi" w:cstheme="minorHAnsi"/>
          <w:lang w:val="es-ES"/>
        </w:rPr>
        <w:t>lograr una mejor preparación mundial para contrarrestar la COVID-19, así como detectar y prevenir futuras pandemias, p</w:t>
      </w:r>
      <w:r w:rsidR="000679D8" w:rsidRPr="008606FC">
        <w:rPr>
          <w:rFonts w:asciiTheme="minorHAnsi" w:hAnsiTheme="minorHAnsi" w:cstheme="minorHAnsi"/>
          <w:lang w:val="es-ES"/>
        </w:rPr>
        <w:t>uesto que seguramente</w:t>
      </w:r>
      <w:r w:rsidRPr="008606FC">
        <w:rPr>
          <w:rFonts w:asciiTheme="minorHAnsi" w:hAnsiTheme="minorHAnsi" w:cstheme="minorHAnsi"/>
          <w:lang w:val="es-ES"/>
        </w:rPr>
        <w:t xml:space="preserve"> habrá otras.</w:t>
      </w:r>
      <w:r w:rsidRPr="008606FC">
        <w:rPr>
          <w:rStyle w:val="FootnoteReference"/>
          <w:rFonts w:asciiTheme="minorHAnsi" w:hAnsiTheme="minorHAnsi" w:cstheme="minorHAnsi"/>
          <w:lang w:val="es-ES"/>
        </w:rPr>
        <w:footnoteReference w:id="7"/>
      </w:r>
      <w:r w:rsidRPr="008606FC">
        <w:rPr>
          <w:rFonts w:asciiTheme="minorHAnsi" w:hAnsiTheme="minorHAnsi" w:cstheme="minorHAnsi"/>
          <w:lang w:val="es-ES"/>
        </w:rPr>
        <w:t xml:space="preserve"> Este es el primer paso hacia una mayor cooperación regional en la cual la mejora de la equidad en el acceso a productos críticos que salvan vidas, como las vacunas, nos permitirá avanzar hacia el logro del desarrollo sostenible. </w:t>
      </w:r>
    </w:p>
    <w:p w14:paraId="2C7F6392" w14:textId="1B18FA6A" w:rsidR="00D74819" w:rsidRPr="008606FC" w:rsidRDefault="00D74819" w:rsidP="00D74819">
      <w:pPr>
        <w:spacing w:line="276" w:lineRule="auto"/>
        <w:ind w:firstLine="720"/>
        <w:rPr>
          <w:rFonts w:asciiTheme="minorHAnsi" w:hAnsiTheme="minorHAnsi" w:cstheme="minorHAnsi"/>
          <w:lang w:val="es-ES"/>
        </w:rPr>
      </w:pPr>
      <w:r w:rsidRPr="008606FC">
        <w:rPr>
          <w:rFonts w:asciiTheme="minorHAnsi" w:hAnsiTheme="minorHAnsi" w:cstheme="minorHAnsi"/>
          <w:lang w:val="es-ES"/>
        </w:rPr>
        <w:t xml:space="preserve">La cooperación multilateral en la </w:t>
      </w:r>
      <w:r w:rsidR="0043724F" w:rsidRPr="008606FC">
        <w:rPr>
          <w:rFonts w:asciiTheme="minorHAnsi" w:hAnsiTheme="minorHAnsi" w:cstheme="minorHAnsi"/>
          <w:lang w:val="es-ES"/>
        </w:rPr>
        <w:t>R</w:t>
      </w:r>
      <w:r w:rsidRPr="008606FC">
        <w:rPr>
          <w:rFonts w:asciiTheme="minorHAnsi" w:hAnsiTheme="minorHAnsi" w:cstheme="minorHAnsi"/>
          <w:lang w:val="es-ES"/>
        </w:rPr>
        <w:t xml:space="preserve">egión </w:t>
      </w:r>
      <w:r w:rsidR="002F1518" w:rsidRPr="008606FC">
        <w:rPr>
          <w:rFonts w:asciiTheme="minorHAnsi" w:hAnsiTheme="minorHAnsi" w:cstheme="minorHAnsi"/>
          <w:lang w:val="es-ES"/>
        </w:rPr>
        <w:t xml:space="preserve">de las Américas </w:t>
      </w:r>
      <w:r w:rsidRPr="008606FC">
        <w:rPr>
          <w:rFonts w:asciiTheme="minorHAnsi" w:hAnsiTheme="minorHAnsi" w:cstheme="minorHAnsi"/>
          <w:lang w:val="es-ES"/>
        </w:rPr>
        <w:t xml:space="preserve">es más necesaria que nunca. Los esfuerzos para garantizar la equidad en el acceso a las vacunas en la Región brindan </w:t>
      </w:r>
      <w:r w:rsidR="002F1518" w:rsidRPr="008606FC">
        <w:rPr>
          <w:rFonts w:asciiTheme="minorHAnsi" w:hAnsiTheme="minorHAnsi" w:cstheme="minorHAnsi"/>
          <w:lang w:val="es-ES"/>
        </w:rPr>
        <w:t xml:space="preserve">la </w:t>
      </w:r>
      <w:r w:rsidRPr="008606FC">
        <w:rPr>
          <w:rFonts w:asciiTheme="minorHAnsi" w:hAnsiTheme="minorHAnsi" w:cstheme="minorHAnsi"/>
          <w:lang w:val="es-ES"/>
        </w:rPr>
        <w:t xml:space="preserve">oportunidad de lograr una recuperación transformadora, garantizando la igualdad y la sostenibilidad </w:t>
      </w:r>
      <w:r w:rsidR="00415321" w:rsidRPr="008606FC">
        <w:rPr>
          <w:rFonts w:asciiTheme="minorHAnsi" w:hAnsiTheme="minorHAnsi" w:cstheme="minorHAnsi"/>
          <w:lang w:val="es-ES"/>
        </w:rPr>
        <w:t xml:space="preserve">que son </w:t>
      </w:r>
      <w:r w:rsidRPr="008606FC">
        <w:rPr>
          <w:rFonts w:asciiTheme="minorHAnsi" w:hAnsiTheme="minorHAnsi" w:cstheme="minorHAnsi"/>
          <w:lang w:val="es-ES"/>
        </w:rPr>
        <w:t xml:space="preserve">tan esenciales para la seguridad de las personas. </w:t>
      </w:r>
    </w:p>
    <w:p w14:paraId="2E1BB421" w14:textId="77777777" w:rsidR="00D74819" w:rsidRPr="008606FC" w:rsidRDefault="00D74819" w:rsidP="00D74819">
      <w:pPr>
        <w:spacing w:line="276" w:lineRule="auto"/>
        <w:jc w:val="both"/>
        <w:rPr>
          <w:rFonts w:asciiTheme="minorHAnsi" w:hAnsiTheme="minorHAnsi" w:cstheme="minorHAnsi"/>
          <w:lang w:val="es-ES"/>
        </w:rPr>
      </w:pPr>
      <w:r w:rsidRPr="008606FC">
        <w:rPr>
          <w:rFonts w:asciiTheme="minorHAnsi" w:hAnsiTheme="minorHAnsi" w:cstheme="minorHAnsi"/>
          <w:lang w:val="es-ES"/>
        </w:rPr>
        <w:t>_____________________________________________________________________________________</w:t>
      </w:r>
    </w:p>
    <w:p w14:paraId="77DA1287" w14:textId="58F1FFEE" w:rsidR="00D74819" w:rsidRPr="008606FC" w:rsidRDefault="00166E87" w:rsidP="00D74819">
      <w:pPr>
        <w:pStyle w:val="ListParagraph"/>
        <w:spacing w:line="276" w:lineRule="auto"/>
        <w:ind w:left="360"/>
        <w:jc w:val="both"/>
        <w:rPr>
          <w:rFonts w:asciiTheme="minorHAnsi" w:hAnsiTheme="minorHAnsi" w:cstheme="minorHAnsi"/>
          <w:b/>
          <w:bCs/>
          <w:i/>
          <w:iCs/>
          <w:lang w:val="es-ES"/>
        </w:rPr>
      </w:pPr>
      <w:r w:rsidRPr="008606FC">
        <w:rPr>
          <w:rFonts w:asciiTheme="minorHAnsi" w:hAnsiTheme="minorHAnsi" w:cstheme="minorHAnsi"/>
          <w:b/>
          <w:bCs/>
          <w:i/>
          <w:iCs/>
          <w:lang w:val="es-ES"/>
        </w:rPr>
        <w:t xml:space="preserve">La OPS desea expresar su agradecimiento a la Comisión Económica para América Latina y el Caribe (CEPAL) como fuente importante de la información que se </w:t>
      </w:r>
      <w:r w:rsidR="00415321" w:rsidRPr="008606FC">
        <w:rPr>
          <w:rFonts w:asciiTheme="minorHAnsi" w:hAnsiTheme="minorHAnsi" w:cstheme="minorHAnsi"/>
          <w:b/>
          <w:bCs/>
          <w:i/>
          <w:iCs/>
          <w:lang w:val="es-ES"/>
        </w:rPr>
        <w:t>utiliza</w:t>
      </w:r>
      <w:r w:rsidRPr="008606FC">
        <w:rPr>
          <w:rFonts w:asciiTheme="minorHAnsi" w:hAnsiTheme="minorHAnsi" w:cstheme="minorHAnsi"/>
          <w:b/>
          <w:bCs/>
          <w:i/>
          <w:iCs/>
          <w:lang w:val="es-ES"/>
        </w:rPr>
        <w:t xml:space="preserve"> en este documento.</w:t>
      </w:r>
      <w:r w:rsidRPr="008606FC">
        <w:rPr>
          <w:rFonts w:asciiTheme="minorHAnsi" w:hAnsiTheme="minorHAnsi" w:cstheme="minorHAnsi"/>
          <w:lang w:val="es-ES"/>
        </w:rPr>
        <w:t xml:space="preserve">  </w:t>
      </w:r>
    </w:p>
    <w:p w14:paraId="0405BC42" w14:textId="77777777" w:rsidR="00D74819" w:rsidRPr="008606FC" w:rsidRDefault="00D74819" w:rsidP="00D74819">
      <w:pPr>
        <w:spacing w:line="276" w:lineRule="auto"/>
        <w:jc w:val="both"/>
        <w:rPr>
          <w:rFonts w:asciiTheme="minorHAnsi" w:hAnsiTheme="minorHAnsi" w:cstheme="minorHAnsi"/>
          <w:i/>
          <w:iCs/>
          <w:lang w:val="es-ES"/>
        </w:rPr>
      </w:pPr>
    </w:p>
    <w:p w14:paraId="6B13E326" w14:textId="77777777" w:rsidR="001A6D6E" w:rsidRPr="008606FC" w:rsidRDefault="001A6D6E" w:rsidP="00FF444C">
      <w:pPr>
        <w:rPr>
          <w:rFonts w:asciiTheme="minorHAnsi" w:hAnsiTheme="minorHAnsi" w:cstheme="minorHAnsi"/>
          <w:lang w:val="es-ES"/>
        </w:rPr>
      </w:pPr>
    </w:p>
    <w:sectPr w:rsidR="001A6D6E" w:rsidRPr="008606FC" w:rsidSect="00354ABA">
      <w:headerReference w:type="default" r:id="rId16"/>
      <w:footerReference w:type="even" r:id="rId17"/>
      <w:footerReference w:type="default" r:id="rId18"/>
      <w:headerReference w:type="first" r:id="rId19"/>
      <w:pgSz w:w="12240" w:h="15840"/>
      <w:pgMar w:top="1440" w:right="1260" w:bottom="1440" w:left="117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45769A2" w14:textId="77777777" w:rsidR="00270332" w:rsidRDefault="00270332" w:rsidP="00807F68">
      <w:pPr>
        <w:spacing w:after="0" w:line="240" w:lineRule="auto"/>
      </w:pPr>
      <w:r>
        <w:separator/>
      </w:r>
    </w:p>
  </w:endnote>
  <w:endnote w:type="continuationSeparator" w:id="0">
    <w:p w14:paraId="033CA0F5" w14:textId="77777777" w:rsidR="00270332" w:rsidRDefault="00270332" w:rsidP="00807F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597089163"/>
      <w:docPartObj>
        <w:docPartGallery w:val="Page Numbers (Bottom of Page)"/>
        <w:docPartUnique/>
      </w:docPartObj>
    </w:sdtPr>
    <w:sdtEndPr>
      <w:rPr>
        <w:rStyle w:val="PageNumber"/>
      </w:rPr>
    </w:sdtEndPr>
    <w:sdtContent>
      <w:p w14:paraId="5AA125F2" w14:textId="77777777" w:rsidR="001A6D6E" w:rsidRDefault="001A6D6E" w:rsidP="00AA2C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33998B7" w14:textId="77777777" w:rsidR="001A6D6E" w:rsidRDefault="001A6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146157970"/>
      <w:docPartObj>
        <w:docPartGallery w:val="Page Numbers (Bottom of Page)"/>
        <w:docPartUnique/>
      </w:docPartObj>
    </w:sdtPr>
    <w:sdtEndPr>
      <w:rPr>
        <w:rStyle w:val="PageNumber"/>
      </w:rPr>
    </w:sdtEndPr>
    <w:sdtContent>
      <w:p w14:paraId="5DFE22F1" w14:textId="77777777" w:rsidR="001A6D6E" w:rsidRDefault="001A6D6E" w:rsidP="00AA2CE0">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8F5835" w14:textId="77777777" w:rsidR="001A6D6E" w:rsidRDefault="001A6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1B702B" w14:textId="77777777" w:rsidR="00270332" w:rsidRDefault="00270332" w:rsidP="00807F68">
      <w:pPr>
        <w:spacing w:after="0" w:line="240" w:lineRule="auto"/>
      </w:pPr>
      <w:r>
        <w:separator/>
      </w:r>
    </w:p>
  </w:footnote>
  <w:footnote w:type="continuationSeparator" w:id="0">
    <w:p w14:paraId="2D108B75" w14:textId="77777777" w:rsidR="00270332" w:rsidRDefault="00270332" w:rsidP="00807F68">
      <w:pPr>
        <w:spacing w:after="0" w:line="240" w:lineRule="auto"/>
      </w:pPr>
      <w:r>
        <w:continuationSeparator/>
      </w:r>
    </w:p>
  </w:footnote>
  <w:footnote w:id="1">
    <w:p w14:paraId="79E9CEB0" w14:textId="40B32CBC" w:rsidR="00D74819" w:rsidRPr="00A10534" w:rsidRDefault="00D74819" w:rsidP="00D74819">
      <w:pPr>
        <w:pStyle w:val="FootnoteText"/>
        <w:jc w:val="both"/>
        <w:rPr>
          <w:rFonts w:ascii="Times New Roman" w:hAnsi="Times New Roman" w:cs="Times New Roman"/>
          <w:lang w:val="es-419"/>
        </w:rPr>
      </w:pPr>
      <w:r w:rsidRPr="008024C7">
        <w:rPr>
          <w:rStyle w:val="FootnoteReference"/>
          <w:rFonts w:ascii="Times New Roman" w:hAnsi="Times New Roman" w:cs="Times New Roman"/>
          <w:lang w:val="es-ES"/>
        </w:rPr>
        <w:footnoteRef/>
      </w:r>
      <w:r>
        <w:rPr>
          <w:lang w:val="es-ES"/>
        </w:rPr>
        <w:t xml:space="preserve"> Comisión Económica para América Latina y el Caribe</w:t>
      </w:r>
      <w:r w:rsidR="0065263F">
        <w:rPr>
          <w:lang w:val="es-ES"/>
        </w:rPr>
        <w:t>.</w:t>
      </w:r>
      <w:r>
        <w:rPr>
          <w:lang w:val="es-ES"/>
        </w:rPr>
        <w:t xml:space="preserve"> Panorama Social de América Latina, 2020 (LC/PUB.2021/2-P/Rev.1)</w:t>
      </w:r>
      <w:r w:rsidR="001027AA">
        <w:rPr>
          <w:lang w:val="es-ES"/>
        </w:rPr>
        <w:t>.</w:t>
      </w:r>
      <w:r>
        <w:rPr>
          <w:lang w:val="es-ES"/>
        </w:rPr>
        <w:t xml:space="preserve"> Santiago</w:t>
      </w:r>
      <w:r w:rsidR="001027AA">
        <w:rPr>
          <w:lang w:val="es-ES"/>
        </w:rPr>
        <w:t>: CEPAL;</w:t>
      </w:r>
      <w:r>
        <w:rPr>
          <w:lang w:val="es-ES"/>
        </w:rPr>
        <w:t xml:space="preserve"> 2021.</w:t>
      </w:r>
    </w:p>
  </w:footnote>
  <w:footnote w:id="2">
    <w:p w14:paraId="19AB2236" w14:textId="77777777" w:rsidR="00D74819" w:rsidRPr="00A10534" w:rsidRDefault="00D74819" w:rsidP="00D74819">
      <w:pPr>
        <w:pStyle w:val="FootnoteText"/>
        <w:jc w:val="both"/>
        <w:rPr>
          <w:rFonts w:ascii="Times New Roman" w:hAnsi="Times New Roman" w:cs="Times New Roman"/>
          <w:lang w:val="es-419"/>
        </w:rPr>
      </w:pPr>
      <w:r w:rsidRPr="008024C7">
        <w:rPr>
          <w:rStyle w:val="FootnoteReference"/>
          <w:rFonts w:ascii="Times New Roman" w:hAnsi="Times New Roman" w:cs="Times New Roman"/>
          <w:lang w:val="es-ES"/>
        </w:rPr>
        <w:footnoteRef/>
      </w:r>
      <w:r>
        <w:rPr>
          <w:lang w:val="es-ES"/>
        </w:rPr>
        <w:t xml:space="preserve"> Comisión Económica para América Latina y el Caribe, Construir un futuro mejor: acciones para fortalecer la Agenda 2030 para el Desarrollo Sostenible (LC/FDS.4/3/Rev.1), Santiago, 2021.</w:t>
      </w:r>
    </w:p>
  </w:footnote>
  <w:footnote w:id="3">
    <w:p w14:paraId="1EAC9FDB" w14:textId="77777777" w:rsidR="00662980" w:rsidRPr="00A10534" w:rsidRDefault="00662980" w:rsidP="00662980">
      <w:pPr>
        <w:pStyle w:val="FootnoteText"/>
        <w:tabs>
          <w:tab w:val="left" w:pos="180"/>
        </w:tabs>
        <w:ind w:left="180" w:hanging="180"/>
        <w:rPr>
          <w:rFonts w:ascii="Times New Roman" w:hAnsi="Times New Roman" w:cs="Times New Roman"/>
          <w:lang w:val="es-419"/>
        </w:rPr>
      </w:pPr>
      <w:r w:rsidRPr="00D74819">
        <w:rPr>
          <w:rStyle w:val="FootnoteReference"/>
          <w:rFonts w:ascii="Times New Roman" w:hAnsi="Times New Roman" w:cs="Times New Roman"/>
          <w:lang w:val="es-ES"/>
        </w:rPr>
        <w:footnoteRef/>
      </w:r>
      <w:r>
        <w:rPr>
          <w:lang w:val="es-ES"/>
        </w:rPr>
        <w:t xml:space="preserve"> </w:t>
      </w:r>
      <w:r>
        <w:rPr>
          <w:lang w:val="es-ES"/>
        </w:rPr>
        <w:tab/>
        <w:t xml:space="preserve">No incluye información de dos territorios del Reino de los Países Bajos (Saba y San Eustaquio). </w:t>
      </w:r>
      <w:bookmarkStart w:id="8" w:name="PAHOMTS0000049B"/>
      <w:bookmarkStart w:id="9" w:name="PAHOMTS0000049E"/>
      <w:bookmarkEnd w:id="8"/>
      <w:bookmarkEnd w:id="9"/>
    </w:p>
  </w:footnote>
  <w:footnote w:id="4">
    <w:p w14:paraId="67EF7C17" w14:textId="2F553AC0" w:rsidR="00D74819" w:rsidRPr="00A10534" w:rsidRDefault="00D74819" w:rsidP="00D74819">
      <w:pPr>
        <w:pStyle w:val="FootnoteText"/>
        <w:tabs>
          <w:tab w:val="left" w:pos="180"/>
        </w:tabs>
        <w:ind w:left="180" w:hanging="180"/>
        <w:rPr>
          <w:sz w:val="16"/>
          <w:szCs w:val="16"/>
          <w:lang w:val="es-419"/>
        </w:rPr>
      </w:pPr>
      <w:r>
        <w:rPr>
          <w:rStyle w:val="FootnoteReference"/>
          <w:sz w:val="16"/>
          <w:szCs w:val="16"/>
          <w:lang w:val="es-ES"/>
        </w:rPr>
        <w:footnoteRef/>
      </w:r>
      <w:r>
        <w:rPr>
          <w:lang w:val="es-ES"/>
        </w:rPr>
        <w:t xml:space="preserve"> </w:t>
      </w:r>
      <w:r>
        <w:rPr>
          <w:lang w:val="es-ES"/>
        </w:rPr>
        <w:tab/>
      </w:r>
      <w:hyperlink r:id="rId1" w:history="1">
        <w:r w:rsidR="002C6D94" w:rsidRPr="00922031">
          <w:rPr>
            <w:rStyle w:val="Hyperlink"/>
            <w:lang w:val="es-ES"/>
          </w:rPr>
          <w:t>https://ais.paho.org/imm/IM_DosisAdmin-Vacunacion.asp</w:t>
        </w:r>
      </w:hyperlink>
    </w:p>
    <w:p w14:paraId="69787E41" w14:textId="77777777" w:rsidR="00D74819" w:rsidRPr="00A10534" w:rsidRDefault="00D74819" w:rsidP="00D74819">
      <w:pPr>
        <w:pStyle w:val="FootnoteText"/>
        <w:rPr>
          <w:sz w:val="2"/>
          <w:szCs w:val="2"/>
          <w:lang w:val="es-419"/>
        </w:rPr>
      </w:pPr>
    </w:p>
  </w:footnote>
  <w:footnote w:id="5">
    <w:p w14:paraId="4E908623" w14:textId="3371CF61" w:rsidR="00D74819" w:rsidRPr="008D4846" w:rsidRDefault="00D74819" w:rsidP="008D4846">
      <w:pPr>
        <w:spacing w:after="0" w:line="240" w:lineRule="auto"/>
        <w:jc w:val="both"/>
        <w:rPr>
          <w:rFonts w:asciiTheme="minorHAnsi" w:hAnsiTheme="minorHAnsi" w:cstheme="minorHAnsi"/>
          <w:sz w:val="20"/>
          <w:szCs w:val="20"/>
          <w:lang w:val="es-419"/>
        </w:rPr>
      </w:pPr>
      <w:r w:rsidRPr="008D4846">
        <w:rPr>
          <w:rStyle w:val="FootnoteReference"/>
          <w:rFonts w:asciiTheme="minorHAnsi" w:hAnsiTheme="minorHAnsi" w:cstheme="minorHAnsi"/>
          <w:lang w:val="es-ES"/>
        </w:rPr>
        <w:footnoteRef/>
      </w:r>
      <w:r w:rsidRPr="008D4846">
        <w:rPr>
          <w:rFonts w:asciiTheme="minorHAnsi" w:hAnsiTheme="minorHAnsi" w:cstheme="minorHAnsi"/>
          <w:lang w:val="es-ES"/>
        </w:rPr>
        <w:t xml:space="preserve"> Un contexto en el que países como India, Rusia y China ya han realizado importantes esfuerzos en la esfera de la diplomacia </w:t>
      </w:r>
      <w:r w:rsidR="00D81FFA">
        <w:rPr>
          <w:rFonts w:asciiTheme="minorHAnsi" w:hAnsiTheme="minorHAnsi" w:cstheme="minorHAnsi"/>
          <w:lang w:val="es-ES"/>
        </w:rPr>
        <w:t>mediante l</w:t>
      </w:r>
      <w:r w:rsidRPr="008D4846">
        <w:rPr>
          <w:rFonts w:asciiTheme="minorHAnsi" w:hAnsiTheme="minorHAnsi" w:cstheme="minorHAnsi"/>
          <w:lang w:val="es-ES"/>
        </w:rPr>
        <w:t>as vacunas en América Latina y el Caribe.</w:t>
      </w:r>
    </w:p>
    <w:p w14:paraId="1976D697" w14:textId="77777777" w:rsidR="00D74819" w:rsidRPr="008D4846" w:rsidRDefault="00D74819" w:rsidP="00D74819">
      <w:pPr>
        <w:pStyle w:val="FootnoteText"/>
        <w:rPr>
          <w:rFonts w:cstheme="minorHAnsi"/>
          <w:sz w:val="18"/>
          <w:szCs w:val="18"/>
          <w:lang w:val="es-419"/>
        </w:rPr>
      </w:pPr>
    </w:p>
  </w:footnote>
  <w:footnote w:id="6">
    <w:p w14:paraId="7F132B94" w14:textId="24ADC358" w:rsidR="00D74819" w:rsidRPr="00A10534" w:rsidRDefault="00D74819" w:rsidP="00D74819">
      <w:pPr>
        <w:pStyle w:val="FootnoteText"/>
        <w:rPr>
          <w:lang w:val="es-419"/>
        </w:rPr>
      </w:pPr>
      <w:r>
        <w:rPr>
          <w:rStyle w:val="FootnoteReference"/>
          <w:lang w:val="es-ES"/>
        </w:rPr>
        <w:footnoteRef/>
      </w:r>
      <w:r>
        <w:rPr>
          <w:lang w:val="es-ES"/>
        </w:rPr>
        <w:t xml:space="preserve"> Todos los países registraron una fuerte caída de la tasa de empleo; en el caso de América Latina y el Caribe, el descenso fue de 10 puntos porcentuales, con amplias variaciones entre los distintos países. Se estima que se perderán 47 millones de empleos en todos los países de la subregión, lo que equivale a casi una quinta parte del nivel de empleo alcanzado en el 2019. Además, el número de personas desempleadas aumentó en 34 millones, lo que se agrava por los niveles </w:t>
      </w:r>
      <w:r w:rsidR="00AC3089">
        <w:rPr>
          <w:lang w:val="es-ES"/>
        </w:rPr>
        <w:t xml:space="preserve">altos </w:t>
      </w:r>
      <w:r>
        <w:rPr>
          <w:lang w:val="es-ES"/>
        </w:rPr>
        <w:t xml:space="preserve">de informalidad laboral y los niveles </w:t>
      </w:r>
      <w:r w:rsidR="00AC3089">
        <w:rPr>
          <w:lang w:val="es-ES"/>
        </w:rPr>
        <w:t xml:space="preserve">bajos </w:t>
      </w:r>
      <w:r>
        <w:rPr>
          <w:lang w:val="es-ES"/>
        </w:rPr>
        <w:t xml:space="preserve">de protección social antes de la pandemia. Las mujeres han sido las más afectadas debido a </w:t>
      </w:r>
      <w:r w:rsidR="00025636">
        <w:rPr>
          <w:lang w:val="es-ES"/>
        </w:rPr>
        <w:t>sus</w:t>
      </w:r>
      <w:r>
        <w:rPr>
          <w:lang w:val="es-ES"/>
        </w:rPr>
        <w:t xml:space="preserve"> mayores niveles de inseguridad laboral, el efecto de la pandemia en el cierre de escuelas y el trabajo doméstico remunerado, y </w:t>
      </w:r>
      <w:r w:rsidR="00172179">
        <w:rPr>
          <w:lang w:val="es-ES"/>
        </w:rPr>
        <w:t>su</w:t>
      </w:r>
      <w:r>
        <w:rPr>
          <w:lang w:val="es-ES"/>
        </w:rPr>
        <w:t xml:space="preserve"> participación desproporcionada</w:t>
      </w:r>
      <w:r w:rsidR="00172179">
        <w:rPr>
          <w:lang w:val="es-ES"/>
        </w:rPr>
        <w:t xml:space="preserve"> </w:t>
      </w:r>
      <w:r>
        <w:rPr>
          <w:lang w:val="es-ES"/>
        </w:rPr>
        <w:t>en el mercado de</w:t>
      </w:r>
      <w:r w:rsidR="00172179">
        <w:rPr>
          <w:lang w:val="es-ES"/>
        </w:rPr>
        <w:t>l</w:t>
      </w:r>
      <w:r>
        <w:rPr>
          <w:lang w:val="es-ES"/>
        </w:rPr>
        <w:t xml:space="preserve"> trabajo informal (54%). El número de mujeres que cayeron en la pobreza aumentó en 33</w:t>
      </w:r>
      <w:r w:rsidR="00172179">
        <w:rPr>
          <w:lang w:val="es-ES"/>
        </w:rPr>
        <w:t> </w:t>
      </w:r>
      <w:r>
        <w:rPr>
          <w:lang w:val="es-ES"/>
        </w:rPr>
        <w:t>millones en el 2020 (CEPAL 2020).</w:t>
      </w:r>
    </w:p>
  </w:footnote>
  <w:footnote w:id="7">
    <w:p w14:paraId="1D7BCCF8" w14:textId="7850EC35" w:rsidR="00D74819" w:rsidRPr="00A10534" w:rsidRDefault="00D74819" w:rsidP="00D74819">
      <w:pPr>
        <w:pStyle w:val="FootnoteText"/>
        <w:rPr>
          <w:rFonts w:ascii="Times New Roman" w:hAnsi="Times New Roman" w:cs="Times New Roman"/>
          <w:lang w:val="es-419"/>
        </w:rPr>
      </w:pPr>
      <w:r w:rsidRPr="008024C7">
        <w:rPr>
          <w:rStyle w:val="FootnoteReference"/>
          <w:rFonts w:ascii="Times New Roman" w:hAnsi="Times New Roman" w:cs="Times New Roman"/>
          <w:lang w:val="es-ES"/>
        </w:rPr>
        <w:footnoteRef/>
      </w:r>
      <w:r>
        <w:rPr>
          <w:lang w:val="es-ES"/>
        </w:rPr>
        <w:t xml:space="preserve"> Joe Biden, Remarks by President Biden on America’s Place in the World, 4 de febrero del 2021, </w:t>
      </w:r>
      <w:r w:rsidR="00BB74E8">
        <w:rPr>
          <w:lang w:val="es-ES"/>
        </w:rPr>
        <w:t xml:space="preserve">discursos </w:t>
      </w:r>
      <w:r>
        <w:rPr>
          <w:lang w:val="es-ES"/>
        </w:rPr>
        <w:t xml:space="preserve">y declaraciones, Casa Blanca. Disponible en </w:t>
      </w:r>
      <w:r w:rsidR="00BB74E8">
        <w:rPr>
          <w:lang w:val="es-ES"/>
        </w:rPr>
        <w:t xml:space="preserve">inglés en </w:t>
      </w:r>
      <w:hyperlink r:id="rId2" w:history="1">
        <w:r w:rsidR="00BB74E8" w:rsidRPr="00993F63">
          <w:rPr>
            <w:rStyle w:val="Hyperlink"/>
            <w:lang w:val="es-ES"/>
          </w:rPr>
          <w:t>https://www.whitehouse.gov/briefing-room/speeches-remarks/2021/02/04/remarks-by-president-biden-on-americas-place-in-the-world/</w:t>
        </w:r>
      </w:hyperlink>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A41686" w14:textId="42D73CA6" w:rsidR="005277AF" w:rsidRDefault="00A10534" w:rsidP="005277AF">
    <w:pPr>
      <w:pStyle w:val="Header"/>
      <w:jc w:val="center"/>
    </w:pPr>
    <w:r>
      <w:rPr>
        <w:noProof/>
      </w:rPr>
      <w:drawing>
        <wp:inline distT="0" distB="0" distL="0" distR="0" wp14:anchorId="01A3E96F" wp14:editId="406E6440">
          <wp:extent cx="3543300" cy="3855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3669710" cy="399315"/>
                  </a:xfrm>
                  <a:prstGeom prst="rect">
                    <a:avLst/>
                  </a:prstGeom>
                </pic:spPr>
              </pic:pic>
            </a:graphicData>
          </a:graphic>
        </wp:inline>
      </w:drawing>
    </w:r>
  </w:p>
  <w:p w14:paraId="563E7881" w14:textId="77777777" w:rsidR="00A15F30" w:rsidRDefault="00A15F30" w:rsidP="005277AF">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15EC83" w14:textId="3527D5AE" w:rsidR="002F20B0" w:rsidRDefault="00A10534" w:rsidP="002F20B0">
    <w:pPr>
      <w:pStyle w:val="Header"/>
      <w:jc w:val="center"/>
    </w:pPr>
    <w:r>
      <w:rPr>
        <w:noProof/>
      </w:rPr>
      <w:drawing>
        <wp:inline distT="0" distB="0" distL="0" distR="0" wp14:anchorId="148E7FE7" wp14:editId="39CD8866">
          <wp:extent cx="3543300" cy="38556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3669710" cy="399315"/>
                  </a:xfrm>
                  <a:prstGeom prst="rect">
                    <a:avLst/>
                  </a:prstGeom>
                </pic:spPr>
              </pic:pic>
            </a:graphicData>
          </a:graphic>
        </wp:inline>
      </w:drawing>
    </w:r>
  </w:p>
  <w:p w14:paraId="543D540B" w14:textId="77777777" w:rsidR="003A0D38" w:rsidRDefault="003A0D38" w:rsidP="002F20B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8F2482"/>
    <w:multiLevelType w:val="hybridMultilevel"/>
    <w:tmpl w:val="63CABE5A"/>
    <w:lvl w:ilvl="0" w:tplc="BAD4F3B0">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0931CF"/>
    <w:multiLevelType w:val="hybridMultilevel"/>
    <w:tmpl w:val="0E2AA3C8"/>
    <w:lvl w:ilvl="0" w:tplc="BAD4F3B0">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D4E2355"/>
    <w:multiLevelType w:val="hybridMultilevel"/>
    <w:tmpl w:val="792E3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52636F"/>
    <w:multiLevelType w:val="hybridMultilevel"/>
    <w:tmpl w:val="AA5AB9A2"/>
    <w:lvl w:ilvl="0" w:tplc="BAD4F3B0">
      <w:numFmt w:val="bullet"/>
      <w:lvlText w:val="•"/>
      <w:lvlJc w:val="left"/>
      <w:pPr>
        <w:ind w:left="720" w:hanging="360"/>
      </w:pPr>
      <w:rPr>
        <w:rFonts w:ascii="Calibri Light" w:eastAsiaTheme="majorEastAsia"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F68"/>
    <w:rsid w:val="000107A2"/>
    <w:rsid w:val="000108DD"/>
    <w:rsid w:val="000117EC"/>
    <w:rsid w:val="000120F8"/>
    <w:rsid w:val="00025636"/>
    <w:rsid w:val="00027C0B"/>
    <w:rsid w:val="0003039E"/>
    <w:rsid w:val="00042C5E"/>
    <w:rsid w:val="000528E5"/>
    <w:rsid w:val="000679D8"/>
    <w:rsid w:val="00080F31"/>
    <w:rsid w:val="0009183C"/>
    <w:rsid w:val="000C2845"/>
    <w:rsid w:val="000D02CC"/>
    <w:rsid w:val="000D3E9B"/>
    <w:rsid w:val="001027AA"/>
    <w:rsid w:val="00163CC2"/>
    <w:rsid w:val="00166E87"/>
    <w:rsid w:val="00172179"/>
    <w:rsid w:val="001726F8"/>
    <w:rsid w:val="0018259F"/>
    <w:rsid w:val="00182688"/>
    <w:rsid w:val="001A5BBA"/>
    <w:rsid w:val="001A6A9C"/>
    <w:rsid w:val="001A6D6E"/>
    <w:rsid w:val="001B2FBB"/>
    <w:rsid w:val="001D3C30"/>
    <w:rsid w:val="001F05F9"/>
    <w:rsid w:val="001F759B"/>
    <w:rsid w:val="0020152E"/>
    <w:rsid w:val="002038FC"/>
    <w:rsid w:val="002173AA"/>
    <w:rsid w:val="0022740D"/>
    <w:rsid w:val="00236D5A"/>
    <w:rsid w:val="002372E8"/>
    <w:rsid w:val="00270332"/>
    <w:rsid w:val="002818F2"/>
    <w:rsid w:val="0028388C"/>
    <w:rsid w:val="00291BB2"/>
    <w:rsid w:val="002940E4"/>
    <w:rsid w:val="00294A07"/>
    <w:rsid w:val="00297D18"/>
    <w:rsid w:val="002A096A"/>
    <w:rsid w:val="002A7E6C"/>
    <w:rsid w:val="002B1721"/>
    <w:rsid w:val="002C6D94"/>
    <w:rsid w:val="002C799C"/>
    <w:rsid w:val="002F1518"/>
    <w:rsid w:val="002F20B0"/>
    <w:rsid w:val="002F6DF9"/>
    <w:rsid w:val="00305847"/>
    <w:rsid w:val="003365F5"/>
    <w:rsid w:val="00353811"/>
    <w:rsid w:val="00354ABA"/>
    <w:rsid w:val="00375B12"/>
    <w:rsid w:val="00386F6C"/>
    <w:rsid w:val="003A0D38"/>
    <w:rsid w:val="003B1624"/>
    <w:rsid w:val="003B2D75"/>
    <w:rsid w:val="003C0ADD"/>
    <w:rsid w:val="003C1069"/>
    <w:rsid w:val="003F7232"/>
    <w:rsid w:val="00410EFA"/>
    <w:rsid w:val="00412DCD"/>
    <w:rsid w:val="00415321"/>
    <w:rsid w:val="004207C5"/>
    <w:rsid w:val="00424D5D"/>
    <w:rsid w:val="0043724F"/>
    <w:rsid w:val="00442358"/>
    <w:rsid w:val="004554F8"/>
    <w:rsid w:val="004919ED"/>
    <w:rsid w:val="004D66EE"/>
    <w:rsid w:val="004F2ECF"/>
    <w:rsid w:val="00510AC4"/>
    <w:rsid w:val="005140EA"/>
    <w:rsid w:val="005239C1"/>
    <w:rsid w:val="005277AF"/>
    <w:rsid w:val="005569D8"/>
    <w:rsid w:val="00557C2B"/>
    <w:rsid w:val="00560B7A"/>
    <w:rsid w:val="00562814"/>
    <w:rsid w:val="005E4017"/>
    <w:rsid w:val="00600301"/>
    <w:rsid w:val="00604769"/>
    <w:rsid w:val="00611261"/>
    <w:rsid w:val="00612403"/>
    <w:rsid w:val="00634595"/>
    <w:rsid w:val="0065263F"/>
    <w:rsid w:val="00662980"/>
    <w:rsid w:val="00671654"/>
    <w:rsid w:val="00672C8E"/>
    <w:rsid w:val="00682B63"/>
    <w:rsid w:val="00685ED9"/>
    <w:rsid w:val="00693CEE"/>
    <w:rsid w:val="00695D1D"/>
    <w:rsid w:val="006971E8"/>
    <w:rsid w:val="006A776B"/>
    <w:rsid w:val="006B0467"/>
    <w:rsid w:val="006B4286"/>
    <w:rsid w:val="006C3FF8"/>
    <w:rsid w:val="006D3819"/>
    <w:rsid w:val="006D51C5"/>
    <w:rsid w:val="006D5761"/>
    <w:rsid w:val="006E6409"/>
    <w:rsid w:val="006E7EFC"/>
    <w:rsid w:val="006F65F3"/>
    <w:rsid w:val="006F661A"/>
    <w:rsid w:val="00721AA8"/>
    <w:rsid w:val="00746110"/>
    <w:rsid w:val="0078135E"/>
    <w:rsid w:val="007B07B3"/>
    <w:rsid w:val="007C4D8D"/>
    <w:rsid w:val="007E085A"/>
    <w:rsid w:val="00807F68"/>
    <w:rsid w:val="0082280F"/>
    <w:rsid w:val="00835142"/>
    <w:rsid w:val="00835980"/>
    <w:rsid w:val="00843992"/>
    <w:rsid w:val="008606FC"/>
    <w:rsid w:val="00862111"/>
    <w:rsid w:val="008A35CB"/>
    <w:rsid w:val="008B04E9"/>
    <w:rsid w:val="008B750B"/>
    <w:rsid w:val="008D4846"/>
    <w:rsid w:val="00927CF0"/>
    <w:rsid w:val="00932A82"/>
    <w:rsid w:val="00937821"/>
    <w:rsid w:val="00943313"/>
    <w:rsid w:val="009438D4"/>
    <w:rsid w:val="00950F2A"/>
    <w:rsid w:val="0095531F"/>
    <w:rsid w:val="0098171D"/>
    <w:rsid w:val="009C0B8A"/>
    <w:rsid w:val="009C6F5C"/>
    <w:rsid w:val="009D4C18"/>
    <w:rsid w:val="009D5877"/>
    <w:rsid w:val="009F165C"/>
    <w:rsid w:val="009F3F82"/>
    <w:rsid w:val="009F6903"/>
    <w:rsid w:val="00A07CCE"/>
    <w:rsid w:val="00A10534"/>
    <w:rsid w:val="00A15F30"/>
    <w:rsid w:val="00A2022B"/>
    <w:rsid w:val="00A27F49"/>
    <w:rsid w:val="00A32444"/>
    <w:rsid w:val="00A35966"/>
    <w:rsid w:val="00A71852"/>
    <w:rsid w:val="00A76061"/>
    <w:rsid w:val="00A97DF5"/>
    <w:rsid w:val="00AB3983"/>
    <w:rsid w:val="00AC3089"/>
    <w:rsid w:val="00AC5D09"/>
    <w:rsid w:val="00AE7EDA"/>
    <w:rsid w:val="00AF2008"/>
    <w:rsid w:val="00B172DF"/>
    <w:rsid w:val="00B35CF7"/>
    <w:rsid w:val="00B83033"/>
    <w:rsid w:val="00B91008"/>
    <w:rsid w:val="00B92905"/>
    <w:rsid w:val="00BA3E1A"/>
    <w:rsid w:val="00BB74E8"/>
    <w:rsid w:val="00BC4FBB"/>
    <w:rsid w:val="00BD488E"/>
    <w:rsid w:val="00C05C53"/>
    <w:rsid w:val="00C07CB8"/>
    <w:rsid w:val="00C2700C"/>
    <w:rsid w:val="00C54FF2"/>
    <w:rsid w:val="00C607D0"/>
    <w:rsid w:val="00C92ACF"/>
    <w:rsid w:val="00CC030E"/>
    <w:rsid w:val="00CC66C0"/>
    <w:rsid w:val="00CD50EB"/>
    <w:rsid w:val="00CD7C87"/>
    <w:rsid w:val="00CE3764"/>
    <w:rsid w:val="00CE5CB4"/>
    <w:rsid w:val="00D25927"/>
    <w:rsid w:val="00D32E38"/>
    <w:rsid w:val="00D36548"/>
    <w:rsid w:val="00D74819"/>
    <w:rsid w:val="00D81FFA"/>
    <w:rsid w:val="00D84942"/>
    <w:rsid w:val="00D92513"/>
    <w:rsid w:val="00DA645B"/>
    <w:rsid w:val="00E05AF6"/>
    <w:rsid w:val="00E3272D"/>
    <w:rsid w:val="00E32965"/>
    <w:rsid w:val="00E46A39"/>
    <w:rsid w:val="00E579D7"/>
    <w:rsid w:val="00E60AFC"/>
    <w:rsid w:val="00E6269C"/>
    <w:rsid w:val="00E70372"/>
    <w:rsid w:val="00E750E7"/>
    <w:rsid w:val="00E83CCB"/>
    <w:rsid w:val="00E9370D"/>
    <w:rsid w:val="00EB3334"/>
    <w:rsid w:val="00EC093C"/>
    <w:rsid w:val="00EC1774"/>
    <w:rsid w:val="00EC640D"/>
    <w:rsid w:val="00ED45DF"/>
    <w:rsid w:val="00EF3228"/>
    <w:rsid w:val="00F3704B"/>
    <w:rsid w:val="00F40E36"/>
    <w:rsid w:val="00F55291"/>
    <w:rsid w:val="00F639AF"/>
    <w:rsid w:val="00F8172B"/>
    <w:rsid w:val="00F81990"/>
    <w:rsid w:val="00F845BE"/>
    <w:rsid w:val="00FB5847"/>
    <w:rsid w:val="00FD4F32"/>
    <w:rsid w:val="00FD5809"/>
    <w:rsid w:val="00FF251B"/>
    <w:rsid w:val="00FF3BD1"/>
    <w:rsid w:val="00FF44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316A2"/>
  <w15:chartTrackingRefBased/>
  <w15:docId w15:val="{935233AD-1B28-BD41-BF08-926C449D8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20B0"/>
  </w:style>
  <w:style w:type="paragraph" w:styleId="Heading1">
    <w:name w:val="heading 1"/>
    <w:basedOn w:val="Normal"/>
    <w:next w:val="Normal"/>
    <w:link w:val="Heading1Char"/>
    <w:uiPriority w:val="9"/>
    <w:qFormat/>
    <w:rsid w:val="002F20B0"/>
    <w:pPr>
      <w:pBdr>
        <w:bottom w:val="thinThickSmallGap" w:sz="12" w:space="1" w:color="1C6194" w:themeColor="accent2" w:themeShade="BF"/>
      </w:pBdr>
      <w:spacing w:before="400"/>
      <w:jc w:val="center"/>
      <w:outlineLvl w:val="0"/>
    </w:pPr>
    <w:rPr>
      <w:caps/>
      <w:color w:val="134163" w:themeColor="accent2" w:themeShade="80"/>
      <w:spacing w:val="20"/>
      <w:sz w:val="28"/>
      <w:szCs w:val="28"/>
    </w:rPr>
  </w:style>
  <w:style w:type="paragraph" w:styleId="Heading2">
    <w:name w:val="heading 2"/>
    <w:basedOn w:val="Normal"/>
    <w:next w:val="Normal"/>
    <w:link w:val="Heading2Char"/>
    <w:uiPriority w:val="9"/>
    <w:unhideWhenUsed/>
    <w:qFormat/>
    <w:rsid w:val="002F20B0"/>
    <w:pPr>
      <w:pBdr>
        <w:bottom w:val="single" w:sz="4" w:space="1" w:color="134162" w:themeColor="accent2" w:themeShade="7F"/>
      </w:pBdr>
      <w:spacing w:before="400"/>
      <w:jc w:val="center"/>
      <w:outlineLvl w:val="1"/>
    </w:pPr>
    <w:rPr>
      <w:caps/>
      <w:color w:val="134163" w:themeColor="accent2" w:themeShade="80"/>
      <w:spacing w:val="15"/>
      <w:sz w:val="24"/>
      <w:szCs w:val="24"/>
    </w:rPr>
  </w:style>
  <w:style w:type="paragraph" w:styleId="Heading3">
    <w:name w:val="heading 3"/>
    <w:basedOn w:val="Normal"/>
    <w:next w:val="Normal"/>
    <w:link w:val="Heading3Char"/>
    <w:uiPriority w:val="9"/>
    <w:semiHidden/>
    <w:unhideWhenUsed/>
    <w:qFormat/>
    <w:rsid w:val="002F20B0"/>
    <w:pPr>
      <w:pBdr>
        <w:top w:val="dotted" w:sz="4" w:space="1" w:color="134162" w:themeColor="accent2" w:themeShade="7F"/>
        <w:bottom w:val="dotted" w:sz="4" w:space="1" w:color="134162" w:themeColor="accent2" w:themeShade="7F"/>
      </w:pBdr>
      <w:spacing w:before="300"/>
      <w:jc w:val="center"/>
      <w:outlineLvl w:val="2"/>
    </w:pPr>
    <w:rPr>
      <w:caps/>
      <w:color w:val="134162" w:themeColor="accent2" w:themeShade="7F"/>
      <w:sz w:val="24"/>
      <w:szCs w:val="24"/>
    </w:rPr>
  </w:style>
  <w:style w:type="paragraph" w:styleId="Heading4">
    <w:name w:val="heading 4"/>
    <w:basedOn w:val="Normal"/>
    <w:next w:val="Normal"/>
    <w:link w:val="Heading4Char"/>
    <w:uiPriority w:val="9"/>
    <w:semiHidden/>
    <w:unhideWhenUsed/>
    <w:qFormat/>
    <w:rsid w:val="002F20B0"/>
    <w:pPr>
      <w:pBdr>
        <w:bottom w:val="dotted" w:sz="4" w:space="1" w:color="1C6194" w:themeColor="accent2" w:themeShade="BF"/>
      </w:pBdr>
      <w:spacing w:after="120"/>
      <w:jc w:val="center"/>
      <w:outlineLvl w:val="3"/>
    </w:pPr>
    <w:rPr>
      <w:caps/>
      <w:color w:val="134162" w:themeColor="accent2" w:themeShade="7F"/>
      <w:spacing w:val="10"/>
    </w:rPr>
  </w:style>
  <w:style w:type="paragraph" w:styleId="Heading5">
    <w:name w:val="heading 5"/>
    <w:basedOn w:val="Normal"/>
    <w:next w:val="Normal"/>
    <w:link w:val="Heading5Char"/>
    <w:uiPriority w:val="9"/>
    <w:semiHidden/>
    <w:unhideWhenUsed/>
    <w:qFormat/>
    <w:rsid w:val="002F20B0"/>
    <w:pPr>
      <w:spacing w:before="320" w:after="120"/>
      <w:jc w:val="center"/>
      <w:outlineLvl w:val="4"/>
    </w:pPr>
    <w:rPr>
      <w:caps/>
      <w:color w:val="134162" w:themeColor="accent2" w:themeShade="7F"/>
      <w:spacing w:val="10"/>
    </w:rPr>
  </w:style>
  <w:style w:type="paragraph" w:styleId="Heading6">
    <w:name w:val="heading 6"/>
    <w:basedOn w:val="Normal"/>
    <w:next w:val="Normal"/>
    <w:link w:val="Heading6Char"/>
    <w:uiPriority w:val="9"/>
    <w:semiHidden/>
    <w:unhideWhenUsed/>
    <w:qFormat/>
    <w:rsid w:val="002F20B0"/>
    <w:pPr>
      <w:spacing w:after="120"/>
      <w:jc w:val="center"/>
      <w:outlineLvl w:val="5"/>
    </w:pPr>
    <w:rPr>
      <w:caps/>
      <w:color w:val="1C6194" w:themeColor="accent2" w:themeShade="BF"/>
      <w:spacing w:val="10"/>
    </w:rPr>
  </w:style>
  <w:style w:type="paragraph" w:styleId="Heading7">
    <w:name w:val="heading 7"/>
    <w:basedOn w:val="Normal"/>
    <w:next w:val="Normal"/>
    <w:link w:val="Heading7Char"/>
    <w:uiPriority w:val="9"/>
    <w:semiHidden/>
    <w:unhideWhenUsed/>
    <w:qFormat/>
    <w:rsid w:val="002F20B0"/>
    <w:pPr>
      <w:spacing w:after="120"/>
      <w:jc w:val="center"/>
      <w:outlineLvl w:val="6"/>
    </w:pPr>
    <w:rPr>
      <w:i/>
      <w:iCs/>
      <w:caps/>
      <w:color w:val="1C6194" w:themeColor="accent2" w:themeShade="BF"/>
      <w:spacing w:val="10"/>
    </w:rPr>
  </w:style>
  <w:style w:type="paragraph" w:styleId="Heading8">
    <w:name w:val="heading 8"/>
    <w:basedOn w:val="Normal"/>
    <w:next w:val="Normal"/>
    <w:link w:val="Heading8Char"/>
    <w:uiPriority w:val="9"/>
    <w:semiHidden/>
    <w:unhideWhenUsed/>
    <w:qFormat/>
    <w:rsid w:val="002F20B0"/>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2F20B0"/>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20B0"/>
    <w:rPr>
      <w:caps/>
      <w:color w:val="134163" w:themeColor="accent2" w:themeShade="80"/>
      <w:spacing w:val="20"/>
      <w:sz w:val="28"/>
      <w:szCs w:val="28"/>
    </w:rPr>
  </w:style>
  <w:style w:type="character" w:customStyle="1" w:styleId="Heading2Char">
    <w:name w:val="Heading 2 Char"/>
    <w:basedOn w:val="DefaultParagraphFont"/>
    <w:link w:val="Heading2"/>
    <w:uiPriority w:val="9"/>
    <w:rsid w:val="002F20B0"/>
    <w:rPr>
      <w:caps/>
      <w:color w:val="134163" w:themeColor="accent2" w:themeShade="80"/>
      <w:spacing w:val="15"/>
      <w:sz w:val="24"/>
      <w:szCs w:val="24"/>
    </w:rPr>
  </w:style>
  <w:style w:type="character" w:customStyle="1" w:styleId="Heading3Char">
    <w:name w:val="Heading 3 Char"/>
    <w:basedOn w:val="DefaultParagraphFont"/>
    <w:link w:val="Heading3"/>
    <w:uiPriority w:val="9"/>
    <w:semiHidden/>
    <w:rsid w:val="002F20B0"/>
    <w:rPr>
      <w:caps/>
      <w:color w:val="134162" w:themeColor="accent2" w:themeShade="7F"/>
      <w:sz w:val="24"/>
      <w:szCs w:val="24"/>
    </w:rPr>
  </w:style>
  <w:style w:type="character" w:customStyle="1" w:styleId="Heading4Char">
    <w:name w:val="Heading 4 Char"/>
    <w:basedOn w:val="DefaultParagraphFont"/>
    <w:link w:val="Heading4"/>
    <w:uiPriority w:val="9"/>
    <w:semiHidden/>
    <w:rsid w:val="002F20B0"/>
    <w:rPr>
      <w:caps/>
      <w:color w:val="134162" w:themeColor="accent2" w:themeShade="7F"/>
      <w:spacing w:val="10"/>
    </w:rPr>
  </w:style>
  <w:style w:type="character" w:customStyle="1" w:styleId="Heading5Char">
    <w:name w:val="Heading 5 Char"/>
    <w:basedOn w:val="DefaultParagraphFont"/>
    <w:link w:val="Heading5"/>
    <w:uiPriority w:val="9"/>
    <w:semiHidden/>
    <w:rsid w:val="002F20B0"/>
    <w:rPr>
      <w:caps/>
      <w:color w:val="134162" w:themeColor="accent2" w:themeShade="7F"/>
      <w:spacing w:val="10"/>
    </w:rPr>
  </w:style>
  <w:style w:type="character" w:customStyle="1" w:styleId="Heading6Char">
    <w:name w:val="Heading 6 Char"/>
    <w:basedOn w:val="DefaultParagraphFont"/>
    <w:link w:val="Heading6"/>
    <w:uiPriority w:val="9"/>
    <w:semiHidden/>
    <w:rsid w:val="002F20B0"/>
    <w:rPr>
      <w:caps/>
      <w:color w:val="1C6194" w:themeColor="accent2" w:themeShade="BF"/>
      <w:spacing w:val="10"/>
    </w:rPr>
  </w:style>
  <w:style w:type="character" w:customStyle="1" w:styleId="Heading7Char">
    <w:name w:val="Heading 7 Char"/>
    <w:basedOn w:val="DefaultParagraphFont"/>
    <w:link w:val="Heading7"/>
    <w:uiPriority w:val="9"/>
    <w:semiHidden/>
    <w:rsid w:val="002F20B0"/>
    <w:rPr>
      <w:i/>
      <w:iCs/>
      <w:caps/>
      <w:color w:val="1C6194" w:themeColor="accent2" w:themeShade="BF"/>
      <w:spacing w:val="10"/>
    </w:rPr>
  </w:style>
  <w:style w:type="character" w:customStyle="1" w:styleId="Heading8Char">
    <w:name w:val="Heading 8 Char"/>
    <w:basedOn w:val="DefaultParagraphFont"/>
    <w:link w:val="Heading8"/>
    <w:uiPriority w:val="9"/>
    <w:semiHidden/>
    <w:rsid w:val="002F20B0"/>
    <w:rPr>
      <w:caps/>
      <w:spacing w:val="10"/>
      <w:sz w:val="20"/>
      <w:szCs w:val="20"/>
    </w:rPr>
  </w:style>
  <w:style w:type="character" w:customStyle="1" w:styleId="Heading9Char">
    <w:name w:val="Heading 9 Char"/>
    <w:basedOn w:val="DefaultParagraphFont"/>
    <w:link w:val="Heading9"/>
    <w:uiPriority w:val="9"/>
    <w:semiHidden/>
    <w:rsid w:val="002F20B0"/>
    <w:rPr>
      <w:i/>
      <w:iCs/>
      <w:caps/>
      <w:spacing w:val="10"/>
      <w:sz w:val="20"/>
      <w:szCs w:val="20"/>
    </w:rPr>
  </w:style>
  <w:style w:type="paragraph" w:styleId="Caption">
    <w:name w:val="caption"/>
    <w:basedOn w:val="Normal"/>
    <w:next w:val="Normal"/>
    <w:uiPriority w:val="35"/>
    <w:semiHidden/>
    <w:unhideWhenUsed/>
    <w:qFormat/>
    <w:rsid w:val="002F20B0"/>
    <w:rPr>
      <w:caps/>
      <w:spacing w:val="10"/>
      <w:sz w:val="18"/>
      <w:szCs w:val="18"/>
    </w:rPr>
  </w:style>
  <w:style w:type="paragraph" w:styleId="Title">
    <w:name w:val="Title"/>
    <w:basedOn w:val="Normal"/>
    <w:next w:val="Normal"/>
    <w:link w:val="TitleChar"/>
    <w:uiPriority w:val="10"/>
    <w:qFormat/>
    <w:rsid w:val="002F20B0"/>
    <w:pPr>
      <w:pBdr>
        <w:top w:val="dotted" w:sz="2" w:space="1" w:color="134163" w:themeColor="accent2" w:themeShade="80"/>
        <w:bottom w:val="dotted" w:sz="2" w:space="6" w:color="134163" w:themeColor="accent2" w:themeShade="80"/>
      </w:pBdr>
      <w:spacing w:before="500" w:after="300" w:line="240" w:lineRule="auto"/>
      <w:jc w:val="center"/>
    </w:pPr>
    <w:rPr>
      <w:caps/>
      <w:color w:val="134163" w:themeColor="accent2" w:themeShade="80"/>
      <w:spacing w:val="50"/>
      <w:sz w:val="44"/>
      <w:szCs w:val="44"/>
    </w:rPr>
  </w:style>
  <w:style w:type="character" w:customStyle="1" w:styleId="TitleChar">
    <w:name w:val="Title Char"/>
    <w:basedOn w:val="DefaultParagraphFont"/>
    <w:link w:val="Title"/>
    <w:uiPriority w:val="10"/>
    <w:rsid w:val="002F20B0"/>
    <w:rPr>
      <w:caps/>
      <w:color w:val="134163" w:themeColor="accent2" w:themeShade="80"/>
      <w:spacing w:val="50"/>
      <w:sz w:val="44"/>
      <w:szCs w:val="44"/>
    </w:rPr>
  </w:style>
  <w:style w:type="paragraph" w:styleId="Subtitle">
    <w:name w:val="Subtitle"/>
    <w:basedOn w:val="Normal"/>
    <w:next w:val="Normal"/>
    <w:link w:val="SubtitleChar"/>
    <w:uiPriority w:val="11"/>
    <w:qFormat/>
    <w:rsid w:val="002F20B0"/>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2F20B0"/>
    <w:rPr>
      <w:caps/>
      <w:spacing w:val="20"/>
      <w:sz w:val="18"/>
      <w:szCs w:val="18"/>
    </w:rPr>
  </w:style>
  <w:style w:type="character" w:styleId="Strong">
    <w:name w:val="Strong"/>
    <w:uiPriority w:val="22"/>
    <w:qFormat/>
    <w:rsid w:val="002F20B0"/>
    <w:rPr>
      <w:b/>
      <w:bCs/>
      <w:color w:val="1C6194" w:themeColor="accent2" w:themeShade="BF"/>
      <w:spacing w:val="5"/>
    </w:rPr>
  </w:style>
  <w:style w:type="character" w:styleId="Emphasis">
    <w:name w:val="Emphasis"/>
    <w:uiPriority w:val="20"/>
    <w:qFormat/>
    <w:rsid w:val="002F20B0"/>
    <w:rPr>
      <w:caps/>
      <w:spacing w:val="5"/>
      <w:sz w:val="20"/>
      <w:szCs w:val="20"/>
    </w:rPr>
  </w:style>
  <w:style w:type="paragraph" w:styleId="NoSpacing">
    <w:name w:val="No Spacing"/>
    <w:basedOn w:val="Normal"/>
    <w:link w:val="NoSpacingChar"/>
    <w:uiPriority w:val="1"/>
    <w:qFormat/>
    <w:rsid w:val="002F20B0"/>
    <w:pPr>
      <w:spacing w:after="0" w:line="240" w:lineRule="auto"/>
    </w:pPr>
  </w:style>
  <w:style w:type="character" w:customStyle="1" w:styleId="NoSpacingChar">
    <w:name w:val="No Spacing Char"/>
    <w:basedOn w:val="DefaultParagraphFont"/>
    <w:link w:val="NoSpacing"/>
    <w:uiPriority w:val="1"/>
    <w:rsid w:val="002F20B0"/>
  </w:style>
  <w:style w:type="paragraph" w:styleId="ListParagraph">
    <w:name w:val="List Paragraph"/>
    <w:basedOn w:val="Normal"/>
    <w:link w:val="ListParagraphChar"/>
    <w:uiPriority w:val="34"/>
    <w:qFormat/>
    <w:rsid w:val="002F20B0"/>
    <w:pPr>
      <w:ind w:left="720"/>
      <w:contextualSpacing/>
    </w:pPr>
  </w:style>
  <w:style w:type="paragraph" w:styleId="Quote">
    <w:name w:val="Quote"/>
    <w:basedOn w:val="Normal"/>
    <w:next w:val="Normal"/>
    <w:link w:val="QuoteChar"/>
    <w:uiPriority w:val="29"/>
    <w:qFormat/>
    <w:rsid w:val="002F20B0"/>
    <w:rPr>
      <w:i/>
      <w:iCs/>
    </w:rPr>
  </w:style>
  <w:style w:type="character" w:customStyle="1" w:styleId="QuoteChar">
    <w:name w:val="Quote Char"/>
    <w:basedOn w:val="DefaultParagraphFont"/>
    <w:link w:val="Quote"/>
    <w:uiPriority w:val="29"/>
    <w:rsid w:val="002F20B0"/>
    <w:rPr>
      <w:i/>
      <w:iCs/>
    </w:rPr>
  </w:style>
  <w:style w:type="paragraph" w:styleId="IntenseQuote">
    <w:name w:val="Intense Quote"/>
    <w:basedOn w:val="Normal"/>
    <w:next w:val="Normal"/>
    <w:link w:val="IntenseQuoteChar"/>
    <w:uiPriority w:val="30"/>
    <w:qFormat/>
    <w:rsid w:val="002F20B0"/>
    <w:pPr>
      <w:pBdr>
        <w:top w:val="dotted" w:sz="2" w:space="10" w:color="134163" w:themeColor="accent2" w:themeShade="80"/>
        <w:bottom w:val="dotted" w:sz="2" w:space="4" w:color="134163" w:themeColor="accent2" w:themeShade="80"/>
      </w:pBdr>
      <w:spacing w:before="160" w:line="300" w:lineRule="auto"/>
      <w:ind w:left="1440" w:right="1440"/>
    </w:pPr>
    <w:rPr>
      <w:caps/>
      <w:color w:val="134162" w:themeColor="accent2" w:themeShade="7F"/>
      <w:spacing w:val="5"/>
      <w:sz w:val="20"/>
      <w:szCs w:val="20"/>
    </w:rPr>
  </w:style>
  <w:style w:type="character" w:customStyle="1" w:styleId="IntenseQuoteChar">
    <w:name w:val="Intense Quote Char"/>
    <w:basedOn w:val="DefaultParagraphFont"/>
    <w:link w:val="IntenseQuote"/>
    <w:uiPriority w:val="30"/>
    <w:rsid w:val="002F20B0"/>
    <w:rPr>
      <w:caps/>
      <w:color w:val="134162" w:themeColor="accent2" w:themeShade="7F"/>
      <w:spacing w:val="5"/>
      <w:sz w:val="20"/>
      <w:szCs w:val="20"/>
    </w:rPr>
  </w:style>
  <w:style w:type="character" w:styleId="SubtleEmphasis">
    <w:name w:val="Subtle Emphasis"/>
    <w:uiPriority w:val="19"/>
    <w:qFormat/>
    <w:rsid w:val="002F20B0"/>
    <w:rPr>
      <w:i/>
      <w:iCs/>
    </w:rPr>
  </w:style>
  <w:style w:type="character" w:styleId="IntenseEmphasis">
    <w:name w:val="Intense Emphasis"/>
    <w:uiPriority w:val="21"/>
    <w:qFormat/>
    <w:rsid w:val="002F20B0"/>
    <w:rPr>
      <w:i/>
      <w:iCs/>
      <w:caps/>
      <w:spacing w:val="10"/>
      <w:sz w:val="20"/>
      <w:szCs w:val="20"/>
    </w:rPr>
  </w:style>
  <w:style w:type="character" w:styleId="SubtleReference">
    <w:name w:val="Subtle Reference"/>
    <w:basedOn w:val="DefaultParagraphFont"/>
    <w:uiPriority w:val="31"/>
    <w:qFormat/>
    <w:rsid w:val="002F20B0"/>
    <w:rPr>
      <w:rFonts w:asciiTheme="minorHAnsi" w:eastAsiaTheme="minorEastAsia" w:hAnsiTheme="minorHAnsi" w:cstheme="minorBidi"/>
      <w:i/>
      <w:iCs/>
      <w:color w:val="134162" w:themeColor="accent2" w:themeShade="7F"/>
    </w:rPr>
  </w:style>
  <w:style w:type="character" w:styleId="IntenseReference">
    <w:name w:val="Intense Reference"/>
    <w:uiPriority w:val="32"/>
    <w:qFormat/>
    <w:rsid w:val="002F20B0"/>
    <w:rPr>
      <w:rFonts w:asciiTheme="minorHAnsi" w:eastAsiaTheme="minorEastAsia" w:hAnsiTheme="minorHAnsi" w:cstheme="minorBidi"/>
      <w:b/>
      <w:bCs/>
      <w:i/>
      <w:iCs/>
      <w:color w:val="134162" w:themeColor="accent2" w:themeShade="7F"/>
    </w:rPr>
  </w:style>
  <w:style w:type="character" w:styleId="BookTitle">
    <w:name w:val="Book Title"/>
    <w:uiPriority w:val="33"/>
    <w:qFormat/>
    <w:rsid w:val="002F20B0"/>
    <w:rPr>
      <w:caps/>
      <w:color w:val="134162" w:themeColor="accent2" w:themeShade="7F"/>
      <w:spacing w:val="5"/>
      <w:u w:color="134162" w:themeColor="accent2" w:themeShade="7F"/>
    </w:rPr>
  </w:style>
  <w:style w:type="paragraph" w:styleId="TOCHeading">
    <w:name w:val="TOC Heading"/>
    <w:basedOn w:val="Heading1"/>
    <w:next w:val="Normal"/>
    <w:uiPriority w:val="39"/>
    <w:semiHidden/>
    <w:unhideWhenUsed/>
    <w:qFormat/>
    <w:rsid w:val="002F20B0"/>
    <w:pPr>
      <w:outlineLvl w:val="9"/>
    </w:pPr>
  </w:style>
  <w:style w:type="paragraph" w:customStyle="1" w:styleId="PersonalName">
    <w:name w:val="Personal Name"/>
    <w:basedOn w:val="Title"/>
    <w:rsid w:val="002F20B0"/>
    <w:rPr>
      <w:b/>
      <w:caps w:val="0"/>
      <w:color w:val="000000"/>
      <w:sz w:val="28"/>
      <w:szCs w:val="28"/>
    </w:rPr>
  </w:style>
  <w:style w:type="paragraph" w:styleId="Header">
    <w:name w:val="header"/>
    <w:basedOn w:val="Normal"/>
    <w:link w:val="HeaderChar"/>
    <w:uiPriority w:val="99"/>
    <w:unhideWhenUsed/>
    <w:rsid w:val="00807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7F68"/>
    <w:rPr>
      <w:sz w:val="21"/>
    </w:rPr>
  </w:style>
  <w:style w:type="paragraph" w:styleId="Footer">
    <w:name w:val="footer"/>
    <w:basedOn w:val="Normal"/>
    <w:link w:val="FooterChar"/>
    <w:uiPriority w:val="99"/>
    <w:unhideWhenUsed/>
    <w:rsid w:val="00807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7F68"/>
    <w:rPr>
      <w:sz w:val="21"/>
    </w:rPr>
  </w:style>
  <w:style w:type="character" w:styleId="PageNumber">
    <w:name w:val="page number"/>
    <w:basedOn w:val="DefaultParagraphFont"/>
    <w:uiPriority w:val="99"/>
    <w:semiHidden/>
    <w:unhideWhenUsed/>
    <w:rsid w:val="00807F68"/>
  </w:style>
  <w:style w:type="character" w:styleId="Hyperlink">
    <w:name w:val="Hyperlink"/>
    <w:basedOn w:val="DefaultParagraphFont"/>
    <w:uiPriority w:val="99"/>
    <w:unhideWhenUsed/>
    <w:rsid w:val="00D74819"/>
    <w:rPr>
      <w:color w:val="0000FF"/>
      <w:u w:val="single"/>
    </w:rPr>
  </w:style>
  <w:style w:type="paragraph" w:styleId="FootnoteText">
    <w:name w:val="footnote text"/>
    <w:basedOn w:val="Normal"/>
    <w:link w:val="FootnoteTextChar"/>
    <w:uiPriority w:val="99"/>
    <w:unhideWhenUsed/>
    <w:rsid w:val="00D74819"/>
    <w:pPr>
      <w:spacing w:after="0" w:line="240" w:lineRule="auto"/>
    </w:pPr>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D74819"/>
    <w:rPr>
      <w:rFonts w:asciiTheme="minorHAnsi" w:eastAsiaTheme="minorHAnsi" w:hAnsiTheme="minorHAnsi" w:cstheme="minorBidi"/>
      <w:sz w:val="20"/>
      <w:szCs w:val="20"/>
    </w:rPr>
  </w:style>
  <w:style w:type="character" w:styleId="FootnoteReference">
    <w:name w:val="footnote reference"/>
    <w:basedOn w:val="DefaultParagraphFont"/>
    <w:uiPriority w:val="99"/>
    <w:semiHidden/>
    <w:unhideWhenUsed/>
    <w:rsid w:val="00D74819"/>
    <w:rPr>
      <w:vertAlign w:val="superscript"/>
    </w:rPr>
  </w:style>
  <w:style w:type="character" w:customStyle="1" w:styleId="ListParagraphChar">
    <w:name w:val="List Paragraph Char"/>
    <w:basedOn w:val="DefaultParagraphFont"/>
    <w:link w:val="ListParagraph"/>
    <w:uiPriority w:val="34"/>
    <w:rsid w:val="00D74819"/>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2C6D94"/>
    <w:rPr>
      <w:color w:val="605E5C"/>
      <w:shd w:val="clear" w:color="auto" w:fill="E1DFDD"/>
    </w:rPr>
  </w:style>
  <w:style w:type="table" w:styleId="TableGrid">
    <w:name w:val="Table Grid"/>
    <w:basedOn w:val="TableNormal"/>
    <w:uiPriority w:val="39"/>
    <w:rsid w:val="006B42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442358"/>
    <w:rPr>
      <w:color w:val="B26B0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4095455">
      <w:bodyDiv w:val="1"/>
      <w:marLeft w:val="0"/>
      <w:marRight w:val="0"/>
      <w:marTop w:val="0"/>
      <w:marBottom w:val="0"/>
      <w:divBdr>
        <w:top w:val="none" w:sz="0" w:space="0" w:color="auto"/>
        <w:left w:val="none" w:sz="0" w:space="0" w:color="auto"/>
        <w:bottom w:val="none" w:sz="0" w:space="0" w:color="auto"/>
        <w:right w:val="none" w:sz="0" w:space="0" w:color="auto"/>
      </w:divBdr>
    </w:div>
    <w:div w:id="498085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launchandscalefaster.org/covid-19"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chart" Target="charts/chart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s>
</file>

<file path=word/_rels/footnotes.xml.rels><?xml version="1.0" encoding="UTF-8" standalone="yes"?>
<Relationships xmlns="http://schemas.openxmlformats.org/package/2006/relationships"><Relationship Id="rId2" Type="http://schemas.openxmlformats.org/officeDocument/2006/relationships/hyperlink" Target="https://www.whitehouse.gov/briefing-room/speeches-remarks/2021/02/04/remarks-by-president-biden-on-americas-place-in-the-world/" TargetMode="External"/><Relationship Id="rId1" Type="http://schemas.openxmlformats.org/officeDocument/2006/relationships/hyperlink" Target="https://ais.paho.org/imm/IM_DosisAdmin-Vacunacion.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oleObject" Target="http://broken-link/"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169948775745395"/>
          <c:y val="0.15303185428795277"/>
          <c:w val="0.46512257776288607"/>
          <c:h val="0.84696814571204737"/>
        </c:manualLayout>
      </c:layout>
      <c:pieChart>
        <c:varyColors val="1"/>
        <c:ser>
          <c:idx val="0"/>
          <c:order val="0"/>
          <c:tx>
            <c:strRef>
              <c:f>Sheet2!$C$2</c:f>
              <c:strCache>
                <c:ptCount val="1"/>
                <c:pt idx="0">
                  <c:v>Share of worldwide vaccine surplus</c:v>
                </c:pt>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01-4BC0-4CA5-93FB-70D3A381EDBC}"/>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03-4BC0-4CA5-93FB-70D3A381EDBC}"/>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05-4BC0-4CA5-93FB-70D3A381EDBC}"/>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07-4BC0-4CA5-93FB-70D3A381EDBC}"/>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09-4BC0-4CA5-93FB-70D3A381EDBC}"/>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0B-4BC0-4CA5-93FB-70D3A381EDBC}"/>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0D-4BC0-4CA5-93FB-70D3A381EDBC}"/>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0F-4BC0-4CA5-93FB-70D3A381EDBC}"/>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11-4BC0-4CA5-93FB-70D3A381EDBC}"/>
              </c:ext>
            </c:extLst>
          </c:dPt>
          <c:dLbls>
            <c:dLbl>
              <c:idx val="0"/>
              <c:layout>
                <c:manualLayout>
                  <c:x val="1.5602066739733222E-2"/>
                  <c:y val="-5.1391946530585597E-2"/>
                </c:manualLayout>
              </c:layout>
              <c:tx>
                <c:rich>
                  <a:bodyPr rot="0" spcFirstLastPara="1" vertOverflow="ellipsis" vert="horz" wrap="square" lIns="38100" tIns="19050" rIns="38100" bIns="19050" anchor="ctr" anchorCtr="1">
                    <a:noAutofit/>
                  </a:bodyPr>
                  <a:lstStyle/>
                  <a:p>
                    <a:pPr>
                      <a:defRPr sz="500" b="0" i="0" u="none" strike="noStrike" kern="1200" baseline="0">
                        <a:solidFill>
                          <a:schemeClr val="tx1">
                            <a:lumMod val="75000"/>
                            <a:lumOff val="25000"/>
                          </a:schemeClr>
                        </a:solidFill>
                        <a:latin typeface="+mn-lt"/>
                        <a:ea typeface="+mn-ea"/>
                        <a:cs typeface="+mn-cs"/>
                      </a:defRPr>
                    </a:pPr>
                    <a:r>
                      <a:rPr lang="en-US" sz="500" baseline="0"/>
                      <a:t>Estados Unidos (1.660 millones), 67%</a:t>
                    </a:r>
                  </a:p>
                </c:rich>
              </c:tx>
              <c:spPr>
                <a:noFill/>
                <a:ln>
                  <a:noFill/>
                </a:ln>
                <a:effectLst/>
              </c:spPr>
              <c:txPr>
                <a:bodyPr rot="0" spcFirstLastPara="1" vertOverflow="ellipsis" vert="horz" wrap="square" lIns="38100" tIns="19050" rIns="38100" bIns="19050" anchor="ctr" anchorCtr="1">
                  <a:no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592901432542228"/>
                      <c:h val="0.13395660610336918"/>
                    </c:manualLayout>
                  </c15:layout>
                  <c15:showDataLabelsRange val="0"/>
                </c:ext>
                <c:ext xmlns:c16="http://schemas.microsoft.com/office/drawing/2014/chart" uri="{C3380CC4-5D6E-409C-BE32-E72D297353CC}">
                  <c16:uniqueId val="{00000001-4BC0-4CA5-93FB-70D3A381EDBC}"/>
                </c:ext>
              </c:extLst>
            </c:dLbl>
            <c:dLbl>
              <c:idx val="1"/>
              <c:layout>
                <c:manualLayout>
                  <c:x val="-2.3786699529781387E-2"/>
                  <c:y val="2.9987929935288329E-2"/>
                </c:manualLayout>
              </c:layout>
              <c:tx>
                <c:rich>
                  <a:bodyPr rot="0" spcFirstLastPara="1" vertOverflow="ellipsis" vert="horz" wrap="square" lIns="38100" tIns="19050" rIns="38100" bIns="19050" anchor="ctr" anchorCtr="1">
                    <a:noAutofit/>
                  </a:bodyPr>
                  <a:lstStyle/>
                  <a:p>
                    <a:pPr>
                      <a:defRPr sz="500" b="0" i="0" u="none" strike="noStrike" kern="1200" baseline="0">
                        <a:solidFill>
                          <a:schemeClr val="tx1">
                            <a:lumMod val="75000"/>
                            <a:lumOff val="25000"/>
                          </a:schemeClr>
                        </a:solidFill>
                        <a:latin typeface="+mn-lt"/>
                        <a:ea typeface="+mn-ea"/>
                        <a:cs typeface="+mn-cs"/>
                      </a:defRPr>
                    </a:pPr>
                    <a:r>
                      <a:rPr lang="en-US" sz="500" baseline="0"/>
                      <a:t>Reino Unido (230 millones), 9%</a:t>
                    </a:r>
                  </a:p>
                </c:rich>
              </c:tx>
              <c:spPr>
                <a:noFill/>
                <a:ln>
                  <a:noFill/>
                </a:ln>
                <a:effectLst/>
              </c:spPr>
              <c:txPr>
                <a:bodyPr rot="0" spcFirstLastPara="1" vertOverflow="ellipsis" vert="horz" wrap="square" lIns="38100" tIns="19050" rIns="38100" bIns="19050" anchor="ctr" anchorCtr="1">
                  <a:no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4474030226657844"/>
                      <c:h val="0.13042864702769447"/>
                    </c:manualLayout>
                  </c15:layout>
                  <c15:showDataLabelsRange val="0"/>
                </c:ext>
                <c:ext xmlns:c16="http://schemas.microsoft.com/office/drawing/2014/chart" uri="{C3380CC4-5D6E-409C-BE32-E72D297353CC}">
                  <c16:uniqueId val="{00000003-4BC0-4CA5-93FB-70D3A381EDBC}"/>
                </c:ext>
              </c:extLst>
            </c:dLbl>
            <c:dLbl>
              <c:idx val="2"/>
              <c:layout>
                <c:manualLayout>
                  <c:x val="-3.0678032163658525E-2"/>
                  <c:y val="5.3911009672882759E-2"/>
                </c:manualLayout>
              </c:layout>
              <c:tx>
                <c:rich>
                  <a:bodyPr rot="0" spcFirstLastPara="1" vertOverflow="ellipsis" vert="horz" wrap="square" lIns="38100" tIns="19050" rIns="38100" bIns="19050" anchor="ctr" anchorCtr="1">
                    <a:noAutofit/>
                  </a:bodyPr>
                  <a:lstStyle/>
                  <a:p>
                    <a:pPr>
                      <a:defRPr sz="500" b="0" i="0" u="none" strike="noStrike" kern="1200" baseline="0">
                        <a:solidFill>
                          <a:schemeClr val="tx1">
                            <a:lumMod val="75000"/>
                            <a:lumOff val="25000"/>
                          </a:schemeClr>
                        </a:solidFill>
                        <a:latin typeface="+mn-lt"/>
                        <a:ea typeface="+mn-ea"/>
                        <a:cs typeface="+mn-cs"/>
                      </a:defRPr>
                    </a:pPr>
                    <a:r>
                      <a:rPr lang="en-US" baseline="0"/>
                      <a:t>Canadá (198 millones), 8%</a:t>
                    </a:r>
                  </a:p>
                </c:rich>
              </c:tx>
              <c:spPr>
                <a:noFill/>
                <a:ln>
                  <a:noFill/>
                </a:ln>
                <a:effectLst/>
              </c:spPr>
              <c:txPr>
                <a:bodyPr rot="0" spcFirstLastPara="1" vertOverflow="ellipsis" vert="horz" wrap="square" lIns="38100" tIns="19050" rIns="38100" bIns="19050" anchor="ctr" anchorCtr="1">
                  <a:no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2686557313798055"/>
                      <c:h val="0.14679596661805591"/>
                    </c:manualLayout>
                  </c15:layout>
                  <c15:showDataLabelsRange val="0"/>
                </c:ext>
                <c:ext xmlns:c16="http://schemas.microsoft.com/office/drawing/2014/chart" uri="{C3380CC4-5D6E-409C-BE32-E72D297353CC}">
                  <c16:uniqueId val="{00000005-4BC0-4CA5-93FB-70D3A381EDBC}"/>
                </c:ext>
              </c:extLst>
            </c:dLbl>
            <c:dLbl>
              <c:idx val="3"/>
              <c:layout>
                <c:manualLayout>
                  <c:x val="-1.6818776421389375E-4"/>
                  <c:y val="6.2657942144249079E-2"/>
                </c:manualLayout>
              </c:layout>
              <c:tx>
                <c:rich>
                  <a:bodyPr/>
                  <a:lstStyle/>
                  <a:p>
                    <a:r>
                      <a:rPr lang="en-US" baseline="0"/>
                      <a:t>Brasil (121 millones), 5%</a:t>
                    </a:r>
                  </a:p>
                </c:rich>
              </c:tx>
              <c:dLblPos val="bestFit"/>
              <c:showLegendKey val="0"/>
              <c:showVal val="1"/>
              <c:showCatName val="1"/>
              <c:showSerName val="0"/>
              <c:showPercent val="0"/>
              <c:showBubbleSize val="0"/>
              <c:extLst>
                <c:ext xmlns:c15="http://schemas.microsoft.com/office/drawing/2012/chart" uri="{CE6537A1-D6FC-4f65-9D91-7224C49458BB}">
                  <c15:layout>
                    <c:manualLayout>
                      <c:w val="0.22487714212118609"/>
                      <c:h val="8.8093138119597819E-2"/>
                    </c:manualLayout>
                  </c15:layout>
                  <c15:showDataLabelsRange val="0"/>
                </c:ext>
                <c:ext xmlns:c16="http://schemas.microsoft.com/office/drawing/2014/chart" uri="{C3380CC4-5D6E-409C-BE32-E72D297353CC}">
                  <c16:uniqueId val="{00000007-4BC0-4CA5-93FB-70D3A381EDBC}"/>
                </c:ext>
              </c:extLst>
            </c:dLbl>
            <c:dLbl>
              <c:idx val="4"/>
              <c:layout>
                <c:manualLayout>
                  <c:x val="-9.4058880869525695E-3"/>
                  <c:y val="5.8656625409916896E-2"/>
                </c:manualLayout>
              </c:layout>
              <c:tx>
                <c:rich>
                  <a:bodyPr rot="0" spcFirstLastPara="1" vertOverflow="ellipsis" vert="horz" wrap="square" lIns="38100" tIns="19050" rIns="38100" bIns="19050" anchor="ctr" anchorCtr="1">
                    <a:noAutofit/>
                  </a:bodyPr>
                  <a:lstStyle/>
                  <a:p>
                    <a:pPr>
                      <a:defRPr sz="500" b="0" i="0" u="none" strike="noStrike" kern="1200" baseline="0">
                        <a:solidFill>
                          <a:schemeClr val="tx1">
                            <a:lumMod val="75000"/>
                            <a:lumOff val="25000"/>
                          </a:schemeClr>
                        </a:solidFill>
                        <a:latin typeface="+mn-lt"/>
                        <a:ea typeface="+mn-ea"/>
                        <a:cs typeface="+mn-cs"/>
                      </a:defRPr>
                    </a:pPr>
                    <a:r>
                      <a:rPr lang="en-US" sz="500" baseline="0"/>
                      <a:t>México (66 millones), 3%</a:t>
                    </a:r>
                  </a:p>
                </c:rich>
              </c:tx>
              <c:spPr>
                <a:noFill/>
                <a:ln>
                  <a:noFill/>
                </a:ln>
                <a:effectLst/>
              </c:spPr>
              <c:txPr>
                <a:bodyPr rot="0" spcFirstLastPara="1" vertOverflow="ellipsis" vert="horz" wrap="square" lIns="38100" tIns="19050" rIns="38100" bIns="19050" anchor="ctr" anchorCtr="1">
                  <a:no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23578156803523356"/>
                      <c:h val="5.6341506438525306E-2"/>
                    </c:manualLayout>
                  </c15:layout>
                  <c15:showDataLabelsRange val="0"/>
                </c:ext>
                <c:ext xmlns:c16="http://schemas.microsoft.com/office/drawing/2014/chart" uri="{C3380CC4-5D6E-409C-BE32-E72D297353CC}">
                  <c16:uniqueId val="{00000009-4BC0-4CA5-93FB-70D3A381EDBC}"/>
                </c:ext>
              </c:extLst>
            </c:dLbl>
            <c:dLbl>
              <c:idx val="5"/>
              <c:layout>
                <c:manualLayout>
                  <c:x val="-2.6529725798386833E-2"/>
                  <c:y val="3.0753524833915045E-2"/>
                </c:manualLayout>
              </c:layout>
              <c:tx>
                <c:rich>
                  <a:bodyPr/>
                  <a:lstStyle/>
                  <a:p>
                    <a:r>
                      <a:rPr lang="en-US" baseline="0"/>
                      <a:t>Japón (46 millones), 2%</a:t>
                    </a:r>
                  </a:p>
                </c:rich>
              </c:tx>
              <c:dLblPos val="bestFit"/>
              <c:showLegendKey val="0"/>
              <c:showVal val="1"/>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4BC0-4CA5-93FB-70D3A381EDBC}"/>
                </c:ext>
              </c:extLst>
            </c:dLbl>
            <c:dLbl>
              <c:idx val="6"/>
              <c:layout>
                <c:manualLayout>
                  <c:x val="-7.7709399657282338E-2"/>
                  <c:y val="1.0773306457391102E-2"/>
                </c:manualLayout>
              </c:layout>
              <c:tx>
                <c:rich>
                  <a:bodyPr rot="0" spcFirstLastPara="1" vertOverflow="ellipsis" vert="horz" wrap="square" lIns="38100" tIns="19050" rIns="38100" bIns="19050" anchor="ctr" anchorCtr="1">
                    <a:noAutofit/>
                  </a:bodyPr>
                  <a:lstStyle/>
                  <a:p>
                    <a:pPr>
                      <a:defRPr sz="500" b="0" i="0" u="none" strike="noStrike" kern="1200" baseline="0">
                        <a:solidFill>
                          <a:schemeClr val="tx1">
                            <a:lumMod val="75000"/>
                            <a:lumOff val="25000"/>
                          </a:schemeClr>
                        </a:solidFill>
                        <a:latin typeface="+mn-lt"/>
                        <a:ea typeface="+mn-ea"/>
                        <a:cs typeface="+mn-cs"/>
                      </a:defRPr>
                    </a:pPr>
                    <a:r>
                      <a:rPr lang="en-US" baseline="0"/>
                      <a:t>Australia (42 millones), 2%</a:t>
                    </a:r>
                  </a:p>
                </c:rich>
              </c:tx>
              <c:spPr>
                <a:noFill/>
                <a:ln>
                  <a:noFill/>
                </a:ln>
                <a:effectLst/>
              </c:spPr>
              <c:txPr>
                <a:bodyPr rot="0" spcFirstLastPara="1" vertOverflow="ellipsis" vert="horz" wrap="square" lIns="38100" tIns="19050" rIns="38100" bIns="19050" anchor="ctr" anchorCtr="1">
                  <a:no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4742355706503804"/>
                      <c:h val="0.12331489822944425"/>
                    </c:manualLayout>
                  </c15:layout>
                  <c15:showDataLabelsRange val="0"/>
                </c:ext>
                <c:ext xmlns:c16="http://schemas.microsoft.com/office/drawing/2014/chart" uri="{C3380CC4-5D6E-409C-BE32-E72D297353CC}">
                  <c16:uniqueId val="{0000000D-4BC0-4CA5-93FB-70D3A381EDBC}"/>
                </c:ext>
              </c:extLst>
            </c:dLbl>
            <c:dLbl>
              <c:idx val="7"/>
              <c:layout>
                <c:manualLayout>
                  <c:x val="2.0939039932388142E-2"/>
                  <c:y val="1.6646688788173837E-3"/>
                </c:manualLayout>
              </c:layout>
              <c:tx>
                <c:rich>
                  <a:bodyPr rot="0" spcFirstLastPara="1" vertOverflow="ellipsis" vert="horz" wrap="square" lIns="38100" tIns="19050" rIns="38100" bIns="19050" anchor="ctr" anchorCtr="1">
                    <a:noAutofit/>
                  </a:bodyPr>
                  <a:lstStyle/>
                  <a:p>
                    <a:pPr>
                      <a:defRPr sz="500" b="0" i="0" u="none" strike="noStrike" kern="1200" baseline="0">
                        <a:solidFill>
                          <a:schemeClr val="tx1">
                            <a:lumMod val="75000"/>
                            <a:lumOff val="25000"/>
                          </a:schemeClr>
                        </a:solidFill>
                        <a:latin typeface="+mn-lt"/>
                        <a:ea typeface="+mn-ea"/>
                        <a:cs typeface="+mn-cs"/>
                      </a:defRPr>
                    </a:pPr>
                    <a:r>
                      <a:rPr lang="en-US" sz="500" baseline="0"/>
                      <a:t>Chile (25 millones), 1%</a:t>
                    </a:r>
                  </a:p>
                </c:rich>
              </c:tx>
              <c:spPr>
                <a:noFill/>
                <a:ln>
                  <a:noFill/>
                </a:ln>
                <a:effectLst/>
              </c:spPr>
              <c:txPr>
                <a:bodyPr rot="0" spcFirstLastPara="1" vertOverflow="ellipsis" vert="horz" wrap="square" lIns="38100" tIns="19050" rIns="38100" bIns="19050" anchor="ctr" anchorCtr="1">
                  <a:no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341779759890501"/>
                      <c:h val="0.10578599178013313"/>
                    </c:manualLayout>
                  </c15:layout>
                  <c15:showDataLabelsRange val="0"/>
                </c:ext>
                <c:ext xmlns:c16="http://schemas.microsoft.com/office/drawing/2014/chart" uri="{C3380CC4-5D6E-409C-BE32-E72D297353CC}">
                  <c16:uniqueId val="{0000000F-4BC0-4CA5-93FB-70D3A381EDBC}"/>
                </c:ext>
              </c:extLst>
            </c:dLbl>
            <c:dLbl>
              <c:idx val="8"/>
              <c:layout>
                <c:manualLayout>
                  <c:x val="5.7171776400290329E-2"/>
                  <c:y val="1.9732417510036078E-2"/>
                </c:manualLayout>
              </c:layout>
              <c:tx>
                <c:rich>
                  <a:bodyPr rot="0" spcFirstLastPara="1" vertOverflow="ellipsis" vert="horz" wrap="square" lIns="38100" tIns="19050" rIns="38100" bIns="19050" anchor="ctr" anchorCtr="1">
                    <a:noAutofit/>
                  </a:bodyPr>
                  <a:lstStyle/>
                  <a:p>
                    <a:pPr>
                      <a:defRPr sz="500" b="0" i="0" u="none" strike="noStrike" kern="1200" baseline="0">
                        <a:solidFill>
                          <a:schemeClr val="tx1">
                            <a:lumMod val="75000"/>
                            <a:lumOff val="25000"/>
                          </a:schemeClr>
                        </a:solidFill>
                        <a:latin typeface="+mn-lt"/>
                        <a:ea typeface="+mn-ea"/>
                        <a:cs typeface="+mn-cs"/>
                      </a:defRPr>
                    </a:pPr>
                    <a:r>
                      <a:rPr lang="en-US" baseline="0"/>
                      <a:t>Otros (105 millones), 4%</a:t>
                    </a:r>
                  </a:p>
                </c:rich>
              </c:tx>
              <c:spPr>
                <a:noFill/>
                <a:ln>
                  <a:noFill/>
                </a:ln>
                <a:effectLst/>
              </c:spPr>
              <c:txPr>
                <a:bodyPr rot="0" spcFirstLastPara="1" vertOverflow="ellipsis" vert="horz" wrap="square" lIns="38100" tIns="19050" rIns="38100" bIns="19050" anchor="ctr" anchorCtr="1">
                  <a:no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3678551302943995"/>
                      <c:h val="0.140925699520903"/>
                    </c:manualLayout>
                  </c15:layout>
                  <c15:showDataLabelsRange val="0"/>
                </c:ext>
                <c:ext xmlns:c16="http://schemas.microsoft.com/office/drawing/2014/chart" uri="{C3380CC4-5D6E-409C-BE32-E72D297353CC}">
                  <c16:uniqueId val="{00000011-4BC0-4CA5-93FB-70D3A381EDBC}"/>
                </c:ext>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1"/>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15:showDataLabelsRange val="1"/>
              </c:ext>
            </c:extLst>
          </c:dLbls>
          <c:cat>
            <c:strRef>
              <c:f>Sheet2!$B$3:$B$11</c:f>
              <c:strCache>
                <c:ptCount val="9"/>
                <c:pt idx="0">
                  <c:v>United States</c:v>
                </c:pt>
                <c:pt idx="1">
                  <c:v>United Kingdom</c:v>
                </c:pt>
                <c:pt idx="2">
                  <c:v>Canada</c:v>
                </c:pt>
                <c:pt idx="3">
                  <c:v>Brazil</c:v>
                </c:pt>
                <c:pt idx="4">
                  <c:v>Mexico</c:v>
                </c:pt>
                <c:pt idx="5">
                  <c:v>Japan</c:v>
                </c:pt>
                <c:pt idx="6">
                  <c:v>Australia</c:v>
                </c:pt>
                <c:pt idx="7">
                  <c:v>Chile</c:v>
                </c:pt>
                <c:pt idx="8">
                  <c:v>Others</c:v>
                </c:pt>
              </c:strCache>
            </c:strRef>
          </c:cat>
          <c:val>
            <c:numRef>
              <c:f>Sheet2!$C$3:$C$11</c:f>
              <c:numCache>
                <c:formatCode>0%</c:formatCode>
                <c:ptCount val="9"/>
                <c:pt idx="0">
                  <c:v>0.66581735359307204</c:v>
                </c:pt>
                <c:pt idx="1">
                  <c:v>9.2107772094967677E-2</c:v>
                </c:pt>
                <c:pt idx="2">
                  <c:v>7.9510887441068115E-2</c:v>
                </c:pt>
                <c:pt idx="3">
                  <c:v>4.8401663476023704E-2</c:v>
                </c:pt>
                <c:pt idx="4">
                  <c:v>2.6305778997282408E-2</c:v>
                </c:pt>
                <c:pt idx="5">
                  <c:v>1.85600117229478E-2</c:v>
                </c:pt>
                <c:pt idx="6">
                  <c:v>1.6775587643144949E-2</c:v>
                </c:pt>
                <c:pt idx="7">
                  <c:v>1.0253771293046478E-2</c:v>
                </c:pt>
                <c:pt idx="8">
                  <c:v>4.2267173738446809E-2</c:v>
                </c:pt>
              </c:numCache>
            </c:numRef>
          </c:val>
          <c:extLst>
            <c:ext xmlns:c16="http://schemas.microsoft.com/office/drawing/2014/chart" uri="{C3380CC4-5D6E-409C-BE32-E72D297353CC}">
              <c16:uniqueId val="{00000012-4BC0-4CA5-93FB-70D3A381EDBC}"/>
            </c:ext>
          </c:extLst>
        </c:ser>
        <c:ser>
          <c:idx val="1"/>
          <c:order val="1"/>
          <c:tx>
            <c:strRef>
              <c:f>Sheet2!$D$2</c:f>
              <c:strCache>
                <c:ptCount val="1"/>
              </c:strCache>
            </c:strRef>
          </c:tx>
          <c:dPt>
            <c:idx val="0"/>
            <c:bubble3D val="0"/>
            <c:spPr>
              <a:pattFill prst="ltUpDiag">
                <a:fgClr>
                  <a:schemeClr val="accent1"/>
                </a:fgClr>
                <a:bgClr>
                  <a:schemeClr val="accent1">
                    <a:lumMod val="20000"/>
                    <a:lumOff val="80000"/>
                  </a:schemeClr>
                </a:bgClr>
              </a:pattFill>
              <a:ln w="19050">
                <a:solidFill>
                  <a:schemeClr val="lt1"/>
                </a:solidFill>
              </a:ln>
              <a:effectLst>
                <a:innerShdw blurRad="114300">
                  <a:schemeClr val="accent1"/>
                </a:innerShdw>
              </a:effectLst>
            </c:spPr>
            <c:extLst>
              <c:ext xmlns:c16="http://schemas.microsoft.com/office/drawing/2014/chart" uri="{C3380CC4-5D6E-409C-BE32-E72D297353CC}">
                <c16:uniqueId val="{00000014-4BC0-4CA5-93FB-70D3A381EDBC}"/>
              </c:ext>
            </c:extLst>
          </c:dPt>
          <c:dPt>
            <c:idx val="1"/>
            <c:bubble3D val="0"/>
            <c:spPr>
              <a:pattFill prst="ltUpDiag">
                <a:fgClr>
                  <a:schemeClr val="accent2"/>
                </a:fgClr>
                <a:bgClr>
                  <a:schemeClr val="accent2">
                    <a:lumMod val="20000"/>
                    <a:lumOff val="80000"/>
                  </a:schemeClr>
                </a:bgClr>
              </a:pattFill>
              <a:ln w="19050">
                <a:solidFill>
                  <a:schemeClr val="lt1"/>
                </a:solidFill>
              </a:ln>
              <a:effectLst>
                <a:innerShdw blurRad="114300">
                  <a:schemeClr val="accent2"/>
                </a:innerShdw>
              </a:effectLst>
            </c:spPr>
            <c:extLst>
              <c:ext xmlns:c16="http://schemas.microsoft.com/office/drawing/2014/chart" uri="{C3380CC4-5D6E-409C-BE32-E72D297353CC}">
                <c16:uniqueId val="{00000016-4BC0-4CA5-93FB-70D3A381EDBC}"/>
              </c:ext>
            </c:extLst>
          </c:dPt>
          <c:dPt>
            <c:idx val="2"/>
            <c:bubble3D val="0"/>
            <c:spPr>
              <a:pattFill prst="ltUpDiag">
                <a:fgClr>
                  <a:schemeClr val="accent3"/>
                </a:fgClr>
                <a:bgClr>
                  <a:schemeClr val="accent3">
                    <a:lumMod val="20000"/>
                    <a:lumOff val="80000"/>
                  </a:schemeClr>
                </a:bgClr>
              </a:pattFill>
              <a:ln w="19050">
                <a:solidFill>
                  <a:schemeClr val="lt1"/>
                </a:solidFill>
              </a:ln>
              <a:effectLst>
                <a:innerShdw blurRad="114300">
                  <a:schemeClr val="accent3"/>
                </a:innerShdw>
              </a:effectLst>
            </c:spPr>
            <c:extLst>
              <c:ext xmlns:c16="http://schemas.microsoft.com/office/drawing/2014/chart" uri="{C3380CC4-5D6E-409C-BE32-E72D297353CC}">
                <c16:uniqueId val="{00000018-4BC0-4CA5-93FB-70D3A381EDBC}"/>
              </c:ext>
            </c:extLst>
          </c:dPt>
          <c:dPt>
            <c:idx val="3"/>
            <c:bubble3D val="0"/>
            <c:spPr>
              <a:pattFill prst="ltUpDiag">
                <a:fgClr>
                  <a:schemeClr val="accent4"/>
                </a:fgClr>
                <a:bgClr>
                  <a:schemeClr val="accent4">
                    <a:lumMod val="20000"/>
                    <a:lumOff val="80000"/>
                  </a:schemeClr>
                </a:bgClr>
              </a:pattFill>
              <a:ln w="19050">
                <a:solidFill>
                  <a:schemeClr val="lt1"/>
                </a:solidFill>
              </a:ln>
              <a:effectLst>
                <a:innerShdw blurRad="114300">
                  <a:schemeClr val="accent4"/>
                </a:innerShdw>
              </a:effectLst>
            </c:spPr>
            <c:extLst>
              <c:ext xmlns:c16="http://schemas.microsoft.com/office/drawing/2014/chart" uri="{C3380CC4-5D6E-409C-BE32-E72D297353CC}">
                <c16:uniqueId val="{0000001A-4BC0-4CA5-93FB-70D3A381EDBC}"/>
              </c:ext>
            </c:extLst>
          </c:dPt>
          <c:dPt>
            <c:idx val="4"/>
            <c:bubble3D val="0"/>
            <c:spPr>
              <a:pattFill prst="ltUpDiag">
                <a:fgClr>
                  <a:schemeClr val="accent5"/>
                </a:fgClr>
                <a:bgClr>
                  <a:schemeClr val="accent5">
                    <a:lumMod val="20000"/>
                    <a:lumOff val="80000"/>
                  </a:schemeClr>
                </a:bgClr>
              </a:pattFill>
              <a:ln w="19050">
                <a:solidFill>
                  <a:schemeClr val="lt1"/>
                </a:solidFill>
              </a:ln>
              <a:effectLst>
                <a:innerShdw blurRad="114300">
                  <a:schemeClr val="accent5"/>
                </a:innerShdw>
              </a:effectLst>
            </c:spPr>
            <c:extLst>
              <c:ext xmlns:c16="http://schemas.microsoft.com/office/drawing/2014/chart" uri="{C3380CC4-5D6E-409C-BE32-E72D297353CC}">
                <c16:uniqueId val="{0000001C-4BC0-4CA5-93FB-70D3A381EDBC}"/>
              </c:ext>
            </c:extLst>
          </c:dPt>
          <c:dPt>
            <c:idx val="5"/>
            <c:bubble3D val="0"/>
            <c:spPr>
              <a:pattFill prst="ltUpDiag">
                <a:fgClr>
                  <a:schemeClr val="accent6"/>
                </a:fgClr>
                <a:bgClr>
                  <a:schemeClr val="accent6">
                    <a:lumMod val="20000"/>
                    <a:lumOff val="80000"/>
                  </a:schemeClr>
                </a:bgClr>
              </a:pattFill>
              <a:ln w="19050">
                <a:solidFill>
                  <a:schemeClr val="lt1"/>
                </a:solidFill>
              </a:ln>
              <a:effectLst>
                <a:innerShdw blurRad="114300">
                  <a:schemeClr val="accent6"/>
                </a:innerShdw>
              </a:effectLst>
            </c:spPr>
            <c:extLst>
              <c:ext xmlns:c16="http://schemas.microsoft.com/office/drawing/2014/chart" uri="{C3380CC4-5D6E-409C-BE32-E72D297353CC}">
                <c16:uniqueId val="{0000001E-4BC0-4CA5-93FB-70D3A381EDBC}"/>
              </c:ext>
            </c:extLst>
          </c:dPt>
          <c:dPt>
            <c:idx val="6"/>
            <c:bubble3D val="0"/>
            <c:spPr>
              <a:pattFill prst="ltUpDiag">
                <a:fgClr>
                  <a:schemeClr val="accent1">
                    <a:lumMod val="60000"/>
                  </a:schemeClr>
                </a:fgClr>
                <a:bgClr>
                  <a:schemeClr val="accent1">
                    <a:lumMod val="60000"/>
                    <a:lumMod val="20000"/>
                    <a:lumOff val="80000"/>
                  </a:schemeClr>
                </a:bgClr>
              </a:pattFill>
              <a:ln w="19050">
                <a:solidFill>
                  <a:schemeClr val="lt1"/>
                </a:solidFill>
              </a:ln>
              <a:effectLst>
                <a:innerShdw blurRad="114300">
                  <a:schemeClr val="accent1">
                    <a:lumMod val="60000"/>
                  </a:schemeClr>
                </a:innerShdw>
              </a:effectLst>
            </c:spPr>
            <c:extLst>
              <c:ext xmlns:c16="http://schemas.microsoft.com/office/drawing/2014/chart" uri="{C3380CC4-5D6E-409C-BE32-E72D297353CC}">
                <c16:uniqueId val="{00000020-4BC0-4CA5-93FB-70D3A381EDBC}"/>
              </c:ext>
            </c:extLst>
          </c:dPt>
          <c:dPt>
            <c:idx val="7"/>
            <c:bubble3D val="0"/>
            <c:spPr>
              <a:pattFill prst="ltUpDiag">
                <a:fgClr>
                  <a:schemeClr val="accent2">
                    <a:lumMod val="60000"/>
                  </a:schemeClr>
                </a:fgClr>
                <a:bgClr>
                  <a:schemeClr val="accent2">
                    <a:lumMod val="60000"/>
                    <a:lumMod val="20000"/>
                    <a:lumOff val="80000"/>
                  </a:schemeClr>
                </a:bgClr>
              </a:pattFill>
              <a:ln w="19050">
                <a:solidFill>
                  <a:schemeClr val="lt1"/>
                </a:solidFill>
              </a:ln>
              <a:effectLst>
                <a:innerShdw blurRad="114300">
                  <a:schemeClr val="accent2">
                    <a:lumMod val="60000"/>
                  </a:schemeClr>
                </a:innerShdw>
              </a:effectLst>
            </c:spPr>
            <c:extLst>
              <c:ext xmlns:c16="http://schemas.microsoft.com/office/drawing/2014/chart" uri="{C3380CC4-5D6E-409C-BE32-E72D297353CC}">
                <c16:uniqueId val="{00000022-4BC0-4CA5-93FB-70D3A381EDBC}"/>
              </c:ext>
            </c:extLst>
          </c:dPt>
          <c:dPt>
            <c:idx val="8"/>
            <c:bubble3D val="0"/>
            <c:spPr>
              <a:pattFill prst="ltUpDiag">
                <a:fgClr>
                  <a:schemeClr val="accent3">
                    <a:lumMod val="60000"/>
                  </a:schemeClr>
                </a:fgClr>
                <a:bgClr>
                  <a:schemeClr val="accent3">
                    <a:lumMod val="60000"/>
                    <a:lumMod val="20000"/>
                    <a:lumOff val="80000"/>
                  </a:schemeClr>
                </a:bgClr>
              </a:pattFill>
              <a:ln w="19050">
                <a:solidFill>
                  <a:schemeClr val="lt1"/>
                </a:solidFill>
              </a:ln>
              <a:effectLst>
                <a:innerShdw blurRad="114300">
                  <a:schemeClr val="accent3">
                    <a:lumMod val="60000"/>
                  </a:schemeClr>
                </a:innerShdw>
              </a:effectLst>
            </c:spPr>
            <c:extLst>
              <c:ext xmlns:c16="http://schemas.microsoft.com/office/drawing/2014/chart" uri="{C3380CC4-5D6E-409C-BE32-E72D297353CC}">
                <c16:uniqueId val="{00000024-4BC0-4CA5-93FB-70D3A381EDBC}"/>
              </c:ext>
            </c:extLst>
          </c:dPt>
          <c:cat>
            <c:strRef>
              <c:f>Sheet2!$B$3:$B$11</c:f>
              <c:strCache>
                <c:ptCount val="9"/>
                <c:pt idx="0">
                  <c:v>United States</c:v>
                </c:pt>
                <c:pt idx="1">
                  <c:v>United Kingdom</c:v>
                </c:pt>
                <c:pt idx="2">
                  <c:v>Canada</c:v>
                </c:pt>
                <c:pt idx="3">
                  <c:v>Brazil</c:v>
                </c:pt>
                <c:pt idx="4">
                  <c:v>Mexico</c:v>
                </c:pt>
                <c:pt idx="5">
                  <c:v>Japan</c:v>
                </c:pt>
                <c:pt idx="6">
                  <c:v>Australia</c:v>
                </c:pt>
                <c:pt idx="7">
                  <c:v>Chile</c:v>
                </c:pt>
                <c:pt idx="8">
                  <c:v>Others</c:v>
                </c:pt>
              </c:strCache>
            </c:strRef>
          </c:cat>
          <c:val>
            <c:numRef>
              <c:f>Sheet2!$D$3:$D$11</c:f>
              <c:numCache>
                <c:formatCode>"("@")"</c:formatCode>
                <c:ptCount val="9"/>
                <c:pt idx="0">
                  <c:v>0</c:v>
                </c:pt>
                <c:pt idx="1">
                  <c:v>0</c:v>
                </c:pt>
                <c:pt idx="2">
                  <c:v>0</c:v>
                </c:pt>
                <c:pt idx="3">
                  <c:v>0</c:v>
                </c:pt>
                <c:pt idx="4">
                  <c:v>0</c:v>
                </c:pt>
                <c:pt idx="5">
                  <c:v>0</c:v>
                </c:pt>
                <c:pt idx="6">
                  <c:v>0</c:v>
                </c:pt>
                <c:pt idx="7">
                  <c:v>0</c:v>
                </c:pt>
                <c:pt idx="8">
                  <c:v>0</c:v>
                </c:pt>
              </c:numCache>
            </c:numRef>
          </c:val>
          <c:extLst>
            <c:ext xmlns:c16="http://schemas.microsoft.com/office/drawing/2014/chart" uri="{C3380CC4-5D6E-409C-BE32-E72D297353CC}">
              <c16:uniqueId val="{00000025-4BC0-4CA5-93FB-70D3A381EDBC}"/>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2">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
  <cs:dataPoint3D>
    <cs:lnRef idx="0"/>
    <cs:fillRef idx="0">
      <cs:styleClr val="auto"/>
    </cs:fillRef>
    <cs:effectRef idx="0"/>
    <cs:fontRef idx="minor">
      <a:schemeClr val="dk1"/>
    </cs:fontRef>
    <cs:spPr>
      <a:pattFill prst="ltUpDiag">
        <a:fgClr>
          <a:schemeClr val="phClr"/>
        </a:fgClr>
        <a:bgClr>
          <a:schemeClr val="phClr">
            <a:lumMod val="20000"/>
            <a:lumOff val="80000"/>
          </a:schemeClr>
        </a:bgClr>
      </a:pattFill>
      <a:ln w="19050">
        <a:solidFill>
          <a:schemeClr val="lt1"/>
        </a:solidFill>
      </a:ln>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c89a47b8-f99a-456d-9355-b60bd67d67f5" xsi:nil="true"/>
    <Language xmlns="c89a47b8-f99a-456d-9355-b60bd67d67f5">English</Language>
    <Document_x0020_Type xmlns="c89a47b8-f99a-456d-9355-b60bd67d67f5">doc</Document_x0020_Type>
    <Theme xmlns="c89a47b8-f99a-456d-9355-b60bd67d67f5" xsi:nil="true"/>
    <Color xmlns="c89a47b8-f99a-456d-9355-b60bd67d67f5">CMYK</Color>
    <_dlc_DocId xmlns="7d41cf21-0d85-41e8-a097-0a6b40189b3f">4J5HPPMTWJXE-345-204</_dlc_DocId>
    <_dlc_DocIdUrl xmlns="7d41cf21-0d85-41e8-a097-0a6b40189b3f">
      <Url>https://intra.paho.org/departments-offices/dd/cmu/IB/_layouts/15/DocIdRedir.aspx?ID=4J5HPPMTWJXE-345-204</Url>
      <Description>4J5HPPMTWJXE-345-204</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B2F4E1EBC99CD4DACA75FB096D13297" ma:contentTypeVersion="11" ma:contentTypeDescription="Create a new document." ma:contentTypeScope="" ma:versionID="3e36fc95a5c34995da022accfcdd2a10">
  <xsd:schema xmlns:xsd="http://www.w3.org/2001/XMLSchema" xmlns:xs="http://www.w3.org/2001/XMLSchema" xmlns:p="http://schemas.microsoft.com/office/2006/metadata/properties" xmlns:ns2="c89a47b8-f99a-456d-9355-b60bd67d67f5" xmlns:ns3="7d41cf21-0d85-41e8-a097-0a6b40189b3f" targetNamespace="http://schemas.microsoft.com/office/2006/metadata/properties" ma:root="true" ma:fieldsID="4a1af400cc42df1e263a9805b2517650" ns2:_="" ns3:_="">
    <xsd:import namespace="c89a47b8-f99a-456d-9355-b60bd67d67f5"/>
    <xsd:import namespace="7d41cf21-0d85-41e8-a097-0a6b40189b3f"/>
    <xsd:element name="properties">
      <xsd:complexType>
        <xsd:sequence>
          <xsd:element name="documentManagement">
            <xsd:complexType>
              <xsd:all>
                <xsd:element ref="ns2:Information" minOccurs="0"/>
                <xsd:element ref="ns2:Theme" minOccurs="0"/>
                <xsd:element ref="ns2:Document_x0020_Type" minOccurs="0"/>
                <xsd:element ref="ns2:Language" minOccurs="0"/>
                <xsd:element ref="ns2:Col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89a47b8-f99a-456d-9355-b60bd67d67f5" elementFormDefault="qualified">
    <xsd:import namespace="http://schemas.microsoft.com/office/2006/documentManagement/types"/>
    <xsd:import namespace="http://schemas.microsoft.com/office/infopath/2007/PartnerControls"/>
    <xsd:element name="Information" ma:index="1" nillable="true" ma:displayName="Information" ma:internalName="Information" ma:readOnly="false">
      <xsd:simpleType>
        <xsd:restriction base="dms:Text">
          <xsd:maxLength value="255"/>
        </xsd:restriction>
      </xsd:simpleType>
    </xsd:element>
    <xsd:element name="Theme" ma:index="3" nillable="true" ma:displayName="Theme" ma:description="3D logos&#10;4x6 card&#10;Agenda&#10;Binder&#10;Bookcover sample&#10;Brochure&#10;Brochure sample&#10;Bookmark&#10;Business card sample&#10;CD circular label&#10;CD front case&#10;CD back tray&#10;CD_DVD&#10;Complex business card&#10;Simple business card&#10;Courtesy card&#10;Diploma&#10;Envelope&#10;External design sample&#10;Folder&#10;Folder sample&#10;Form&#10;How to&#10;Lettherhead&#10;Manual&#10;Nametag&#10;One inch spine for binder&#10;Two inch spine for binder&#10;Partner logo&#10;Poster sample&#10;Powerpoint_presentation&#10;Standard logo&#10;Standard logo-PMS 288&#10;Standard logo-PMS 306&#10;Official logo&#10;Condensed logo&#10;Logo sample&#10;Logo incorrect use&#10;Sub brand&#10;Typeface sample&#10;not specified" ma:internalName="Theme" ma:readOnly="false">
      <xsd:simpleType>
        <xsd:restriction base="dms:Text">
          <xsd:maxLength value="255"/>
        </xsd:restriction>
      </xsd:simpleType>
    </xsd:element>
    <xsd:element name="Document_x0020_Type" ma:index="4" nillable="true" ma:displayName="Document Type" ma:default="doc" ma:format="Dropdown" ma:internalName="Document_x0020_Type" ma:readOnly="false">
      <xsd:simpleType>
        <xsd:union memberTypes="dms:Text">
          <xsd:simpleType>
            <xsd:restriction base="dms:Choice">
              <xsd:enumeration value="eps"/>
              <xsd:enumeration value="wmf"/>
              <xsd:enumeration value="pdf"/>
              <xsd:enumeration value="ai"/>
              <xsd:enumeration value="psd"/>
              <xsd:enumeration value="tif"/>
              <xsd:enumeration value="zip"/>
              <xsd:enumeration value="png"/>
              <xsd:enumeration value="bmp"/>
              <xsd:enumeration value="gif"/>
              <xsd:enumeration value="doc"/>
              <xsd:enumeration value="xls"/>
              <xsd:enumeration value="txt"/>
              <xsd:enumeration value="jpg"/>
              <xsd:enumeration value="mp3"/>
              <xsd:enumeration value="mp4"/>
              <xsd:enumeration value="mov"/>
              <xsd:enumeration value="swf"/>
              <xsd:enumeration value="flash"/>
              <xsd:enumeration value="ppt"/>
              <xsd:enumeration value="not specified"/>
            </xsd:restriction>
          </xsd:simpleType>
        </xsd:union>
      </xsd:simpleType>
    </xsd:element>
    <xsd:element name="Language" ma:index="5" nillable="true" ma:displayName="Language" ma:default="English" ma:format="Dropdown" ma:internalName="Language" ma:readOnly="false">
      <xsd:simpleType>
        <xsd:union memberTypes="dms:Text">
          <xsd:simpleType>
            <xsd:restriction base="dms:Choice">
              <xsd:enumeration value="English"/>
              <xsd:enumeration value="Spanish"/>
              <xsd:enumeration value="Portuguese"/>
              <xsd:enumeration value="French"/>
              <xsd:enumeration value="All"/>
            </xsd:restriction>
          </xsd:simpleType>
        </xsd:union>
      </xsd:simpleType>
    </xsd:element>
    <xsd:element name="Color" ma:index="6" nillable="true" ma:displayName="Color" ma:default="CMYK" ma:format="Dropdown" ma:internalName="Color" ma:readOnly="false">
      <xsd:simpleType>
        <xsd:union memberTypes="dms:Text">
          <xsd:simpleType>
            <xsd:restriction base="dms:Choice">
              <xsd:enumeration value="CMYK"/>
              <xsd:enumeration value="Black"/>
              <xsd:enumeration value="White"/>
              <xsd:enumeration value="Gray"/>
              <xsd:enumeration value="Lavender"/>
              <xsd:enumeration value="Cyan"/>
              <xsd:enumeration value="Aqua Blue"/>
              <xsd:enumeration value="Blue"/>
              <xsd:enumeration value="Light Blue"/>
              <xsd:enumeration value="Green"/>
              <xsd:enumeration value="Light Green"/>
              <xsd:enumeration value="Orange"/>
              <xsd:enumeration value="Light Orange"/>
              <xsd:enumeration value="Pink"/>
              <xsd:enumeration value="Purple"/>
              <xsd:enumeration value="Red"/>
              <xsd:enumeration value="Yellow"/>
              <xsd:enumeration value="Light Yellow"/>
              <xsd:enumeration value="color"/>
              <xsd:enumeration value="All colors"/>
              <xsd:enumeration value="not specifi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7d41cf21-0d85-41e8-a097-0a6b40189b3f" elementFormDefault="qualified">
    <xsd:import namespace="http://schemas.microsoft.com/office/2006/documentManagement/types"/>
    <xsd:import namespace="http://schemas.microsoft.com/office/infopath/2007/PartnerControls"/>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74AB496-ACE7-47CF-919D-DB4F72840968}">
  <ds:schemaRefs>
    <ds:schemaRef ds:uri="http://schemas.microsoft.com/office/2006/metadata/properties"/>
    <ds:schemaRef ds:uri="http://schemas.microsoft.com/office/infopath/2007/PartnerControls"/>
    <ds:schemaRef ds:uri="c89a47b8-f99a-456d-9355-b60bd67d67f5"/>
    <ds:schemaRef ds:uri="7d41cf21-0d85-41e8-a097-0a6b40189b3f"/>
  </ds:schemaRefs>
</ds:datastoreItem>
</file>

<file path=customXml/itemProps2.xml><?xml version="1.0" encoding="utf-8"?>
<ds:datastoreItem xmlns:ds="http://schemas.openxmlformats.org/officeDocument/2006/customXml" ds:itemID="{EAC638C3-7005-4313-A49E-5EE215019CEA}">
  <ds:schemaRefs>
    <ds:schemaRef ds:uri="http://schemas.openxmlformats.org/officeDocument/2006/bibliography"/>
  </ds:schemaRefs>
</ds:datastoreItem>
</file>

<file path=customXml/itemProps3.xml><?xml version="1.0" encoding="utf-8"?>
<ds:datastoreItem xmlns:ds="http://schemas.openxmlformats.org/officeDocument/2006/customXml" ds:itemID="{920481FC-4AB0-4D57-AD04-22128E5A94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9a47b8-f99a-456d-9355-b60bd67d67f5"/>
    <ds:schemaRef ds:uri="7d41cf21-0d85-41e8-a097-0a6b40189b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D5774B0-EF76-4BC6-A02F-59DCA919A83E}">
  <ds:schemaRefs>
    <ds:schemaRef ds:uri="http://schemas.microsoft.com/sharepoint/events"/>
  </ds:schemaRefs>
</ds:datastoreItem>
</file>

<file path=customXml/itemProps5.xml><?xml version="1.0" encoding="utf-8"?>
<ds:datastoreItem xmlns:ds="http://schemas.openxmlformats.org/officeDocument/2006/customXml" ds:itemID="{9A3805B3-0DAD-4C6B-97E0-D97B80310D9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3556</Words>
  <Characters>20274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Speeches-briefings-template-eng</vt:lpstr>
    </vt:vector>
  </TitlesOfParts>
  <Company/>
  <LinksUpToDate>false</LinksUpToDate>
  <CharactersWithSpaces>23783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Speeches-briefings-template-eng</dc:title>
  <dc:subject/>
  <dc:creator>Herrera, Mr. Vladimir (WDC)</dc:creator>
  <cp:keywords/>
  <dc:description/>
  <cp:lastModifiedBy>Brana, Monica (WDC)</cp:lastModifiedBy>
  <cp:revision>2</cp:revision>
  <dcterms:created xsi:type="dcterms:W3CDTF">2021-04-12T22:05:00Z</dcterms:created>
  <dcterms:modified xsi:type="dcterms:W3CDTF">2021-04-12T22:05:00Z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0x0101008B2F4E1EBC99CD4DACA75FB096D13297</vt:lpwstr>
  </property>
  <property fmtid="{D5CDD505-2E9C-101B-9397-08002B2CF9AE}" pid="3" name="_dlc_DocIdItemGuid">
    <vt:lpwstr>a5c0bb05-c33f-4a5b-a1ee-86f4dcecf6b3</vt:lpwstr>
  </property>
  <property fmtid="{D5CDD505-2E9C-101B-9397-08002B2CF9AE}" pid="4" name="TranslatedWith">
    <vt:lpwstr>Mercury</vt:lpwstr>
  </property>
  <property fmtid="{D5CDD505-2E9C-101B-9397-08002B2CF9AE}" pid="5" name="GeneratedBy">
    <vt:lpwstr>Patricia.Torres</vt:lpwstr>
  </property>
  <property fmtid="{D5CDD505-2E9C-101B-9397-08002B2CF9AE}" pid="6" name="GeneratedDate">
    <vt:lpwstr>04/06/2021 19:50:16</vt:lpwstr>
  </property>
  <property fmtid="{D5CDD505-2E9C-101B-9397-08002B2CF9AE}" pid="7" name="OriginalDocID">
    <vt:lpwstr>263e8763-a96e-4b48-a5fa-86cae86dd209</vt:lpwstr>
  </property>
</Properties>
</file>