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3C5" w:rsidRPr="004E6429" w:rsidRDefault="00EC38E3">
      <w:pPr>
        <w:jc w:val="center"/>
        <w:rPr>
          <w:rFonts w:ascii="Arial" w:hAnsi="Arial" w:cs="Arial"/>
          <w:b/>
          <w:sz w:val="22"/>
          <w:szCs w:val="22"/>
        </w:rPr>
      </w:pPr>
      <w:bookmarkStart w:id="0" w:name="_GoBack"/>
      <w:bookmarkEnd w:id="0"/>
      <w:r w:rsidRPr="004E6429">
        <w:rPr>
          <w:rFonts w:ascii="Arial" w:hAnsi="Arial" w:cs="Arial"/>
          <w:b/>
          <w:sz w:val="22"/>
          <w:szCs w:val="22"/>
        </w:rPr>
        <w:t>Medidas prioritarias Capítulo B</w:t>
      </w:r>
    </w:p>
    <w:p w:rsidR="007353C5" w:rsidRPr="004E6429" w:rsidRDefault="00EC38E3">
      <w:pPr>
        <w:jc w:val="center"/>
        <w:rPr>
          <w:rFonts w:ascii="Arial" w:hAnsi="Arial" w:cs="Arial"/>
          <w:b/>
          <w:sz w:val="22"/>
          <w:szCs w:val="22"/>
        </w:rPr>
      </w:pPr>
      <w:r w:rsidRPr="004E6429">
        <w:rPr>
          <w:rFonts w:ascii="Arial" w:hAnsi="Arial" w:cs="Arial"/>
          <w:b/>
          <w:sz w:val="22"/>
          <w:szCs w:val="22"/>
        </w:rPr>
        <w:t>DERECHOS, NECESIDADES, RESPONSABILIDADES Y DEMANDASDE NIÑOS, NIÑAS, ADOLESCENTES Y JÓVENES</w:t>
      </w:r>
    </w:p>
    <w:p w:rsidR="007353C5" w:rsidRPr="004E6429" w:rsidRDefault="007353C5">
      <w:pPr>
        <w:jc w:val="center"/>
        <w:rPr>
          <w:rFonts w:ascii="Arial" w:hAnsi="Arial" w:cs="Arial"/>
          <w:b/>
          <w:sz w:val="22"/>
          <w:szCs w:val="22"/>
        </w:rPr>
      </w:pPr>
    </w:p>
    <w:tbl>
      <w:tblPr>
        <w:tblW w:w="9056" w:type="dxa"/>
        <w:tblLook w:val="04A0" w:firstRow="1" w:lastRow="0" w:firstColumn="1" w:lastColumn="0" w:noHBand="0" w:noVBand="1"/>
      </w:tblPr>
      <w:tblGrid>
        <w:gridCol w:w="2896"/>
        <w:gridCol w:w="2210"/>
        <w:gridCol w:w="2250"/>
        <w:gridCol w:w="1700"/>
      </w:tblGrid>
      <w:tr w:rsidR="007353C5" w:rsidRPr="004E6429">
        <w:trPr>
          <w:trHeight w:val="290"/>
        </w:trPr>
        <w:tc>
          <w:tcPr>
            <w:tcW w:w="2938" w:type="dxa"/>
            <w:tcBorders>
              <w:bottom w:val="single" w:sz="18" w:space="0" w:color="FFFFFF"/>
              <w:right w:val="single" w:sz="18" w:space="0" w:color="FFFFFF"/>
            </w:tcBorders>
            <w:shd w:val="pct20" w:color="000000" w:fill="FFFFFF"/>
          </w:tcPr>
          <w:p w:rsidR="007353C5" w:rsidRPr="004E6429" w:rsidRDefault="00EC38E3">
            <w:pPr>
              <w:jc w:val="center"/>
              <w:rPr>
                <w:rFonts w:ascii="Arial" w:hAnsi="Arial" w:cs="Arial"/>
                <w:sz w:val="22"/>
                <w:szCs w:val="22"/>
              </w:rPr>
            </w:pPr>
            <w:r w:rsidRPr="004E6429">
              <w:rPr>
                <w:rFonts w:ascii="Arial" w:hAnsi="Arial" w:cs="Arial"/>
                <w:bCs/>
                <w:sz w:val="22"/>
                <w:szCs w:val="22"/>
              </w:rPr>
              <w:t>Medida Prioritaria</w:t>
            </w:r>
          </w:p>
        </w:tc>
        <w:tc>
          <w:tcPr>
            <w:tcW w:w="2146" w:type="dxa"/>
            <w:tcBorders>
              <w:left w:val="single" w:sz="18" w:space="0" w:color="FFFFFF"/>
              <w:bottom w:val="single" w:sz="18" w:space="0" w:color="FFFFFF"/>
              <w:right w:val="single" w:sz="18" w:space="0" w:color="FFFFFF"/>
            </w:tcBorders>
            <w:shd w:val="pct20" w:color="000000" w:fill="FFFFFF"/>
          </w:tcPr>
          <w:p w:rsidR="007353C5" w:rsidRPr="004E6429" w:rsidRDefault="00EC38E3">
            <w:pPr>
              <w:jc w:val="center"/>
              <w:rPr>
                <w:rFonts w:ascii="Arial" w:hAnsi="Arial" w:cs="Arial"/>
                <w:sz w:val="22"/>
                <w:szCs w:val="22"/>
              </w:rPr>
            </w:pPr>
            <w:r w:rsidRPr="004E6429">
              <w:rPr>
                <w:rFonts w:ascii="Arial" w:hAnsi="Arial" w:cs="Arial"/>
                <w:bCs/>
                <w:sz w:val="22"/>
                <w:szCs w:val="22"/>
              </w:rPr>
              <w:t>Buena Practica</w:t>
            </w:r>
          </w:p>
        </w:tc>
        <w:tc>
          <w:tcPr>
            <w:tcW w:w="2268" w:type="dxa"/>
            <w:tcBorders>
              <w:left w:val="single" w:sz="18" w:space="0" w:color="FFFFFF"/>
              <w:bottom w:val="single" w:sz="18" w:space="0" w:color="FFFFFF"/>
              <w:right w:val="single" w:sz="18" w:space="0" w:color="FFFFFF"/>
            </w:tcBorders>
            <w:shd w:val="pct20" w:color="000000" w:fill="FFFFFF"/>
          </w:tcPr>
          <w:p w:rsidR="007353C5" w:rsidRPr="004E6429" w:rsidRDefault="00EC38E3">
            <w:pPr>
              <w:jc w:val="center"/>
              <w:rPr>
                <w:rFonts w:ascii="Arial" w:hAnsi="Arial" w:cs="Arial"/>
                <w:sz w:val="22"/>
                <w:szCs w:val="22"/>
              </w:rPr>
            </w:pPr>
            <w:r w:rsidRPr="004E6429">
              <w:rPr>
                <w:rFonts w:ascii="Arial" w:hAnsi="Arial" w:cs="Arial"/>
                <w:bCs/>
                <w:sz w:val="22"/>
                <w:szCs w:val="22"/>
              </w:rPr>
              <w:t>Desafío</w:t>
            </w:r>
          </w:p>
        </w:tc>
        <w:tc>
          <w:tcPr>
            <w:tcW w:w="1703" w:type="dxa"/>
            <w:tcBorders>
              <w:left w:val="single" w:sz="18" w:space="0" w:color="FFFFFF"/>
              <w:bottom w:val="single" w:sz="18" w:space="0" w:color="FFFFFF"/>
            </w:tcBorders>
            <w:shd w:val="pct20" w:color="000000" w:fill="FFFFFF"/>
          </w:tcPr>
          <w:p w:rsidR="007353C5" w:rsidRPr="004E6429" w:rsidRDefault="00EC38E3">
            <w:pPr>
              <w:jc w:val="center"/>
              <w:rPr>
                <w:rFonts w:ascii="Arial" w:hAnsi="Arial" w:cs="Arial"/>
                <w:sz w:val="22"/>
                <w:szCs w:val="22"/>
              </w:rPr>
            </w:pPr>
            <w:r w:rsidRPr="004E6429">
              <w:rPr>
                <w:rFonts w:ascii="Arial" w:hAnsi="Arial" w:cs="Arial"/>
                <w:bCs/>
                <w:sz w:val="22"/>
                <w:szCs w:val="22"/>
              </w:rPr>
              <w:t>Observación</w:t>
            </w:r>
          </w:p>
        </w:tc>
      </w:tr>
      <w:tr w:rsidR="007353C5" w:rsidRPr="004E6429">
        <w:trPr>
          <w:trHeight w:val="870"/>
        </w:trPr>
        <w:tc>
          <w:tcPr>
            <w:tcW w:w="2938" w:type="dxa"/>
            <w:tcBorders>
              <w:top w:val="single" w:sz="18" w:space="0" w:color="FFFFFF"/>
              <w:bottom w:val="single" w:sz="18" w:space="0" w:color="FFFFFF"/>
              <w:right w:val="single" w:sz="18" w:space="0" w:color="FFFFFF"/>
            </w:tcBorders>
            <w:shd w:val="pct5" w:color="000000" w:fill="FFFFFF"/>
          </w:tcPr>
          <w:p w:rsidR="007353C5" w:rsidRPr="004E6429" w:rsidRDefault="00EC38E3">
            <w:pPr>
              <w:jc w:val="center"/>
              <w:rPr>
                <w:rFonts w:ascii="Arial" w:hAnsi="Arial" w:cs="Arial"/>
                <w:sz w:val="22"/>
                <w:szCs w:val="22"/>
              </w:rPr>
            </w:pPr>
            <w:r w:rsidRPr="004E6429">
              <w:rPr>
                <w:rFonts w:ascii="Arial" w:hAnsi="Arial" w:cs="Arial"/>
                <w:sz w:val="22"/>
                <w:szCs w:val="22"/>
              </w:rPr>
              <w:t>7. Garantizar a niños, niñas, adolescentes y jóvenes, sin ningún tipo de discriminación, las oportunidades para tener una vida libre de pobreza y de violencia, la protección y el ejercicio de derechos humanos, la disponibilidad de opciones, y el acceso a la salud, la educación y la protección social.</w:t>
            </w:r>
          </w:p>
        </w:tc>
        <w:tc>
          <w:tcPr>
            <w:tcW w:w="2146" w:type="dxa"/>
            <w:tcBorders>
              <w:top w:val="single" w:sz="18" w:space="0" w:color="FFFFFF"/>
              <w:left w:val="single" w:sz="18" w:space="0" w:color="FFFFFF"/>
              <w:bottom w:val="single" w:sz="18" w:space="0" w:color="FFFFFF"/>
              <w:right w:val="single" w:sz="18" w:space="0" w:color="FFFFFF"/>
            </w:tcBorders>
            <w:shd w:val="pct5" w:color="000000" w:fill="FFFFFF"/>
          </w:tcPr>
          <w:p w:rsidR="007353C5" w:rsidRPr="004E6429" w:rsidRDefault="00EC38E3">
            <w:pPr>
              <w:jc w:val="center"/>
              <w:rPr>
                <w:rFonts w:ascii="Arial" w:hAnsi="Arial" w:cs="Arial"/>
              </w:rPr>
            </w:pPr>
            <w:r w:rsidRPr="004E6429">
              <w:rPr>
                <w:rFonts w:ascii="Arial" w:hAnsi="Arial" w:cs="Arial"/>
                <w:sz w:val="22"/>
                <w:szCs w:val="22"/>
              </w:rPr>
              <w:t>La Universidad de Costa Rica ofrece un servicio de atención interdisciplinaria para estudiantes universitarios y sus hijos e hijas menores de 4 años.</w:t>
            </w:r>
          </w:p>
          <w:p w:rsidR="007353C5" w:rsidRPr="004E6429" w:rsidRDefault="00EC38E3">
            <w:pPr>
              <w:jc w:val="center"/>
              <w:rPr>
                <w:rFonts w:ascii="Arial" w:hAnsi="Arial" w:cs="Arial"/>
              </w:rPr>
            </w:pPr>
            <w:r w:rsidRPr="004E6429">
              <w:rPr>
                <w:rFonts w:ascii="Arial" w:hAnsi="Arial" w:cs="Arial"/>
                <w:sz w:val="22"/>
                <w:szCs w:val="22"/>
              </w:rPr>
              <w:t>El modelo de atención denominado “Casa Infantil Universitaria” contempla el enfoque de derechos del niño y la niña, enfoque de género, la atención infantil temprana centrada en el fortalecimiento de los vínculos afectivos primarios, y el aprendizaje en comunidad.</w:t>
            </w: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EC38E3">
            <w:pPr>
              <w:jc w:val="center"/>
              <w:rPr>
                <w:rFonts w:ascii="Arial" w:hAnsi="Arial" w:cs="Arial"/>
              </w:rPr>
            </w:pPr>
            <w:r w:rsidRPr="004E6429">
              <w:rPr>
                <w:rFonts w:ascii="Arial" w:hAnsi="Arial" w:cs="Arial"/>
                <w:sz w:val="22"/>
                <w:szCs w:val="22"/>
              </w:rPr>
              <w:t xml:space="preserve">Se brindan espacios para que los </w:t>
            </w:r>
            <w:r w:rsidRPr="004E6429">
              <w:rPr>
                <w:rFonts w:ascii="Arial" w:hAnsi="Arial" w:cs="Arial"/>
                <w:sz w:val="22"/>
                <w:szCs w:val="22"/>
              </w:rPr>
              <w:lastRenderedPageBreak/>
              <w:t xml:space="preserve">estudiantes sin ninguna restricción se integren a los equipos deportivos y grupos artísticos institucionales.  Además se ofrecen espacios recreativos </w:t>
            </w:r>
            <w:proofErr w:type="gramStart"/>
            <w:r w:rsidRPr="004E6429">
              <w:rPr>
                <w:rFonts w:ascii="Arial" w:hAnsi="Arial" w:cs="Arial"/>
                <w:sz w:val="22"/>
                <w:szCs w:val="22"/>
              </w:rPr>
              <w:t>para  el</w:t>
            </w:r>
            <w:proofErr w:type="gramEnd"/>
            <w:r w:rsidRPr="004E6429">
              <w:rPr>
                <w:rFonts w:ascii="Arial" w:hAnsi="Arial" w:cs="Arial"/>
                <w:sz w:val="22"/>
                <w:szCs w:val="22"/>
              </w:rPr>
              <w:t xml:space="preserve"> buen uso del tiempo libre.  Estos espacios favorecen la no discriminación, las mismas oportunidades y se promueven valores positivos.</w:t>
            </w:r>
          </w:p>
        </w:tc>
        <w:tc>
          <w:tcPr>
            <w:tcW w:w="2268" w:type="dxa"/>
            <w:tcBorders>
              <w:top w:val="single" w:sz="18" w:space="0" w:color="FFFFFF"/>
              <w:left w:val="single" w:sz="18" w:space="0" w:color="FFFFFF"/>
              <w:bottom w:val="single" w:sz="18" w:space="0" w:color="FFFFFF"/>
              <w:right w:val="single" w:sz="18" w:space="0" w:color="FFFFFF"/>
            </w:tcBorders>
            <w:shd w:val="pct5" w:color="000000" w:fill="FFFFFF"/>
          </w:tcPr>
          <w:p w:rsidR="007353C5" w:rsidRPr="004E6429" w:rsidRDefault="00EC38E3">
            <w:pPr>
              <w:jc w:val="center"/>
              <w:rPr>
                <w:rFonts w:ascii="Arial" w:hAnsi="Arial" w:cs="Arial"/>
              </w:rPr>
            </w:pPr>
            <w:r w:rsidRPr="004E6429">
              <w:rPr>
                <w:rFonts w:ascii="Arial" w:hAnsi="Arial" w:cs="Arial"/>
                <w:sz w:val="22"/>
                <w:szCs w:val="22"/>
              </w:rPr>
              <w:lastRenderedPageBreak/>
              <w:t>Crear servicios análogos en sedes y recintos de todas las universidades públicas, de acuerdo con las necesidades de su población estudiantil.</w:t>
            </w:r>
          </w:p>
          <w:p w:rsidR="007353C5" w:rsidRPr="004E6429" w:rsidRDefault="007353C5">
            <w:pPr>
              <w:jc w:val="center"/>
              <w:rPr>
                <w:rFonts w:ascii="Arial" w:hAnsi="Arial" w:cs="Arial"/>
                <w:sz w:val="22"/>
                <w:szCs w:val="22"/>
              </w:rPr>
            </w:pPr>
          </w:p>
          <w:p w:rsidR="007353C5" w:rsidRPr="004E6429" w:rsidRDefault="00EC38E3">
            <w:pPr>
              <w:jc w:val="center"/>
              <w:rPr>
                <w:rFonts w:ascii="Arial" w:hAnsi="Arial" w:cs="Arial"/>
              </w:rPr>
            </w:pPr>
            <w:r w:rsidRPr="004E6429">
              <w:rPr>
                <w:rFonts w:ascii="Arial" w:hAnsi="Arial" w:cs="Arial"/>
                <w:sz w:val="22"/>
                <w:szCs w:val="22"/>
              </w:rPr>
              <w:t>Fortalecer el acceso a la oferta pública del Ciclo Materno Infantil para infantes que egresan de la Casa Infantil Universitaria, especialmente aquellos provenientes de zonas alejadas, cuyas madres universitarias no cuentan con redes de apoyo familiares cercanas.</w:t>
            </w:r>
          </w:p>
          <w:p w:rsidR="007353C5" w:rsidRPr="004E6429" w:rsidRDefault="007353C5">
            <w:pPr>
              <w:jc w:val="center"/>
              <w:rPr>
                <w:rFonts w:ascii="Arial" w:hAnsi="Arial" w:cs="Arial"/>
                <w:sz w:val="22"/>
                <w:szCs w:val="22"/>
              </w:rPr>
            </w:pPr>
          </w:p>
          <w:p w:rsidR="007353C5" w:rsidRPr="004E6429" w:rsidRDefault="00EC38E3">
            <w:pPr>
              <w:jc w:val="center"/>
              <w:rPr>
                <w:rFonts w:ascii="Arial" w:hAnsi="Arial" w:cs="Arial"/>
              </w:rPr>
            </w:pPr>
            <w:r w:rsidRPr="004E6429">
              <w:rPr>
                <w:rFonts w:ascii="Arial" w:hAnsi="Arial" w:cs="Arial"/>
                <w:sz w:val="22"/>
                <w:szCs w:val="22"/>
              </w:rPr>
              <w:t>Fortalecer el acceso a servicios de la Red Nacional de Cuido para madres estudiantes que requieren apoyo complementario al servicio que ofrece la Universidad de Costa Rica, tanto por horario como por la edad de sus hijos e hijas.</w:t>
            </w: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EC38E3">
            <w:pPr>
              <w:jc w:val="center"/>
              <w:rPr>
                <w:rFonts w:ascii="Arial" w:hAnsi="Arial" w:cs="Arial"/>
              </w:rPr>
            </w:pPr>
            <w:r w:rsidRPr="004E6429">
              <w:rPr>
                <w:rFonts w:ascii="Arial" w:hAnsi="Arial" w:cs="Arial"/>
                <w:sz w:val="22"/>
                <w:szCs w:val="22"/>
              </w:rPr>
              <w:lastRenderedPageBreak/>
              <w:t xml:space="preserve">Aumento de cobertura y presupuesto. </w:t>
            </w:r>
          </w:p>
        </w:tc>
        <w:tc>
          <w:tcPr>
            <w:tcW w:w="1703" w:type="dxa"/>
            <w:tcBorders>
              <w:top w:val="single" w:sz="18" w:space="0" w:color="FFFFFF"/>
              <w:left w:val="single" w:sz="18" w:space="0" w:color="FFFFFF"/>
              <w:bottom w:val="single" w:sz="18" w:space="0" w:color="FFFFFF"/>
            </w:tcBorders>
            <w:shd w:val="pct5" w:color="000000" w:fill="FFFFFF"/>
          </w:tcPr>
          <w:p w:rsidR="007353C5" w:rsidRPr="004E6429" w:rsidRDefault="00EC38E3">
            <w:pPr>
              <w:jc w:val="center"/>
              <w:rPr>
                <w:rFonts w:ascii="Arial" w:hAnsi="Arial" w:cs="Arial"/>
              </w:rPr>
            </w:pPr>
            <w:r w:rsidRPr="004E6429">
              <w:rPr>
                <w:rFonts w:ascii="Arial" w:hAnsi="Arial" w:cs="Arial"/>
                <w:sz w:val="22"/>
                <w:szCs w:val="22"/>
              </w:rPr>
              <w:lastRenderedPageBreak/>
              <w:t>Los hijos e hijas de madres estudiantes en el nivel universitario no se consideran como población específica de atención, pese a que este sector presenta características específicas que en muchas ocasiones no se ajustan a la oferta de programas dirigidos por ejemplo, a madres adolescentes o a madres trabajadoras.</w:t>
            </w:r>
          </w:p>
        </w:tc>
      </w:tr>
      <w:tr w:rsidR="007353C5" w:rsidRPr="004E6429">
        <w:trPr>
          <w:trHeight w:val="1160"/>
        </w:trPr>
        <w:tc>
          <w:tcPr>
            <w:tcW w:w="2938" w:type="dxa"/>
            <w:tcBorders>
              <w:top w:val="single" w:sz="18" w:space="0" w:color="FFFFFF"/>
              <w:bottom w:val="single" w:sz="18" w:space="0" w:color="FFFFFF"/>
              <w:right w:val="single" w:sz="18" w:space="0" w:color="FFFFFF"/>
            </w:tcBorders>
            <w:shd w:val="pct20" w:color="000000" w:fill="FFFFFF"/>
          </w:tcPr>
          <w:p w:rsidR="007353C5" w:rsidRPr="004E6429" w:rsidRDefault="00EC38E3">
            <w:pPr>
              <w:jc w:val="center"/>
              <w:rPr>
                <w:rFonts w:ascii="Arial" w:hAnsi="Arial" w:cs="Arial"/>
                <w:sz w:val="22"/>
                <w:szCs w:val="22"/>
              </w:rPr>
            </w:pPr>
            <w:r w:rsidRPr="004E6429">
              <w:rPr>
                <w:rFonts w:ascii="Arial" w:hAnsi="Arial" w:cs="Arial"/>
                <w:sz w:val="22"/>
                <w:szCs w:val="22"/>
              </w:rPr>
              <w:lastRenderedPageBreak/>
              <w:t>8. Garantizar asimismo la existencia de mecanismos de participación efectiva de adolescentes y jóvenes en el debate público, en la toma de decisiones y en todas las etapas de las políticas y programas, en particular en aquellas que les atañen directamente, sin ningún tipo de discriminación fortaleciendo los mecanismos institucionales de juventud.</w:t>
            </w:r>
          </w:p>
        </w:tc>
        <w:tc>
          <w:tcPr>
            <w:tcW w:w="2146" w:type="dxa"/>
            <w:tcBorders>
              <w:top w:val="single" w:sz="18" w:space="0" w:color="FFFFFF"/>
              <w:left w:val="single" w:sz="18" w:space="0" w:color="FFFFFF"/>
              <w:bottom w:val="single" w:sz="18" w:space="0" w:color="FFFFFF"/>
              <w:right w:val="single" w:sz="18" w:space="0" w:color="FFFFFF"/>
            </w:tcBorders>
            <w:shd w:val="pct20" w:color="000000" w:fill="FFFFFF"/>
          </w:tcPr>
          <w:p w:rsidR="007353C5" w:rsidRPr="004E6429" w:rsidRDefault="00EC38E3">
            <w:pPr>
              <w:jc w:val="center"/>
              <w:rPr>
                <w:rFonts w:ascii="Arial" w:hAnsi="Arial" w:cs="Arial"/>
              </w:rPr>
            </w:pPr>
            <w:r w:rsidRPr="004E6429">
              <w:rPr>
                <w:rFonts w:ascii="Arial" w:hAnsi="Arial" w:cs="Arial"/>
                <w:sz w:val="22"/>
                <w:szCs w:val="22"/>
              </w:rPr>
              <w:t>Contar con un Grupo de líderes estudiantes gestores de la salud como  (</w:t>
            </w:r>
            <w:proofErr w:type="spellStart"/>
            <w:r w:rsidRPr="004E6429">
              <w:rPr>
                <w:rFonts w:ascii="Arial" w:hAnsi="Arial" w:cs="Arial"/>
                <w:sz w:val="22"/>
                <w:szCs w:val="22"/>
              </w:rPr>
              <w:t>Bonus</w:t>
            </w:r>
            <w:proofErr w:type="spellEnd"/>
            <w:r w:rsidRPr="004E6429">
              <w:rPr>
                <w:rFonts w:ascii="Arial" w:hAnsi="Arial" w:cs="Arial"/>
                <w:sz w:val="22"/>
                <w:szCs w:val="22"/>
              </w:rPr>
              <w:t xml:space="preserve"> Vitae) de la Oficina de Bienestar y Salud (OBS), que aporten desde sus cosmovisiones, para generar acciones que a ellos mismos les impacten</w:t>
            </w:r>
          </w:p>
        </w:tc>
        <w:tc>
          <w:tcPr>
            <w:tcW w:w="2268" w:type="dxa"/>
            <w:tcBorders>
              <w:top w:val="single" w:sz="18" w:space="0" w:color="FFFFFF"/>
              <w:left w:val="single" w:sz="18" w:space="0" w:color="FFFFFF"/>
              <w:bottom w:val="single" w:sz="18" w:space="0" w:color="FFFFFF"/>
              <w:right w:val="single" w:sz="18" w:space="0" w:color="FFFFFF"/>
            </w:tcBorders>
            <w:shd w:val="pct20" w:color="000000" w:fill="FFFFFF"/>
          </w:tcPr>
          <w:p w:rsidR="007353C5" w:rsidRPr="004E6429" w:rsidRDefault="00EC38E3">
            <w:pPr>
              <w:jc w:val="center"/>
              <w:rPr>
                <w:rFonts w:ascii="Arial" w:hAnsi="Arial" w:cs="Arial"/>
              </w:rPr>
            </w:pPr>
            <w:r w:rsidRPr="004E6429">
              <w:rPr>
                <w:rFonts w:ascii="Arial" w:hAnsi="Arial" w:cs="Arial"/>
                <w:sz w:val="22"/>
                <w:szCs w:val="22"/>
              </w:rPr>
              <w:t>Aumentar el número de  participantes de estos grupos.</w:t>
            </w:r>
          </w:p>
        </w:tc>
        <w:tc>
          <w:tcPr>
            <w:tcW w:w="1703" w:type="dxa"/>
            <w:tcBorders>
              <w:top w:val="single" w:sz="18" w:space="0" w:color="FFFFFF"/>
              <w:left w:val="single" w:sz="18" w:space="0" w:color="FFFFFF"/>
              <w:bottom w:val="single" w:sz="18" w:space="0" w:color="FFFFFF"/>
            </w:tcBorders>
            <w:shd w:val="pct20" w:color="000000" w:fill="FFFFFF"/>
          </w:tcPr>
          <w:p w:rsidR="007353C5" w:rsidRPr="004E6429" w:rsidRDefault="00EC38E3">
            <w:pPr>
              <w:jc w:val="center"/>
              <w:rPr>
                <w:rFonts w:ascii="Arial" w:hAnsi="Arial" w:cs="Arial"/>
                <w:sz w:val="22"/>
                <w:szCs w:val="22"/>
              </w:rPr>
            </w:pPr>
            <w:r w:rsidRPr="004E6429">
              <w:rPr>
                <w:rFonts w:ascii="Arial" w:hAnsi="Arial" w:cs="Arial"/>
                <w:sz w:val="22"/>
                <w:szCs w:val="22"/>
              </w:rPr>
              <w:t> </w:t>
            </w:r>
          </w:p>
        </w:tc>
      </w:tr>
      <w:tr w:rsidR="007353C5" w:rsidRPr="004E6429">
        <w:trPr>
          <w:trHeight w:val="1450"/>
        </w:trPr>
        <w:tc>
          <w:tcPr>
            <w:tcW w:w="2938" w:type="dxa"/>
            <w:tcBorders>
              <w:top w:val="single" w:sz="18" w:space="0" w:color="FFFFFF"/>
              <w:bottom w:val="single" w:sz="18" w:space="0" w:color="FFFFFF"/>
              <w:right w:val="single" w:sz="18" w:space="0" w:color="FFFFFF"/>
            </w:tcBorders>
            <w:shd w:val="pct5" w:color="000000" w:fill="FFFFFF"/>
          </w:tcPr>
          <w:p w:rsidR="007353C5" w:rsidRPr="004E6429" w:rsidRDefault="00EC38E3">
            <w:pPr>
              <w:jc w:val="center"/>
              <w:rPr>
                <w:rFonts w:ascii="Arial" w:hAnsi="Arial" w:cs="Arial"/>
                <w:sz w:val="22"/>
                <w:szCs w:val="22"/>
              </w:rPr>
            </w:pPr>
            <w:r w:rsidRPr="004E6429">
              <w:rPr>
                <w:rFonts w:ascii="Arial" w:hAnsi="Arial" w:cs="Arial"/>
                <w:sz w:val="22"/>
                <w:szCs w:val="22"/>
              </w:rPr>
              <w:t xml:space="preserve">9. Invertir en la juventud, a través de políticas públicas específicas y condiciones diferenciales de acceso, especialmente en la educación pública, universal, laica, intercultural, libre de discriminación, gratuita y de calidad, para lograr que sea una etapa de vida plena y satisfactoria, que les permita construirse a sí mismos como personas autónomas, responsables y solidarias, capaces de </w:t>
            </w:r>
            <w:r w:rsidRPr="004E6429">
              <w:rPr>
                <w:rFonts w:ascii="Arial" w:hAnsi="Arial" w:cs="Arial"/>
                <w:sz w:val="22"/>
                <w:szCs w:val="22"/>
              </w:rPr>
              <w:lastRenderedPageBreak/>
              <w:t>enfrentar creativamente los retos del siglo XXI.</w:t>
            </w:r>
          </w:p>
        </w:tc>
        <w:tc>
          <w:tcPr>
            <w:tcW w:w="2146" w:type="dxa"/>
            <w:tcBorders>
              <w:top w:val="single" w:sz="18" w:space="0" w:color="FFFFFF"/>
              <w:left w:val="single" w:sz="18" w:space="0" w:color="FFFFFF"/>
              <w:bottom w:val="single" w:sz="18" w:space="0" w:color="FFFFFF"/>
              <w:right w:val="single" w:sz="18" w:space="0" w:color="FFFFFF"/>
            </w:tcBorders>
            <w:shd w:val="pct5" w:color="000000" w:fill="FFFFFF"/>
          </w:tcPr>
          <w:p w:rsidR="00082DB7" w:rsidRPr="004E6429" w:rsidRDefault="00082DB7" w:rsidP="00AA399A">
            <w:pPr>
              <w:jc w:val="center"/>
              <w:rPr>
                <w:rFonts w:ascii="Arial" w:hAnsi="Arial" w:cs="Arial"/>
                <w:sz w:val="22"/>
                <w:szCs w:val="22"/>
              </w:rPr>
            </w:pPr>
            <w:r w:rsidRPr="004E6429">
              <w:rPr>
                <w:rFonts w:ascii="Arial" w:hAnsi="Arial" w:cs="Arial"/>
                <w:sz w:val="22"/>
                <w:szCs w:val="22"/>
              </w:rPr>
              <w:lastRenderedPageBreak/>
              <w:t>La Universidad de Costa Rica cuenta con un sistema de becas que incluye al 54% de la comunidad estudiantil (</w:t>
            </w:r>
            <w:r w:rsidR="0006320A" w:rsidRPr="0006320A">
              <w:rPr>
                <w:rFonts w:ascii="Arial" w:hAnsi="Arial" w:cs="Arial"/>
              </w:rPr>
              <w:t>43 442</w:t>
            </w:r>
            <w:r w:rsidRPr="0006320A">
              <w:rPr>
                <w:rFonts w:ascii="Arial" w:hAnsi="Arial" w:cs="Arial"/>
                <w:sz w:val="22"/>
                <w:szCs w:val="22"/>
              </w:rPr>
              <w:t>).</w:t>
            </w:r>
            <w:r w:rsidRPr="004E6429">
              <w:rPr>
                <w:rFonts w:ascii="Arial" w:hAnsi="Arial" w:cs="Arial"/>
                <w:sz w:val="22"/>
                <w:szCs w:val="22"/>
              </w:rPr>
              <w:t xml:space="preserve"> Un </w:t>
            </w:r>
            <w:r w:rsidR="0006320A" w:rsidRPr="00D973DD">
              <w:rPr>
                <w:rFonts w:ascii="Arial" w:hAnsi="Arial" w:cs="Arial"/>
                <w:sz w:val="22"/>
                <w:szCs w:val="22"/>
              </w:rPr>
              <w:t>36,83</w:t>
            </w:r>
            <w:r w:rsidR="0006320A">
              <w:rPr>
                <w:rFonts w:ascii="Arial" w:hAnsi="Arial" w:cs="Arial"/>
                <w:sz w:val="22"/>
                <w:szCs w:val="22"/>
              </w:rPr>
              <w:t>%</w:t>
            </w:r>
            <w:r w:rsidRPr="004E6429">
              <w:rPr>
                <w:rFonts w:ascii="Arial" w:hAnsi="Arial" w:cs="Arial"/>
                <w:sz w:val="22"/>
                <w:szCs w:val="22"/>
              </w:rPr>
              <w:t xml:space="preserve"> (16</w:t>
            </w:r>
            <w:r w:rsidR="00F87493">
              <w:rPr>
                <w:rFonts w:ascii="Arial" w:hAnsi="Arial" w:cs="Arial"/>
                <w:sz w:val="22"/>
                <w:szCs w:val="22"/>
              </w:rPr>
              <w:t xml:space="preserve"> </w:t>
            </w:r>
            <w:r w:rsidRPr="004E6429">
              <w:rPr>
                <w:rFonts w:ascii="Arial" w:hAnsi="Arial" w:cs="Arial"/>
                <w:sz w:val="22"/>
                <w:szCs w:val="22"/>
              </w:rPr>
              <w:t>000) tienen Beca 5, que les ofrece apoyo económico y servicios complementarios.</w:t>
            </w:r>
          </w:p>
          <w:p w:rsidR="00082DB7" w:rsidRPr="004E6429" w:rsidRDefault="00082DB7" w:rsidP="00AA399A">
            <w:pPr>
              <w:jc w:val="center"/>
              <w:rPr>
                <w:rFonts w:ascii="Arial" w:hAnsi="Arial" w:cs="Arial"/>
                <w:sz w:val="22"/>
                <w:szCs w:val="22"/>
              </w:rPr>
            </w:pPr>
          </w:p>
          <w:p w:rsidR="00F931FE" w:rsidRPr="00EA77AB" w:rsidRDefault="00082DB7" w:rsidP="00AA399A">
            <w:pPr>
              <w:jc w:val="center"/>
              <w:rPr>
                <w:lang w:val="es-CR"/>
              </w:rPr>
            </w:pPr>
            <w:r w:rsidRPr="004E6429">
              <w:rPr>
                <w:rFonts w:ascii="Arial" w:hAnsi="Arial" w:cs="Arial"/>
                <w:sz w:val="22"/>
                <w:szCs w:val="22"/>
              </w:rPr>
              <w:t xml:space="preserve">La Universidad de Costa Rica </w:t>
            </w:r>
            <w:r w:rsidRPr="004E6429">
              <w:rPr>
                <w:rFonts w:ascii="Arial" w:hAnsi="Arial" w:cs="Arial"/>
                <w:sz w:val="22"/>
                <w:szCs w:val="22"/>
              </w:rPr>
              <w:lastRenderedPageBreak/>
              <w:t>consolidó la política de “Admisión Diferida” que constituye una política de acción afirmativa para quienes provienen de instituciones educativas de secundaria con muy bajo porcentaje de ingreso a la Universidad de Costa Rica</w:t>
            </w:r>
            <w:r w:rsidR="00F931FE">
              <w:rPr>
                <w:rFonts w:ascii="Arial" w:hAnsi="Arial" w:cs="Arial"/>
                <w:sz w:val="22"/>
                <w:szCs w:val="22"/>
              </w:rPr>
              <w:t>. También incluye estudiantes que finalizaron</w:t>
            </w:r>
            <w:r w:rsidR="00F931FE" w:rsidRPr="00EA77AB">
              <w:rPr>
                <w:lang w:val="es-CR"/>
              </w:rPr>
              <w:t xml:space="preserve"> </w:t>
            </w:r>
            <w:r w:rsidR="00F931FE" w:rsidRPr="00F931FE">
              <w:rPr>
                <w:rFonts w:ascii="Arial" w:hAnsi="Arial" w:cs="Arial"/>
                <w:sz w:val="22"/>
                <w:szCs w:val="22"/>
                <w:lang w:val="es-CR"/>
              </w:rPr>
              <w:t>Bachillerato por Madurez Suficiente, Educación Diversificada a Distancia (EDAD) y de los colegios del exterior, en los que un 15% o menos del estudiantado que realizó la Prueba de Aptitud Académica resultó admitido.</w:t>
            </w:r>
          </w:p>
          <w:p w:rsidR="007353C5" w:rsidRPr="004E6429" w:rsidRDefault="007353C5" w:rsidP="00AA399A">
            <w:pPr>
              <w:jc w:val="center"/>
              <w:rPr>
                <w:rFonts w:ascii="Arial" w:hAnsi="Arial" w:cs="Arial"/>
                <w:sz w:val="22"/>
                <w:szCs w:val="22"/>
              </w:rPr>
            </w:pPr>
          </w:p>
        </w:tc>
        <w:tc>
          <w:tcPr>
            <w:tcW w:w="2268" w:type="dxa"/>
            <w:tcBorders>
              <w:top w:val="single" w:sz="18" w:space="0" w:color="FFFFFF"/>
              <w:left w:val="single" w:sz="18" w:space="0" w:color="FFFFFF"/>
              <w:bottom w:val="single" w:sz="18" w:space="0" w:color="FFFFFF"/>
              <w:right w:val="single" w:sz="18" w:space="0" w:color="FFFFFF"/>
            </w:tcBorders>
            <w:shd w:val="pct5" w:color="000000" w:fill="FFFFFF"/>
          </w:tcPr>
          <w:p w:rsidR="007353C5" w:rsidRPr="004E6429" w:rsidRDefault="00082DB7">
            <w:pPr>
              <w:jc w:val="center"/>
              <w:rPr>
                <w:rFonts w:ascii="Arial" w:hAnsi="Arial" w:cs="Arial"/>
                <w:sz w:val="22"/>
                <w:szCs w:val="22"/>
              </w:rPr>
            </w:pPr>
            <w:r w:rsidRPr="004E6429">
              <w:rPr>
                <w:rFonts w:ascii="Arial" w:hAnsi="Arial" w:cs="Arial"/>
                <w:sz w:val="22"/>
                <w:szCs w:val="22"/>
              </w:rPr>
              <w:lastRenderedPageBreak/>
              <w:t>Consolidar un sistema de becas para estudios de maestría y especialmente doctorado.</w:t>
            </w:r>
            <w:r w:rsidR="00EC38E3" w:rsidRPr="004E6429">
              <w:rPr>
                <w:rFonts w:ascii="Arial" w:hAnsi="Arial" w:cs="Arial"/>
                <w:sz w:val="22"/>
                <w:szCs w:val="22"/>
              </w:rPr>
              <w:t> </w:t>
            </w:r>
          </w:p>
        </w:tc>
        <w:tc>
          <w:tcPr>
            <w:tcW w:w="1703" w:type="dxa"/>
            <w:tcBorders>
              <w:top w:val="single" w:sz="18" w:space="0" w:color="FFFFFF"/>
              <w:left w:val="single" w:sz="18" w:space="0" w:color="FFFFFF"/>
              <w:bottom w:val="single" w:sz="18" w:space="0" w:color="FFFFFF"/>
            </w:tcBorders>
            <w:shd w:val="pct5" w:color="000000" w:fill="FFFFFF"/>
          </w:tcPr>
          <w:p w:rsidR="007353C5" w:rsidRPr="004E6429" w:rsidRDefault="00EC38E3">
            <w:pPr>
              <w:jc w:val="center"/>
              <w:rPr>
                <w:rFonts w:ascii="Arial" w:hAnsi="Arial" w:cs="Arial"/>
                <w:sz w:val="22"/>
                <w:szCs w:val="22"/>
              </w:rPr>
            </w:pPr>
            <w:r w:rsidRPr="004E6429">
              <w:rPr>
                <w:rFonts w:ascii="Arial" w:hAnsi="Arial" w:cs="Arial"/>
                <w:sz w:val="22"/>
                <w:szCs w:val="22"/>
              </w:rPr>
              <w:t> </w:t>
            </w:r>
          </w:p>
        </w:tc>
      </w:tr>
      <w:tr w:rsidR="007353C5" w:rsidRPr="004E6429">
        <w:trPr>
          <w:trHeight w:val="870"/>
        </w:trPr>
        <w:tc>
          <w:tcPr>
            <w:tcW w:w="2938" w:type="dxa"/>
            <w:tcBorders>
              <w:top w:val="single" w:sz="18" w:space="0" w:color="FFFFFF"/>
              <w:bottom w:val="single" w:sz="18" w:space="0" w:color="FFFFFF"/>
              <w:right w:val="single" w:sz="18" w:space="0" w:color="FFFFFF"/>
            </w:tcBorders>
            <w:shd w:val="pct20" w:color="000000" w:fill="FFFFFF"/>
          </w:tcPr>
          <w:p w:rsidR="007353C5" w:rsidRPr="004E6429" w:rsidRDefault="00EC38E3">
            <w:pPr>
              <w:jc w:val="center"/>
              <w:rPr>
                <w:rFonts w:ascii="Arial" w:hAnsi="Arial" w:cs="Arial"/>
                <w:sz w:val="22"/>
                <w:szCs w:val="22"/>
              </w:rPr>
            </w:pPr>
            <w:r w:rsidRPr="004E6429">
              <w:rPr>
                <w:rFonts w:ascii="Arial" w:hAnsi="Arial" w:cs="Arial"/>
                <w:sz w:val="22"/>
                <w:szCs w:val="22"/>
              </w:rPr>
              <w:lastRenderedPageBreak/>
              <w:t>10. Promover e invertir en políticas de trabajo y empleo y programas especiales de formación para la juventud que potencien la capacidad e iniciativa colectivas y personales y posibiliten la conciliación entre los estudios y la actividad laboral, sin precarización del trabajo y garantizando igualdad de oportunidades y trato.</w:t>
            </w:r>
          </w:p>
        </w:tc>
        <w:tc>
          <w:tcPr>
            <w:tcW w:w="2146" w:type="dxa"/>
            <w:tcBorders>
              <w:top w:val="single" w:sz="18" w:space="0" w:color="FFFFFF"/>
              <w:left w:val="single" w:sz="18" w:space="0" w:color="FFFFFF"/>
              <w:bottom w:val="single" w:sz="18" w:space="0" w:color="FFFFFF"/>
              <w:right w:val="single" w:sz="18" w:space="0" w:color="FFFFFF"/>
            </w:tcBorders>
            <w:shd w:val="pct20" w:color="000000" w:fill="FFFFFF"/>
          </w:tcPr>
          <w:p w:rsidR="007353C5" w:rsidRPr="004E6429" w:rsidRDefault="00EC38E3">
            <w:pPr>
              <w:jc w:val="center"/>
              <w:rPr>
                <w:rFonts w:ascii="Arial" w:hAnsi="Arial" w:cs="Arial"/>
              </w:rPr>
            </w:pPr>
            <w:r w:rsidRPr="004E6429">
              <w:rPr>
                <w:rFonts w:ascii="Arial" w:hAnsi="Arial" w:cs="Arial"/>
                <w:sz w:val="22"/>
                <w:szCs w:val="22"/>
              </w:rPr>
              <w:t> Se ofrece asesoramiento para la inserción laboral de la población estudiantil graduada o próxima a graduarse.</w:t>
            </w:r>
          </w:p>
          <w:p w:rsidR="007353C5" w:rsidRPr="004E6429" w:rsidRDefault="00EC38E3">
            <w:pPr>
              <w:jc w:val="center"/>
              <w:rPr>
                <w:rFonts w:ascii="Arial" w:hAnsi="Arial" w:cs="Arial"/>
              </w:rPr>
            </w:pPr>
            <w:r w:rsidRPr="004E6429">
              <w:rPr>
                <w:rFonts w:ascii="Arial" w:hAnsi="Arial" w:cs="Arial"/>
                <w:sz w:val="22"/>
                <w:szCs w:val="22"/>
              </w:rPr>
              <w:t xml:space="preserve">Se cuenta con la plataforma de </w:t>
            </w:r>
            <w:proofErr w:type="gramStart"/>
            <w:r w:rsidRPr="004E6429">
              <w:rPr>
                <w:rFonts w:ascii="Arial" w:hAnsi="Arial" w:cs="Arial"/>
                <w:sz w:val="22"/>
                <w:szCs w:val="22"/>
              </w:rPr>
              <w:t>Intermediación  de</w:t>
            </w:r>
            <w:proofErr w:type="gramEnd"/>
            <w:r w:rsidRPr="004E6429">
              <w:rPr>
                <w:rFonts w:ascii="Arial" w:hAnsi="Arial" w:cs="Arial"/>
                <w:sz w:val="22"/>
                <w:szCs w:val="22"/>
              </w:rPr>
              <w:t xml:space="preserve"> Empleo Estudiantil mediante la cual se favorece la vinculación laboral de la población estudiantil próxima a graduarse con </w:t>
            </w:r>
            <w:r w:rsidRPr="004E6429">
              <w:rPr>
                <w:rFonts w:ascii="Arial" w:hAnsi="Arial" w:cs="Arial"/>
                <w:sz w:val="22"/>
                <w:szCs w:val="22"/>
              </w:rPr>
              <w:lastRenderedPageBreak/>
              <w:t>empleadores  interesados en contratar personal de las distintas áreas de formación  . </w:t>
            </w:r>
          </w:p>
          <w:p w:rsidR="007353C5" w:rsidRPr="004E6429" w:rsidRDefault="007353C5">
            <w:pPr>
              <w:jc w:val="center"/>
              <w:rPr>
                <w:rFonts w:ascii="Arial" w:hAnsi="Arial" w:cs="Arial"/>
                <w:sz w:val="22"/>
                <w:szCs w:val="22"/>
              </w:rPr>
            </w:pPr>
          </w:p>
        </w:tc>
        <w:tc>
          <w:tcPr>
            <w:tcW w:w="2268" w:type="dxa"/>
            <w:tcBorders>
              <w:top w:val="single" w:sz="18" w:space="0" w:color="FFFFFF"/>
              <w:left w:val="single" w:sz="18" w:space="0" w:color="FFFFFF"/>
              <w:bottom w:val="single" w:sz="18" w:space="0" w:color="FFFFFF"/>
              <w:right w:val="single" w:sz="18" w:space="0" w:color="FFFFFF"/>
            </w:tcBorders>
            <w:shd w:val="pct20" w:color="000000" w:fill="FFFFFF"/>
          </w:tcPr>
          <w:p w:rsidR="007353C5" w:rsidRPr="004E6429" w:rsidRDefault="00EC38E3">
            <w:pPr>
              <w:jc w:val="center"/>
              <w:rPr>
                <w:rFonts w:ascii="Arial" w:hAnsi="Arial" w:cs="Arial"/>
              </w:rPr>
            </w:pPr>
            <w:r w:rsidRPr="004E6429">
              <w:rPr>
                <w:rFonts w:ascii="Arial" w:hAnsi="Arial" w:cs="Arial"/>
                <w:sz w:val="22"/>
                <w:szCs w:val="22"/>
              </w:rPr>
              <w:lastRenderedPageBreak/>
              <w:t> Fortalecer el acceso a servicios de orientación laboral para la población estudiantil próxima a graduarse, tendientes a mejorar las habilidades para la empleabilidad.</w:t>
            </w:r>
          </w:p>
        </w:tc>
        <w:tc>
          <w:tcPr>
            <w:tcW w:w="1703" w:type="dxa"/>
            <w:tcBorders>
              <w:top w:val="single" w:sz="18" w:space="0" w:color="FFFFFF"/>
              <w:left w:val="single" w:sz="18" w:space="0" w:color="FFFFFF"/>
              <w:bottom w:val="single" w:sz="18" w:space="0" w:color="FFFFFF"/>
            </w:tcBorders>
            <w:shd w:val="pct20" w:color="000000" w:fill="FFFFFF"/>
          </w:tcPr>
          <w:p w:rsidR="007353C5" w:rsidRPr="004E6429" w:rsidRDefault="00EC38E3">
            <w:pPr>
              <w:jc w:val="center"/>
              <w:rPr>
                <w:rFonts w:ascii="Arial" w:hAnsi="Arial" w:cs="Arial"/>
                <w:sz w:val="22"/>
                <w:szCs w:val="22"/>
              </w:rPr>
            </w:pPr>
            <w:r w:rsidRPr="004E6429">
              <w:rPr>
                <w:rFonts w:ascii="Arial" w:hAnsi="Arial" w:cs="Arial"/>
                <w:sz w:val="22"/>
                <w:szCs w:val="22"/>
              </w:rPr>
              <w:t> </w:t>
            </w:r>
          </w:p>
        </w:tc>
      </w:tr>
      <w:tr w:rsidR="007353C5" w:rsidRPr="004E6429">
        <w:trPr>
          <w:trHeight w:val="1160"/>
        </w:trPr>
        <w:tc>
          <w:tcPr>
            <w:tcW w:w="2938" w:type="dxa"/>
            <w:tcBorders>
              <w:top w:val="single" w:sz="18" w:space="0" w:color="FFFFFF"/>
              <w:bottom w:val="single" w:sz="18" w:space="0" w:color="FFFFFF"/>
              <w:right w:val="single" w:sz="18" w:space="0" w:color="FFFFFF"/>
            </w:tcBorders>
            <w:shd w:val="pct5" w:color="000000" w:fill="FFFFFF"/>
          </w:tcPr>
          <w:p w:rsidR="007353C5" w:rsidRPr="004E6429" w:rsidRDefault="00EC38E3">
            <w:pPr>
              <w:jc w:val="center"/>
              <w:rPr>
                <w:rFonts w:ascii="Arial" w:hAnsi="Arial" w:cs="Arial"/>
                <w:sz w:val="22"/>
                <w:szCs w:val="22"/>
              </w:rPr>
            </w:pPr>
            <w:r w:rsidRPr="004E6429">
              <w:rPr>
                <w:rFonts w:ascii="Arial" w:hAnsi="Arial" w:cs="Arial"/>
                <w:sz w:val="22"/>
                <w:szCs w:val="22"/>
              </w:rPr>
              <w:lastRenderedPageBreak/>
              <w:t>11. Asegurar la efectiva implementación de programas de educación integral para la sexualidad, reconociendo la afectividad, desde la primera infancia, respetando la autonomía progresiva del niño y de la niña y las decisiones informadas de adolescentes y jóvenes sobre su sexualidad, con enfoque participativo, intercultural, de género y de derechos humanos.</w:t>
            </w:r>
          </w:p>
        </w:tc>
        <w:tc>
          <w:tcPr>
            <w:tcW w:w="2146" w:type="dxa"/>
            <w:tcBorders>
              <w:top w:val="single" w:sz="18" w:space="0" w:color="FFFFFF"/>
              <w:left w:val="single" w:sz="18" w:space="0" w:color="FFFFFF"/>
              <w:bottom w:val="single" w:sz="18" w:space="0" w:color="FFFFFF"/>
              <w:right w:val="single" w:sz="18" w:space="0" w:color="FFFFFF"/>
            </w:tcBorders>
            <w:shd w:val="pct5" w:color="000000" w:fill="FFFFFF"/>
          </w:tcPr>
          <w:p w:rsidR="007353C5" w:rsidRPr="004E6429" w:rsidRDefault="00EC38E3">
            <w:pPr>
              <w:jc w:val="center"/>
              <w:rPr>
                <w:rFonts w:ascii="Arial" w:hAnsi="Arial" w:cs="Arial"/>
                <w:sz w:val="22"/>
                <w:szCs w:val="22"/>
              </w:rPr>
            </w:pPr>
            <w:r w:rsidRPr="004E6429">
              <w:rPr>
                <w:rFonts w:ascii="Arial" w:hAnsi="Arial" w:cs="Arial"/>
                <w:sz w:val="22"/>
                <w:szCs w:val="22"/>
              </w:rPr>
              <w:t>En la OBS se ejecutan a lo largo del año talleres acerca de una Sexualidad sana, segura satisfactoria y creativa que les permita de manera participativa adquirir herramientas de conocimiento a partir de sus mismas dudas</w:t>
            </w:r>
          </w:p>
          <w:p w:rsidR="007353C5" w:rsidRPr="004E6429" w:rsidRDefault="007353C5">
            <w:pPr>
              <w:jc w:val="center"/>
              <w:rPr>
                <w:rFonts w:ascii="Arial" w:hAnsi="Arial" w:cs="Arial"/>
                <w:sz w:val="22"/>
                <w:szCs w:val="22"/>
              </w:rPr>
            </w:pPr>
          </w:p>
          <w:p w:rsidR="007353C5" w:rsidRPr="004E6429" w:rsidRDefault="00EC38E3">
            <w:pPr>
              <w:pStyle w:val="western"/>
              <w:spacing w:before="280" w:after="0" w:line="240" w:lineRule="auto"/>
              <w:jc w:val="center"/>
              <w:rPr>
                <w:rFonts w:ascii="Arial" w:hAnsi="Arial" w:cs="Arial"/>
                <w:sz w:val="22"/>
                <w:szCs w:val="22"/>
              </w:rPr>
            </w:pPr>
            <w:r w:rsidRPr="004E6429">
              <w:rPr>
                <w:rFonts w:ascii="Arial" w:hAnsi="Arial" w:cs="Arial"/>
                <w:sz w:val="22"/>
                <w:szCs w:val="22"/>
              </w:rPr>
              <w:t xml:space="preserve">Se brindan talleres de sexualidad desde un abordaje integral, con enfoque participativo, intercultural, de género y de derechos humanos. </w:t>
            </w:r>
          </w:p>
          <w:p w:rsidR="007353C5" w:rsidRPr="004E6429" w:rsidRDefault="007353C5">
            <w:pPr>
              <w:jc w:val="center"/>
              <w:rPr>
                <w:rFonts w:ascii="Arial" w:hAnsi="Arial" w:cs="Arial"/>
                <w:sz w:val="22"/>
                <w:szCs w:val="22"/>
                <w:lang w:val="es-ES"/>
              </w:rPr>
            </w:pPr>
          </w:p>
          <w:p w:rsidR="007353C5" w:rsidRPr="004E6429" w:rsidRDefault="007353C5">
            <w:pPr>
              <w:jc w:val="center"/>
              <w:rPr>
                <w:rFonts w:ascii="Arial" w:hAnsi="Arial" w:cs="Arial"/>
                <w:sz w:val="22"/>
                <w:szCs w:val="22"/>
              </w:rPr>
            </w:pPr>
          </w:p>
        </w:tc>
        <w:tc>
          <w:tcPr>
            <w:tcW w:w="2268" w:type="dxa"/>
            <w:tcBorders>
              <w:top w:val="single" w:sz="18" w:space="0" w:color="FFFFFF"/>
              <w:left w:val="single" w:sz="18" w:space="0" w:color="FFFFFF"/>
              <w:bottom w:val="single" w:sz="18" w:space="0" w:color="FFFFFF"/>
              <w:right w:val="single" w:sz="18" w:space="0" w:color="FFFFFF"/>
            </w:tcBorders>
            <w:shd w:val="pct5" w:color="000000" w:fill="FFFFFF"/>
          </w:tcPr>
          <w:p w:rsidR="007353C5" w:rsidRPr="004E6429" w:rsidRDefault="00EC38E3">
            <w:pPr>
              <w:jc w:val="center"/>
              <w:rPr>
                <w:rFonts w:ascii="Arial" w:hAnsi="Arial" w:cs="Arial"/>
              </w:rPr>
            </w:pPr>
            <w:r w:rsidRPr="004E6429">
              <w:rPr>
                <w:rFonts w:ascii="Arial" w:hAnsi="Arial" w:cs="Arial"/>
                <w:sz w:val="22"/>
                <w:szCs w:val="22"/>
              </w:rPr>
              <w:t>Aumentar cobertura.</w:t>
            </w: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EC38E3">
            <w:pPr>
              <w:pStyle w:val="western"/>
              <w:spacing w:before="280" w:after="0" w:line="240" w:lineRule="auto"/>
              <w:jc w:val="center"/>
              <w:rPr>
                <w:rFonts w:ascii="Arial" w:hAnsi="Arial" w:cs="Arial"/>
              </w:rPr>
            </w:pPr>
            <w:proofErr w:type="spellStart"/>
            <w:r w:rsidRPr="004E6429">
              <w:rPr>
                <w:rFonts w:ascii="Arial" w:hAnsi="Arial" w:cs="Arial"/>
                <w:sz w:val="22"/>
                <w:szCs w:val="22"/>
                <w:lang w:val="en-US"/>
              </w:rPr>
              <w:t>Aumentar</w:t>
            </w:r>
            <w:proofErr w:type="spellEnd"/>
            <w:r w:rsidRPr="004E6429">
              <w:rPr>
                <w:rFonts w:ascii="Arial" w:hAnsi="Arial" w:cs="Arial"/>
                <w:sz w:val="22"/>
                <w:szCs w:val="22"/>
                <w:lang w:val="en-US"/>
              </w:rPr>
              <w:t xml:space="preserve"> </w:t>
            </w:r>
            <w:proofErr w:type="spellStart"/>
            <w:r w:rsidRPr="004E6429">
              <w:rPr>
                <w:rFonts w:ascii="Arial" w:hAnsi="Arial" w:cs="Arial"/>
                <w:sz w:val="22"/>
                <w:szCs w:val="22"/>
                <w:lang w:val="en-US"/>
              </w:rPr>
              <w:t>cobertura</w:t>
            </w:r>
            <w:proofErr w:type="spellEnd"/>
            <w:r w:rsidRPr="004E6429">
              <w:rPr>
                <w:rFonts w:ascii="Arial" w:hAnsi="Arial" w:cs="Arial"/>
                <w:sz w:val="22"/>
                <w:szCs w:val="22"/>
                <w:lang w:val="en-US"/>
              </w:rPr>
              <w:t xml:space="preserve">. </w:t>
            </w:r>
          </w:p>
          <w:p w:rsidR="007353C5" w:rsidRPr="004E6429" w:rsidRDefault="00EC38E3">
            <w:pPr>
              <w:jc w:val="center"/>
              <w:rPr>
                <w:rFonts w:ascii="Arial" w:hAnsi="Arial" w:cs="Arial"/>
                <w:sz w:val="22"/>
                <w:szCs w:val="22"/>
              </w:rPr>
            </w:pPr>
            <w:r w:rsidRPr="004E6429">
              <w:rPr>
                <w:rFonts w:ascii="Arial" w:hAnsi="Arial" w:cs="Arial"/>
                <w:sz w:val="22"/>
                <w:szCs w:val="22"/>
              </w:rPr>
              <w:t> </w:t>
            </w:r>
          </w:p>
        </w:tc>
        <w:tc>
          <w:tcPr>
            <w:tcW w:w="1703" w:type="dxa"/>
            <w:tcBorders>
              <w:top w:val="single" w:sz="18" w:space="0" w:color="FFFFFF"/>
              <w:left w:val="single" w:sz="18" w:space="0" w:color="FFFFFF"/>
              <w:bottom w:val="single" w:sz="18" w:space="0" w:color="FFFFFF"/>
            </w:tcBorders>
            <w:shd w:val="pct5" w:color="000000" w:fill="FFFFFF"/>
          </w:tcPr>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EC38E3">
            <w:pPr>
              <w:pStyle w:val="western"/>
              <w:spacing w:before="280" w:after="0" w:line="240" w:lineRule="auto"/>
              <w:jc w:val="center"/>
              <w:rPr>
                <w:rFonts w:ascii="Arial" w:hAnsi="Arial" w:cs="Arial"/>
              </w:rPr>
            </w:pPr>
            <w:r w:rsidRPr="004E6429">
              <w:rPr>
                <w:rFonts w:ascii="Arial" w:hAnsi="Arial" w:cs="Arial"/>
                <w:sz w:val="22"/>
                <w:szCs w:val="22"/>
              </w:rPr>
              <w:t>A partir de 2020 es una herramienta que se trabajará en planes de salud estudiantiles, lo cual implica un abordaje conjunto con las otras unidades de la Oficina</w:t>
            </w:r>
            <w:r w:rsidR="00082DB7" w:rsidRPr="004E6429">
              <w:rPr>
                <w:rFonts w:ascii="Arial" w:hAnsi="Arial" w:cs="Arial"/>
                <w:sz w:val="22"/>
                <w:szCs w:val="22"/>
              </w:rPr>
              <w:t>.</w:t>
            </w:r>
          </w:p>
          <w:p w:rsidR="007353C5" w:rsidRPr="004E6429" w:rsidRDefault="00EC38E3">
            <w:pPr>
              <w:jc w:val="center"/>
              <w:rPr>
                <w:rFonts w:ascii="Arial" w:hAnsi="Arial" w:cs="Arial"/>
                <w:sz w:val="22"/>
                <w:szCs w:val="22"/>
              </w:rPr>
            </w:pPr>
            <w:r w:rsidRPr="004E6429">
              <w:rPr>
                <w:rFonts w:ascii="Arial" w:hAnsi="Arial" w:cs="Arial"/>
                <w:sz w:val="22"/>
                <w:szCs w:val="22"/>
              </w:rPr>
              <w:t> </w:t>
            </w:r>
          </w:p>
        </w:tc>
      </w:tr>
      <w:tr w:rsidR="007353C5" w:rsidRPr="004E6429">
        <w:trPr>
          <w:trHeight w:val="2610"/>
        </w:trPr>
        <w:tc>
          <w:tcPr>
            <w:tcW w:w="2938" w:type="dxa"/>
            <w:tcBorders>
              <w:top w:val="single" w:sz="18" w:space="0" w:color="FFFFFF"/>
              <w:bottom w:val="single" w:sz="18" w:space="0" w:color="FFFFFF"/>
              <w:right w:val="single" w:sz="18" w:space="0" w:color="FFFFFF"/>
            </w:tcBorders>
            <w:shd w:val="pct20" w:color="000000" w:fill="FFFFFF"/>
          </w:tcPr>
          <w:p w:rsidR="007353C5" w:rsidRPr="004E6429" w:rsidRDefault="00EC38E3">
            <w:pPr>
              <w:jc w:val="center"/>
              <w:rPr>
                <w:rFonts w:ascii="Arial" w:hAnsi="Arial" w:cs="Arial"/>
                <w:sz w:val="22"/>
                <w:szCs w:val="22"/>
              </w:rPr>
            </w:pPr>
            <w:r w:rsidRPr="004E6429">
              <w:rPr>
                <w:rFonts w:ascii="Arial" w:hAnsi="Arial" w:cs="Arial"/>
                <w:sz w:val="22"/>
                <w:szCs w:val="22"/>
              </w:rPr>
              <w:t xml:space="preserve">12. Implementar programas de salud sexual y salud reproductiva integrales, oportunos y de calidad para adolescentes y jóvenes, que incluyan servicios de salud sexual y salud reproductiva amigables, con perspectiva de género, derechos humanos, intergeneracional e intercultural, y que </w:t>
            </w:r>
            <w:r w:rsidRPr="004E6429">
              <w:rPr>
                <w:rFonts w:ascii="Arial" w:hAnsi="Arial" w:cs="Arial"/>
                <w:sz w:val="22"/>
                <w:szCs w:val="22"/>
              </w:rPr>
              <w:lastRenderedPageBreak/>
              <w:t>garanticen el acceso a métodos anticonceptivos modernos, seguros y eficaces, respetando el principio de confidencialidad y privacidad, para que adolescentes y jóvenes ejerzan sus derechos sexuales y derechos reproductivos, tengan una vida sexual responsable, placentera y saludable, eviten los embarazos tempranos y los no deseados, la transmisión del VIH y otras infecciones de transmisión sexual; y tomen decisiones libres, informadas y responsables con relación a su vida sexual y reproductiva y al ejercicio de su orientación sexual.</w:t>
            </w:r>
          </w:p>
        </w:tc>
        <w:tc>
          <w:tcPr>
            <w:tcW w:w="2146" w:type="dxa"/>
            <w:tcBorders>
              <w:top w:val="single" w:sz="18" w:space="0" w:color="FFFFFF"/>
              <w:left w:val="single" w:sz="18" w:space="0" w:color="FFFFFF"/>
              <w:bottom w:val="single" w:sz="18" w:space="0" w:color="FFFFFF"/>
              <w:right w:val="single" w:sz="18" w:space="0" w:color="FFFFFF"/>
            </w:tcBorders>
            <w:shd w:val="pct20" w:color="000000" w:fill="FFFFFF"/>
          </w:tcPr>
          <w:p w:rsidR="007353C5" w:rsidRPr="004E6429" w:rsidRDefault="00EC38E3">
            <w:pPr>
              <w:pStyle w:val="western"/>
              <w:spacing w:after="0"/>
              <w:jc w:val="center"/>
              <w:rPr>
                <w:rFonts w:ascii="Arial" w:hAnsi="Arial" w:cs="Arial"/>
                <w:sz w:val="22"/>
                <w:szCs w:val="22"/>
              </w:rPr>
            </w:pPr>
            <w:r w:rsidRPr="004E6429">
              <w:rPr>
                <w:rFonts w:ascii="Arial" w:hAnsi="Arial" w:cs="Arial"/>
                <w:sz w:val="22"/>
                <w:szCs w:val="22"/>
              </w:rPr>
              <w:lastRenderedPageBreak/>
              <w:t xml:space="preserve">Se cuenta con programas como: Programa de detección de cáncer de mama y cérvix, Programa de detección de VIH y de detección de ITS, catálogo amplio de pruebas para VIH e ITS por </w:t>
            </w:r>
            <w:r w:rsidRPr="004E6429">
              <w:rPr>
                <w:rFonts w:ascii="Arial" w:hAnsi="Arial" w:cs="Arial"/>
                <w:sz w:val="22"/>
                <w:szCs w:val="22"/>
              </w:rPr>
              <w:lastRenderedPageBreak/>
              <w:t xml:space="preserve">parte de Laboratorio Clínico UCR con los programas respectivos para abordaje de resultados. Programa de salud integral a la población masculina y femenina. Se garantiza el acceso a toda la población independientemente de su orientación sexual, con un enfoque integral. </w:t>
            </w:r>
          </w:p>
          <w:p w:rsidR="007353C5" w:rsidRPr="004E6429" w:rsidRDefault="00EC38E3">
            <w:pPr>
              <w:pStyle w:val="western"/>
              <w:spacing w:before="280"/>
              <w:jc w:val="center"/>
              <w:rPr>
                <w:rFonts w:ascii="Arial" w:hAnsi="Arial" w:cs="Arial"/>
                <w:sz w:val="22"/>
                <w:szCs w:val="22"/>
              </w:rPr>
            </w:pPr>
            <w:r w:rsidRPr="004E6429">
              <w:rPr>
                <w:rFonts w:ascii="Arial" w:hAnsi="Arial" w:cs="Arial"/>
                <w:sz w:val="22"/>
                <w:szCs w:val="22"/>
              </w:rPr>
              <w:t>Se brinda consulta de salud reproductiva.  </w:t>
            </w:r>
          </w:p>
        </w:tc>
        <w:tc>
          <w:tcPr>
            <w:tcW w:w="2268" w:type="dxa"/>
            <w:tcBorders>
              <w:top w:val="single" w:sz="18" w:space="0" w:color="FFFFFF"/>
              <w:left w:val="single" w:sz="18" w:space="0" w:color="FFFFFF"/>
              <w:bottom w:val="single" w:sz="18" w:space="0" w:color="FFFFFF"/>
              <w:right w:val="single" w:sz="18" w:space="0" w:color="FFFFFF"/>
            </w:tcBorders>
            <w:shd w:val="pct20" w:color="000000" w:fill="FFFFFF"/>
          </w:tcPr>
          <w:p w:rsidR="007353C5" w:rsidRPr="004E6429" w:rsidRDefault="00EC38E3">
            <w:pPr>
              <w:pStyle w:val="western"/>
              <w:jc w:val="center"/>
              <w:rPr>
                <w:rFonts w:ascii="Arial" w:hAnsi="Arial" w:cs="Arial"/>
              </w:rPr>
            </w:pPr>
            <w:r w:rsidRPr="004E6429">
              <w:rPr>
                <w:rFonts w:ascii="Arial" w:hAnsi="Arial" w:cs="Arial"/>
                <w:sz w:val="22"/>
                <w:szCs w:val="22"/>
              </w:rPr>
              <w:lastRenderedPageBreak/>
              <w:t> Aumentar la cobertura.</w:t>
            </w:r>
          </w:p>
        </w:tc>
        <w:tc>
          <w:tcPr>
            <w:tcW w:w="1703" w:type="dxa"/>
            <w:tcBorders>
              <w:top w:val="single" w:sz="18" w:space="0" w:color="FFFFFF"/>
              <w:left w:val="single" w:sz="18" w:space="0" w:color="FFFFFF"/>
              <w:bottom w:val="single" w:sz="18" w:space="0" w:color="FFFFFF"/>
            </w:tcBorders>
            <w:shd w:val="pct20" w:color="000000" w:fill="FFFFFF"/>
          </w:tcPr>
          <w:p w:rsidR="007353C5" w:rsidRPr="004E6429" w:rsidRDefault="00EC38E3">
            <w:pPr>
              <w:jc w:val="center"/>
              <w:rPr>
                <w:rFonts w:ascii="Arial" w:hAnsi="Arial" w:cs="Arial"/>
                <w:sz w:val="22"/>
                <w:szCs w:val="22"/>
              </w:rPr>
            </w:pPr>
            <w:r w:rsidRPr="004E6429">
              <w:rPr>
                <w:rFonts w:ascii="Arial" w:hAnsi="Arial" w:cs="Arial"/>
                <w:sz w:val="22"/>
                <w:szCs w:val="22"/>
              </w:rPr>
              <w:t> </w:t>
            </w:r>
          </w:p>
        </w:tc>
      </w:tr>
      <w:tr w:rsidR="007353C5" w:rsidRPr="004E6429">
        <w:trPr>
          <w:trHeight w:val="580"/>
        </w:trPr>
        <w:tc>
          <w:tcPr>
            <w:tcW w:w="2938" w:type="dxa"/>
            <w:tcBorders>
              <w:top w:val="single" w:sz="18" w:space="0" w:color="FFFFFF"/>
              <w:bottom w:val="single" w:sz="18" w:space="0" w:color="FFFFFF"/>
              <w:right w:val="single" w:sz="18" w:space="0" w:color="FFFFFF"/>
            </w:tcBorders>
            <w:shd w:val="pct5" w:color="000000" w:fill="FFFFFF"/>
          </w:tcPr>
          <w:p w:rsidR="007353C5" w:rsidRPr="004E6429" w:rsidRDefault="00EC38E3">
            <w:pPr>
              <w:jc w:val="center"/>
              <w:rPr>
                <w:rFonts w:ascii="Arial" w:hAnsi="Arial" w:cs="Arial"/>
                <w:sz w:val="22"/>
                <w:szCs w:val="22"/>
              </w:rPr>
            </w:pPr>
            <w:r w:rsidRPr="004E6429">
              <w:rPr>
                <w:rFonts w:ascii="Arial" w:hAnsi="Arial" w:cs="Arial"/>
                <w:sz w:val="22"/>
                <w:szCs w:val="22"/>
              </w:rPr>
              <w:lastRenderedPageBreak/>
              <w:t>13. Poner en práctica o fortalecer políticas y programas para evitar la deserción escolar de las adolescentes embarazadas y las madres jóvenes.</w:t>
            </w:r>
          </w:p>
        </w:tc>
        <w:tc>
          <w:tcPr>
            <w:tcW w:w="2146" w:type="dxa"/>
            <w:tcBorders>
              <w:top w:val="single" w:sz="18" w:space="0" w:color="FFFFFF"/>
              <w:left w:val="single" w:sz="18" w:space="0" w:color="FFFFFF"/>
              <w:bottom w:val="single" w:sz="18" w:space="0" w:color="FFFFFF"/>
              <w:right w:val="single" w:sz="18" w:space="0" w:color="FFFFFF"/>
            </w:tcBorders>
            <w:shd w:val="pct5" w:color="000000" w:fill="FFFFFF"/>
          </w:tcPr>
          <w:p w:rsidR="007353C5" w:rsidRPr="004E6429" w:rsidRDefault="004E6429">
            <w:pPr>
              <w:jc w:val="center"/>
              <w:rPr>
                <w:rFonts w:ascii="Arial" w:hAnsi="Arial" w:cs="Arial"/>
                <w:sz w:val="22"/>
                <w:szCs w:val="22"/>
              </w:rPr>
            </w:pPr>
            <w:r w:rsidRPr="004E6429">
              <w:rPr>
                <w:rFonts w:ascii="Arial" w:hAnsi="Arial" w:cs="Arial"/>
                <w:sz w:val="22"/>
                <w:szCs w:val="22"/>
              </w:rPr>
              <w:t>A través de proyectos de Trabajo Comunal Universitario, estudiantes universitarios participan en tutorías con estudiantes de educación primaria y secundaria, las cuales contribuyen a disminuir las disparidades de adolescentes embarazadas y madres jóvenes.</w:t>
            </w:r>
            <w:r w:rsidR="00EC38E3" w:rsidRPr="004E6429">
              <w:rPr>
                <w:rFonts w:ascii="Arial" w:hAnsi="Arial" w:cs="Arial"/>
                <w:sz w:val="22"/>
                <w:szCs w:val="22"/>
              </w:rPr>
              <w:t> </w:t>
            </w:r>
          </w:p>
        </w:tc>
        <w:tc>
          <w:tcPr>
            <w:tcW w:w="2268" w:type="dxa"/>
            <w:tcBorders>
              <w:top w:val="single" w:sz="18" w:space="0" w:color="FFFFFF"/>
              <w:left w:val="single" w:sz="18" w:space="0" w:color="FFFFFF"/>
              <w:bottom w:val="single" w:sz="18" w:space="0" w:color="FFFFFF"/>
              <w:right w:val="single" w:sz="18" w:space="0" w:color="FFFFFF"/>
            </w:tcBorders>
            <w:shd w:val="pct5" w:color="000000" w:fill="FFFFFF"/>
          </w:tcPr>
          <w:p w:rsidR="007353C5" w:rsidRPr="004E6429" w:rsidRDefault="004E6429">
            <w:pPr>
              <w:jc w:val="center"/>
              <w:rPr>
                <w:rFonts w:ascii="Arial" w:hAnsi="Arial" w:cs="Arial"/>
                <w:sz w:val="22"/>
                <w:szCs w:val="22"/>
              </w:rPr>
            </w:pPr>
            <w:r w:rsidRPr="004E6429">
              <w:rPr>
                <w:rFonts w:ascii="Arial" w:hAnsi="Arial" w:cs="Arial"/>
                <w:sz w:val="22"/>
                <w:szCs w:val="22"/>
              </w:rPr>
              <w:t>Aumentar cobertura.</w:t>
            </w:r>
            <w:r w:rsidR="00EC38E3" w:rsidRPr="004E6429">
              <w:rPr>
                <w:rFonts w:ascii="Arial" w:hAnsi="Arial" w:cs="Arial"/>
                <w:sz w:val="22"/>
                <w:szCs w:val="22"/>
              </w:rPr>
              <w:t> </w:t>
            </w:r>
          </w:p>
        </w:tc>
        <w:tc>
          <w:tcPr>
            <w:tcW w:w="1703" w:type="dxa"/>
            <w:tcBorders>
              <w:top w:val="single" w:sz="18" w:space="0" w:color="FFFFFF"/>
              <w:left w:val="single" w:sz="18" w:space="0" w:color="FFFFFF"/>
              <w:bottom w:val="single" w:sz="18" w:space="0" w:color="FFFFFF"/>
            </w:tcBorders>
            <w:shd w:val="pct5" w:color="000000" w:fill="FFFFFF"/>
          </w:tcPr>
          <w:p w:rsidR="007353C5" w:rsidRPr="004E6429" w:rsidRDefault="00EC38E3">
            <w:pPr>
              <w:jc w:val="center"/>
              <w:rPr>
                <w:rFonts w:ascii="Arial" w:hAnsi="Arial" w:cs="Arial"/>
                <w:sz w:val="22"/>
                <w:szCs w:val="22"/>
              </w:rPr>
            </w:pPr>
            <w:r w:rsidRPr="004E6429">
              <w:rPr>
                <w:rFonts w:ascii="Arial" w:hAnsi="Arial" w:cs="Arial"/>
                <w:sz w:val="22"/>
                <w:szCs w:val="22"/>
              </w:rPr>
              <w:t> </w:t>
            </w:r>
          </w:p>
        </w:tc>
      </w:tr>
      <w:tr w:rsidR="007353C5" w:rsidRPr="004E6429">
        <w:trPr>
          <w:trHeight w:val="1160"/>
        </w:trPr>
        <w:tc>
          <w:tcPr>
            <w:tcW w:w="2938" w:type="dxa"/>
            <w:tcBorders>
              <w:top w:val="single" w:sz="18" w:space="0" w:color="FFFFFF"/>
              <w:bottom w:val="single" w:sz="18" w:space="0" w:color="FFFFFF"/>
              <w:right w:val="single" w:sz="18" w:space="0" w:color="FFFFFF"/>
            </w:tcBorders>
            <w:shd w:val="pct20" w:color="000000" w:fill="FFFFFF"/>
          </w:tcPr>
          <w:p w:rsidR="007353C5" w:rsidRPr="004E6429" w:rsidRDefault="00EC38E3">
            <w:pPr>
              <w:jc w:val="center"/>
              <w:rPr>
                <w:rFonts w:ascii="Arial" w:hAnsi="Arial" w:cs="Arial"/>
                <w:sz w:val="22"/>
                <w:szCs w:val="22"/>
              </w:rPr>
            </w:pPr>
            <w:r w:rsidRPr="004E6429">
              <w:rPr>
                <w:rFonts w:ascii="Arial" w:hAnsi="Arial" w:cs="Arial"/>
                <w:sz w:val="22"/>
                <w:szCs w:val="22"/>
              </w:rPr>
              <w:t xml:space="preserve">14. Dar prioridad a prevenir el embarazo en la adolescencia y eliminar el aborto inseguro, mediante la educación integral para la sexualidad, y el acceso oportuno y confidencial a la </w:t>
            </w:r>
            <w:r w:rsidRPr="004E6429">
              <w:rPr>
                <w:rFonts w:ascii="Arial" w:hAnsi="Arial" w:cs="Arial"/>
                <w:sz w:val="22"/>
                <w:szCs w:val="22"/>
              </w:rPr>
              <w:lastRenderedPageBreak/>
              <w:t>información, asesoramiento, tecnologías y servicios de calidad, incluido la anticoncepción oral de emergencia sin receta y los condones femeninos y masculinos.</w:t>
            </w:r>
          </w:p>
        </w:tc>
        <w:tc>
          <w:tcPr>
            <w:tcW w:w="2146" w:type="dxa"/>
            <w:tcBorders>
              <w:top w:val="single" w:sz="18" w:space="0" w:color="FFFFFF"/>
              <w:left w:val="single" w:sz="18" w:space="0" w:color="FFFFFF"/>
              <w:bottom w:val="single" w:sz="18" w:space="0" w:color="FFFFFF"/>
              <w:right w:val="single" w:sz="18" w:space="0" w:color="FFFFFF"/>
            </w:tcBorders>
            <w:shd w:val="pct20" w:color="000000" w:fill="FFFFFF"/>
          </w:tcPr>
          <w:p w:rsidR="007353C5" w:rsidRPr="004E6429" w:rsidRDefault="00EC38E3">
            <w:pPr>
              <w:pStyle w:val="western"/>
              <w:jc w:val="center"/>
              <w:rPr>
                <w:rFonts w:ascii="Arial" w:hAnsi="Arial" w:cs="Arial"/>
                <w:sz w:val="22"/>
                <w:szCs w:val="22"/>
              </w:rPr>
            </w:pPr>
            <w:r w:rsidRPr="004E6429">
              <w:rPr>
                <w:rFonts w:ascii="Arial" w:hAnsi="Arial" w:cs="Arial"/>
                <w:sz w:val="22"/>
                <w:szCs w:val="22"/>
              </w:rPr>
              <w:lastRenderedPageBreak/>
              <w:t xml:space="preserve">Se cuenta con el programa de sexualidad que tiene dentro de sus temáticas prevenir el embarazo en </w:t>
            </w:r>
            <w:r w:rsidRPr="004E6429">
              <w:rPr>
                <w:rFonts w:ascii="Arial" w:hAnsi="Arial" w:cs="Arial"/>
                <w:sz w:val="22"/>
                <w:szCs w:val="22"/>
              </w:rPr>
              <w:lastRenderedPageBreak/>
              <w:t xml:space="preserve">adolescencia y juventud temprana, aborto inseguro. Se actualiza a la persona joven sobre educación anticonceptiva en sus diferentes variables. </w:t>
            </w:r>
          </w:p>
        </w:tc>
        <w:tc>
          <w:tcPr>
            <w:tcW w:w="2268" w:type="dxa"/>
            <w:tcBorders>
              <w:top w:val="single" w:sz="18" w:space="0" w:color="FFFFFF"/>
              <w:left w:val="single" w:sz="18" w:space="0" w:color="FFFFFF"/>
              <w:bottom w:val="single" w:sz="18" w:space="0" w:color="FFFFFF"/>
              <w:right w:val="single" w:sz="18" w:space="0" w:color="FFFFFF"/>
            </w:tcBorders>
            <w:shd w:val="pct20" w:color="000000" w:fill="FFFFFF"/>
          </w:tcPr>
          <w:p w:rsidR="007353C5" w:rsidRPr="004E6429" w:rsidRDefault="00EC38E3">
            <w:pPr>
              <w:pStyle w:val="western"/>
              <w:jc w:val="center"/>
              <w:rPr>
                <w:rFonts w:ascii="Arial" w:hAnsi="Arial" w:cs="Arial"/>
                <w:sz w:val="22"/>
                <w:szCs w:val="22"/>
              </w:rPr>
            </w:pPr>
            <w:r w:rsidRPr="004E6429">
              <w:rPr>
                <w:rFonts w:ascii="Arial" w:hAnsi="Arial" w:cs="Arial"/>
                <w:sz w:val="22"/>
                <w:szCs w:val="22"/>
              </w:rPr>
              <w:lastRenderedPageBreak/>
              <w:t>Aumentar cobertura y ampliar enlaces. </w:t>
            </w:r>
          </w:p>
        </w:tc>
        <w:tc>
          <w:tcPr>
            <w:tcW w:w="1703" w:type="dxa"/>
            <w:tcBorders>
              <w:top w:val="single" w:sz="18" w:space="0" w:color="FFFFFF"/>
              <w:left w:val="single" w:sz="18" w:space="0" w:color="FFFFFF"/>
              <w:bottom w:val="single" w:sz="18" w:space="0" w:color="FFFFFF"/>
            </w:tcBorders>
            <w:shd w:val="pct20" w:color="000000" w:fill="FFFFFF"/>
          </w:tcPr>
          <w:p w:rsidR="007353C5" w:rsidRPr="004E6429" w:rsidRDefault="00EC38E3">
            <w:pPr>
              <w:jc w:val="center"/>
              <w:rPr>
                <w:rFonts w:ascii="Arial" w:hAnsi="Arial" w:cs="Arial"/>
                <w:sz w:val="22"/>
                <w:szCs w:val="22"/>
              </w:rPr>
            </w:pPr>
            <w:r w:rsidRPr="004E6429">
              <w:rPr>
                <w:rFonts w:ascii="Arial" w:hAnsi="Arial" w:cs="Arial"/>
                <w:sz w:val="22"/>
                <w:szCs w:val="22"/>
              </w:rPr>
              <w:t> </w:t>
            </w:r>
          </w:p>
        </w:tc>
      </w:tr>
      <w:tr w:rsidR="007353C5" w:rsidRPr="004E6429">
        <w:trPr>
          <w:trHeight w:val="870"/>
        </w:trPr>
        <w:tc>
          <w:tcPr>
            <w:tcW w:w="2938" w:type="dxa"/>
            <w:tcBorders>
              <w:top w:val="single" w:sz="18" w:space="0" w:color="FFFFFF"/>
              <w:bottom w:val="single" w:sz="18" w:space="0" w:color="FFFFFF"/>
              <w:right w:val="single" w:sz="18" w:space="0" w:color="FFFFFF"/>
            </w:tcBorders>
            <w:shd w:val="pct5" w:color="000000" w:fill="FFFFFF"/>
          </w:tcPr>
          <w:p w:rsidR="007353C5" w:rsidRPr="004E6429" w:rsidRDefault="00EC38E3">
            <w:pPr>
              <w:jc w:val="center"/>
              <w:rPr>
                <w:rFonts w:ascii="Arial" w:hAnsi="Arial" w:cs="Arial"/>
                <w:sz w:val="22"/>
                <w:szCs w:val="22"/>
              </w:rPr>
            </w:pPr>
            <w:r w:rsidRPr="004E6429">
              <w:rPr>
                <w:rFonts w:ascii="Arial" w:hAnsi="Arial" w:cs="Arial"/>
                <w:sz w:val="22"/>
                <w:szCs w:val="22"/>
              </w:rPr>
              <w:lastRenderedPageBreak/>
              <w:t>15. Diseñar estrategias intersectoriales dirigidas a ayudar a las mujeres a prevenir el embarazo subsiguiente en la adolescencia, incluida la atención prenatal, del parto y posparto, el acceso a métodos anticonceptivos, a las acciones de protección y asistencia y a la justicia.</w:t>
            </w:r>
          </w:p>
        </w:tc>
        <w:tc>
          <w:tcPr>
            <w:tcW w:w="2146" w:type="dxa"/>
            <w:tcBorders>
              <w:top w:val="single" w:sz="18" w:space="0" w:color="FFFFFF"/>
              <w:left w:val="single" w:sz="18" w:space="0" w:color="FFFFFF"/>
              <w:bottom w:val="single" w:sz="18" w:space="0" w:color="FFFFFF"/>
              <w:right w:val="single" w:sz="18" w:space="0" w:color="FFFFFF"/>
            </w:tcBorders>
            <w:shd w:val="pct5" w:color="000000" w:fill="FFFFFF"/>
          </w:tcPr>
          <w:p w:rsidR="007353C5" w:rsidRPr="004E6429" w:rsidRDefault="00EC38E3">
            <w:pPr>
              <w:pStyle w:val="western"/>
              <w:spacing w:after="0" w:line="240" w:lineRule="auto"/>
              <w:jc w:val="center"/>
              <w:rPr>
                <w:rFonts w:ascii="Arial" w:hAnsi="Arial" w:cs="Arial"/>
              </w:rPr>
            </w:pPr>
            <w:r w:rsidRPr="004E6429">
              <w:rPr>
                <w:rFonts w:ascii="Arial" w:hAnsi="Arial" w:cs="Arial"/>
                <w:sz w:val="22"/>
                <w:szCs w:val="22"/>
              </w:rPr>
              <w:t>La Oficina de Bienestar y Salud (</w:t>
            </w:r>
            <w:proofErr w:type="gramStart"/>
            <w:r w:rsidRPr="004E6429">
              <w:rPr>
                <w:rFonts w:ascii="Arial" w:hAnsi="Arial" w:cs="Arial"/>
                <w:sz w:val="22"/>
                <w:szCs w:val="22"/>
              </w:rPr>
              <w:t>OBS)  cuenta</w:t>
            </w:r>
            <w:proofErr w:type="gramEnd"/>
            <w:r w:rsidRPr="004E6429">
              <w:rPr>
                <w:rFonts w:ascii="Arial" w:hAnsi="Arial" w:cs="Arial"/>
                <w:sz w:val="22"/>
                <w:szCs w:val="22"/>
              </w:rPr>
              <w:t xml:space="preserve"> con una  estrategia educativa en prevención de embarazo en adolescencia y juventud temprana. Se ofrece el programa atencional de control prenatal y posparto. Se brinda semestralmente el curso de Preparación </w:t>
            </w:r>
            <w:proofErr w:type="spellStart"/>
            <w:r w:rsidRPr="004E6429">
              <w:rPr>
                <w:rFonts w:ascii="Arial" w:hAnsi="Arial" w:cs="Arial"/>
                <w:sz w:val="22"/>
                <w:szCs w:val="22"/>
              </w:rPr>
              <w:t>psicoprofiláctica</w:t>
            </w:r>
            <w:proofErr w:type="spellEnd"/>
            <w:r w:rsidRPr="004E6429">
              <w:rPr>
                <w:rFonts w:ascii="Arial" w:hAnsi="Arial" w:cs="Arial"/>
                <w:sz w:val="22"/>
                <w:szCs w:val="22"/>
              </w:rPr>
              <w:t xml:space="preserve"> para embarazo, parto y posparto en conjunto con otras unidades de la Universidad.  </w:t>
            </w:r>
          </w:p>
          <w:p w:rsidR="007353C5" w:rsidRPr="004E6429" w:rsidRDefault="00EC38E3">
            <w:pPr>
              <w:jc w:val="center"/>
              <w:rPr>
                <w:rFonts w:ascii="Arial" w:hAnsi="Arial" w:cs="Arial"/>
                <w:sz w:val="22"/>
                <w:szCs w:val="22"/>
              </w:rPr>
            </w:pPr>
            <w:r w:rsidRPr="004E6429">
              <w:rPr>
                <w:rFonts w:ascii="Arial" w:hAnsi="Arial" w:cs="Arial"/>
                <w:sz w:val="22"/>
                <w:szCs w:val="22"/>
              </w:rPr>
              <w:t> </w:t>
            </w:r>
          </w:p>
        </w:tc>
        <w:tc>
          <w:tcPr>
            <w:tcW w:w="2268" w:type="dxa"/>
            <w:tcBorders>
              <w:top w:val="single" w:sz="18" w:space="0" w:color="FFFFFF"/>
              <w:left w:val="single" w:sz="18" w:space="0" w:color="FFFFFF"/>
              <w:bottom w:val="single" w:sz="18" w:space="0" w:color="FFFFFF"/>
              <w:right w:val="single" w:sz="18" w:space="0" w:color="FFFFFF"/>
            </w:tcBorders>
            <w:shd w:val="pct5" w:color="000000" w:fill="FFFFFF"/>
          </w:tcPr>
          <w:p w:rsidR="007353C5" w:rsidRPr="004E6429" w:rsidRDefault="00EC38E3">
            <w:pPr>
              <w:pStyle w:val="western"/>
              <w:spacing w:after="0" w:line="240" w:lineRule="auto"/>
              <w:jc w:val="center"/>
              <w:rPr>
                <w:rFonts w:ascii="Arial" w:hAnsi="Arial" w:cs="Arial"/>
              </w:rPr>
            </w:pPr>
            <w:r w:rsidRPr="004E6429">
              <w:rPr>
                <w:rFonts w:ascii="Arial" w:hAnsi="Arial" w:cs="Arial"/>
                <w:sz w:val="22"/>
                <w:szCs w:val="22"/>
              </w:rPr>
              <w:t> Fortalecimiento de los mismos y aumento de cobertura.</w:t>
            </w:r>
          </w:p>
          <w:p w:rsidR="007353C5" w:rsidRPr="004E6429" w:rsidRDefault="00EC38E3">
            <w:pPr>
              <w:jc w:val="center"/>
              <w:rPr>
                <w:rFonts w:ascii="Arial" w:hAnsi="Arial" w:cs="Arial"/>
                <w:sz w:val="22"/>
                <w:szCs w:val="22"/>
              </w:rPr>
            </w:pPr>
            <w:r w:rsidRPr="004E6429">
              <w:rPr>
                <w:rFonts w:ascii="Arial" w:hAnsi="Arial" w:cs="Arial"/>
                <w:sz w:val="22"/>
                <w:szCs w:val="22"/>
              </w:rPr>
              <w:t> </w:t>
            </w:r>
          </w:p>
        </w:tc>
        <w:tc>
          <w:tcPr>
            <w:tcW w:w="1703" w:type="dxa"/>
            <w:tcBorders>
              <w:top w:val="single" w:sz="18" w:space="0" w:color="FFFFFF"/>
              <w:left w:val="single" w:sz="18" w:space="0" w:color="FFFFFF"/>
              <w:bottom w:val="single" w:sz="18" w:space="0" w:color="FFFFFF"/>
            </w:tcBorders>
            <w:shd w:val="pct5" w:color="000000" w:fill="FFFFFF"/>
          </w:tcPr>
          <w:p w:rsidR="007353C5" w:rsidRPr="004E6429" w:rsidRDefault="00EC38E3">
            <w:pPr>
              <w:jc w:val="center"/>
              <w:rPr>
                <w:rFonts w:ascii="Arial" w:hAnsi="Arial" w:cs="Arial"/>
                <w:sz w:val="22"/>
                <w:szCs w:val="22"/>
              </w:rPr>
            </w:pPr>
            <w:r w:rsidRPr="004E6429">
              <w:rPr>
                <w:rFonts w:ascii="Arial" w:hAnsi="Arial" w:cs="Arial"/>
                <w:sz w:val="22"/>
                <w:szCs w:val="22"/>
              </w:rPr>
              <w:t> </w:t>
            </w:r>
          </w:p>
        </w:tc>
      </w:tr>
      <w:tr w:rsidR="007353C5" w:rsidRPr="004E6429">
        <w:trPr>
          <w:trHeight w:val="1740"/>
        </w:trPr>
        <w:tc>
          <w:tcPr>
            <w:tcW w:w="2938" w:type="dxa"/>
            <w:tcBorders>
              <w:top w:val="single" w:sz="18" w:space="0" w:color="FFFFFF"/>
              <w:bottom w:val="single" w:sz="18" w:space="0" w:color="FFFFFF"/>
              <w:right w:val="single" w:sz="18" w:space="0" w:color="FFFFFF"/>
            </w:tcBorders>
            <w:shd w:val="pct20" w:color="000000" w:fill="FFFFFF"/>
          </w:tcPr>
          <w:p w:rsidR="007353C5" w:rsidRPr="004E6429" w:rsidRDefault="00EC38E3">
            <w:pPr>
              <w:jc w:val="center"/>
              <w:rPr>
                <w:rFonts w:ascii="Arial" w:hAnsi="Arial" w:cs="Arial"/>
                <w:sz w:val="22"/>
                <w:szCs w:val="22"/>
              </w:rPr>
            </w:pPr>
            <w:r w:rsidRPr="004E6429">
              <w:rPr>
                <w:rFonts w:ascii="Arial" w:hAnsi="Arial" w:cs="Arial"/>
                <w:sz w:val="22"/>
                <w:szCs w:val="22"/>
              </w:rPr>
              <w:t xml:space="preserve">16. Garantizar a niños, niñas, adolescentes y jóvenes las oportunidades y capacidades para una sana convivencia y una vida libre de violencia, mediante estrategias intersectoriales que incluyan actuar sobre los determinantes que dificultan la convivencia y promueven la violencia, que brinden una formación </w:t>
            </w:r>
            <w:r w:rsidRPr="004E6429">
              <w:rPr>
                <w:rFonts w:ascii="Arial" w:hAnsi="Arial" w:cs="Arial"/>
                <w:sz w:val="22"/>
                <w:szCs w:val="22"/>
              </w:rPr>
              <w:lastRenderedPageBreak/>
              <w:t>que promueva la tolerancia y el aprecio por las diferencias, el respeto mutuo y de los derechos humanos, la resolución de conflictos y la paz desde la primera infancia, y aseguren la protección y el acceso oportuno a la justicia de las víctimas y la reparación del daño.</w:t>
            </w:r>
          </w:p>
        </w:tc>
        <w:tc>
          <w:tcPr>
            <w:tcW w:w="2146" w:type="dxa"/>
            <w:tcBorders>
              <w:top w:val="single" w:sz="18" w:space="0" w:color="FFFFFF"/>
              <w:left w:val="single" w:sz="18" w:space="0" w:color="FFFFFF"/>
              <w:bottom w:val="single" w:sz="18" w:space="0" w:color="FFFFFF"/>
              <w:right w:val="single" w:sz="18" w:space="0" w:color="FFFFFF"/>
            </w:tcBorders>
            <w:shd w:val="pct20" w:color="000000" w:fill="FFFFFF"/>
          </w:tcPr>
          <w:p w:rsidR="007353C5" w:rsidRPr="004E6429" w:rsidRDefault="00EC38E3">
            <w:pPr>
              <w:jc w:val="center"/>
              <w:rPr>
                <w:rFonts w:ascii="Arial" w:hAnsi="Arial" w:cs="Arial"/>
              </w:rPr>
            </w:pPr>
            <w:r w:rsidRPr="004E6429">
              <w:rPr>
                <w:rFonts w:ascii="Arial" w:hAnsi="Arial" w:cs="Arial"/>
                <w:sz w:val="22"/>
                <w:szCs w:val="22"/>
              </w:rPr>
              <w:lastRenderedPageBreak/>
              <w:t xml:space="preserve">  La Universidad de Costa Rica, a través de la Casa Infantil Universitaria, favorece el contexto para la inclusión de los niños y las niñas en lazos sociales de convivencia con otros infantes y personas adultas, bajo el principio de la tolerancia mutua </w:t>
            </w:r>
            <w:r w:rsidRPr="004E6429">
              <w:rPr>
                <w:rFonts w:ascii="Arial" w:hAnsi="Arial" w:cs="Arial"/>
                <w:sz w:val="22"/>
                <w:szCs w:val="22"/>
              </w:rPr>
              <w:lastRenderedPageBreak/>
              <w:t>y el respeto de los derechos.</w:t>
            </w: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EC38E3">
            <w:pPr>
              <w:jc w:val="center"/>
              <w:rPr>
                <w:rFonts w:ascii="Arial" w:hAnsi="Arial" w:cs="Arial"/>
              </w:rPr>
            </w:pPr>
            <w:r w:rsidRPr="004E6429">
              <w:rPr>
                <w:rFonts w:ascii="Arial" w:hAnsi="Arial" w:cs="Arial"/>
                <w:sz w:val="22"/>
                <w:szCs w:val="22"/>
              </w:rPr>
              <w:t>Se desarrollan 63 programas deportivos, recreativos y artísticos que favorecen y motivan a los estudiantes a continuar estudiando, promoviendo valores como el liderazgo, responsabilidad disciplina, la solidaridad, la cooperación y el trabajo en equipo.</w:t>
            </w: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EC38E3">
            <w:pPr>
              <w:jc w:val="center"/>
              <w:rPr>
                <w:rFonts w:ascii="Arial" w:hAnsi="Arial" w:cs="Arial"/>
              </w:rPr>
            </w:pPr>
            <w:r w:rsidRPr="004E6429">
              <w:rPr>
                <w:rFonts w:ascii="Arial" w:hAnsi="Arial" w:cs="Arial"/>
                <w:sz w:val="22"/>
                <w:szCs w:val="22"/>
              </w:rPr>
              <w:t>Se desarrollan con los estudiantes talleres y convivios para desarrollar las temáticas de habilidades para la vida para una convivencia armoniosa conmigo y con los demás.  Estos se coordinan de manera intersectorial desde CONARE con el resto de Universidades Estatales.</w:t>
            </w: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EC38E3">
            <w:pPr>
              <w:pStyle w:val="western"/>
              <w:spacing w:before="280" w:after="0" w:line="240" w:lineRule="auto"/>
              <w:jc w:val="center"/>
              <w:rPr>
                <w:rFonts w:ascii="Arial" w:hAnsi="Arial" w:cs="Arial"/>
              </w:rPr>
            </w:pPr>
            <w:r w:rsidRPr="004E6429">
              <w:rPr>
                <w:rFonts w:ascii="Arial" w:hAnsi="Arial" w:cs="Arial"/>
                <w:sz w:val="22"/>
                <w:szCs w:val="22"/>
              </w:rPr>
              <w:t xml:space="preserve">Se realizan talleres que promuevan la   salud mental donde se fomenta la tolerancia, respeto, resolución de </w:t>
            </w:r>
            <w:r w:rsidRPr="004E6429">
              <w:rPr>
                <w:rFonts w:ascii="Arial" w:hAnsi="Arial" w:cs="Arial"/>
                <w:sz w:val="22"/>
                <w:szCs w:val="22"/>
              </w:rPr>
              <w:lastRenderedPageBreak/>
              <w:t>conflictos y vías para canalizar situaciones que se consideran injustas. Se cuenta con vínculos en grupos cautivos como residencias estudiantiles para colaborar en estrategias de intervención y de apoyo educativo.</w:t>
            </w:r>
          </w:p>
          <w:p w:rsidR="007353C5" w:rsidRPr="004E6429" w:rsidRDefault="007353C5">
            <w:pPr>
              <w:jc w:val="center"/>
              <w:rPr>
                <w:rFonts w:ascii="Arial" w:hAnsi="Arial" w:cs="Arial"/>
                <w:sz w:val="22"/>
                <w:szCs w:val="22"/>
                <w:lang w:val="es-ES"/>
              </w:rPr>
            </w:pPr>
          </w:p>
        </w:tc>
        <w:tc>
          <w:tcPr>
            <w:tcW w:w="2268" w:type="dxa"/>
            <w:tcBorders>
              <w:top w:val="single" w:sz="18" w:space="0" w:color="FFFFFF"/>
              <w:left w:val="single" w:sz="18" w:space="0" w:color="FFFFFF"/>
              <w:bottom w:val="single" w:sz="18" w:space="0" w:color="FFFFFF"/>
              <w:right w:val="single" w:sz="18" w:space="0" w:color="FFFFFF"/>
            </w:tcBorders>
            <w:shd w:val="pct20" w:color="000000" w:fill="FFFFFF"/>
          </w:tcPr>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EC38E3">
            <w:pPr>
              <w:jc w:val="center"/>
              <w:rPr>
                <w:rFonts w:ascii="Arial" w:hAnsi="Arial" w:cs="Arial"/>
              </w:rPr>
            </w:pPr>
            <w:r w:rsidRPr="004E6429">
              <w:rPr>
                <w:rFonts w:ascii="Arial" w:hAnsi="Arial" w:cs="Arial"/>
                <w:sz w:val="22"/>
                <w:szCs w:val="22"/>
              </w:rPr>
              <w:t> Aumento de cobertura y presupuesto.</w:t>
            </w: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EC38E3">
            <w:pPr>
              <w:jc w:val="center"/>
              <w:rPr>
                <w:rFonts w:ascii="Arial" w:hAnsi="Arial" w:cs="Arial"/>
                <w:sz w:val="22"/>
                <w:szCs w:val="22"/>
              </w:rPr>
            </w:pPr>
            <w:r w:rsidRPr="004E6429">
              <w:rPr>
                <w:rFonts w:ascii="Arial" w:hAnsi="Arial" w:cs="Arial"/>
                <w:sz w:val="22"/>
                <w:szCs w:val="22"/>
              </w:rPr>
              <w:t>Aumentar cobertura y presupuesto. </w:t>
            </w: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7353C5">
            <w:pPr>
              <w:jc w:val="center"/>
              <w:rPr>
                <w:rFonts w:ascii="Arial" w:hAnsi="Arial" w:cs="Arial"/>
                <w:sz w:val="22"/>
                <w:szCs w:val="22"/>
              </w:rPr>
            </w:pPr>
          </w:p>
          <w:p w:rsidR="007353C5" w:rsidRPr="004E6429" w:rsidRDefault="00EC38E3">
            <w:pPr>
              <w:jc w:val="center"/>
              <w:rPr>
                <w:rFonts w:ascii="Arial" w:hAnsi="Arial" w:cs="Arial"/>
              </w:rPr>
            </w:pPr>
            <w:r w:rsidRPr="004E6429">
              <w:rPr>
                <w:rFonts w:ascii="Arial" w:hAnsi="Arial" w:cs="Arial"/>
                <w:sz w:val="22"/>
                <w:szCs w:val="22"/>
              </w:rPr>
              <w:t>Aumentar cobertura y presupuesto. </w:t>
            </w:r>
          </w:p>
        </w:tc>
        <w:tc>
          <w:tcPr>
            <w:tcW w:w="1703" w:type="dxa"/>
            <w:tcBorders>
              <w:top w:val="single" w:sz="18" w:space="0" w:color="FFFFFF"/>
              <w:left w:val="single" w:sz="18" w:space="0" w:color="FFFFFF"/>
              <w:bottom w:val="single" w:sz="18" w:space="0" w:color="FFFFFF"/>
            </w:tcBorders>
            <w:shd w:val="pct20" w:color="000000" w:fill="FFFFFF"/>
          </w:tcPr>
          <w:p w:rsidR="007353C5" w:rsidRPr="004E6429" w:rsidRDefault="00EC38E3">
            <w:pPr>
              <w:jc w:val="center"/>
              <w:rPr>
                <w:rFonts w:ascii="Arial" w:hAnsi="Arial" w:cs="Arial"/>
                <w:sz w:val="22"/>
                <w:szCs w:val="22"/>
              </w:rPr>
            </w:pPr>
            <w:r w:rsidRPr="004E6429">
              <w:rPr>
                <w:rFonts w:ascii="Arial" w:hAnsi="Arial" w:cs="Arial"/>
                <w:sz w:val="22"/>
                <w:szCs w:val="22"/>
              </w:rPr>
              <w:lastRenderedPageBreak/>
              <w:t> </w:t>
            </w:r>
          </w:p>
        </w:tc>
      </w:tr>
      <w:tr w:rsidR="007353C5" w:rsidRPr="004E6429">
        <w:trPr>
          <w:trHeight w:val="580"/>
        </w:trPr>
        <w:tc>
          <w:tcPr>
            <w:tcW w:w="2938" w:type="dxa"/>
            <w:tcBorders>
              <w:top w:val="single" w:sz="18" w:space="0" w:color="FFFFFF"/>
              <w:right w:val="single" w:sz="18" w:space="0" w:color="FFFFFF"/>
            </w:tcBorders>
            <w:shd w:val="pct5" w:color="000000" w:fill="FFFFFF"/>
          </w:tcPr>
          <w:p w:rsidR="007353C5" w:rsidRPr="004E6429" w:rsidRDefault="00EC38E3">
            <w:pPr>
              <w:jc w:val="center"/>
              <w:rPr>
                <w:rFonts w:ascii="Arial" w:hAnsi="Arial" w:cs="Arial"/>
                <w:sz w:val="22"/>
                <w:szCs w:val="22"/>
              </w:rPr>
            </w:pPr>
            <w:r w:rsidRPr="004E6429">
              <w:rPr>
                <w:rFonts w:ascii="Arial" w:hAnsi="Arial" w:cs="Arial"/>
                <w:sz w:val="22"/>
                <w:szCs w:val="22"/>
              </w:rPr>
              <w:lastRenderedPageBreak/>
              <w:t>17. Garantizar también datos estadísticos confiables, desagregados por sexo, edad, condición migratoria, raza, etnia, variables culturales y ubicación geográfica en materia de educación, salud, en particular salud sexual y salud reproductiva, empleo y participación de adolescentes y jóvenes.</w:t>
            </w:r>
          </w:p>
        </w:tc>
        <w:tc>
          <w:tcPr>
            <w:tcW w:w="2146" w:type="dxa"/>
            <w:tcBorders>
              <w:top w:val="single" w:sz="18" w:space="0" w:color="FFFFFF"/>
              <w:left w:val="single" w:sz="18" w:space="0" w:color="FFFFFF"/>
              <w:right w:val="single" w:sz="18" w:space="0" w:color="FFFFFF"/>
            </w:tcBorders>
            <w:shd w:val="pct5" w:color="000000" w:fill="FFFFFF"/>
          </w:tcPr>
          <w:p w:rsidR="007353C5" w:rsidRPr="004E6429" w:rsidRDefault="004E6429">
            <w:pPr>
              <w:jc w:val="center"/>
              <w:rPr>
                <w:rFonts w:ascii="Arial" w:hAnsi="Arial" w:cs="Arial"/>
                <w:sz w:val="22"/>
                <w:szCs w:val="22"/>
              </w:rPr>
            </w:pPr>
            <w:r w:rsidRPr="004E6429">
              <w:rPr>
                <w:rFonts w:ascii="Arial" w:hAnsi="Arial" w:cs="Arial"/>
                <w:sz w:val="22"/>
                <w:szCs w:val="22"/>
              </w:rPr>
              <w:t>Se trata en el fortalecimiento de un programa de transparencia institucional, que permitirá desagregar variables sociodemográficas de la población estudiantil.</w:t>
            </w:r>
            <w:r w:rsidR="00EC38E3" w:rsidRPr="004E6429">
              <w:rPr>
                <w:rFonts w:ascii="Arial" w:hAnsi="Arial" w:cs="Arial"/>
                <w:sz w:val="22"/>
                <w:szCs w:val="22"/>
              </w:rPr>
              <w:t> </w:t>
            </w:r>
          </w:p>
        </w:tc>
        <w:tc>
          <w:tcPr>
            <w:tcW w:w="2268" w:type="dxa"/>
            <w:tcBorders>
              <w:top w:val="single" w:sz="18" w:space="0" w:color="FFFFFF"/>
              <w:left w:val="single" w:sz="18" w:space="0" w:color="FFFFFF"/>
              <w:right w:val="single" w:sz="18" w:space="0" w:color="FFFFFF"/>
            </w:tcBorders>
            <w:shd w:val="pct5" w:color="000000" w:fill="FFFFFF"/>
          </w:tcPr>
          <w:p w:rsidR="007353C5" w:rsidRPr="004E6429" w:rsidRDefault="00EC38E3">
            <w:pPr>
              <w:jc w:val="center"/>
              <w:rPr>
                <w:rFonts w:ascii="Arial" w:hAnsi="Arial" w:cs="Arial"/>
                <w:sz w:val="22"/>
                <w:szCs w:val="22"/>
              </w:rPr>
            </w:pPr>
            <w:r w:rsidRPr="004E6429">
              <w:rPr>
                <w:rFonts w:ascii="Arial" w:hAnsi="Arial" w:cs="Arial"/>
                <w:sz w:val="22"/>
                <w:szCs w:val="22"/>
              </w:rPr>
              <w:t> </w:t>
            </w:r>
          </w:p>
        </w:tc>
        <w:tc>
          <w:tcPr>
            <w:tcW w:w="1703" w:type="dxa"/>
            <w:tcBorders>
              <w:top w:val="single" w:sz="18" w:space="0" w:color="FFFFFF"/>
              <w:left w:val="single" w:sz="18" w:space="0" w:color="FFFFFF"/>
            </w:tcBorders>
            <w:shd w:val="pct5" w:color="000000" w:fill="FFFFFF"/>
          </w:tcPr>
          <w:p w:rsidR="007353C5" w:rsidRPr="004E6429" w:rsidRDefault="00EC38E3">
            <w:pPr>
              <w:pStyle w:val="western"/>
              <w:spacing w:after="0" w:line="240" w:lineRule="auto"/>
              <w:rPr>
                <w:rFonts w:ascii="Arial" w:hAnsi="Arial" w:cs="Arial"/>
              </w:rPr>
            </w:pPr>
            <w:r w:rsidRPr="004E6429">
              <w:rPr>
                <w:rFonts w:ascii="Arial" w:hAnsi="Arial" w:cs="Arial"/>
                <w:sz w:val="22"/>
                <w:szCs w:val="22"/>
              </w:rPr>
              <w:t>Esto corres</w:t>
            </w:r>
            <w:r w:rsidR="004E6429" w:rsidRPr="004E6429">
              <w:rPr>
                <w:rFonts w:ascii="Arial" w:hAnsi="Arial" w:cs="Arial"/>
                <w:sz w:val="22"/>
                <w:szCs w:val="22"/>
              </w:rPr>
              <w:t>p</w:t>
            </w:r>
            <w:r w:rsidRPr="004E6429">
              <w:rPr>
                <w:rFonts w:ascii="Arial" w:hAnsi="Arial" w:cs="Arial"/>
                <w:sz w:val="22"/>
                <w:szCs w:val="22"/>
              </w:rPr>
              <w:t>onde a un trabajo que como Oficina de Bienestar y Salud se está planeando para realizar un diagnóstico situacional de salud de la comunidad universitaria, que se encuentra en proceso.  Es importante resaltar que los planes de salud que se desarrollan en todas las Sedes y Recintos toman en cuenta un diagnóstico situacional inicial, del cual se parte para definir estrategias de abordaje.</w:t>
            </w:r>
          </w:p>
          <w:p w:rsidR="007353C5" w:rsidRPr="004E6429" w:rsidRDefault="00EC38E3">
            <w:pPr>
              <w:jc w:val="center"/>
              <w:rPr>
                <w:rFonts w:ascii="Arial" w:hAnsi="Arial" w:cs="Arial"/>
                <w:sz w:val="22"/>
                <w:szCs w:val="22"/>
              </w:rPr>
            </w:pPr>
            <w:r w:rsidRPr="004E6429">
              <w:rPr>
                <w:rFonts w:ascii="Arial" w:hAnsi="Arial" w:cs="Arial"/>
                <w:sz w:val="22"/>
                <w:szCs w:val="22"/>
              </w:rPr>
              <w:t> </w:t>
            </w:r>
          </w:p>
        </w:tc>
      </w:tr>
    </w:tbl>
    <w:p w:rsidR="007353C5" w:rsidRPr="004E6429" w:rsidRDefault="007353C5">
      <w:pPr>
        <w:jc w:val="center"/>
        <w:rPr>
          <w:rFonts w:ascii="Arial" w:hAnsi="Arial" w:cs="Arial"/>
          <w:b/>
          <w:sz w:val="22"/>
          <w:szCs w:val="22"/>
        </w:rPr>
      </w:pPr>
    </w:p>
    <w:p w:rsidR="007353C5" w:rsidRDefault="007353C5">
      <w:pPr>
        <w:jc w:val="center"/>
        <w:rPr>
          <w:rFonts w:ascii="Calibri" w:hAnsi="Calibri" w:cs="Arial"/>
          <w:sz w:val="22"/>
          <w:szCs w:val="22"/>
        </w:rPr>
      </w:pPr>
    </w:p>
    <w:p w:rsidR="007353C5" w:rsidRDefault="007353C5">
      <w:pPr>
        <w:ind w:firstLine="284"/>
        <w:jc w:val="both"/>
      </w:pPr>
    </w:p>
    <w:sectPr w:rsidR="007353C5">
      <w:headerReference w:type="default" r:id="rId7"/>
      <w:footerReference w:type="default" r:id="rId8"/>
      <w:pgSz w:w="12240" w:h="15840"/>
      <w:pgMar w:top="1416" w:right="1701" w:bottom="1417" w:left="1701" w:header="57"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89A" w:rsidRDefault="00E7589A">
      <w:r>
        <w:separator/>
      </w:r>
    </w:p>
  </w:endnote>
  <w:endnote w:type="continuationSeparator" w:id="0">
    <w:p w:rsidR="00E7589A" w:rsidRDefault="00E7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C5" w:rsidRDefault="007353C5">
    <w:pPr>
      <w:pStyle w:val="Piedepgina"/>
      <w:pBdr>
        <w:bottom w:val="single" w:sz="12" w:space="1" w:color="000000"/>
      </w:pBdr>
      <w:jc w:val="center"/>
      <w:rPr>
        <w:rFonts w:ascii="Bookman Old Style" w:hAnsi="Bookman Old Style"/>
        <w:sz w:val="16"/>
        <w:szCs w:val="16"/>
        <w:lang w:val="es-MX"/>
      </w:rPr>
    </w:pPr>
  </w:p>
  <w:p w:rsidR="007353C5" w:rsidRDefault="00EC38E3">
    <w:pPr>
      <w:pStyle w:val="Piedepgina"/>
      <w:jc w:val="center"/>
      <w:rPr>
        <w:sz w:val="16"/>
        <w:szCs w:val="16"/>
        <w:lang w:val="es-MX"/>
      </w:rPr>
    </w:pPr>
    <w:r>
      <w:rPr>
        <w:color w:val="000000"/>
        <w:sz w:val="16"/>
        <w:szCs w:val="16"/>
      </w:rPr>
      <w:t xml:space="preserve">Área de Análisis del Desarrollo- Unidad de </w:t>
    </w:r>
    <w:proofErr w:type="spellStart"/>
    <w:r>
      <w:rPr>
        <w:color w:val="000000"/>
        <w:sz w:val="16"/>
        <w:szCs w:val="16"/>
      </w:rPr>
      <w:t>xxxx</w:t>
    </w:r>
    <w:proofErr w:type="spellEnd"/>
    <w:r>
      <w:rPr>
        <w:sz w:val="16"/>
        <w:szCs w:val="16"/>
        <w:lang w:val="es-MX"/>
      </w:rPr>
      <w:t>Teléfono 2202-8588/8516</w:t>
    </w:r>
  </w:p>
  <w:p w:rsidR="007353C5" w:rsidRDefault="00EC38E3">
    <w:pPr>
      <w:pStyle w:val="Piedepgina"/>
      <w:jc w:val="center"/>
    </w:pPr>
    <w:r>
      <w:rPr>
        <w:sz w:val="16"/>
        <w:szCs w:val="16"/>
        <w:lang w:val="es-MX"/>
      </w:rPr>
      <w:t xml:space="preserve">e-mail: </w:t>
    </w:r>
    <w:hyperlink r:id="rId1">
      <w:r>
        <w:rPr>
          <w:rStyle w:val="EnlacedeInternet"/>
          <w:sz w:val="16"/>
          <w:szCs w:val="16"/>
          <w:lang w:val="es-MX"/>
        </w:rPr>
        <w:t>analisisdesarrollo@mideplan.go.cr</w:t>
      </w:r>
    </w:hyperlink>
  </w:p>
  <w:p w:rsidR="007353C5" w:rsidRDefault="00EC38E3">
    <w:pPr>
      <w:tabs>
        <w:tab w:val="center" w:pos="4419"/>
        <w:tab w:val="right" w:pos="8838"/>
      </w:tabs>
      <w:jc w:val="center"/>
      <w:rPr>
        <w:sz w:val="16"/>
        <w:szCs w:val="16"/>
      </w:rPr>
    </w:pPr>
    <w:r>
      <w:rPr>
        <w:sz w:val="16"/>
        <w:szCs w:val="16"/>
      </w:rPr>
      <w:t xml:space="preserve">Dirección: De </w:t>
    </w:r>
    <w:proofErr w:type="spellStart"/>
    <w:r>
      <w:rPr>
        <w:sz w:val="16"/>
        <w:szCs w:val="16"/>
      </w:rPr>
      <w:t>Automercado</w:t>
    </w:r>
    <w:proofErr w:type="spellEnd"/>
    <w:r>
      <w:rPr>
        <w:sz w:val="16"/>
        <w:szCs w:val="16"/>
      </w:rPr>
      <w:t xml:space="preserve"> Los </w:t>
    </w:r>
    <w:proofErr w:type="spellStart"/>
    <w:r>
      <w:rPr>
        <w:sz w:val="16"/>
        <w:szCs w:val="16"/>
      </w:rPr>
      <w:t>Yoses</w:t>
    </w:r>
    <w:proofErr w:type="spellEnd"/>
    <w:r>
      <w:rPr>
        <w:sz w:val="16"/>
        <w:szCs w:val="16"/>
      </w:rPr>
      <w:t xml:space="preserve">, 75 este </w:t>
    </w:r>
    <w:proofErr w:type="gramStart"/>
    <w:r>
      <w:rPr>
        <w:sz w:val="16"/>
        <w:szCs w:val="16"/>
      </w:rPr>
      <w:t>y  200</w:t>
    </w:r>
    <w:proofErr w:type="gramEnd"/>
    <w:r>
      <w:rPr>
        <w:sz w:val="16"/>
        <w:szCs w:val="16"/>
      </w:rPr>
      <w:t xml:space="preserve"> norte, Edificio Adriático,</w:t>
    </w:r>
  </w:p>
  <w:p w:rsidR="007353C5" w:rsidRDefault="00EC38E3">
    <w:pPr>
      <w:pStyle w:val="Piedepgina"/>
      <w:jc w:val="center"/>
    </w:pPr>
    <w:bookmarkStart w:id="1" w:name="_heading=h.oqeclg6laa1d"/>
    <w:bookmarkEnd w:id="1"/>
    <w:r>
      <w:rPr>
        <w:sz w:val="16"/>
        <w:szCs w:val="16"/>
      </w:rPr>
      <w:t>San Pedro de Montes de Oca, Costa Rica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89A" w:rsidRDefault="00E7589A">
      <w:r>
        <w:separator/>
      </w:r>
    </w:p>
  </w:footnote>
  <w:footnote w:type="continuationSeparator" w:id="0">
    <w:p w:rsidR="00E7589A" w:rsidRDefault="00E758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C5" w:rsidRDefault="00EC38E3">
    <w:pPr>
      <w:pBdr>
        <w:bottom w:val="single" w:sz="12" w:space="1" w:color="000000"/>
      </w:pBdr>
      <w:jc w:val="both"/>
      <w:rPr>
        <w:rFonts w:ascii="Bookman Old Style" w:hAnsi="Bookman Old Style"/>
        <w:b/>
        <w:sz w:val="16"/>
        <w:szCs w:val="16"/>
      </w:rPr>
    </w:pPr>
    <w:r>
      <w:rPr>
        <w:noProof/>
        <w:lang w:val="en-US" w:eastAsia="en-US"/>
      </w:rPr>
      <w:drawing>
        <wp:inline distT="0" distB="0" distL="0" distR="0">
          <wp:extent cx="2667000" cy="828675"/>
          <wp:effectExtent l="0" t="0" r="0" b="0"/>
          <wp:docPr id="1" name="Imagen 1" descr="Logo Presidencia MIDEPLAN para el Gobierno de Bice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 Presidencia MIDEPLAN para el Gobierno de Bicentario"/>
                  <pic:cNvPicPr>
                    <a:picLocks noChangeAspect="1" noChangeArrowheads="1"/>
                  </pic:cNvPicPr>
                </pic:nvPicPr>
                <pic:blipFill>
                  <a:blip r:embed="rId1"/>
                  <a:stretch>
                    <a:fillRect/>
                  </a:stretch>
                </pic:blipFill>
                <pic:spPr bwMode="auto">
                  <a:xfrm>
                    <a:off x="0" y="0"/>
                    <a:ext cx="2667000" cy="828675"/>
                  </a:xfrm>
                  <a:prstGeom prst="rect">
                    <a:avLst/>
                  </a:prstGeom>
                </pic:spPr>
              </pic:pic>
            </a:graphicData>
          </a:graphic>
        </wp:inline>
      </w:drawing>
    </w:r>
    <w:r>
      <w:tab/>
    </w:r>
    <w:r>
      <w:tab/>
    </w:r>
  </w:p>
  <w:p w:rsidR="007353C5" w:rsidRDefault="007353C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95DD2"/>
    <w:multiLevelType w:val="multilevel"/>
    <w:tmpl w:val="271E2240"/>
    <w:lvl w:ilvl="0">
      <w:start w:val="1"/>
      <w:numFmt w:val="none"/>
      <w:pStyle w:val="Ttu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C5"/>
    <w:rsid w:val="0006320A"/>
    <w:rsid w:val="00082DB7"/>
    <w:rsid w:val="003A1FA3"/>
    <w:rsid w:val="003A7040"/>
    <w:rsid w:val="004E6429"/>
    <w:rsid w:val="007353C5"/>
    <w:rsid w:val="00AA399A"/>
    <w:rsid w:val="00C00884"/>
    <w:rsid w:val="00D973DD"/>
    <w:rsid w:val="00E7589A"/>
    <w:rsid w:val="00EC38E3"/>
    <w:rsid w:val="00F87493"/>
    <w:rsid w:val="00F931F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A5CEDC-3E1F-4BE9-A503-6C514D63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808"/>
    <w:pPr>
      <w:suppressAutoHyphens/>
    </w:pPr>
    <w:rPr>
      <w:lang w:val="es-ES_tradnl" w:eastAsia="es-CR"/>
    </w:rPr>
  </w:style>
  <w:style w:type="paragraph" w:styleId="Ttulo1">
    <w:name w:val="heading 1"/>
    <w:basedOn w:val="Normal"/>
    <w:next w:val="Normal"/>
    <w:qFormat/>
    <w:rsid w:val="00216808"/>
    <w:pPr>
      <w:keepNext/>
      <w:numPr>
        <w:numId w:val="1"/>
      </w:numPr>
      <w:jc w:val="center"/>
      <w:outlineLvl w:val="0"/>
    </w:pPr>
    <w:rPr>
      <w:rFonts w:ascii="Arial" w:hAnsi="Arial"/>
      <w:b/>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BC639D"/>
    <w:rPr>
      <w:lang w:val="es-ES_tradnl"/>
    </w:rPr>
  </w:style>
  <w:style w:type="character" w:customStyle="1" w:styleId="PiedepginaCar">
    <w:name w:val="Pie de página Car"/>
    <w:link w:val="Piedepgina"/>
    <w:uiPriority w:val="99"/>
    <w:qFormat/>
    <w:rsid w:val="00BC639D"/>
    <w:rPr>
      <w:lang w:val="es-ES_tradnl"/>
    </w:rPr>
  </w:style>
  <w:style w:type="character" w:customStyle="1" w:styleId="EnlacedeInternet">
    <w:name w:val="Enlace de Internet"/>
    <w:qFormat/>
    <w:rsid w:val="00BC639D"/>
    <w:rPr>
      <w:color w:val="000080"/>
      <w:u w:val="single"/>
    </w:rPr>
  </w:style>
  <w:style w:type="character" w:customStyle="1" w:styleId="Destacado">
    <w:name w:val="Destacado"/>
    <w:uiPriority w:val="20"/>
    <w:qFormat/>
    <w:rsid w:val="006301F9"/>
    <w:rPr>
      <w:i/>
      <w:iCs/>
    </w:rPr>
  </w:style>
  <w:style w:type="character" w:styleId="Textoennegrita">
    <w:name w:val="Strong"/>
    <w:uiPriority w:val="22"/>
    <w:qFormat/>
    <w:rsid w:val="00F815AE"/>
    <w:rPr>
      <w:b/>
      <w:bCs/>
    </w:rPr>
  </w:style>
  <w:style w:type="character" w:customStyle="1" w:styleId="SubttuloCar">
    <w:name w:val="Subtítulo Car"/>
    <w:link w:val="Subttulo"/>
    <w:qFormat/>
    <w:rsid w:val="007B1C07"/>
    <w:rPr>
      <w:rFonts w:ascii="Georgia" w:eastAsia="Georgia" w:hAnsi="Georgia" w:cs="Georgia"/>
      <w:i/>
      <w:color w:val="666666"/>
      <w:sz w:val="48"/>
      <w:szCs w:val="48"/>
    </w:rPr>
  </w:style>
  <w:style w:type="character" w:customStyle="1" w:styleId="tl8wme">
    <w:name w:val="tl8wme"/>
    <w:qFormat/>
    <w:rsid w:val="00094E98"/>
  </w:style>
  <w:style w:type="character" w:customStyle="1" w:styleId="TextodegloboCar">
    <w:name w:val="Texto de globo Car"/>
    <w:basedOn w:val="Fuentedeprrafopredeter"/>
    <w:link w:val="Textodeglobo"/>
    <w:qFormat/>
    <w:rsid w:val="00586A02"/>
    <w:rPr>
      <w:rFonts w:ascii="Tahoma" w:hAnsi="Tahoma" w:cs="Tahoma"/>
      <w:sz w:val="16"/>
      <w:szCs w:val="16"/>
      <w:lang w:val="es-ES_tradnl" w:eastAsia="es-CR"/>
    </w:rPr>
  </w:style>
  <w:style w:type="character" w:customStyle="1" w:styleId="ListLabel1">
    <w:name w:val="ListLabel 1"/>
    <w:qFormat/>
    <w:rPr>
      <w:sz w:val="16"/>
      <w:szCs w:val="16"/>
      <w:lang w:val="es-MX"/>
    </w:rPr>
  </w:style>
  <w:style w:type="character" w:customStyle="1" w:styleId="ListLabel2">
    <w:name w:val="ListLabel 2"/>
    <w:qFormat/>
    <w:rPr>
      <w:sz w:val="16"/>
      <w:szCs w:val="16"/>
      <w:lang w:val="es-MX"/>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angradetextonormal">
    <w:name w:val="Body Text Indent"/>
    <w:basedOn w:val="Normal"/>
    <w:rsid w:val="00216808"/>
    <w:pPr>
      <w:ind w:left="3960" w:firstLine="1"/>
      <w:jc w:val="both"/>
    </w:pPr>
    <w:rPr>
      <w:rFonts w:ascii="Arial" w:hAnsi="Arial"/>
      <w:sz w:val="24"/>
      <w:lang w:val="es-ES"/>
    </w:rPr>
  </w:style>
  <w:style w:type="paragraph" w:customStyle="1" w:styleId="Cabeceraypie">
    <w:name w:val="Cabecera y pie"/>
    <w:basedOn w:val="Normal"/>
    <w:qFormat/>
  </w:style>
  <w:style w:type="paragraph" w:styleId="Encabezado">
    <w:name w:val="header"/>
    <w:basedOn w:val="Normal"/>
    <w:link w:val="EncabezadoCar"/>
    <w:uiPriority w:val="99"/>
    <w:rsid w:val="00BC639D"/>
    <w:pPr>
      <w:tabs>
        <w:tab w:val="center" w:pos="4419"/>
        <w:tab w:val="right" w:pos="8838"/>
      </w:tabs>
    </w:pPr>
  </w:style>
  <w:style w:type="paragraph" w:styleId="Piedepgina">
    <w:name w:val="footer"/>
    <w:basedOn w:val="Normal"/>
    <w:link w:val="PiedepginaCar"/>
    <w:uiPriority w:val="99"/>
    <w:rsid w:val="00BC639D"/>
    <w:pPr>
      <w:tabs>
        <w:tab w:val="center" w:pos="4419"/>
        <w:tab w:val="right" w:pos="8838"/>
      </w:tabs>
    </w:pPr>
  </w:style>
  <w:style w:type="paragraph" w:styleId="NormalWeb">
    <w:name w:val="Normal (Web)"/>
    <w:basedOn w:val="Normal"/>
    <w:uiPriority w:val="99"/>
    <w:unhideWhenUsed/>
    <w:qFormat/>
    <w:rsid w:val="006301F9"/>
    <w:pPr>
      <w:suppressAutoHyphens w:val="0"/>
      <w:spacing w:beforeAutospacing="1" w:afterAutospacing="1"/>
    </w:pPr>
    <w:rPr>
      <w:sz w:val="24"/>
      <w:szCs w:val="24"/>
      <w:lang w:val="es-CR"/>
    </w:rPr>
  </w:style>
  <w:style w:type="paragraph" w:styleId="Subttulo">
    <w:name w:val="Subtitle"/>
    <w:basedOn w:val="Normal"/>
    <w:next w:val="Normal"/>
    <w:link w:val="SubttuloCar"/>
    <w:qFormat/>
    <w:rsid w:val="007B1C07"/>
    <w:pPr>
      <w:keepNext/>
      <w:keepLines/>
      <w:suppressAutoHyphens w:val="0"/>
      <w:spacing w:before="360" w:after="80" w:line="276" w:lineRule="auto"/>
    </w:pPr>
    <w:rPr>
      <w:rFonts w:ascii="Georgia" w:eastAsia="Georgia" w:hAnsi="Georgia" w:cs="Georgia"/>
      <w:i/>
      <w:color w:val="666666"/>
      <w:sz w:val="48"/>
      <w:szCs w:val="48"/>
      <w:lang w:val="es-CR"/>
    </w:rPr>
  </w:style>
  <w:style w:type="paragraph" w:styleId="Textodeglobo">
    <w:name w:val="Balloon Text"/>
    <w:basedOn w:val="Normal"/>
    <w:link w:val="TextodegloboCar"/>
    <w:qFormat/>
    <w:rsid w:val="00586A02"/>
    <w:rPr>
      <w:rFonts w:ascii="Tahoma" w:hAnsi="Tahoma" w:cs="Tahoma"/>
      <w:sz w:val="16"/>
      <w:szCs w:val="16"/>
    </w:rPr>
  </w:style>
  <w:style w:type="paragraph" w:customStyle="1" w:styleId="western">
    <w:name w:val="western"/>
    <w:basedOn w:val="Normal"/>
    <w:qFormat/>
    <w:rsid w:val="00D45619"/>
    <w:pPr>
      <w:suppressAutoHyphens w:val="0"/>
      <w:spacing w:beforeAutospacing="1" w:after="142" w:line="276" w:lineRule="auto"/>
    </w:pPr>
    <w:rPr>
      <w:sz w:val="24"/>
      <w:szCs w:val="24"/>
      <w:lang w:val="es-ES" w:eastAsia="es-ES"/>
    </w:rPr>
  </w:style>
  <w:style w:type="table" w:styleId="Tablaconcuadrcula">
    <w:name w:val="Table Grid"/>
    <w:basedOn w:val="Tablanormal"/>
    <w:rsid w:val="00E93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moderna">
    <w:name w:val="Table Contemporary"/>
    <w:basedOn w:val="Tablanormal"/>
    <w:rsid w:val="00E93AB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alisisdesarrollo@mideplan.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1754</Words>
  <Characters>10002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JORGE POLINARIS VARGAS</vt:lpstr>
    </vt:vector>
  </TitlesOfParts>
  <Company>MIDEPLAN</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JORGE POLINARIS VARGAS</dc:title>
  <dc:subject/>
  <dc:creator>MIDEPLAN</dc:creator>
  <dc:description/>
  <cp:lastModifiedBy>Usuario de Windows</cp:lastModifiedBy>
  <cp:revision>2</cp:revision>
  <cp:lastPrinted>2019-01-14T15:48:00Z</cp:lastPrinted>
  <dcterms:created xsi:type="dcterms:W3CDTF">2020-06-01T20:42:00Z</dcterms:created>
  <dcterms:modified xsi:type="dcterms:W3CDTF">2020-06-01T20:42:00Z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MIDEPLAN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