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E34E" w14:textId="3FCA858F" w:rsidR="000A13DE" w:rsidRDefault="000A13DE"/>
    <w:p w14:paraId="577296B0" w14:textId="3882DD1E" w:rsidR="008C309F" w:rsidRDefault="008C309F" w:rsidP="008C309F">
      <w:pPr>
        <w:jc w:val="right"/>
      </w:pPr>
      <w:r w:rsidRPr="008C309F">
        <w:rPr>
          <w:rFonts w:ascii="Times New Roman" w:eastAsia="Times New Roman" w:hAnsi="Times New Roman" w:cs="Times New Roman"/>
          <w:lang/>
        </w:rPr>
        <w:fldChar w:fldCharType="begin"/>
      </w:r>
      <w:r w:rsidR="00713777">
        <w:rPr>
          <w:rFonts w:ascii="Times New Roman" w:eastAsia="Times New Roman" w:hAnsi="Times New Roman" w:cs="Times New Roman"/>
          <w:lang/>
        </w:rPr>
        <w:instrText xml:space="preserve"> INCLUDEPICTURE "D:\\var\\folders\\nd\\l5m7qk653sj8fz98bfcfdp3m0000gn\\T\\com.microsoft.Word\\WebArchiveCopyPasteTempFiles\\page4image1759040" \* MERGEFORMAT </w:instrText>
      </w:r>
      <w:r w:rsidRPr="008C309F">
        <w:rPr>
          <w:rFonts w:ascii="Times New Roman" w:eastAsia="Times New Roman" w:hAnsi="Times New Roman" w:cs="Times New Roman"/>
          <w:lang/>
        </w:rPr>
        <w:fldChar w:fldCharType="separate"/>
      </w:r>
      <w:r w:rsidRPr="008C309F">
        <w:rPr>
          <w:rFonts w:ascii="Times New Roman" w:eastAsia="Times New Roman" w:hAnsi="Times New Roman" w:cs="Times New Roman"/>
          <w:noProof/>
          <w:lang/>
        </w:rPr>
        <w:drawing>
          <wp:inline distT="0" distB="0" distL="0" distR="0" wp14:anchorId="7DFE8DBB" wp14:editId="299036F8">
            <wp:extent cx="1701800" cy="939800"/>
            <wp:effectExtent l="0" t="0" r="0" b="0"/>
            <wp:docPr id="3" name="Picture 3" descr="page4image1759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4image17590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09F">
        <w:rPr>
          <w:rFonts w:ascii="Times New Roman" w:eastAsia="Times New Roman" w:hAnsi="Times New Roman" w:cs="Times New Roman"/>
          <w:lang/>
        </w:rPr>
        <w:fldChar w:fldCharType="end"/>
      </w:r>
    </w:p>
    <w:p w14:paraId="48BC7CA5" w14:textId="57E0970C" w:rsidR="006058BB" w:rsidRDefault="006058BB" w:rsidP="006058BB">
      <w:pPr>
        <w:pStyle w:val="Ttulo1"/>
        <w:jc w:val="center"/>
        <w:rPr>
          <w:rFonts w:eastAsia="Times New Roman"/>
        </w:rPr>
      </w:pPr>
      <w:r>
        <w:rPr>
          <w:rFonts w:eastAsia="Times New Roman"/>
        </w:rPr>
        <w:t>INFORME</w:t>
      </w:r>
    </w:p>
    <w:p w14:paraId="0489E1EA" w14:textId="0DEFEF50" w:rsidR="008C309F" w:rsidRPr="008C309F" w:rsidRDefault="008C309F" w:rsidP="008C309F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b/>
          <w:bCs/>
          <w:i/>
          <w:iCs/>
          <w:sz w:val="22"/>
          <w:szCs w:val="22"/>
        </w:rPr>
      </w:pPr>
      <w:r w:rsidRPr="006058BB">
        <w:rPr>
          <w:rFonts w:asciiTheme="majorHAnsi" w:eastAsia="Times New Roman" w:hAnsiTheme="majorHAnsi" w:cstheme="majorHAnsi"/>
          <w:sz w:val="22"/>
          <w:szCs w:val="22"/>
        </w:rPr>
        <w:t xml:space="preserve">El siguiente cuadro es para el reporte de la información solicitada en el </w:t>
      </w:r>
      <w:r w:rsidRPr="008C309F">
        <w:rPr>
          <w:rFonts w:asciiTheme="majorHAnsi" w:eastAsia="Times New Roman" w:hAnsiTheme="majorHAnsi" w:cstheme="majorHAnsi"/>
          <w:b/>
          <w:bCs/>
          <w:sz w:val="22"/>
          <w:szCs w:val="22"/>
          <w:lang/>
        </w:rPr>
        <w:t xml:space="preserve">Acuerdo 1: </w:t>
      </w:r>
      <w:r w:rsidRPr="008C309F">
        <w:rPr>
          <w:rFonts w:asciiTheme="majorHAnsi" w:eastAsia="Times New Roman" w:hAnsiTheme="majorHAnsi" w:cstheme="majorHAnsi"/>
          <w:b/>
          <w:bCs/>
          <w:i/>
          <w:iCs/>
          <w:sz w:val="22"/>
          <w:szCs w:val="22"/>
          <w:lang/>
        </w:rPr>
        <w:t xml:space="preserve">Las instituciones presentes el día 8 de septiembre del 2021, en sesión #7 del Consejo Nacional ampliado, acuerdan implementar los siguientes requerimientos de conformidad con su organigrama, sus competencias y en forma progresiva. </w:t>
      </w:r>
    </w:p>
    <w:p w14:paraId="5921E638" w14:textId="4F998511" w:rsidR="008C309F" w:rsidRPr="006058BB" w:rsidRDefault="008C309F" w:rsidP="008C309F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2"/>
          <w:szCs w:val="22"/>
          <w:lang/>
        </w:rPr>
      </w:pPr>
      <w:r w:rsidRPr="008C309F">
        <w:rPr>
          <w:rFonts w:asciiTheme="majorHAnsi" w:eastAsia="Times New Roman" w:hAnsiTheme="majorHAnsi" w:cstheme="majorHAnsi"/>
          <w:sz w:val="22"/>
          <w:szCs w:val="22"/>
          <w:lang/>
        </w:rPr>
        <w:t xml:space="preserve">Se establece el </w:t>
      </w:r>
      <w:r w:rsidRPr="008C309F">
        <w:rPr>
          <w:rFonts w:asciiTheme="majorHAnsi" w:eastAsia="Times New Roman" w:hAnsiTheme="majorHAnsi" w:cstheme="majorHAnsi"/>
          <w:b/>
          <w:bCs/>
          <w:sz w:val="22"/>
          <w:szCs w:val="22"/>
          <w:lang/>
        </w:rPr>
        <w:t>30 de octubre</w:t>
      </w:r>
      <w:r w:rsidRPr="008C309F">
        <w:rPr>
          <w:rFonts w:asciiTheme="majorHAnsi" w:eastAsia="Times New Roman" w:hAnsiTheme="majorHAnsi" w:cstheme="majorHAnsi"/>
          <w:sz w:val="22"/>
          <w:szCs w:val="22"/>
          <w:lang/>
        </w:rPr>
        <w:t xml:space="preserve"> como fecha límite para el primer informe de avance, que será revisado en la sesión del 10 de noviembre del Consejo Nacional, y como fecha final de cumplimiento el 31 de diciembre del año 2022. </w:t>
      </w:r>
    </w:p>
    <w:tbl>
      <w:tblPr>
        <w:tblStyle w:val="Tablanormal1"/>
        <w:tblW w:w="9918" w:type="dxa"/>
        <w:tblLook w:val="04A0" w:firstRow="1" w:lastRow="0" w:firstColumn="1" w:lastColumn="0" w:noHBand="0" w:noVBand="1"/>
      </w:tblPr>
      <w:tblGrid>
        <w:gridCol w:w="6447"/>
        <w:gridCol w:w="1982"/>
        <w:gridCol w:w="1489"/>
      </w:tblGrid>
      <w:tr w:rsidR="008C309F" w:rsidRPr="006058BB" w14:paraId="2E0E41E7" w14:textId="77777777" w:rsidTr="002E4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59853572" w14:textId="636FEFC9" w:rsidR="008C309F" w:rsidRPr="006058BB" w:rsidRDefault="002E4E63" w:rsidP="006058BB">
            <w:pPr>
              <w:pStyle w:val="Sinespaciad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ACCIONES ACORDADAS:</w:t>
            </w:r>
          </w:p>
        </w:tc>
        <w:tc>
          <w:tcPr>
            <w:tcW w:w="1984" w:type="dxa"/>
          </w:tcPr>
          <w:p w14:paraId="666046CE" w14:textId="6873DA03" w:rsidR="008C309F" w:rsidRPr="006058BB" w:rsidRDefault="002E4E63" w:rsidP="006058BB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Gestiones y acciones </w:t>
            </w:r>
            <w:r w:rsidR="006058BB">
              <w:rPr>
                <w:sz w:val="22"/>
                <w:szCs w:val="22"/>
              </w:rPr>
              <w:t>realizadas</w:t>
            </w:r>
          </w:p>
        </w:tc>
        <w:tc>
          <w:tcPr>
            <w:tcW w:w="1418" w:type="dxa"/>
          </w:tcPr>
          <w:p w14:paraId="1689385C" w14:textId="2FA63A10" w:rsidR="008C309F" w:rsidRPr="006058BB" w:rsidRDefault="006058BB" w:rsidP="006058BB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Evidencia</w:t>
            </w:r>
          </w:p>
        </w:tc>
      </w:tr>
      <w:tr w:rsidR="008C309F" w:rsidRPr="008C309F" w14:paraId="32599057" w14:textId="77777777" w:rsidTr="002E4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740314D4" w14:textId="70AD9750" w:rsidR="008C309F" w:rsidRPr="008C309F" w:rsidRDefault="008C309F" w:rsidP="006058BB">
            <w:pPr>
              <w:pStyle w:val="Sinespaciado"/>
              <w:numPr>
                <w:ilvl w:val="0"/>
                <w:numId w:val="2"/>
              </w:numPr>
              <w:ind w:left="316" w:hanging="284"/>
              <w:jc w:val="both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  <w:lang/>
              </w:rPr>
            </w:pPr>
            <w:r w:rsidRPr="008C309F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  <w:lang/>
              </w:rPr>
              <w:t xml:space="preserve">Incorporación del plan quinquenal en los POIs Institucionales, con recurso humano e identificación de presupuesto, para los diferentes niveles de participación y acción de la institución (incluye acciones locales en estrategia de red). </w:t>
            </w:r>
          </w:p>
        </w:tc>
        <w:tc>
          <w:tcPr>
            <w:tcW w:w="1984" w:type="dxa"/>
          </w:tcPr>
          <w:p w14:paraId="35430805" w14:textId="6B1B99EF" w:rsidR="008C309F" w:rsidRPr="008C309F" w:rsidRDefault="00093C77" w:rsidP="006058BB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Se encuentra incorporado a los Planes Anuales Operativos de la Comisión Institucional de Transversalización de Género </w:t>
            </w:r>
            <w:r w:rsidR="00396649">
              <w:rPr>
                <w:rFonts w:asciiTheme="majorHAnsi" w:hAnsiTheme="majorHAnsi" w:cstheme="majorHAnsi"/>
                <w:sz w:val="22"/>
                <w:szCs w:val="22"/>
              </w:rPr>
              <w:t>–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MIVAH</w:t>
            </w:r>
            <w:r w:rsidR="00396649">
              <w:rPr>
                <w:rFonts w:asciiTheme="majorHAnsi" w:hAnsiTheme="majorHAnsi" w:cstheme="majorHAnsi"/>
                <w:sz w:val="22"/>
                <w:szCs w:val="22"/>
              </w:rPr>
              <w:t xml:space="preserve"> 2019-2020-2021-2022</w:t>
            </w:r>
          </w:p>
        </w:tc>
        <w:tc>
          <w:tcPr>
            <w:tcW w:w="1418" w:type="dxa"/>
          </w:tcPr>
          <w:p w14:paraId="67977D28" w14:textId="1DAEEFBB" w:rsidR="008C309F" w:rsidRPr="008C309F" w:rsidRDefault="00093C77" w:rsidP="006058BB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Planes</w:t>
            </w:r>
            <w:r w:rsidR="00396649">
              <w:rPr>
                <w:rFonts w:asciiTheme="majorHAnsi" w:hAnsiTheme="majorHAnsi" w:cstheme="majorHAnsi"/>
                <w:sz w:val="22"/>
                <w:szCs w:val="22"/>
              </w:rPr>
              <w:t xml:space="preserve"> Operativos institucionales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de la CITG</w:t>
            </w:r>
          </w:p>
        </w:tc>
      </w:tr>
      <w:tr w:rsidR="006058BB" w:rsidRPr="006058BB" w14:paraId="1758A6E2" w14:textId="77777777" w:rsidTr="002E4E63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4F7DCB78" w14:textId="7E4A99C6" w:rsidR="006058BB" w:rsidRPr="006058BB" w:rsidRDefault="006058BB" w:rsidP="006058BB">
            <w:pPr>
              <w:pStyle w:val="NormalWeb"/>
              <w:numPr>
                <w:ilvl w:val="0"/>
                <w:numId w:val="2"/>
              </w:numPr>
              <w:ind w:left="316" w:hanging="284"/>
              <w:jc w:val="both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6058BB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Fortalecimiento de las comisiones internas institucionales para la transversalización del PLANOVI a nivel nacional, regional y local.</w:t>
            </w:r>
          </w:p>
        </w:tc>
        <w:tc>
          <w:tcPr>
            <w:tcW w:w="1984" w:type="dxa"/>
          </w:tcPr>
          <w:p w14:paraId="27F3AA77" w14:textId="7727895E" w:rsidR="006058BB" w:rsidRPr="006058BB" w:rsidRDefault="00713777" w:rsidP="006058BB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Comisión Institucional de Transversalización de Género </w:t>
            </w:r>
            <w:r w:rsidR="00396649">
              <w:rPr>
                <w:rFonts w:asciiTheme="majorHAnsi" w:hAnsiTheme="majorHAnsi" w:cstheme="majorHAnsi"/>
                <w:sz w:val="22"/>
                <w:szCs w:val="22"/>
              </w:rPr>
              <w:t>–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MIVAH</w:t>
            </w:r>
            <w:r w:rsidR="00396649">
              <w:rPr>
                <w:rFonts w:asciiTheme="majorHAnsi" w:hAnsiTheme="majorHAnsi" w:cstheme="majorHAnsi"/>
                <w:sz w:val="22"/>
                <w:szCs w:val="22"/>
              </w:rPr>
              <w:t xml:space="preserve"> trabaja en sesiones semanales para concluir la Política y el Plan.</w:t>
            </w:r>
          </w:p>
        </w:tc>
        <w:tc>
          <w:tcPr>
            <w:tcW w:w="1418" w:type="dxa"/>
          </w:tcPr>
          <w:p w14:paraId="49DF51F9" w14:textId="753F234B" w:rsidR="006058BB" w:rsidRPr="006058BB" w:rsidRDefault="00713777" w:rsidP="006058BB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Decreto Ejecutivo 37902 del año 2013</w:t>
            </w:r>
          </w:p>
        </w:tc>
      </w:tr>
      <w:tr w:rsidR="008C309F" w:rsidRPr="008C309F" w14:paraId="3EB420CD" w14:textId="77777777" w:rsidTr="002E4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310337B7" w14:textId="6098056D" w:rsidR="008C309F" w:rsidRPr="008C309F" w:rsidRDefault="008C309F" w:rsidP="006058BB">
            <w:pPr>
              <w:pStyle w:val="Sinespaciado"/>
              <w:numPr>
                <w:ilvl w:val="0"/>
                <w:numId w:val="2"/>
              </w:numPr>
              <w:ind w:left="316" w:hanging="284"/>
              <w:jc w:val="both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8C309F">
              <w:rPr>
                <w:rFonts w:asciiTheme="majorHAnsi" w:eastAsia="Times New Roman" w:hAnsiTheme="majorHAnsi" w:cstheme="majorHAnsi"/>
                <w:b w:val="0"/>
                <w:bCs w:val="0"/>
                <w:sz w:val="22"/>
                <w:szCs w:val="22"/>
                <w:lang/>
              </w:rPr>
              <w:t xml:space="preserve">Ejecución y rendición de cuentas en el nivel local de los programas y compromisos establecidos en el plan quinquenal. </w:t>
            </w:r>
          </w:p>
        </w:tc>
        <w:tc>
          <w:tcPr>
            <w:tcW w:w="1984" w:type="dxa"/>
          </w:tcPr>
          <w:p w14:paraId="637D46B6" w14:textId="0DA8D321" w:rsidR="008C309F" w:rsidRPr="008C309F" w:rsidRDefault="00093C77" w:rsidP="00093C77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</w:t>
            </w:r>
          </w:p>
        </w:tc>
        <w:tc>
          <w:tcPr>
            <w:tcW w:w="1418" w:type="dxa"/>
          </w:tcPr>
          <w:p w14:paraId="580EAF26" w14:textId="5B2BEDF3" w:rsidR="008C309F" w:rsidRPr="008C309F" w:rsidRDefault="00093C77" w:rsidP="00093C77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</w:t>
            </w:r>
          </w:p>
        </w:tc>
      </w:tr>
      <w:tr w:rsidR="00093C77" w:rsidRPr="008C309F" w14:paraId="2C90AA71" w14:textId="77777777" w:rsidTr="002E4E63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1F5B3337" w14:textId="74121D19" w:rsidR="00093C77" w:rsidRPr="008C309F" w:rsidRDefault="00093C77" w:rsidP="00093C77">
            <w:pPr>
              <w:pStyle w:val="Sinespaciado"/>
              <w:numPr>
                <w:ilvl w:val="0"/>
                <w:numId w:val="2"/>
              </w:numPr>
              <w:ind w:left="316" w:hanging="284"/>
              <w:jc w:val="both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8C309F">
              <w:rPr>
                <w:rFonts w:asciiTheme="majorHAnsi" w:eastAsia="Times New Roman" w:hAnsiTheme="majorHAnsi" w:cstheme="majorHAnsi"/>
                <w:b w:val="0"/>
                <w:bCs w:val="0"/>
                <w:sz w:val="22"/>
                <w:szCs w:val="22"/>
                <w:lang/>
              </w:rPr>
              <w:t>Procesos</w:t>
            </w:r>
            <w:r>
              <w:rPr>
                <w:rFonts w:asciiTheme="majorHAnsi" w:eastAsia="Times New Roman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Pr="008C309F">
              <w:rPr>
                <w:rFonts w:asciiTheme="majorHAnsi" w:eastAsia="Times New Roman" w:hAnsiTheme="majorHAnsi" w:cstheme="majorHAnsi"/>
                <w:b w:val="0"/>
                <w:bCs w:val="0"/>
                <w:sz w:val="22"/>
                <w:szCs w:val="22"/>
                <w:lang/>
              </w:rPr>
              <w:t>de</w:t>
            </w:r>
            <w:r>
              <w:rPr>
                <w:rFonts w:asciiTheme="majorHAnsi" w:eastAsia="Times New Roman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Pr="008C309F">
              <w:rPr>
                <w:rFonts w:asciiTheme="majorHAnsi" w:eastAsia="Times New Roman" w:hAnsiTheme="majorHAnsi" w:cstheme="majorHAnsi"/>
                <w:b w:val="0"/>
                <w:bCs w:val="0"/>
                <w:sz w:val="22"/>
                <w:szCs w:val="22"/>
                <w:lang/>
              </w:rPr>
              <w:t>inducción</w:t>
            </w:r>
            <w:r>
              <w:rPr>
                <w:rFonts w:asciiTheme="majorHAnsi" w:eastAsia="Times New Roman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Pr="008C309F">
              <w:rPr>
                <w:rFonts w:asciiTheme="majorHAnsi" w:eastAsia="Times New Roman" w:hAnsiTheme="majorHAnsi" w:cstheme="majorHAnsi"/>
                <w:b w:val="0"/>
                <w:bCs w:val="0"/>
                <w:sz w:val="22"/>
                <w:szCs w:val="22"/>
                <w:lang/>
              </w:rPr>
              <w:t>para</w:t>
            </w:r>
            <w:r>
              <w:rPr>
                <w:rFonts w:asciiTheme="majorHAnsi" w:eastAsia="Times New Roman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Pr="008C309F">
              <w:rPr>
                <w:rFonts w:asciiTheme="majorHAnsi" w:eastAsia="Times New Roman" w:hAnsiTheme="majorHAnsi" w:cstheme="majorHAnsi"/>
                <w:b w:val="0"/>
                <w:bCs w:val="0"/>
                <w:sz w:val="22"/>
                <w:szCs w:val="22"/>
                <w:lang/>
              </w:rPr>
              <w:t>las</w:t>
            </w:r>
            <w:r>
              <w:rPr>
                <w:rFonts w:asciiTheme="majorHAnsi" w:eastAsia="Times New Roman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Pr="008C309F">
              <w:rPr>
                <w:rFonts w:asciiTheme="majorHAnsi" w:eastAsia="Times New Roman" w:hAnsiTheme="majorHAnsi" w:cstheme="majorHAnsi"/>
                <w:b w:val="0"/>
                <w:bCs w:val="0"/>
                <w:sz w:val="22"/>
                <w:szCs w:val="22"/>
                <w:lang/>
              </w:rPr>
              <w:t>personas</w:t>
            </w:r>
            <w:r>
              <w:rPr>
                <w:rFonts w:asciiTheme="majorHAnsi" w:eastAsia="Times New Roman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Pr="008C309F">
              <w:rPr>
                <w:rFonts w:asciiTheme="majorHAnsi" w:eastAsia="Times New Roman" w:hAnsiTheme="majorHAnsi" w:cstheme="majorHAnsi"/>
                <w:b w:val="0"/>
                <w:bCs w:val="0"/>
                <w:sz w:val="22"/>
                <w:szCs w:val="22"/>
                <w:lang/>
              </w:rPr>
              <w:t>funcionarias</w:t>
            </w:r>
            <w:r>
              <w:rPr>
                <w:rFonts w:asciiTheme="majorHAnsi" w:eastAsia="Times New Roman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Pr="008C309F">
              <w:rPr>
                <w:rFonts w:asciiTheme="majorHAnsi" w:eastAsia="Times New Roman" w:hAnsiTheme="majorHAnsi" w:cstheme="majorHAnsi"/>
                <w:b w:val="0"/>
                <w:bCs w:val="0"/>
                <w:sz w:val="22"/>
                <w:szCs w:val="22"/>
                <w:lang/>
              </w:rPr>
              <w:t>ubicadas</w:t>
            </w:r>
            <w:r>
              <w:rPr>
                <w:rFonts w:asciiTheme="majorHAnsi" w:eastAsia="Times New Roman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Pr="008C309F">
              <w:rPr>
                <w:rFonts w:asciiTheme="majorHAnsi" w:eastAsia="Times New Roman" w:hAnsiTheme="majorHAnsi" w:cstheme="majorHAnsi"/>
                <w:b w:val="0"/>
                <w:bCs w:val="0"/>
                <w:sz w:val="22"/>
                <w:szCs w:val="22"/>
                <w:lang/>
              </w:rPr>
              <w:t>en</w:t>
            </w:r>
            <w:r>
              <w:rPr>
                <w:rFonts w:asciiTheme="majorHAnsi" w:eastAsia="Times New Roman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Pr="008C309F">
              <w:rPr>
                <w:rFonts w:asciiTheme="majorHAnsi" w:eastAsia="Times New Roman" w:hAnsiTheme="majorHAnsi" w:cstheme="majorHAnsi"/>
                <w:b w:val="0"/>
                <w:bCs w:val="0"/>
                <w:sz w:val="22"/>
                <w:szCs w:val="22"/>
                <w:lang/>
              </w:rPr>
              <w:t>las</w:t>
            </w:r>
            <w:r>
              <w:rPr>
                <w:rFonts w:asciiTheme="majorHAnsi" w:eastAsia="Times New Roman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Pr="008C309F">
              <w:rPr>
                <w:rFonts w:asciiTheme="majorHAnsi" w:eastAsia="Times New Roman" w:hAnsiTheme="majorHAnsi" w:cstheme="majorHAnsi"/>
                <w:b w:val="0"/>
                <w:bCs w:val="0"/>
                <w:sz w:val="22"/>
                <w:szCs w:val="22"/>
                <w:lang/>
              </w:rPr>
              <w:t xml:space="preserve">regiones, sobre sus responsabilidades en la Política Nacional, con el fin de posicionar al PLANOVI y su plan quinquenal en los mecanismos interinstitucionales regionales y locales, además de facilitar la articulación entre los niveles. </w:t>
            </w:r>
          </w:p>
        </w:tc>
        <w:tc>
          <w:tcPr>
            <w:tcW w:w="1984" w:type="dxa"/>
          </w:tcPr>
          <w:p w14:paraId="08C87730" w14:textId="1E2E6DE6" w:rsidR="00093C77" w:rsidRPr="008C309F" w:rsidRDefault="00093C77" w:rsidP="00093C77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</w:t>
            </w:r>
          </w:p>
        </w:tc>
        <w:tc>
          <w:tcPr>
            <w:tcW w:w="1418" w:type="dxa"/>
          </w:tcPr>
          <w:p w14:paraId="0D911461" w14:textId="763AC201" w:rsidR="00093C77" w:rsidRPr="008C309F" w:rsidRDefault="00093C77" w:rsidP="00093C77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</w:t>
            </w:r>
          </w:p>
        </w:tc>
      </w:tr>
      <w:tr w:rsidR="00093C77" w:rsidRPr="008C309F" w14:paraId="6DC988A1" w14:textId="77777777" w:rsidTr="002E4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6D30CF24" w14:textId="17D87933" w:rsidR="00093C77" w:rsidRPr="008C309F" w:rsidRDefault="00093C77" w:rsidP="00093C77">
            <w:pPr>
              <w:pStyle w:val="Sinespaciado"/>
              <w:numPr>
                <w:ilvl w:val="0"/>
                <w:numId w:val="2"/>
              </w:numPr>
              <w:ind w:left="316" w:hanging="284"/>
              <w:jc w:val="both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8C309F">
              <w:rPr>
                <w:rFonts w:asciiTheme="majorHAnsi" w:eastAsia="Times New Roman" w:hAnsiTheme="majorHAnsi" w:cstheme="majorHAnsi"/>
                <w:b w:val="0"/>
                <w:bCs w:val="0"/>
                <w:sz w:val="22"/>
                <w:szCs w:val="22"/>
                <w:lang/>
              </w:rPr>
              <w:t xml:space="preserve">Apoyo político y técnico de las Direcciones Regionales para la planificación y ejecución sistemática de las acciones programadas en las redes locales. </w:t>
            </w:r>
          </w:p>
        </w:tc>
        <w:tc>
          <w:tcPr>
            <w:tcW w:w="1984" w:type="dxa"/>
          </w:tcPr>
          <w:p w14:paraId="04879A02" w14:textId="78462E6E" w:rsidR="00093C77" w:rsidRPr="008C309F" w:rsidRDefault="00713777" w:rsidP="00713777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</w:t>
            </w:r>
          </w:p>
        </w:tc>
        <w:tc>
          <w:tcPr>
            <w:tcW w:w="1418" w:type="dxa"/>
          </w:tcPr>
          <w:p w14:paraId="612BF100" w14:textId="654CF212" w:rsidR="00093C77" w:rsidRPr="008C309F" w:rsidRDefault="00713777" w:rsidP="00713777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</w:t>
            </w:r>
          </w:p>
        </w:tc>
      </w:tr>
      <w:tr w:rsidR="00093C77" w:rsidRPr="008C309F" w14:paraId="169800CE" w14:textId="77777777" w:rsidTr="002E4E63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5685B60E" w14:textId="75F332C7" w:rsidR="00093C77" w:rsidRPr="008C309F" w:rsidRDefault="00093C77" w:rsidP="00093C77">
            <w:pPr>
              <w:pStyle w:val="Sinespaciado"/>
              <w:numPr>
                <w:ilvl w:val="0"/>
                <w:numId w:val="2"/>
              </w:numPr>
              <w:ind w:left="316" w:hanging="284"/>
              <w:jc w:val="both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8C309F">
              <w:rPr>
                <w:rFonts w:asciiTheme="majorHAnsi" w:eastAsia="Times New Roman" w:hAnsiTheme="majorHAnsi" w:cstheme="majorHAnsi"/>
                <w:b w:val="0"/>
                <w:bCs w:val="0"/>
                <w:sz w:val="22"/>
                <w:szCs w:val="22"/>
                <w:lang/>
              </w:rPr>
              <w:t>Nombramiento de representantes institucionales en las redes locales con perfiles idóneos para la ejecución de las acciones, así como</w:t>
            </w:r>
            <w:r>
              <w:rPr>
                <w:rFonts w:asciiTheme="majorHAnsi" w:eastAsia="Times New Roman" w:hAnsiTheme="majorHAnsi" w:cstheme="majorHAnsi"/>
                <w:b w:val="0"/>
                <w:bCs w:val="0"/>
                <w:sz w:val="22"/>
                <w:szCs w:val="22"/>
              </w:rPr>
              <w:t>,</w:t>
            </w:r>
            <w:r w:rsidRPr="008C309F">
              <w:rPr>
                <w:rFonts w:asciiTheme="majorHAnsi" w:eastAsia="Times New Roman" w:hAnsiTheme="majorHAnsi" w:cstheme="majorHAnsi"/>
                <w:b w:val="0"/>
                <w:bCs w:val="0"/>
                <w:sz w:val="22"/>
                <w:szCs w:val="22"/>
                <w:lang/>
              </w:rPr>
              <w:t xml:space="preserve"> con el tiempo necesario para la ejecución de los planes de trabajo de las redes locales. </w:t>
            </w:r>
          </w:p>
        </w:tc>
        <w:tc>
          <w:tcPr>
            <w:tcW w:w="1984" w:type="dxa"/>
          </w:tcPr>
          <w:p w14:paraId="62A61891" w14:textId="5AEAB594" w:rsidR="00093C77" w:rsidRPr="008C309F" w:rsidRDefault="00713777" w:rsidP="00713777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</w:t>
            </w:r>
          </w:p>
        </w:tc>
        <w:tc>
          <w:tcPr>
            <w:tcW w:w="1418" w:type="dxa"/>
          </w:tcPr>
          <w:p w14:paraId="19095895" w14:textId="276338F8" w:rsidR="00093C77" w:rsidRPr="008C309F" w:rsidRDefault="00713777" w:rsidP="00713777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</w:t>
            </w:r>
          </w:p>
        </w:tc>
      </w:tr>
      <w:tr w:rsidR="00093C77" w:rsidRPr="008C309F" w14:paraId="364AEF6E" w14:textId="77777777" w:rsidTr="002E4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6ACD56A9" w14:textId="388961F3" w:rsidR="00093C77" w:rsidRPr="008C309F" w:rsidRDefault="00093C77" w:rsidP="00093C77">
            <w:pPr>
              <w:pStyle w:val="Sinespaciado"/>
              <w:numPr>
                <w:ilvl w:val="0"/>
                <w:numId w:val="2"/>
              </w:numPr>
              <w:ind w:left="316" w:hanging="284"/>
              <w:jc w:val="both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8C309F">
              <w:rPr>
                <w:rFonts w:asciiTheme="majorHAnsi" w:eastAsia="Times New Roman" w:hAnsiTheme="majorHAnsi" w:cstheme="majorHAnsi"/>
                <w:b w:val="0"/>
                <w:bCs w:val="0"/>
                <w:sz w:val="22"/>
                <w:szCs w:val="22"/>
                <w:lang/>
              </w:rPr>
              <w:t xml:space="preserve">Definición de estrategias para garantizar los servicios de atención en violencia contra las mujeres como prioridad en el contexto de la pandemia. </w:t>
            </w:r>
          </w:p>
        </w:tc>
        <w:tc>
          <w:tcPr>
            <w:tcW w:w="1984" w:type="dxa"/>
          </w:tcPr>
          <w:p w14:paraId="62828382" w14:textId="55034FB8" w:rsidR="00093C77" w:rsidRPr="008C309F" w:rsidRDefault="00842814" w:rsidP="00713777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Pendiente por falta de recursos</w:t>
            </w:r>
            <w:r w:rsidR="00396649">
              <w:rPr>
                <w:rFonts w:asciiTheme="majorHAnsi" w:hAnsiTheme="majorHAnsi" w:cstheme="majorHAnsi"/>
                <w:sz w:val="22"/>
                <w:szCs w:val="22"/>
              </w:rPr>
              <w:t xml:space="preserve"> al BANHVI</w:t>
            </w:r>
          </w:p>
        </w:tc>
        <w:tc>
          <w:tcPr>
            <w:tcW w:w="1418" w:type="dxa"/>
          </w:tcPr>
          <w:p w14:paraId="43FC04A4" w14:textId="37203C2E" w:rsidR="00093C77" w:rsidRPr="008C309F" w:rsidRDefault="00842814" w:rsidP="00713777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Decreto </w:t>
            </w:r>
            <w:r w:rsidR="00396649">
              <w:rPr>
                <w:rFonts w:asciiTheme="majorHAnsi" w:hAnsiTheme="majorHAnsi" w:cstheme="majorHAnsi"/>
                <w:sz w:val="22"/>
                <w:szCs w:val="22"/>
              </w:rPr>
              <w:t>Ejecutivo D54</w:t>
            </w:r>
          </w:p>
        </w:tc>
      </w:tr>
      <w:tr w:rsidR="00713777" w:rsidRPr="008C309F" w14:paraId="5613284D" w14:textId="77777777" w:rsidTr="002E4E63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5CAABD9A" w14:textId="097F7236" w:rsidR="00713777" w:rsidRPr="008C309F" w:rsidRDefault="00713777" w:rsidP="00713777">
            <w:pPr>
              <w:pStyle w:val="Sinespaciado"/>
              <w:numPr>
                <w:ilvl w:val="0"/>
                <w:numId w:val="2"/>
              </w:numPr>
              <w:ind w:left="316" w:hanging="284"/>
              <w:jc w:val="both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8C309F">
              <w:rPr>
                <w:rFonts w:asciiTheme="majorHAnsi" w:eastAsia="Times New Roman" w:hAnsiTheme="majorHAnsi" w:cstheme="majorHAnsi"/>
                <w:b w:val="0"/>
                <w:bCs w:val="0"/>
                <w:sz w:val="22"/>
                <w:szCs w:val="22"/>
                <w:lang/>
              </w:rPr>
              <w:t xml:space="preserve">Vínculo con las universidades y sus regionales para generar estudios sobre la situación actual de la violencia contra las mujeres en los niveles locales, que permitan garantizar las acciones oportunas desde el Sistema. </w:t>
            </w:r>
          </w:p>
        </w:tc>
        <w:tc>
          <w:tcPr>
            <w:tcW w:w="1984" w:type="dxa"/>
          </w:tcPr>
          <w:p w14:paraId="1D38991C" w14:textId="087F0321" w:rsidR="00713777" w:rsidRPr="008C309F" w:rsidRDefault="00713777" w:rsidP="00713777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</w:t>
            </w:r>
          </w:p>
        </w:tc>
        <w:tc>
          <w:tcPr>
            <w:tcW w:w="1418" w:type="dxa"/>
          </w:tcPr>
          <w:p w14:paraId="1F568AAF" w14:textId="0BA7C130" w:rsidR="00713777" w:rsidRPr="008C309F" w:rsidRDefault="00713777" w:rsidP="00713777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</w:t>
            </w:r>
          </w:p>
        </w:tc>
      </w:tr>
      <w:tr w:rsidR="00713777" w:rsidRPr="008C309F" w14:paraId="25C4B778" w14:textId="77777777" w:rsidTr="002E4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AB8BA11" w14:textId="2F2B56BE" w:rsidR="00713777" w:rsidRPr="008C309F" w:rsidRDefault="00713777" w:rsidP="00713777">
            <w:pPr>
              <w:pStyle w:val="Sinespaciado"/>
              <w:numPr>
                <w:ilvl w:val="0"/>
                <w:numId w:val="2"/>
              </w:numPr>
              <w:ind w:left="316" w:hanging="284"/>
              <w:jc w:val="both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8C309F">
              <w:rPr>
                <w:rFonts w:asciiTheme="majorHAnsi" w:eastAsia="Times New Roman" w:hAnsiTheme="majorHAnsi" w:cstheme="majorHAnsi"/>
                <w:b w:val="0"/>
                <w:bCs w:val="0"/>
                <w:sz w:val="22"/>
                <w:szCs w:val="22"/>
                <w:lang/>
              </w:rPr>
              <w:t xml:space="preserve">Garantizar la participación, el tiempo requerido y el equipo necesario para las capacitaciones y sesiones de trabajo de la red local y con las comunidades en la modalidad virtual y presencial. </w:t>
            </w:r>
          </w:p>
        </w:tc>
        <w:tc>
          <w:tcPr>
            <w:tcW w:w="1984" w:type="dxa"/>
          </w:tcPr>
          <w:p w14:paraId="3D0BD7BC" w14:textId="77777777" w:rsidR="00713777" w:rsidRDefault="00842814" w:rsidP="00713777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Capacitación de las personas funcionarias con cápsulas informativas sobre la Ley 7476 por encontrarnos en </w:t>
            </w:r>
            <w:r w:rsidR="00396649">
              <w:rPr>
                <w:rFonts w:asciiTheme="majorHAnsi" w:hAnsiTheme="majorHAnsi" w:cstheme="majorHAnsi"/>
                <w:sz w:val="22"/>
                <w:szCs w:val="22"/>
              </w:rPr>
              <w:t>teletrabajo.</w:t>
            </w:r>
          </w:p>
          <w:p w14:paraId="0BC6D780" w14:textId="61B079F2" w:rsidR="00396649" w:rsidRPr="008C309F" w:rsidRDefault="00396649" w:rsidP="00713777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Presupuesto asignado horas funcionariado miembros de la Comisión</w:t>
            </w:r>
            <w:r w:rsidR="00850712">
              <w:rPr>
                <w:rFonts w:asciiTheme="majorHAnsi" w:hAnsiTheme="majorHAnsi" w:cstheme="majorHAnsi"/>
                <w:sz w:val="22"/>
                <w:szCs w:val="22"/>
              </w:rPr>
              <w:t xml:space="preserve"> CITG</w:t>
            </w:r>
          </w:p>
        </w:tc>
        <w:tc>
          <w:tcPr>
            <w:tcW w:w="1418" w:type="dxa"/>
          </w:tcPr>
          <w:p w14:paraId="6645FB40" w14:textId="66ABB37D" w:rsidR="00713777" w:rsidRPr="008C309F" w:rsidRDefault="00842814" w:rsidP="00713777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Cápsulas informativas.</w:t>
            </w:r>
          </w:p>
        </w:tc>
      </w:tr>
      <w:tr w:rsidR="00713777" w:rsidRPr="008C309F" w14:paraId="5A4D2E01" w14:textId="77777777" w:rsidTr="002E4E63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69DD2DAF" w14:textId="5AF94755" w:rsidR="00713777" w:rsidRPr="008C309F" w:rsidRDefault="00713777" w:rsidP="00713777">
            <w:pPr>
              <w:pStyle w:val="Sinespaciado"/>
              <w:numPr>
                <w:ilvl w:val="0"/>
                <w:numId w:val="2"/>
              </w:numPr>
              <w:ind w:left="316" w:hanging="284"/>
              <w:jc w:val="both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8C309F">
              <w:rPr>
                <w:rFonts w:asciiTheme="majorHAnsi" w:eastAsia="Times New Roman" w:hAnsiTheme="majorHAnsi" w:cstheme="majorHAnsi"/>
                <w:b w:val="0"/>
                <w:bCs w:val="0"/>
                <w:sz w:val="22"/>
                <w:szCs w:val="22"/>
                <w:lang/>
              </w:rPr>
              <w:t xml:space="preserve">Implementación de la Estrategia de Atención Itinerante como una modalidad prioritaria de atención de las instituciones involucradas en el nivel local. </w:t>
            </w:r>
          </w:p>
        </w:tc>
        <w:tc>
          <w:tcPr>
            <w:tcW w:w="1984" w:type="dxa"/>
          </w:tcPr>
          <w:p w14:paraId="652E8942" w14:textId="26AFC71E" w:rsidR="00713777" w:rsidRPr="008C309F" w:rsidRDefault="00713777" w:rsidP="00713777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</w:t>
            </w:r>
          </w:p>
        </w:tc>
        <w:tc>
          <w:tcPr>
            <w:tcW w:w="1418" w:type="dxa"/>
          </w:tcPr>
          <w:p w14:paraId="45549E64" w14:textId="40767E33" w:rsidR="00713777" w:rsidRPr="008C309F" w:rsidRDefault="00713777" w:rsidP="00713777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</w:t>
            </w:r>
          </w:p>
        </w:tc>
      </w:tr>
      <w:tr w:rsidR="00713777" w:rsidRPr="008C309F" w14:paraId="6DAB2AB0" w14:textId="77777777" w:rsidTr="002E4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5583159A" w14:textId="36F90E02" w:rsidR="00713777" w:rsidRPr="008C309F" w:rsidRDefault="00713777" w:rsidP="00713777">
            <w:pPr>
              <w:pStyle w:val="Sinespaciado"/>
              <w:numPr>
                <w:ilvl w:val="0"/>
                <w:numId w:val="2"/>
              </w:numPr>
              <w:ind w:left="316" w:hanging="284"/>
              <w:jc w:val="both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8C309F">
              <w:rPr>
                <w:rFonts w:asciiTheme="majorHAnsi" w:eastAsia="Times New Roman" w:hAnsiTheme="majorHAnsi" w:cstheme="majorHAnsi"/>
                <w:b w:val="0"/>
                <w:bCs w:val="0"/>
                <w:sz w:val="22"/>
                <w:szCs w:val="22"/>
                <w:lang/>
              </w:rPr>
              <w:t xml:space="preserve">Apoyo político para la implementación de la estrategia de regionalización en los 14 cantones prioritarios de acuerdo con las siguientes fases: diagnóstico local, capacitación, planificación, aprobación y formalización, ejecución y seguimiento y, por último, evaluación y rendición de cuentas. </w:t>
            </w:r>
          </w:p>
        </w:tc>
        <w:tc>
          <w:tcPr>
            <w:tcW w:w="1984" w:type="dxa"/>
          </w:tcPr>
          <w:p w14:paraId="20E0AAE2" w14:textId="35A7AD22" w:rsidR="00713777" w:rsidRPr="008C309F" w:rsidRDefault="00713777" w:rsidP="00713777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</w:t>
            </w:r>
          </w:p>
        </w:tc>
        <w:tc>
          <w:tcPr>
            <w:tcW w:w="1418" w:type="dxa"/>
          </w:tcPr>
          <w:p w14:paraId="66087631" w14:textId="7CA9C498" w:rsidR="00713777" w:rsidRPr="008C309F" w:rsidRDefault="00713777" w:rsidP="00713777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</w:t>
            </w:r>
          </w:p>
        </w:tc>
      </w:tr>
    </w:tbl>
    <w:p w14:paraId="2DC48352" w14:textId="22BC2F17" w:rsidR="008C309F" w:rsidRPr="004D4C3A" w:rsidRDefault="004D4C3A" w:rsidP="004D4C3A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4D4C3A">
        <w:rPr>
          <w:rFonts w:asciiTheme="majorHAnsi" w:eastAsia="Times New Roman" w:hAnsiTheme="majorHAnsi" w:cstheme="majorHAnsi"/>
          <w:sz w:val="22"/>
          <w:szCs w:val="22"/>
        </w:rPr>
        <w:t>Pueden presentar la información por medio de un oficio dirigido a la señora ministra Marcela Guerrero</w:t>
      </w:r>
      <w:r>
        <w:rPr>
          <w:rFonts w:asciiTheme="majorHAnsi" w:eastAsia="Times New Roman" w:hAnsiTheme="majorHAnsi" w:cstheme="majorHAnsi"/>
          <w:sz w:val="22"/>
          <w:szCs w:val="22"/>
        </w:rPr>
        <w:t>.</w:t>
      </w:r>
    </w:p>
    <w:p w14:paraId="7A9E1089" w14:textId="1CED41DF" w:rsidR="008C309F" w:rsidRPr="008C309F" w:rsidRDefault="008C309F">
      <w:pPr>
        <w:rPr>
          <w:lang/>
        </w:rPr>
      </w:pPr>
    </w:p>
    <w:p w14:paraId="5504C347" w14:textId="32C46EA2" w:rsidR="008C309F" w:rsidRDefault="008C309F"/>
    <w:p w14:paraId="34D50FA6" w14:textId="77777777" w:rsidR="008C309F" w:rsidRDefault="008C309F"/>
    <w:sectPr w:rsidR="008C30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F66B5"/>
    <w:multiLevelType w:val="multilevel"/>
    <w:tmpl w:val="FC72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521EB4"/>
    <w:multiLevelType w:val="multilevel"/>
    <w:tmpl w:val="33943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A1C5422"/>
    <w:multiLevelType w:val="hybridMultilevel"/>
    <w:tmpl w:val="E9D64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9F"/>
    <w:rsid w:val="00093C77"/>
    <w:rsid w:val="000A13DE"/>
    <w:rsid w:val="002E4E63"/>
    <w:rsid w:val="00396649"/>
    <w:rsid w:val="004D4C3A"/>
    <w:rsid w:val="006058BB"/>
    <w:rsid w:val="00713777"/>
    <w:rsid w:val="00842814"/>
    <w:rsid w:val="00850712"/>
    <w:rsid w:val="008C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39CF"/>
  <w15:chartTrackingRefBased/>
  <w15:docId w15:val="{73319707-A295-1C4B-90ED-5D3467F2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058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309F"/>
    <w:pPr>
      <w:spacing w:before="100" w:beforeAutospacing="1" w:after="100" w:afterAutospacing="1"/>
    </w:pPr>
    <w:rPr>
      <w:rFonts w:ascii="Times New Roman" w:eastAsia="Times New Roman" w:hAnsi="Times New Roman" w:cs="Times New Roman"/>
      <w:lang/>
    </w:rPr>
  </w:style>
  <w:style w:type="table" w:styleId="Tablaconcuadrcula">
    <w:name w:val="Table Grid"/>
    <w:basedOn w:val="Tablanormal"/>
    <w:uiPriority w:val="39"/>
    <w:rsid w:val="008C3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8C30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8C309F"/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6058B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3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1B20E-39F0-4FFC-9800-5B98E494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583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 Mariela Araya Solano</dc:creator>
  <cp:keywords/>
  <dc:description/>
  <cp:lastModifiedBy>Jenny Liberoff Nemirovsky</cp:lastModifiedBy>
  <cp:revision>5</cp:revision>
  <dcterms:created xsi:type="dcterms:W3CDTF">2021-11-01T17:14:00Z</dcterms:created>
  <dcterms:modified xsi:type="dcterms:W3CDTF">2021-11-01T17:43:00Z</dcterms:modified>
</cp:coreProperties>
</file>