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1D935" w14:textId="77777777" w:rsidR="00507B22" w:rsidRPr="00345617" w:rsidRDefault="00507B22" w:rsidP="00345617">
      <w:pPr>
        <w:pStyle w:val="Sinespaciado"/>
        <w:spacing w:line="276" w:lineRule="auto"/>
        <w:jc w:val="center"/>
        <w:rPr>
          <w:rFonts w:ascii="Arial" w:hAnsi="Arial" w:cs="Arial"/>
          <w:sz w:val="24"/>
          <w:szCs w:val="24"/>
          <w:lang w:val="es-ES" w:eastAsia="zh-CN" w:bidi="hi-IN"/>
        </w:rPr>
      </w:pPr>
      <w:bookmarkStart w:id="0" w:name="_GoBack"/>
      <w:bookmarkEnd w:id="0"/>
      <w:r w:rsidRPr="00345617">
        <w:rPr>
          <w:rFonts w:ascii="Arial" w:hAnsi="Arial" w:cs="Arial"/>
          <w:noProof/>
          <w:sz w:val="24"/>
          <w:szCs w:val="24"/>
          <w:lang w:eastAsia="es-CR"/>
        </w:rPr>
        <w:drawing>
          <wp:inline distT="0" distB="0" distL="0" distR="0" wp14:anchorId="2F983435" wp14:editId="7D179D2F">
            <wp:extent cx="1164590" cy="86550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64590" cy="865505"/>
                    </a:xfrm>
                    <a:prstGeom prst="rect">
                      <a:avLst/>
                    </a:prstGeom>
                    <a:ln/>
                  </pic:spPr>
                </pic:pic>
              </a:graphicData>
            </a:graphic>
          </wp:inline>
        </w:drawing>
      </w:r>
    </w:p>
    <w:p w14:paraId="7D36A350" w14:textId="77777777" w:rsidR="00507B22" w:rsidRPr="00345617" w:rsidRDefault="00507B22" w:rsidP="00345617">
      <w:pPr>
        <w:pStyle w:val="Sinespaciado"/>
        <w:spacing w:line="276" w:lineRule="auto"/>
        <w:jc w:val="both"/>
        <w:rPr>
          <w:rFonts w:ascii="Arial" w:eastAsia="Arial" w:hAnsi="Arial" w:cs="Arial"/>
          <w:color w:val="000000"/>
          <w:sz w:val="24"/>
          <w:szCs w:val="24"/>
          <w:lang w:val="es-ES" w:eastAsia="zh-CN" w:bidi="hi-IN"/>
        </w:rPr>
      </w:pPr>
    </w:p>
    <w:p w14:paraId="342424D5" w14:textId="77777777" w:rsidR="00507B22" w:rsidRPr="00345617" w:rsidRDefault="00507B22" w:rsidP="00345617">
      <w:pPr>
        <w:pStyle w:val="Sinespaciado"/>
        <w:spacing w:line="276" w:lineRule="auto"/>
        <w:jc w:val="center"/>
        <w:rPr>
          <w:rFonts w:ascii="Arial" w:eastAsia="Arial" w:hAnsi="Arial" w:cs="Arial"/>
          <w:b/>
          <w:color w:val="000000"/>
          <w:sz w:val="28"/>
          <w:szCs w:val="28"/>
          <w:lang w:val="es-ES" w:eastAsia="zh-CN" w:bidi="hi-IN"/>
        </w:rPr>
      </w:pPr>
      <w:r w:rsidRPr="00345617">
        <w:rPr>
          <w:rFonts w:ascii="Arial" w:eastAsia="Arial" w:hAnsi="Arial" w:cs="Arial"/>
          <w:b/>
          <w:color w:val="000000"/>
          <w:sz w:val="28"/>
          <w:szCs w:val="28"/>
          <w:lang w:val="es-ES" w:eastAsia="zh-CN" w:bidi="hi-IN"/>
        </w:rPr>
        <w:t>COMISIÓN PERMANENTE ORDINARIA DE</w:t>
      </w:r>
    </w:p>
    <w:p w14:paraId="69A5C117" w14:textId="77777777" w:rsidR="00507B22" w:rsidRPr="00345617" w:rsidRDefault="00507B22" w:rsidP="00345617">
      <w:pPr>
        <w:pStyle w:val="Sinespaciado"/>
        <w:spacing w:line="276" w:lineRule="auto"/>
        <w:jc w:val="center"/>
        <w:rPr>
          <w:rFonts w:ascii="Arial" w:eastAsia="Arial" w:hAnsi="Arial" w:cs="Arial"/>
          <w:b/>
          <w:color w:val="000000"/>
          <w:sz w:val="28"/>
          <w:szCs w:val="28"/>
          <w:lang w:val="es-ES" w:eastAsia="zh-CN" w:bidi="hi-IN"/>
        </w:rPr>
      </w:pPr>
      <w:r w:rsidRPr="00345617">
        <w:rPr>
          <w:rFonts w:ascii="Arial" w:eastAsia="Arial" w:hAnsi="Arial" w:cs="Arial"/>
          <w:b/>
          <w:color w:val="000000"/>
          <w:sz w:val="28"/>
          <w:szCs w:val="28"/>
          <w:lang w:val="es-ES" w:eastAsia="zh-CN" w:bidi="hi-IN"/>
        </w:rPr>
        <w:t>ASUNTOS HACENDARIOS</w:t>
      </w:r>
    </w:p>
    <w:p w14:paraId="16ED74A9" w14:textId="77777777" w:rsidR="00507B22" w:rsidRPr="00345617" w:rsidRDefault="00507B22" w:rsidP="00345617">
      <w:pPr>
        <w:pStyle w:val="Sinespaciado"/>
        <w:spacing w:line="276" w:lineRule="auto"/>
        <w:jc w:val="center"/>
        <w:rPr>
          <w:rFonts w:ascii="Arial" w:eastAsia="Arial" w:hAnsi="Arial" w:cs="Arial"/>
          <w:color w:val="000000"/>
          <w:sz w:val="24"/>
          <w:szCs w:val="24"/>
          <w:lang w:val="es-ES" w:eastAsia="zh-CN" w:bidi="hi-IN"/>
        </w:rPr>
      </w:pPr>
    </w:p>
    <w:p w14:paraId="68EBDBD7"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160D6663"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6800344F"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38110071"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74291791"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4D565C25"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4CE88D06"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3E9DED9A"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60C5C58B"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72CDCAC7"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19ACFF33"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185BC9C1"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02B9565E"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0D3193E7" w14:textId="77777777" w:rsidR="00DC544F" w:rsidRDefault="00DC544F" w:rsidP="00345617">
      <w:pPr>
        <w:pStyle w:val="Sinespaciado"/>
        <w:spacing w:line="276" w:lineRule="auto"/>
        <w:jc w:val="center"/>
        <w:rPr>
          <w:rFonts w:ascii="Arial" w:eastAsia="Arial" w:hAnsi="Arial" w:cs="Arial"/>
          <w:color w:val="000000"/>
          <w:sz w:val="24"/>
          <w:szCs w:val="24"/>
          <w:lang w:val="es-ES" w:eastAsia="zh-CN" w:bidi="hi-IN"/>
        </w:rPr>
      </w:pPr>
    </w:p>
    <w:p w14:paraId="2EA1410D" w14:textId="1B32F6C5" w:rsidR="00507B22" w:rsidRPr="00345617" w:rsidRDefault="00507B22" w:rsidP="00345617">
      <w:pPr>
        <w:pStyle w:val="Sinespaciado"/>
        <w:spacing w:line="276" w:lineRule="auto"/>
        <w:jc w:val="center"/>
        <w:rPr>
          <w:rFonts w:ascii="Arial" w:eastAsia="Arial" w:hAnsi="Arial" w:cs="Arial"/>
          <w:color w:val="000000"/>
          <w:sz w:val="24"/>
          <w:szCs w:val="24"/>
          <w:lang w:val="es-ES" w:eastAsia="zh-CN" w:bidi="hi-IN"/>
        </w:rPr>
      </w:pPr>
      <w:r w:rsidRPr="00345617">
        <w:rPr>
          <w:rFonts w:ascii="Arial" w:eastAsia="Arial" w:hAnsi="Arial" w:cs="Arial"/>
          <w:color w:val="000000"/>
          <w:sz w:val="24"/>
          <w:szCs w:val="24"/>
          <w:lang w:val="es-ES" w:eastAsia="zh-CN" w:bidi="hi-IN"/>
        </w:rPr>
        <w:t>INFORME NEGATIVO DE MAYORÍA</w:t>
      </w:r>
    </w:p>
    <w:p w14:paraId="7B495866" w14:textId="77777777" w:rsidR="00507B22" w:rsidRPr="00345617" w:rsidRDefault="00507B22" w:rsidP="00345617">
      <w:pPr>
        <w:pStyle w:val="Sinespaciado"/>
        <w:spacing w:line="276" w:lineRule="auto"/>
        <w:jc w:val="center"/>
        <w:rPr>
          <w:rFonts w:ascii="Arial" w:eastAsia="Arial" w:hAnsi="Arial" w:cs="Arial"/>
          <w:color w:val="000000"/>
          <w:sz w:val="24"/>
          <w:szCs w:val="24"/>
          <w:lang w:val="es-ES" w:eastAsia="zh-CN" w:bidi="hi-IN"/>
        </w:rPr>
      </w:pPr>
    </w:p>
    <w:p w14:paraId="47D1489A" w14:textId="77777777" w:rsidR="00507B22" w:rsidRPr="00345617" w:rsidRDefault="00507B22" w:rsidP="00345617">
      <w:pPr>
        <w:pStyle w:val="Sinespaciado"/>
        <w:spacing w:line="276" w:lineRule="auto"/>
        <w:jc w:val="center"/>
        <w:rPr>
          <w:rFonts w:ascii="Arial" w:eastAsia="Arial" w:hAnsi="Arial" w:cs="Arial"/>
          <w:b/>
          <w:color w:val="000000"/>
          <w:sz w:val="24"/>
          <w:szCs w:val="24"/>
          <w:lang w:val="es-ES" w:eastAsia="zh-CN" w:bidi="hi-IN"/>
        </w:rPr>
      </w:pPr>
      <w:bookmarkStart w:id="1" w:name="_Hlk78140002"/>
      <w:r w:rsidRPr="00345617">
        <w:rPr>
          <w:rFonts w:ascii="Arial" w:eastAsia="Arial" w:hAnsi="Arial" w:cs="Arial"/>
          <w:b/>
          <w:color w:val="000000"/>
          <w:sz w:val="24"/>
          <w:szCs w:val="24"/>
          <w:lang w:val="es-ES" w:eastAsia="zh-CN" w:bidi="hi-IN"/>
        </w:rPr>
        <w:t>LIQUIDACIÓN DE PRESUPUESTOS PÚBLICOS Y DICTAMEN DE LA CONTRALORÍA GENERAL DE LA REPÚBLICA DEL 2020</w:t>
      </w:r>
    </w:p>
    <w:bookmarkEnd w:id="1"/>
    <w:p w14:paraId="42DB060D" w14:textId="77777777" w:rsidR="00507B22" w:rsidRPr="00345617" w:rsidRDefault="00507B22" w:rsidP="00345617">
      <w:pPr>
        <w:pStyle w:val="Sinespaciado"/>
        <w:spacing w:line="276" w:lineRule="auto"/>
        <w:jc w:val="both"/>
        <w:rPr>
          <w:rFonts w:ascii="Arial" w:eastAsia="SimSun" w:hAnsi="Arial" w:cs="Arial"/>
          <w:sz w:val="24"/>
          <w:szCs w:val="24"/>
          <w:lang w:val="es-ES" w:eastAsia="zh-CN" w:bidi="hi-IN"/>
        </w:rPr>
      </w:pPr>
    </w:p>
    <w:p w14:paraId="6783ECD9" w14:textId="4203AF1A" w:rsidR="00507B22" w:rsidRDefault="00507B22"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r w:rsidRPr="00345617">
        <w:rPr>
          <w:rFonts w:ascii="Arial" w:eastAsia="Arial" w:hAnsi="Arial" w:cs="Arial"/>
          <w:sz w:val="24"/>
          <w:szCs w:val="24"/>
          <w:lang w:val="es-ES" w:eastAsia="zh-CN" w:bidi="hi-IN"/>
        </w:rPr>
        <w:t>Expediente 22.508</w:t>
      </w:r>
    </w:p>
    <w:p w14:paraId="22615C67" w14:textId="0C229ABC"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2696E46E" w14:textId="05C62A67"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1E556E1D" w14:textId="4E6E06F5"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6E0DB639" w14:textId="1F14A504"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760B4B1D" w14:textId="2A4D8E60"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7C5BAFA5" w14:textId="646E44AD"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754D84E0" w14:textId="39EF7206"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31F61258" w14:textId="482A7C5B"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20F1865A" w14:textId="6CBBF59F" w:rsidR="00DC544F" w:rsidRDefault="00DC544F" w:rsidP="00345617">
      <w:pPr>
        <w:pStyle w:val="Sinespaciado"/>
        <w:pBdr>
          <w:bottom w:val="single" w:sz="4" w:space="1" w:color="auto"/>
        </w:pBdr>
        <w:spacing w:line="276" w:lineRule="auto"/>
        <w:jc w:val="right"/>
        <w:rPr>
          <w:rFonts w:ascii="Arial" w:eastAsia="Arial" w:hAnsi="Arial" w:cs="Arial"/>
          <w:sz w:val="24"/>
          <w:szCs w:val="24"/>
          <w:lang w:val="es-ES" w:eastAsia="zh-CN" w:bidi="hi-IN"/>
        </w:rPr>
      </w:pPr>
    </w:p>
    <w:p w14:paraId="01CAC72E" w14:textId="2814216B" w:rsidR="00DC544F" w:rsidRPr="006B046D" w:rsidRDefault="006B046D" w:rsidP="006B046D">
      <w:pPr>
        <w:pStyle w:val="Sinespaciado"/>
        <w:pBdr>
          <w:bottom w:val="single" w:sz="4" w:space="1" w:color="auto"/>
        </w:pBdr>
        <w:spacing w:line="276" w:lineRule="auto"/>
        <w:jc w:val="center"/>
        <w:rPr>
          <w:rFonts w:ascii="Arial" w:eastAsia="Arial" w:hAnsi="Arial" w:cs="Arial"/>
          <w:b/>
          <w:bCs/>
          <w:sz w:val="24"/>
          <w:szCs w:val="24"/>
          <w:lang w:val="es-ES" w:eastAsia="zh-CN" w:bidi="hi-IN"/>
        </w:rPr>
      </w:pPr>
      <w:r w:rsidRPr="006B046D">
        <w:rPr>
          <w:rFonts w:ascii="Arial" w:eastAsia="Arial" w:hAnsi="Arial" w:cs="Arial"/>
          <w:b/>
          <w:bCs/>
          <w:sz w:val="24"/>
          <w:szCs w:val="24"/>
          <w:lang w:val="es-ES" w:eastAsia="zh-CN" w:bidi="hi-IN"/>
        </w:rPr>
        <w:t>28 de julio de 2021</w:t>
      </w:r>
    </w:p>
    <w:p w14:paraId="4B222FA7" w14:textId="12AC9BA8" w:rsidR="00DC544F" w:rsidRDefault="00DC544F">
      <w:pPr>
        <w:rPr>
          <w:rFonts w:ascii="Arial" w:eastAsia="Arial" w:hAnsi="Arial" w:cs="Arial"/>
          <w:sz w:val="24"/>
          <w:szCs w:val="24"/>
          <w:lang w:val="es-ES" w:eastAsia="zh-CN" w:bidi="hi-IN"/>
        </w:rPr>
      </w:pPr>
      <w:r>
        <w:rPr>
          <w:rFonts w:ascii="Arial" w:eastAsia="Arial" w:hAnsi="Arial" w:cs="Arial"/>
          <w:sz w:val="24"/>
          <w:szCs w:val="24"/>
          <w:lang w:val="es-ES" w:eastAsia="zh-CN" w:bidi="hi-IN"/>
        </w:rPr>
        <w:br w:type="page"/>
      </w:r>
    </w:p>
    <w:sdt>
      <w:sdtPr>
        <w:rPr>
          <w:rFonts w:ascii="Arial" w:eastAsiaTheme="minorHAnsi" w:hAnsi="Arial" w:cs="Arial"/>
          <w:b/>
          <w:bCs/>
          <w:color w:val="auto"/>
          <w:sz w:val="22"/>
          <w:szCs w:val="22"/>
          <w:u w:val="single"/>
          <w:lang w:val="es-ES" w:eastAsia="en-US"/>
        </w:rPr>
        <w:id w:val="-1757127839"/>
        <w:docPartObj>
          <w:docPartGallery w:val="Table of Contents"/>
          <w:docPartUnique/>
        </w:docPartObj>
      </w:sdtPr>
      <w:sdtEndPr>
        <w:rPr>
          <w:u w:val="none"/>
        </w:rPr>
      </w:sdtEndPr>
      <w:sdtContent>
        <w:p w14:paraId="46C5F3B3" w14:textId="2A3B9A7C" w:rsidR="00FA76B4" w:rsidRPr="007537F3" w:rsidRDefault="00FA76B4" w:rsidP="0041793B">
          <w:pPr>
            <w:pStyle w:val="TtuloTDC"/>
            <w:spacing w:before="0" w:after="240"/>
            <w:rPr>
              <w:rFonts w:ascii="Arial" w:hAnsi="Arial" w:cs="Arial"/>
              <w:b/>
              <w:bCs/>
              <w:color w:val="auto"/>
              <w:sz w:val="22"/>
              <w:szCs w:val="22"/>
              <w:u w:val="single"/>
            </w:rPr>
          </w:pPr>
          <w:r w:rsidRPr="007537F3">
            <w:rPr>
              <w:rFonts w:ascii="Arial" w:hAnsi="Arial" w:cs="Arial"/>
              <w:b/>
              <w:bCs/>
              <w:color w:val="auto"/>
              <w:sz w:val="22"/>
              <w:szCs w:val="22"/>
              <w:u w:val="single"/>
              <w:lang w:val="es-ES"/>
            </w:rPr>
            <w:t>Contenido</w:t>
          </w:r>
        </w:p>
        <w:p w14:paraId="00ED87FD" w14:textId="319F67D1" w:rsidR="007537F3" w:rsidRPr="007537F3" w:rsidRDefault="00FA76B4">
          <w:pPr>
            <w:pStyle w:val="TDC1"/>
            <w:tabs>
              <w:tab w:val="left" w:pos="440"/>
              <w:tab w:val="right" w:leader="dot" w:pos="9394"/>
            </w:tabs>
            <w:rPr>
              <w:rFonts w:ascii="Arial" w:eastAsiaTheme="minorEastAsia" w:hAnsi="Arial" w:cs="Arial"/>
              <w:noProof/>
              <w:lang w:eastAsia="es-CR"/>
            </w:rPr>
          </w:pPr>
          <w:r w:rsidRPr="007537F3">
            <w:rPr>
              <w:rFonts w:ascii="Arial" w:hAnsi="Arial" w:cs="Arial"/>
            </w:rPr>
            <w:fldChar w:fldCharType="begin"/>
          </w:r>
          <w:r w:rsidRPr="007537F3">
            <w:rPr>
              <w:rFonts w:ascii="Arial" w:hAnsi="Arial" w:cs="Arial"/>
            </w:rPr>
            <w:instrText xml:space="preserve"> TOC \o "1-3" \h \z \u </w:instrText>
          </w:r>
          <w:r w:rsidRPr="007537F3">
            <w:rPr>
              <w:rFonts w:ascii="Arial" w:hAnsi="Arial" w:cs="Arial"/>
            </w:rPr>
            <w:fldChar w:fldCharType="separate"/>
          </w:r>
          <w:hyperlink w:anchor="_Toc78277700" w:history="1">
            <w:r w:rsidR="007537F3" w:rsidRPr="007537F3">
              <w:rPr>
                <w:rStyle w:val="Hipervnculo"/>
                <w:rFonts w:ascii="Arial" w:hAnsi="Arial" w:cs="Arial"/>
                <w:noProof/>
                <w:lang w:bidi="hi-IN"/>
              </w:rPr>
              <w:t>A.</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CONTEXTO FISCAL</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_Toc78277700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3</w:t>
            </w:r>
            <w:r w:rsidR="007537F3" w:rsidRPr="007537F3">
              <w:rPr>
                <w:rFonts w:ascii="Arial" w:hAnsi="Arial" w:cs="Arial"/>
                <w:noProof/>
                <w:webHidden/>
              </w:rPr>
              <w:fldChar w:fldCharType="end"/>
            </w:r>
          </w:hyperlink>
        </w:p>
        <w:p w14:paraId="3386B1AE" w14:textId="1867C7B1"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01" w:history="1">
            <w:r w:rsidR="007537F3" w:rsidRPr="007537F3">
              <w:rPr>
                <w:rStyle w:val="Hipervnculo"/>
                <w:rFonts w:ascii="Arial" w:hAnsi="Arial" w:cs="Arial"/>
                <w:noProof/>
                <w:lang w:bidi="hi-IN"/>
              </w:rPr>
              <w:t>1.</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Sobre los Ingresos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_Toc78277701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w:t>
            </w:r>
            <w:r w:rsidR="007537F3" w:rsidRPr="007537F3">
              <w:rPr>
                <w:rFonts w:ascii="Arial" w:hAnsi="Arial" w:cs="Arial"/>
                <w:noProof/>
                <w:webHidden/>
              </w:rPr>
              <w:fldChar w:fldCharType="end"/>
            </w:r>
          </w:hyperlink>
        </w:p>
        <w:p w14:paraId="515B1F9A" w14:textId="0E5D1467"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02" w:history="1">
            <w:r w:rsidR="007537F3" w:rsidRPr="007537F3">
              <w:rPr>
                <w:rStyle w:val="Hipervnculo"/>
                <w:rFonts w:ascii="Arial" w:hAnsi="Arial" w:cs="Arial"/>
                <w:noProof/>
                <w:lang w:bidi="hi-IN"/>
              </w:rPr>
              <w:t>2.</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Sobre los Gastos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_Toc78277702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12</w:t>
            </w:r>
            <w:r w:rsidR="007537F3" w:rsidRPr="007537F3">
              <w:rPr>
                <w:rFonts w:ascii="Arial" w:hAnsi="Arial" w:cs="Arial"/>
                <w:noProof/>
                <w:webHidden/>
              </w:rPr>
              <w:fldChar w:fldCharType="end"/>
            </w:r>
          </w:hyperlink>
        </w:p>
        <w:p w14:paraId="2FD82F8D" w14:textId="0EDE7340"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03" w:history="1">
            <w:r w:rsidR="007537F3" w:rsidRPr="007537F3">
              <w:rPr>
                <w:rStyle w:val="Hipervnculo"/>
                <w:rFonts w:ascii="Arial" w:hAnsi="Arial" w:cs="Arial"/>
                <w:noProof/>
                <w:lang w:bidi="hi-IN"/>
              </w:rPr>
              <w:t>3.</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Déficit Financiero y Déficit Primario</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_Toc78277703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15</w:t>
            </w:r>
            <w:r w:rsidR="007537F3" w:rsidRPr="007537F3">
              <w:rPr>
                <w:rFonts w:ascii="Arial" w:hAnsi="Arial" w:cs="Arial"/>
                <w:noProof/>
                <w:webHidden/>
              </w:rPr>
              <w:fldChar w:fldCharType="end"/>
            </w:r>
          </w:hyperlink>
        </w:p>
        <w:p w14:paraId="13A4F2DE" w14:textId="7808E481"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04" w:history="1">
            <w:r w:rsidR="007537F3" w:rsidRPr="007537F3">
              <w:rPr>
                <w:rStyle w:val="Hipervnculo"/>
                <w:rFonts w:ascii="Arial" w:hAnsi="Arial" w:cs="Arial"/>
                <w:noProof/>
                <w:lang w:bidi="hi-IN"/>
              </w:rPr>
              <w:t>4.</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Ruta propuesta por el actual Gobierno</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_Toc78277704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20</w:t>
            </w:r>
            <w:r w:rsidR="007537F3" w:rsidRPr="007537F3">
              <w:rPr>
                <w:rFonts w:ascii="Arial" w:hAnsi="Arial" w:cs="Arial"/>
                <w:noProof/>
                <w:webHidden/>
              </w:rPr>
              <w:fldChar w:fldCharType="end"/>
            </w:r>
          </w:hyperlink>
        </w:p>
        <w:p w14:paraId="3A05DC6E" w14:textId="2B7F3C96"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05" w:history="1">
            <w:r w:rsidR="007537F3" w:rsidRPr="007537F3">
              <w:rPr>
                <w:rStyle w:val="Hipervnculo"/>
                <w:rFonts w:ascii="Arial" w:hAnsi="Arial" w:cs="Arial"/>
                <w:noProof/>
                <w:lang w:bidi="hi-IN"/>
              </w:rPr>
              <w:t>B.</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CONTRATOS DE PRÉSTAMO PARA APOYO PRESUPUESTARIO</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_Toc78277705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21</w:t>
            </w:r>
            <w:r w:rsidR="007537F3" w:rsidRPr="007537F3">
              <w:rPr>
                <w:rFonts w:ascii="Arial" w:hAnsi="Arial" w:cs="Arial"/>
                <w:noProof/>
                <w:webHidden/>
              </w:rPr>
              <w:fldChar w:fldCharType="end"/>
            </w:r>
          </w:hyperlink>
        </w:p>
        <w:p w14:paraId="0DE64121" w14:textId="0BF2F896"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06" w:history="1">
            <w:r w:rsidR="007537F3" w:rsidRPr="007537F3">
              <w:rPr>
                <w:rStyle w:val="Hipervnculo"/>
                <w:rFonts w:ascii="Arial" w:hAnsi="Arial" w:cs="Arial"/>
                <w:noProof/>
                <w:lang w:bidi="hi-IN"/>
              </w:rPr>
              <w:t>C.</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SOBRE LA REGLA FISCAL</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_Toc78277706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25</w:t>
            </w:r>
            <w:r w:rsidR="007537F3" w:rsidRPr="007537F3">
              <w:rPr>
                <w:rFonts w:ascii="Arial" w:hAnsi="Arial" w:cs="Arial"/>
                <w:noProof/>
                <w:webHidden/>
              </w:rPr>
              <w:fldChar w:fldCharType="end"/>
            </w:r>
          </w:hyperlink>
        </w:p>
        <w:p w14:paraId="555D484F" w14:textId="79F1735C"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07" w:history="1">
            <w:r w:rsidR="007537F3" w:rsidRPr="007537F3">
              <w:rPr>
                <w:rStyle w:val="Hipervnculo"/>
                <w:rFonts w:ascii="Arial" w:hAnsi="Arial" w:cs="Arial"/>
                <w:noProof/>
                <w:lang w:bidi="hi-IN"/>
              </w:rPr>
              <w:t>1.</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Comentarios metodológicos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_Toc78277707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26</w:t>
            </w:r>
            <w:r w:rsidR="007537F3" w:rsidRPr="007537F3">
              <w:rPr>
                <w:rFonts w:ascii="Arial" w:hAnsi="Arial" w:cs="Arial"/>
                <w:noProof/>
                <w:webHidden/>
              </w:rPr>
              <w:fldChar w:fldCharType="end"/>
            </w:r>
          </w:hyperlink>
        </w:p>
        <w:p w14:paraId="76ABD6D0" w14:textId="381F762E"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08" w:history="1">
            <w:r w:rsidR="007537F3" w:rsidRPr="007537F3">
              <w:rPr>
                <w:rStyle w:val="Hipervnculo"/>
                <w:rFonts w:ascii="Arial" w:hAnsi="Arial" w:cs="Arial"/>
                <w:noProof/>
                <w:lang w:bidi="hi-IN"/>
              </w:rPr>
              <w:t>2.</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Sobre el cumplimiento y sus efectos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_Toc78277708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27</w:t>
            </w:r>
            <w:r w:rsidR="007537F3" w:rsidRPr="007537F3">
              <w:rPr>
                <w:rFonts w:ascii="Arial" w:hAnsi="Arial" w:cs="Arial"/>
                <w:noProof/>
                <w:webHidden/>
              </w:rPr>
              <w:fldChar w:fldCharType="end"/>
            </w:r>
          </w:hyperlink>
        </w:p>
        <w:p w14:paraId="395CDAC8" w14:textId="35D1EDB2"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09" w:history="1">
            <w:r w:rsidR="007537F3" w:rsidRPr="007537F3">
              <w:rPr>
                <w:rStyle w:val="Hipervnculo"/>
                <w:rFonts w:ascii="Arial" w:hAnsi="Arial" w:cs="Arial"/>
                <w:noProof/>
                <w:lang w:bidi="hi-IN"/>
              </w:rPr>
              <w:t>D.</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RAZONES PUNTUALES POR LAS CUALES LA CONTRALORÍA GENERAL DE LA REPÚBLICA NO AVALA LA LIQUIDACIÓN DE INGRESOS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_Toc78277709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29</w:t>
            </w:r>
            <w:r w:rsidR="007537F3" w:rsidRPr="007537F3">
              <w:rPr>
                <w:rFonts w:ascii="Arial" w:hAnsi="Arial" w:cs="Arial"/>
                <w:noProof/>
                <w:webHidden/>
              </w:rPr>
              <w:fldChar w:fldCharType="end"/>
            </w:r>
          </w:hyperlink>
        </w:p>
        <w:p w14:paraId="3A41EFD1" w14:textId="65741D52"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10" w:history="1">
            <w:r w:rsidR="007537F3" w:rsidRPr="007537F3">
              <w:rPr>
                <w:rStyle w:val="Hipervnculo"/>
                <w:rFonts w:ascii="Arial" w:hAnsi="Arial" w:cs="Arial"/>
                <w:noProof/>
                <w:lang w:bidi="hi-IN"/>
              </w:rPr>
              <w:t>E.</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RAZONES PUNTUALES POR LAS CUALES LA CONTRALORÍA GENERAL DE LA REPÚBLICA NO AVALA LA LIQUIDACIÓN DE EGRESOS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_Toc78277710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30</w:t>
            </w:r>
            <w:r w:rsidR="007537F3" w:rsidRPr="007537F3">
              <w:rPr>
                <w:rFonts w:ascii="Arial" w:hAnsi="Arial" w:cs="Arial"/>
                <w:noProof/>
                <w:webHidden/>
              </w:rPr>
              <w:fldChar w:fldCharType="end"/>
            </w:r>
          </w:hyperlink>
        </w:p>
        <w:p w14:paraId="0E99F181" w14:textId="357C3219"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11" w:history="1">
            <w:r w:rsidR="007537F3" w:rsidRPr="007537F3">
              <w:rPr>
                <w:rStyle w:val="Hipervnculo"/>
                <w:rFonts w:ascii="Arial" w:hAnsi="Arial" w:cs="Arial"/>
                <w:noProof/>
                <w:lang w:bidi="hi-IN"/>
              </w:rPr>
              <w:t>F.</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RAZONES PUNTUALES POR LAS CUALES LA CONTRALORÍA GENERAL DE LA REPÚBLICA NO AVALA LOS RESULTADOS FÍSICOS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_Toc78277711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36</w:t>
            </w:r>
            <w:r w:rsidR="007537F3" w:rsidRPr="007537F3">
              <w:rPr>
                <w:rFonts w:ascii="Arial" w:hAnsi="Arial" w:cs="Arial"/>
                <w:noProof/>
                <w:webHidden/>
              </w:rPr>
              <w:fldChar w:fldCharType="end"/>
            </w:r>
          </w:hyperlink>
        </w:p>
        <w:p w14:paraId="42D2ADC4" w14:textId="625A5EBE"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12" w:history="1">
            <w:r w:rsidR="007537F3" w:rsidRPr="007537F3">
              <w:rPr>
                <w:rStyle w:val="Hipervnculo"/>
                <w:rFonts w:ascii="Arial" w:hAnsi="Arial" w:cs="Arial"/>
                <w:noProof/>
                <w:lang w:bidi="hi-IN"/>
              </w:rPr>
              <w:t>G.</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RAZONES PUNTUALES POR LAS CUALES LA CONTRALORÍA GENERAL DE LA REPÚBLICA AVALA PARCIALMENTE EL CUMPLIMIENTO DE METAS Y OBJETIVOS DEL PLAN NACIONAL DE DESARROLLO E INVERSIÓN PÚBLICA</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_Toc78277712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37</w:t>
            </w:r>
            <w:r w:rsidR="007537F3" w:rsidRPr="007537F3">
              <w:rPr>
                <w:rFonts w:ascii="Arial" w:hAnsi="Arial" w:cs="Arial"/>
                <w:noProof/>
                <w:webHidden/>
              </w:rPr>
              <w:fldChar w:fldCharType="end"/>
            </w:r>
          </w:hyperlink>
        </w:p>
        <w:p w14:paraId="2761121E" w14:textId="31D298A0"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13" w:history="1">
            <w:r w:rsidR="007537F3" w:rsidRPr="007537F3">
              <w:rPr>
                <w:rStyle w:val="Hipervnculo"/>
                <w:rFonts w:ascii="Arial" w:hAnsi="Arial" w:cs="Arial"/>
                <w:noProof/>
                <w:lang w:bidi="hi-IN"/>
              </w:rPr>
              <w:t>1.</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Aspectos destacables de la medición de la efectividad de los programas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_Toc78277713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38</w:t>
            </w:r>
            <w:r w:rsidR="007537F3" w:rsidRPr="007537F3">
              <w:rPr>
                <w:rFonts w:ascii="Arial" w:hAnsi="Arial" w:cs="Arial"/>
                <w:noProof/>
                <w:webHidden/>
              </w:rPr>
              <w:fldChar w:fldCharType="end"/>
            </w:r>
          </w:hyperlink>
        </w:p>
        <w:p w14:paraId="5200E18A" w14:textId="6D92EA20"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14" w:history="1">
            <w:r w:rsidR="007537F3" w:rsidRPr="007537F3">
              <w:rPr>
                <w:rStyle w:val="Hipervnculo"/>
                <w:rFonts w:ascii="Arial" w:hAnsi="Arial" w:cs="Arial"/>
                <w:noProof/>
                <w:lang w:bidi="hi-IN"/>
              </w:rPr>
              <w:t>2.</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Costo unitario de los servicios públicos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_Toc78277714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39</w:t>
            </w:r>
            <w:r w:rsidR="007537F3" w:rsidRPr="007537F3">
              <w:rPr>
                <w:rFonts w:ascii="Arial" w:hAnsi="Arial" w:cs="Arial"/>
                <w:noProof/>
                <w:webHidden/>
              </w:rPr>
              <w:fldChar w:fldCharType="end"/>
            </w:r>
          </w:hyperlink>
        </w:p>
        <w:p w14:paraId="06D94068" w14:textId="2A1A8D2D"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15" w:history="1">
            <w:r w:rsidR="007537F3" w:rsidRPr="007537F3">
              <w:rPr>
                <w:rStyle w:val="Hipervnculo"/>
                <w:rFonts w:ascii="Arial" w:hAnsi="Arial" w:cs="Arial"/>
                <w:noProof/>
                <w:lang w:bidi="hi-IN"/>
              </w:rPr>
              <w:t>3.</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Sobre la metodología de MIDEPLAN para el seguimiento del PNDIP.</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_Toc78277715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40</w:t>
            </w:r>
            <w:r w:rsidR="007537F3" w:rsidRPr="007537F3">
              <w:rPr>
                <w:rFonts w:ascii="Arial" w:hAnsi="Arial" w:cs="Arial"/>
                <w:noProof/>
                <w:webHidden/>
              </w:rPr>
              <w:fldChar w:fldCharType="end"/>
            </w:r>
          </w:hyperlink>
        </w:p>
        <w:p w14:paraId="57887E04" w14:textId="35D38EB0"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16" w:history="1">
            <w:r w:rsidR="007537F3" w:rsidRPr="007537F3">
              <w:rPr>
                <w:rStyle w:val="Hipervnculo"/>
                <w:rFonts w:ascii="Arial" w:hAnsi="Arial" w:cs="Arial"/>
                <w:noProof/>
                <w:lang w:bidi="hi-IN"/>
              </w:rPr>
              <w:t>4.</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Sobre la calidad de la información suministrada por MIDEPLAN.</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_Toc78277716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41</w:t>
            </w:r>
            <w:r w:rsidR="007537F3" w:rsidRPr="007537F3">
              <w:rPr>
                <w:rFonts w:ascii="Arial" w:hAnsi="Arial" w:cs="Arial"/>
                <w:noProof/>
                <w:webHidden/>
              </w:rPr>
              <w:fldChar w:fldCharType="end"/>
            </w:r>
          </w:hyperlink>
        </w:p>
        <w:p w14:paraId="2A574E0D" w14:textId="2EB443C5"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17" w:history="1">
            <w:r w:rsidR="007537F3" w:rsidRPr="007537F3">
              <w:rPr>
                <w:rStyle w:val="Hipervnculo"/>
                <w:rFonts w:ascii="Arial" w:hAnsi="Arial" w:cs="Arial"/>
                <w:noProof/>
                <w:lang w:bidi="hi-IN"/>
              </w:rPr>
              <w:t>5.</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Fundamento para la opinión con reservas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_Toc78277717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41</w:t>
            </w:r>
            <w:r w:rsidR="007537F3" w:rsidRPr="007537F3">
              <w:rPr>
                <w:rFonts w:ascii="Arial" w:hAnsi="Arial" w:cs="Arial"/>
                <w:noProof/>
                <w:webHidden/>
              </w:rPr>
              <w:fldChar w:fldCharType="end"/>
            </w:r>
          </w:hyperlink>
        </w:p>
        <w:p w14:paraId="725A0018" w14:textId="7F6FBE69"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18" w:history="1">
            <w:r w:rsidR="007537F3" w:rsidRPr="007537F3">
              <w:rPr>
                <w:rStyle w:val="Hipervnculo"/>
                <w:rFonts w:ascii="Arial" w:hAnsi="Arial" w:cs="Arial"/>
                <w:noProof/>
                <w:lang w:bidi="hi-IN"/>
              </w:rPr>
              <w:t>H.</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PRINCIPIOS PRESUPUESTARIOS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_Toc78277718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42</w:t>
            </w:r>
            <w:r w:rsidR="007537F3" w:rsidRPr="007537F3">
              <w:rPr>
                <w:rFonts w:ascii="Arial" w:hAnsi="Arial" w:cs="Arial"/>
                <w:noProof/>
                <w:webHidden/>
              </w:rPr>
              <w:fldChar w:fldCharType="end"/>
            </w:r>
          </w:hyperlink>
        </w:p>
        <w:p w14:paraId="01C27B7A" w14:textId="06D99480"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19" w:history="1">
            <w:r w:rsidR="007537F3" w:rsidRPr="007537F3">
              <w:rPr>
                <w:rStyle w:val="Hipervnculo"/>
                <w:rFonts w:ascii="Arial" w:hAnsi="Arial" w:cs="Arial"/>
                <w:noProof/>
                <w:lang w:bidi="hi-IN"/>
              </w:rPr>
              <w:t>1.</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 de Universalidad e integridad</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_Toc78277719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42</w:t>
            </w:r>
            <w:r w:rsidR="007537F3" w:rsidRPr="007537F3">
              <w:rPr>
                <w:rFonts w:ascii="Arial" w:hAnsi="Arial" w:cs="Arial"/>
                <w:noProof/>
                <w:webHidden/>
              </w:rPr>
              <w:fldChar w:fldCharType="end"/>
            </w:r>
          </w:hyperlink>
        </w:p>
        <w:p w14:paraId="1D07BA62" w14:textId="224BA237"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20" w:history="1">
            <w:r w:rsidR="007537F3" w:rsidRPr="007537F3">
              <w:rPr>
                <w:rStyle w:val="Hipervnculo"/>
                <w:rFonts w:ascii="Arial" w:hAnsi="Arial" w:cs="Arial"/>
                <w:noProof/>
                <w:lang w:bidi="hi-IN"/>
              </w:rPr>
              <w:t>2.</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 de Gestión Financiera</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_Toc78277720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44</w:t>
            </w:r>
            <w:r w:rsidR="007537F3" w:rsidRPr="007537F3">
              <w:rPr>
                <w:rFonts w:ascii="Arial" w:hAnsi="Arial" w:cs="Arial"/>
                <w:noProof/>
                <w:webHidden/>
              </w:rPr>
              <w:fldChar w:fldCharType="end"/>
            </w:r>
          </w:hyperlink>
        </w:p>
        <w:p w14:paraId="4C860AE2" w14:textId="333C2DFB"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21" w:history="1">
            <w:r w:rsidR="007537F3" w:rsidRPr="007537F3">
              <w:rPr>
                <w:rStyle w:val="Hipervnculo"/>
                <w:rFonts w:ascii="Arial" w:hAnsi="Arial" w:cs="Arial"/>
                <w:noProof/>
                <w:lang w:bidi="hi-IN"/>
              </w:rPr>
              <w:t>3.</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 de Equilibrio Presupuestario</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_Toc78277721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44</w:t>
            </w:r>
            <w:r w:rsidR="007537F3" w:rsidRPr="007537F3">
              <w:rPr>
                <w:rFonts w:ascii="Arial" w:hAnsi="Arial" w:cs="Arial"/>
                <w:noProof/>
                <w:webHidden/>
              </w:rPr>
              <w:fldChar w:fldCharType="end"/>
            </w:r>
          </w:hyperlink>
        </w:p>
        <w:p w14:paraId="4D5C634E" w14:textId="3526409C"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22" w:history="1">
            <w:r w:rsidR="007537F3" w:rsidRPr="007537F3">
              <w:rPr>
                <w:rStyle w:val="Hipervnculo"/>
                <w:rFonts w:ascii="Arial" w:hAnsi="Arial" w:cs="Arial"/>
                <w:noProof/>
                <w:lang w:bidi="hi-IN"/>
              </w:rPr>
              <w:t>4.</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 de Anualidad</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_Toc78277722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47</w:t>
            </w:r>
            <w:r w:rsidR="007537F3" w:rsidRPr="007537F3">
              <w:rPr>
                <w:rFonts w:ascii="Arial" w:hAnsi="Arial" w:cs="Arial"/>
                <w:noProof/>
                <w:webHidden/>
              </w:rPr>
              <w:fldChar w:fldCharType="end"/>
            </w:r>
          </w:hyperlink>
        </w:p>
        <w:p w14:paraId="6C5A940E" w14:textId="10058713"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23" w:history="1">
            <w:r w:rsidR="007537F3" w:rsidRPr="007537F3">
              <w:rPr>
                <w:rStyle w:val="Hipervnculo"/>
                <w:rFonts w:ascii="Arial" w:hAnsi="Arial" w:cs="Arial"/>
                <w:noProof/>
                <w:lang w:bidi="hi-IN"/>
              </w:rPr>
              <w:t>5.</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 de Programación</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_Toc78277723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49</w:t>
            </w:r>
            <w:r w:rsidR="007537F3" w:rsidRPr="007537F3">
              <w:rPr>
                <w:rFonts w:ascii="Arial" w:hAnsi="Arial" w:cs="Arial"/>
                <w:noProof/>
                <w:webHidden/>
              </w:rPr>
              <w:fldChar w:fldCharType="end"/>
            </w:r>
          </w:hyperlink>
        </w:p>
        <w:p w14:paraId="69EECC6D" w14:textId="235F9552"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24" w:history="1">
            <w:r w:rsidR="007537F3" w:rsidRPr="007537F3">
              <w:rPr>
                <w:rStyle w:val="Hipervnculo"/>
                <w:rFonts w:ascii="Arial" w:hAnsi="Arial" w:cs="Arial"/>
                <w:noProof/>
                <w:lang w:bidi="hi-IN"/>
              </w:rPr>
              <w:t>6.</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 de Especialidad Cuantitativa y Cualitativa</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_Toc78277724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49</w:t>
            </w:r>
            <w:r w:rsidR="007537F3" w:rsidRPr="007537F3">
              <w:rPr>
                <w:rFonts w:ascii="Arial" w:hAnsi="Arial" w:cs="Arial"/>
                <w:noProof/>
                <w:webHidden/>
              </w:rPr>
              <w:fldChar w:fldCharType="end"/>
            </w:r>
          </w:hyperlink>
        </w:p>
        <w:p w14:paraId="09256ECE" w14:textId="300CEB98" w:rsidR="007537F3" w:rsidRPr="007537F3" w:rsidRDefault="003C0585">
          <w:pPr>
            <w:pStyle w:val="TDC2"/>
            <w:tabs>
              <w:tab w:val="left" w:pos="660"/>
              <w:tab w:val="right" w:leader="dot" w:pos="9394"/>
            </w:tabs>
            <w:rPr>
              <w:rFonts w:ascii="Arial" w:eastAsiaTheme="minorEastAsia" w:hAnsi="Arial" w:cs="Arial"/>
              <w:noProof/>
              <w:lang w:eastAsia="es-CR"/>
            </w:rPr>
          </w:pPr>
          <w:hyperlink w:anchor="_Toc78277725" w:history="1">
            <w:r w:rsidR="007537F3" w:rsidRPr="007537F3">
              <w:rPr>
                <w:rStyle w:val="Hipervnculo"/>
                <w:rFonts w:ascii="Arial" w:hAnsi="Arial" w:cs="Arial"/>
                <w:noProof/>
                <w:lang w:bidi="hi-IN"/>
              </w:rPr>
              <w:t>7.</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Principio de Publicidad</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_Toc78277725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50</w:t>
            </w:r>
            <w:r w:rsidR="007537F3" w:rsidRPr="007537F3">
              <w:rPr>
                <w:rFonts w:ascii="Arial" w:hAnsi="Arial" w:cs="Arial"/>
                <w:noProof/>
                <w:webHidden/>
              </w:rPr>
              <w:fldChar w:fldCharType="end"/>
            </w:r>
          </w:hyperlink>
        </w:p>
        <w:p w14:paraId="7C189C50" w14:textId="56AA323A"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26" w:history="1">
            <w:r w:rsidR="007537F3" w:rsidRPr="007537F3">
              <w:rPr>
                <w:rStyle w:val="Hipervnculo"/>
                <w:rFonts w:ascii="Arial" w:hAnsi="Arial" w:cs="Arial"/>
                <w:noProof/>
                <w:lang w:bidi="hi-IN"/>
              </w:rPr>
              <w:t>I.</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EJECUCIÓN DE CRÉDITOS EXTERNOS PARA INVERSIÓN PÚBLICA</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_Toc78277726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51</w:t>
            </w:r>
            <w:r w:rsidR="007537F3" w:rsidRPr="007537F3">
              <w:rPr>
                <w:rFonts w:ascii="Arial" w:hAnsi="Arial" w:cs="Arial"/>
                <w:noProof/>
                <w:webHidden/>
              </w:rPr>
              <w:fldChar w:fldCharType="end"/>
            </w:r>
          </w:hyperlink>
        </w:p>
        <w:p w14:paraId="5731B434" w14:textId="27DE7FBA" w:rsidR="007537F3" w:rsidRPr="007537F3" w:rsidRDefault="003C0585">
          <w:pPr>
            <w:pStyle w:val="TDC1"/>
            <w:tabs>
              <w:tab w:val="left" w:pos="440"/>
              <w:tab w:val="right" w:leader="dot" w:pos="9394"/>
            </w:tabs>
            <w:rPr>
              <w:rFonts w:ascii="Arial" w:eastAsiaTheme="minorEastAsia" w:hAnsi="Arial" w:cs="Arial"/>
              <w:noProof/>
              <w:lang w:eastAsia="es-CR"/>
            </w:rPr>
          </w:pPr>
          <w:hyperlink w:anchor="_Toc78277727" w:history="1">
            <w:r w:rsidR="007537F3" w:rsidRPr="007537F3">
              <w:rPr>
                <w:rStyle w:val="Hipervnculo"/>
                <w:rFonts w:ascii="Arial" w:hAnsi="Arial" w:cs="Arial"/>
                <w:noProof/>
                <w:lang w:bidi="hi-IN"/>
              </w:rPr>
              <w:t>J.</w:t>
            </w:r>
            <w:r w:rsidR="007537F3" w:rsidRPr="007537F3">
              <w:rPr>
                <w:rFonts w:ascii="Arial" w:eastAsiaTheme="minorEastAsia" w:hAnsi="Arial" w:cs="Arial"/>
                <w:noProof/>
                <w:lang w:eastAsia="es-CR"/>
              </w:rPr>
              <w:tab/>
            </w:r>
            <w:r w:rsidR="007537F3" w:rsidRPr="007537F3">
              <w:rPr>
                <w:rStyle w:val="Hipervnculo"/>
                <w:rFonts w:ascii="Arial" w:hAnsi="Arial" w:cs="Arial"/>
                <w:noProof/>
                <w:lang w:bidi="hi-IN"/>
              </w:rPr>
              <w:t>CONCLUSIONES Y DISPOSICIONES</w:t>
            </w:r>
            <w:r w:rsidR="007537F3" w:rsidRPr="007537F3">
              <w:rPr>
                <w:rFonts w:ascii="Arial" w:hAnsi="Arial" w:cs="Arial"/>
                <w:noProof/>
                <w:webHidden/>
              </w:rPr>
              <w:tab/>
            </w:r>
            <w:r w:rsidR="007537F3" w:rsidRPr="007537F3">
              <w:rPr>
                <w:rFonts w:ascii="Arial" w:hAnsi="Arial" w:cs="Arial"/>
                <w:noProof/>
                <w:webHidden/>
              </w:rPr>
              <w:fldChar w:fldCharType="begin"/>
            </w:r>
            <w:r w:rsidR="007537F3" w:rsidRPr="007537F3">
              <w:rPr>
                <w:rFonts w:ascii="Arial" w:hAnsi="Arial" w:cs="Arial"/>
                <w:noProof/>
                <w:webHidden/>
              </w:rPr>
              <w:instrText xml:space="preserve"> PAGEREF _Toc78277727 \h </w:instrText>
            </w:r>
            <w:r w:rsidR="007537F3" w:rsidRPr="007537F3">
              <w:rPr>
                <w:rFonts w:ascii="Arial" w:hAnsi="Arial" w:cs="Arial"/>
                <w:noProof/>
                <w:webHidden/>
              </w:rPr>
            </w:r>
            <w:r w:rsidR="007537F3" w:rsidRPr="007537F3">
              <w:rPr>
                <w:rFonts w:ascii="Arial" w:hAnsi="Arial" w:cs="Arial"/>
                <w:noProof/>
                <w:webHidden/>
              </w:rPr>
              <w:fldChar w:fldCharType="separate"/>
            </w:r>
            <w:r w:rsidR="00320FC0">
              <w:rPr>
                <w:rFonts w:ascii="Arial" w:hAnsi="Arial" w:cs="Arial"/>
                <w:noProof/>
                <w:webHidden/>
              </w:rPr>
              <w:t>56</w:t>
            </w:r>
            <w:r w:rsidR="007537F3" w:rsidRPr="007537F3">
              <w:rPr>
                <w:rFonts w:ascii="Arial" w:hAnsi="Arial" w:cs="Arial"/>
                <w:noProof/>
                <w:webHidden/>
              </w:rPr>
              <w:fldChar w:fldCharType="end"/>
            </w:r>
          </w:hyperlink>
        </w:p>
        <w:p w14:paraId="3322FA76" w14:textId="28DB1492" w:rsidR="00FA76B4" w:rsidRDefault="00FA76B4">
          <w:r w:rsidRPr="007537F3">
            <w:rPr>
              <w:rFonts w:ascii="Arial" w:hAnsi="Arial" w:cs="Arial"/>
              <w:b/>
              <w:bCs/>
              <w:lang w:val="es-ES"/>
            </w:rPr>
            <w:fldChar w:fldCharType="end"/>
          </w:r>
        </w:p>
      </w:sdtContent>
    </w:sdt>
    <w:p w14:paraId="070A3B02" w14:textId="77777777" w:rsidR="004724D3" w:rsidRDefault="004724D3">
      <w:pPr>
        <w:rPr>
          <w:rFonts w:ascii="Arial" w:eastAsia="Arial" w:hAnsi="Arial" w:cs="Arial"/>
          <w:b/>
          <w:color w:val="000000"/>
          <w:sz w:val="24"/>
          <w:szCs w:val="24"/>
          <w:lang w:val="es-ES" w:eastAsia="zh-CN" w:bidi="hi-IN"/>
        </w:rPr>
        <w:sectPr w:rsidR="004724D3" w:rsidSect="004724D3">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cols w:space="708"/>
          <w:docGrid w:linePitch="360"/>
        </w:sectPr>
      </w:pPr>
    </w:p>
    <w:p w14:paraId="1E15C748" w14:textId="77777777" w:rsidR="00DC544F" w:rsidRDefault="00DC544F" w:rsidP="00DC544F">
      <w:pPr>
        <w:pStyle w:val="Sinespaciado"/>
        <w:spacing w:line="276" w:lineRule="auto"/>
        <w:jc w:val="both"/>
        <w:rPr>
          <w:rFonts w:ascii="Arial" w:eastAsia="Arial" w:hAnsi="Arial" w:cs="Arial"/>
          <w:b/>
          <w:sz w:val="24"/>
          <w:szCs w:val="24"/>
          <w:lang w:val="es-ES" w:eastAsia="zh-CN" w:bidi="hi-IN"/>
        </w:rPr>
      </w:pPr>
      <w:r w:rsidRPr="00345617">
        <w:rPr>
          <w:rFonts w:ascii="Arial" w:eastAsia="Arial" w:hAnsi="Arial" w:cs="Arial"/>
          <w:b/>
          <w:sz w:val="24"/>
          <w:szCs w:val="24"/>
          <w:lang w:val="es-ES" w:eastAsia="zh-CN" w:bidi="hi-IN"/>
        </w:rPr>
        <w:t>ASAMBLEA LEGISLATIVA:</w:t>
      </w:r>
    </w:p>
    <w:p w14:paraId="448AE135" w14:textId="77777777" w:rsidR="00DC544F" w:rsidRPr="00345617" w:rsidRDefault="00DC544F" w:rsidP="00DC544F">
      <w:pPr>
        <w:pStyle w:val="Sinespaciado"/>
        <w:spacing w:line="276" w:lineRule="auto"/>
        <w:jc w:val="both"/>
        <w:rPr>
          <w:rFonts w:ascii="Arial" w:eastAsia="Arial" w:hAnsi="Arial" w:cs="Arial"/>
          <w:b/>
          <w:sz w:val="24"/>
          <w:szCs w:val="24"/>
          <w:lang w:val="es-ES" w:eastAsia="zh-CN" w:bidi="hi-IN"/>
        </w:rPr>
      </w:pPr>
    </w:p>
    <w:p w14:paraId="1EEE961B" w14:textId="77777777" w:rsidR="00DC544F" w:rsidRDefault="00DC544F" w:rsidP="00DC544F">
      <w:pPr>
        <w:pStyle w:val="Sinespaciado"/>
        <w:spacing w:after="240" w:line="276" w:lineRule="auto"/>
        <w:jc w:val="both"/>
        <w:rPr>
          <w:rFonts w:ascii="Arial" w:eastAsia="Arial" w:hAnsi="Arial" w:cs="Arial"/>
          <w:color w:val="000000"/>
          <w:sz w:val="24"/>
          <w:szCs w:val="24"/>
          <w:lang w:val="es-ES" w:eastAsia="zh-CN" w:bidi="hi-IN"/>
        </w:rPr>
      </w:pPr>
      <w:r w:rsidRPr="00345617">
        <w:rPr>
          <w:rFonts w:ascii="Arial" w:eastAsia="Arial" w:hAnsi="Arial" w:cs="Arial"/>
          <w:color w:val="000000"/>
          <w:sz w:val="24"/>
          <w:szCs w:val="24"/>
          <w:lang w:val="es-ES" w:eastAsia="zh-CN" w:bidi="hi-IN"/>
        </w:rPr>
        <w:t xml:space="preserve">Las suscritas diputadas y los suscritos diputados, miembros de la Comisión Permanente Ordinaria de Asuntos Hacendarios, rendimos </w:t>
      </w:r>
      <w:r w:rsidRPr="00345617">
        <w:rPr>
          <w:rFonts w:ascii="Arial" w:eastAsia="Arial" w:hAnsi="Arial" w:cs="Arial"/>
          <w:b/>
          <w:color w:val="000000"/>
          <w:sz w:val="24"/>
          <w:szCs w:val="24"/>
          <w:lang w:val="es-ES" w:eastAsia="zh-CN" w:bidi="hi-IN"/>
        </w:rPr>
        <w:t>INFORME NEGATIVO DE MAYORÍA</w:t>
      </w:r>
      <w:r w:rsidRPr="00345617">
        <w:rPr>
          <w:rFonts w:ascii="Arial" w:eastAsia="Arial" w:hAnsi="Arial" w:cs="Arial"/>
          <w:color w:val="000000"/>
          <w:sz w:val="24"/>
          <w:szCs w:val="24"/>
          <w:lang w:val="es-ES" w:eastAsia="zh-CN" w:bidi="hi-IN"/>
        </w:rPr>
        <w:t xml:space="preserve"> sobre la </w:t>
      </w:r>
      <w:r w:rsidRPr="00345617">
        <w:rPr>
          <w:rFonts w:ascii="Arial" w:eastAsia="Arial" w:hAnsi="Arial" w:cs="Arial"/>
          <w:b/>
          <w:color w:val="000000"/>
          <w:sz w:val="24"/>
          <w:szCs w:val="24"/>
          <w:lang w:val="es-ES" w:eastAsia="zh-CN" w:bidi="hi-IN"/>
        </w:rPr>
        <w:t>LIQUIDACIÓN DE PRESUPUESTOS PÚBLICOS Y DICTAMEN DE LA CONTRALORÍA GENERAL DE LA REPÚBLICA DEL 2020</w:t>
      </w:r>
      <w:r w:rsidRPr="00345617">
        <w:rPr>
          <w:rFonts w:ascii="Arial" w:eastAsia="Arial" w:hAnsi="Arial" w:cs="Arial"/>
          <w:color w:val="000000"/>
          <w:sz w:val="24"/>
          <w:szCs w:val="24"/>
          <w:lang w:val="es-ES" w:eastAsia="zh-CN" w:bidi="hi-IN"/>
        </w:rPr>
        <w:t>, expediente legislativo 22.508, iniciado el 10 de mayo de 2021, en virtud de lo que</w:t>
      </w:r>
      <w:r>
        <w:rPr>
          <w:rFonts w:ascii="Arial" w:eastAsia="Arial" w:hAnsi="Arial" w:cs="Arial"/>
          <w:color w:val="000000"/>
          <w:sz w:val="24"/>
          <w:szCs w:val="24"/>
          <w:lang w:val="es-ES" w:eastAsia="zh-CN" w:bidi="hi-IN"/>
        </w:rPr>
        <w:t xml:space="preserve"> establecen </w:t>
      </w:r>
      <w:r w:rsidRPr="00345617">
        <w:rPr>
          <w:rFonts w:ascii="Arial" w:eastAsia="Arial" w:hAnsi="Arial" w:cs="Arial"/>
          <w:color w:val="000000"/>
          <w:sz w:val="24"/>
          <w:szCs w:val="24"/>
          <w:lang w:val="es-ES" w:eastAsia="zh-CN" w:bidi="hi-IN"/>
        </w:rPr>
        <w:t>los artículos 181 de la Constitución Política y 221 del Reglamento de la Asamblea Legislativa.</w:t>
      </w:r>
    </w:p>
    <w:p w14:paraId="628C8DEE" w14:textId="0F664950" w:rsidR="009B2BCB" w:rsidRPr="004D6CA7" w:rsidRDefault="00A3540D" w:rsidP="00535111">
      <w:pPr>
        <w:pStyle w:val="Ttulo1"/>
      </w:pPr>
      <w:bookmarkStart w:id="2" w:name="_Toc78277700"/>
      <w:r w:rsidRPr="004D6CA7">
        <w:t>CONTEXTO FISCAL</w:t>
      </w:r>
      <w:bookmarkEnd w:id="2"/>
    </w:p>
    <w:p w14:paraId="009CD26B" w14:textId="77777777" w:rsidR="007704AA" w:rsidRPr="00C80037" w:rsidRDefault="007704AA" w:rsidP="00FD238D">
      <w:pPr>
        <w:spacing w:before="240" w:line="276" w:lineRule="auto"/>
        <w:jc w:val="both"/>
        <w:rPr>
          <w:rFonts w:ascii="Arial" w:hAnsi="Arial" w:cs="Arial"/>
          <w:sz w:val="24"/>
          <w:szCs w:val="24"/>
        </w:rPr>
      </w:pPr>
      <w:r w:rsidRPr="00C80037">
        <w:rPr>
          <w:rFonts w:ascii="Arial" w:hAnsi="Arial" w:cs="Arial"/>
          <w:sz w:val="24"/>
          <w:szCs w:val="24"/>
        </w:rPr>
        <w:t>Los resultados financieros y presupuestarios del Gobierno de la República durante el 2020, han sido alterados por la conjunción de, al menos, 4 grandes problemas de gestión presupuestaria que la Contraloría General de la República detecta en sus respectivas auditorías sobre la liquidación de ingresos y egresos del presupuesto nacional durante el ejercicio económico 2020. Estos se pueden agrupar en los siguientes asuntos:</w:t>
      </w:r>
    </w:p>
    <w:p w14:paraId="1B40F411" w14:textId="77777777" w:rsidR="007704AA" w:rsidRPr="00C80037" w:rsidRDefault="007704AA" w:rsidP="007704AA">
      <w:pPr>
        <w:pStyle w:val="Prrafodelista"/>
        <w:numPr>
          <w:ilvl w:val="0"/>
          <w:numId w:val="22"/>
        </w:numPr>
        <w:spacing w:line="276" w:lineRule="auto"/>
        <w:jc w:val="both"/>
        <w:rPr>
          <w:rFonts w:ascii="Arial" w:hAnsi="Arial" w:cs="Arial"/>
          <w:sz w:val="24"/>
          <w:szCs w:val="24"/>
        </w:rPr>
      </w:pPr>
      <w:r w:rsidRPr="00C80037">
        <w:rPr>
          <w:rFonts w:ascii="Arial" w:hAnsi="Arial" w:cs="Arial"/>
          <w:sz w:val="24"/>
          <w:szCs w:val="24"/>
        </w:rPr>
        <w:t>Registro equivocado o clasificaciones incorrectas de recursos, que distorsionan los cálculos contables y fiscales.</w:t>
      </w:r>
    </w:p>
    <w:p w14:paraId="25DFF590" w14:textId="77777777" w:rsidR="007704AA" w:rsidRPr="00C80037" w:rsidRDefault="007704AA" w:rsidP="007704AA">
      <w:pPr>
        <w:pStyle w:val="Prrafodelista"/>
        <w:numPr>
          <w:ilvl w:val="0"/>
          <w:numId w:val="22"/>
        </w:numPr>
        <w:spacing w:line="276" w:lineRule="auto"/>
        <w:jc w:val="both"/>
        <w:rPr>
          <w:rFonts w:ascii="Arial" w:hAnsi="Arial" w:cs="Arial"/>
          <w:sz w:val="24"/>
          <w:szCs w:val="24"/>
        </w:rPr>
      </w:pPr>
      <w:r w:rsidRPr="00C80037">
        <w:rPr>
          <w:rFonts w:ascii="Arial" w:hAnsi="Arial" w:cs="Arial"/>
          <w:sz w:val="24"/>
          <w:szCs w:val="24"/>
        </w:rPr>
        <w:t>Subregistro de gastos e ingresos.</w:t>
      </w:r>
    </w:p>
    <w:p w14:paraId="1BDC5BEF" w14:textId="3892E8DD" w:rsidR="007704AA" w:rsidRPr="00C80037" w:rsidRDefault="007704AA" w:rsidP="007704AA">
      <w:pPr>
        <w:pStyle w:val="Prrafodelista"/>
        <w:numPr>
          <w:ilvl w:val="0"/>
          <w:numId w:val="22"/>
        </w:numPr>
        <w:spacing w:line="276" w:lineRule="auto"/>
        <w:jc w:val="both"/>
        <w:rPr>
          <w:rFonts w:ascii="Arial" w:hAnsi="Arial" w:cs="Arial"/>
          <w:sz w:val="24"/>
          <w:szCs w:val="24"/>
        </w:rPr>
      </w:pPr>
      <w:r w:rsidRPr="00C80037">
        <w:rPr>
          <w:rFonts w:ascii="Arial" w:hAnsi="Arial" w:cs="Arial"/>
          <w:sz w:val="24"/>
          <w:szCs w:val="24"/>
        </w:rPr>
        <w:t>Recursos girados de más</w:t>
      </w:r>
      <w:r w:rsidR="009431E7">
        <w:rPr>
          <w:rFonts w:ascii="Arial" w:hAnsi="Arial" w:cs="Arial"/>
          <w:sz w:val="24"/>
          <w:szCs w:val="24"/>
        </w:rPr>
        <w:t>.</w:t>
      </w:r>
    </w:p>
    <w:p w14:paraId="6FBFAE02" w14:textId="76FC3FE5" w:rsidR="007704AA" w:rsidRPr="00C80037" w:rsidRDefault="007704AA" w:rsidP="007704AA">
      <w:pPr>
        <w:pStyle w:val="Prrafodelista"/>
        <w:numPr>
          <w:ilvl w:val="0"/>
          <w:numId w:val="22"/>
        </w:numPr>
        <w:spacing w:line="276" w:lineRule="auto"/>
        <w:jc w:val="both"/>
        <w:rPr>
          <w:rFonts w:ascii="Arial" w:hAnsi="Arial" w:cs="Arial"/>
          <w:sz w:val="24"/>
          <w:szCs w:val="24"/>
        </w:rPr>
      </w:pPr>
      <w:r w:rsidRPr="00C80037">
        <w:rPr>
          <w:rFonts w:ascii="Arial" w:hAnsi="Arial" w:cs="Arial"/>
          <w:sz w:val="24"/>
          <w:szCs w:val="24"/>
        </w:rPr>
        <w:t>Incertidumbre sobre la información suministrada</w:t>
      </w:r>
      <w:r w:rsidR="009431E7">
        <w:rPr>
          <w:rFonts w:ascii="Arial" w:hAnsi="Arial" w:cs="Arial"/>
          <w:sz w:val="24"/>
          <w:szCs w:val="24"/>
        </w:rPr>
        <w:t>.</w:t>
      </w:r>
    </w:p>
    <w:p w14:paraId="2783848B" w14:textId="3001F3F6"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Las debilidades que la Contraloría General detecta para el 2020, son recurrentes y de larga estancia en la liquidación de los presupuestos nacionales, aunque algunos se consolidan y se hacen aún más evidentes producto de las circunstancias y contexto que genera la crisis económica nacional que produjo el COVID-19 o </w:t>
      </w:r>
      <w:r w:rsidR="00852E46">
        <w:rPr>
          <w:rFonts w:ascii="Arial" w:hAnsi="Arial" w:cs="Arial"/>
          <w:sz w:val="24"/>
          <w:szCs w:val="24"/>
        </w:rPr>
        <w:t xml:space="preserve">por </w:t>
      </w:r>
      <w:r w:rsidRPr="00C80037">
        <w:rPr>
          <w:rFonts w:ascii="Arial" w:hAnsi="Arial" w:cs="Arial"/>
          <w:sz w:val="24"/>
          <w:szCs w:val="24"/>
        </w:rPr>
        <w:t>el manejo de la gestión financiera.</w:t>
      </w:r>
    </w:p>
    <w:p w14:paraId="7B808376" w14:textId="511B7329"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La Contraloría General, a diferencia de los años precedentes, en donde avalaba o no los diferentes informes que el artículo 52 de la Ley de la Administración Financiera del Estado y Presupuestos Públicos determina deben ser elaborados por el Ministerio y evaluados por la CGR y la Asamblea Legislativa, </w:t>
      </w:r>
      <w:r w:rsidRPr="00C80037">
        <w:rPr>
          <w:rFonts w:ascii="Arial" w:hAnsi="Arial" w:cs="Arial"/>
          <w:i/>
          <w:iCs/>
          <w:sz w:val="24"/>
          <w:szCs w:val="24"/>
        </w:rPr>
        <w:t xml:space="preserve">“no expresa una opinión sobre la razonabilidad de la Liquidación de Ingresos y Egresos del Presupuesto de la República para el ejercicio económico del 2020”, </w:t>
      </w:r>
      <w:r w:rsidRPr="00C80037">
        <w:rPr>
          <w:rFonts w:ascii="Arial" w:hAnsi="Arial" w:cs="Arial"/>
          <w:sz w:val="24"/>
          <w:szCs w:val="24"/>
        </w:rPr>
        <w:t>lo que a todas luces es contraproducente para el proceso de toma de decisiones</w:t>
      </w:r>
      <w:r w:rsidR="00852E46">
        <w:rPr>
          <w:rFonts w:ascii="Arial" w:hAnsi="Arial" w:cs="Arial"/>
          <w:sz w:val="24"/>
          <w:szCs w:val="24"/>
        </w:rPr>
        <w:t xml:space="preserve"> nacionales y legislativas en particular. El</w:t>
      </w:r>
      <w:r w:rsidRPr="00C80037">
        <w:rPr>
          <w:rFonts w:ascii="Arial" w:hAnsi="Arial" w:cs="Arial"/>
          <w:sz w:val="24"/>
          <w:szCs w:val="24"/>
        </w:rPr>
        <w:t xml:space="preserve"> concepto de aval de la liquidación presupuestaria y física de los presupuestos, permite identificar al legislador desde el inicio, la conclusión a la que arriba el órgano contralor, que deberá servir como herramienta para la mejora del proceso presupuestario, lo que finalmente no ocurre.</w:t>
      </w:r>
    </w:p>
    <w:p w14:paraId="0C404433" w14:textId="77777777" w:rsidR="007704AA" w:rsidRPr="00C80037" w:rsidRDefault="007704AA" w:rsidP="007704AA">
      <w:pPr>
        <w:spacing w:line="276" w:lineRule="auto"/>
        <w:jc w:val="both"/>
        <w:rPr>
          <w:rFonts w:ascii="Arial" w:hAnsi="Arial" w:cs="Arial"/>
          <w:i/>
          <w:sz w:val="24"/>
          <w:szCs w:val="24"/>
        </w:rPr>
      </w:pPr>
      <w:r w:rsidRPr="00C80037">
        <w:rPr>
          <w:rFonts w:ascii="Arial" w:hAnsi="Arial" w:cs="Arial"/>
          <w:sz w:val="24"/>
          <w:szCs w:val="24"/>
        </w:rPr>
        <w:t xml:space="preserve">Este informe buscar continuar consolidando el proceso de formulación, aprobación, ejecución y liquidación del presupuesto para convertirlo en un </w:t>
      </w:r>
      <w:r w:rsidRPr="00C80037">
        <w:rPr>
          <w:rFonts w:ascii="Arial" w:hAnsi="Arial" w:cs="Arial"/>
          <w:i/>
          <w:iCs/>
          <w:sz w:val="24"/>
          <w:szCs w:val="24"/>
        </w:rPr>
        <w:t>“instrumento que</w:t>
      </w:r>
      <w:r w:rsidRPr="00C80037">
        <w:rPr>
          <w:rFonts w:ascii="Arial" w:hAnsi="Arial" w:cs="Arial"/>
          <w:sz w:val="24"/>
          <w:szCs w:val="24"/>
        </w:rPr>
        <w:t xml:space="preserve"> </w:t>
      </w:r>
      <w:r w:rsidRPr="00C80037">
        <w:rPr>
          <w:rFonts w:ascii="Arial" w:hAnsi="Arial" w:cs="Arial"/>
          <w:i/>
          <w:sz w:val="24"/>
          <w:szCs w:val="24"/>
        </w:rPr>
        <w:t>empiece a ser un verdadero mecanismo para fijar los recursos financieros a los objetivos fiscales, económicos y sociales de carácter nacional. Esto implica entonces, ajustes a la forma de operar, y a la forma de comprender la normativa vigente”</w:t>
      </w:r>
      <w:r w:rsidRPr="00C80037">
        <w:rPr>
          <w:rStyle w:val="Refdenotaalpie"/>
          <w:rFonts w:ascii="Arial" w:hAnsi="Arial" w:cs="Arial"/>
          <w:i/>
          <w:sz w:val="24"/>
          <w:szCs w:val="24"/>
        </w:rPr>
        <w:footnoteReference w:id="1"/>
      </w:r>
      <w:r w:rsidRPr="00C80037">
        <w:rPr>
          <w:rFonts w:ascii="Arial" w:hAnsi="Arial" w:cs="Arial"/>
          <w:i/>
          <w:sz w:val="24"/>
          <w:szCs w:val="24"/>
        </w:rPr>
        <w:t>.</w:t>
      </w:r>
    </w:p>
    <w:p w14:paraId="18851599" w14:textId="77777777" w:rsidR="007704AA" w:rsidRPr="00C80037" w:rsidRDefault="007704AA" w:rsidP="007704AA">
      <w:pPr>
        <w:spacing w:line="276" w:lineRule="auto"/>
        <w:jc w:val="both"/>
        <w:rPr>
          <w:rFonts w:ascii="Arial" w:hAnsi="Arial" w:cs="Arial"/>
          <w:iCs/>
          <w:sz w:val="24"/>
          <w:szCs w:val="24"/>
        </w:rPr>
      </w:pPr>
      <w:r w:rsidRPr="00C80037">
        <w:rPr>
          <w:rFonts w:ascii="Arial" w:hAnsi="Arial" w:cs="Arial"/>
          <w:iCs/>
          <w:sz w:val="24"/>
          <w:szCs w:val="24"/>
        </w:rPr>
        <w:t>Para ello, se inicia haciendo un análisis del contexto fiscal del presupuesto del 2020, y evitar con ello caer en la rutina de observar el año descontextualizado.</w:t>
      </w:r>
    </w:p>
    <w:p w14:paraId="449A437B" w14:textId="01A7D214" w:rsidR="007704AA" w:rsidRPr="004D6CA7" w:rsidRDefault="00856E49" w:rsidP="007F36BB">
      <w:pPr>
        <w:pStyle w:val="Ttulo2"/>
      </w:pPr>
      <w:bookmarkStart w:id="3" w:name="_Toc78277701"/>
      <w:r>
        <w:t xml:space="preserve">Sobre los </w:t>
      </w:r>
      <w:r w:rsidR="007704AA" w:rsidRPr="004D6CA7">
        <w:t>Ingresos</w:t>
      </w:r>
      <w:bookmarkEnd w:id="3"/>
    </w:p>
    <w:p w14:paraId="6D1BA8A9"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Es evidente que la crisis económica, que acompaña la crisis sanitaria, ha tenido repercusiones muy importantes sobre las finanzas públicas, sobre los ingresos tributarios, sobre el gasto y por ende sobre la gestión presupuestaria. El erario sufrió durante una parte del año 2020, una caída importante en el monto de ingresos recaudados, especialmente tributarios, virtud a esta crisis iniciada en marzo de 2020.</w:t>
      </w:r>
    </w:p>
    <w:p w14:paraId="59225993"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Tan solo entre 2019 y 2020, los ingresos totales tuvieron una caída de -10.8%, donde se nota una caída de los ingresos corrientes en la misma proporción. Sin embargo, el desplome más grande lo sufrió el ingreso de capital, que se redujo en casi una quinta parte entre ambos años.</w:t>
      </w:r>
    </w:p>
    <w:p w14:paraId="15D331C0" w14:textId="77777777" w:rsidR="007704AA" w:rsidRPr="00C80037" w:rsidRDefault="007704AA" w:rsidP="007704AA">
      <w:pPr>
        <w:pStyle w:val="Default"/>
      </w:pPr>
      <w:r w:rsidRPr="00C80037">
        <w:rPr>
          <w:b/>
          <w:bCs/>
        </w:rPr>
        <w:t xml:space="preserve">PRESUPUESTO NACIONAL 2019-2020 </w:t>
      </w:r>
    </w:p>
    <w:p w14:paraId="622841F4" w14:textId="77777777" w:rsidR="007704AA" w:rsidRPr="00C80037" w:rsidRDefault="007704AA" w:rsidP="007704AA">
      <w:pPr>
        <w:pStyle w:val="Default"/>
        <w:rPr>
          <w:b/>
          <w:bCs/>
        </w:rPr>
      </w:pPr>
      <w:r w:rsidRPr="00C80037">
        <w:rPr>
          <w:b/>
          <w:bCs/>
        </w:rPr>
        <w:t>Ingresos totales presupuestados y recaudados</w:t>
      </w:r>
    </w:p>
    <w:p w14:paraId="3D77181D" w14:textId="77777777" w:rsidR="007704AA" w:rsidRPr="00C80037" w:rsidRDefault="007704AA" w:rsidP="007704AA">
      <w:pPr>
        <w:pStyle w:val="Default"/>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84"/>
        <w:gridCol w:w="1012"/>
        <w:gridCol w:w="1191"/>
        <w:gridCol w:w="1049"/>
        <w:gridCol w:w="1212"/>
        <w:gridCol w:w="1126"/>
        <w:gridCol w:w="984"/>
        <w:gridCol w:w="1110"/>
      </w:tblGrid>
      <w:tr w:rsidR="007704AA" w:rsidRPr="00CC5666" w14:paraId="0F63E903" w14:textId="77777777" w:rsidTr="009373A2">
        <w:trPr>
          <w:trHeight w:val="400"/>
          <w:jc w:val="center"/>
        </w:trPr>
        <w:tc>
          <w:tcPr>
            <w:tcW w:w="1284" w:type="dxa"/>
            <w:vAlign w:val="center"/>
          </w:tcPr>
          <w:p w14:paraId="1CE4EEA6" w14:textId="77777777" w:rsidR="007704AA" w:rsidRPr="00CC5666" w:rsidRDefault="007704AA" w:rsidP="009373A2">
            <w:pPr>
              <w:pStyle w:val="Default"/>
              <w:jc w:val="center"/>
              <w:rPr>
                <w:sz w:val="14"/>
                <w:szCs w:val="14"/>
              </w:rPr>
            </w:pPr>
            <w:r w:rsidRPr="00CC5666">
              <w:rPr>
                <w:b/>
                <w:bCs/>
                <w:color w:val="auto"/>
                <w:sz w:val="14"/>
                <w:szCs w:val="14"/>
              </w:rPr>
              <w:t>CONCEPTO</w:t>
            </w:r>
          </w:p>
        </w:tc>
        <w:tc>
          <w:tcPr>
            <w:tcW w:w="1012" w:type="dxa"/>
            <w:vAlign w:val="center"/>
          </w:tcPr>
          <w:p w14:paraId="15A40F2E" w14:textId="77777777" w:rsidR="007704AA" w:rsidRPr="00CC5666" w:rsidRDefault="007704AA" w:rsidP="009373A2">
            <w:pPr>
              <w:pStyle w:val="Default"/>
              <w:jc w:val="center"/>
              <w:rPr>
                <w:b/>
                <w:bCs/>
                <w:sz w:val="14"/>
                <w:szCs w:val="14"/>
              </w:rPr>
            </w:pPr>
            <w:r w:rsidRPr="00CC5666">
              <w:rPr>
                <w:b/>
                <w:bCs/>
                <w:sz w:val="14"/>
                <w:szCs w:val="14"/>
              </w:rPr>
              <w:t>Presupuesto</w:t>
            </w:r>
          </w:p>
          <w:p w14:paraId="51E70604" w14:textId="77777777" w:rsidR="007704AA" w:rsidRPr="00CC5666" w:rsidRDefault="007704AA" w:rsidP="009373A2">
            <w:pPr>
              <w:pStyle w:val="Default"/>
              <w:jc w:val="center"/>
              <w:rPr>
                <w:sz w:val="14"/>
                <w:szCs w:val="14"/>
              </w:rPr>
            </w:pPr>
            <w:r w:rsidRPr="00CC5666">
              <w:rPr>
                <w:b/>
                <w:bCs/>
                <w:sz w:val="14"/>
                <w:szCs w:val="14"/>
              </w:rPr>
              <w:t>Ejecutado 2019</w:t>
            </w:r>
          </w:p>
        </w:tc>
        <w:tc>
          <w:tcPr>
            <w:tcW w:w="1191" w:type="dxa"/>
            <w:vAlign w:val="center"/>
          </w:tcPr>
          <w:p w14:paraId="26DEAB09" w14:textId="77777777" w:rsidR="007704AA" w:rsidRPr="00CC5666" w:rsidRDefault="007704AA" w:rsidP="009373A2">
            <w:pPr>
              <w:pStyle w:val="Default"/>
              <w:jc w:val="center"/>
              <w:rPr>
                <w:b/>
                <w:bCs/>
                <w:sz w:val="14"/>
                <w:szCs w:val="14"/>
              </w:rPr>
            </w:pPr>
            <w:r w:rsidRPr="00CC5666">
              <w:rPr>
                <w:b/>
                <w:bCs/>
                <w:sz w:val="14"/>
                <w:szCs w:val="14"/>
              </w:rPr>
              <w:t>Presupuesto</w:t>
            </w:r>
          </w:p>
          <w:p w14:paraId="47543B1B" w14:textId="77777777" w:rsidR="007704AA" w:rsidRPr="00CC5666" w:rsidRDefault="007704AA" w:rsidP="009373A2">
            <w:pPr>
              <w:pStyle w:val="Default"/>
              <w:jc w:val="center"/>
              <w:rPr>
                <w:sz w:val="14"/>
                <w:szCs w:val="14"/>
              </w:rPr>
            </w:pPr>
            <w:r w:rsidRPr="00CC5666">
              <w:rPr>
                <w:b/>
                <w:bCs/>
                <w:sz w:val="14"/>
                <w:szCs w:val="14"/>
              </w:rPr>
              <w:t>Inicial 2020</w:t>
            </w:r>
          </w:p>
        </w:tc>
        <w:tc>
          <w:tcPr>
            <w:tcW w:w="1049" w:type="dxa"/>
            <w:vAlign w:val="center"/>
          </w:tcPr>
          <w:p w14:paraId="056C558D" w14:textId="77777777" w:rsidR="007704AA" w:rsidRPr="00CC5666" w:rsidRDefault="007704AA" w:rsidP="009373A2">
            <w:pPr>
              <w:pStyle w:val="Default"/>
              <w:jc w:val="center"/>
              <w:rPr>
                <w:b/>
                <w:bCs/>
                <w:sz w:val="14"/>
                <w:szCs w:val="14"/>
              </w:rPr>
            </w:pPr>
            <w:r w:rsidRPr="00CC5666">
              <w:rPr>
                <w:b/>
                <w:bCs/>
                <w:sz w:val="14"/>
                <w:szCs w:val="14"/>
              </w:rPr>
              <w:t>Presupuesto</w:t>
            </w:r>
          </w:p>
          <w:p w14:paraId="281AB46D" w14:textId="77777777" w:rsidR="007704AA" w:rsidRPr="00CC5666" w:rsidRDefault="007704AA" w:rsidP="009373A2">
            <w:pPr>
              <w:pStyle w:val="Default"/>
              <w:jc w:val="center"/>
              <w:rPr>
                <w:sz w:val="14"/>
                <w:szCs w:val="14"/>
              </w:rPr>
            </w:pPr>
            <w:r w:rsidRPr="00CC5666">
              <w:rPr>
                <w:b/>
                <w:bCs/>
                <w:sz w:val="14"/>
                <w:szCs w:val="14"/>
              </w:rPr>
              <w:t>Final 2020</w:t>
            </w:r>
          </w:p>
        </w:tc>
        <w:tc>
          <w:tcPr>
            <w:tcW w:w="1212" w:type="dxa"/>
            <w:vAlign w:val="center"/>
          </w:tcPr>
          <w:p w14:paraId="238887E6" w14:textId="77777777" w:rsidR="007704AA" w:rsidRPr="00CC5666" w:rsidRDefault="007704AA" w:rsidP="009373A2">
            <w:pPr>
              <w:pStyle w:val="Default"/>
              <w:jc w:val="center"/>
              <w:rPr>
                <w:b/>
                <w:bCs/>
                <w:sz w:val="14"/>
                <w:szCs w:val="14"/>
              </w:rPr>
            </w:pPr>
            <w:r w:rsidRPr="00CC5666">
              <w:rPr>
                <w:b/>
                <w:bCs/>
                <w:sz w:val="14"/>
                <w:szCs w:val="14"/>
              </w:rPr>
              <w:t>Presupuesto</w:t>
            </w:r>
          </w:p>
          <w:p w14:paraId="47D25546" w14:textId="77777777" w:rsidR="007704AA" w:rsidRPr="00CC5666" w:rsidRDefault="007704AA" w:rsidP="009373A2">
            <w:pPr>
              <w:pStyle w:val="Default"/>
              <w:jc w:val="center"/>
              <w:rPr>
                <w:sz w:val="14"/>
                <w:szCs w:val="14"/>
              </w:rPr>
            </w:pPr>
            <w:r w:rsidRPr="00CC5666">
              <w:rPr>
                <w:b/>
                <w:bCs/>
                <w:sz w:val="14"/>
                <w:szCs w:val="14"/>
              </w:rPr>
              <w:t>Ejecutado 2020</w:t>
            </w:r>
          </w:p>
        </w:tc>
        <w:tc>
          <w:tcPr>
            <w:tcW w:w="1126" w:type="dxa"/>
            <w:vAlign w:val="center"/>
          </w:tcPr>
          <w:p w14:paraId="6B1E4CA6" w14:textId="77777777" w:rsidR="007704AA" w:rsidRPr="00CC5666" w:rsidRDefault="007704AA" w:rsidP="009373A2">
            <w:pPr>
              <w:pStyle w:val="Default"/>
              <w:jc w:val="center"/>
              <w:rPr>
                <w:b/>
                <w:bCs/>
                <w:sz w:val="14"/>
                <w:szCs w:val="14"/>
              </w:rPr>
            </w:pPr>
            <w:r w:rsidRPr="00CC5666">
              <w:rPr>
                <w:b/>
                <w:bCs/>
                <w:sz w:val="14"/>
                <w:szCs w:val="14"/>
              </w:rPr>
              <w:t>Porcentaje de</w:t>
            </w:r>
          </w:p>
          <w:p w14:paraId="046F5D91" w14:textId="77777777" w:rsidR="007704AA" w:rsidRPr="00CC5666" w:rsidRDefault="007704AA" w:rsidP="009373A2">
            <w:pPr>
              <w:pStyle w:val="Default"/>
              <w:jc w:val="center"/>
              <w:rPr>
                <w:sz w:val="14"/>
                <w:szCs w:val="14"/>
              </w:rPr>
            </w:pPr>
            <w:r w:rsidRPr="00CC5666">
              <w:rPr>
                <w:b/>
                <w:bCs/>
                <w:sz w:val="14"/>
                <w:szCs w:val="14"/>
              </w:rPr>
              <w:t>Ejecución 2020</w:t>
            </w:r>
          </w:p>
        </w:tc>
        <w:tc>
          <w:tcPr>
            <w:tcW w:w="984" w:type="dxa"/>
            <w:vAlign w:val="center"/>
          </w:tcPr>
          <w:p w14:paraId="3F652E76" w14:textId="77777777" w:rsidR="007704AA" w:rsidRPr="00CC5666" w:rsidRDefault="007704AA" w:rsidP="009373A2">
            <w:pPr>
              <w:pStyle w:val="Default"/>
              <w:jc w:val="center"/>
              <w:rPr>
                <w:b/>
                <w:bCs/>
                <w:sz w:val="14"/>
                <w:szCs w:val="14"/>
              </w:rPr>
            </w:pPr>
            <w:r w:rsidRPr="00CC5666">
              <w:rPr>
                <w:b/>
                <w:bCs/>
                <w:sz w:val="14"/>
                <w:szCs w:val="14"/>
              </w:rPr>
              <w:t>Variación</w:t>
            </w:r>
          </w:p>
          <w:p w14:paraId="27B433D8" w14:textId="77777777" w:rsidR="007704AA" w:rsidRPr="00CC5666" w:rsidRDefault="007704AA" w:rsidP="009373A2">
            <w:pPr>
              <w:pStyle w:val="Default"/>
              <w:jc w:val="center"/>
              <w:rPr>
                <w:sz w:val="14"/>
                <w:szCs w:val="14"/>
              </w:rPr>
            </w:pPr>
            <w:r w:rsidRPr="00CC5666">
              <w:rPr>
                <w:b/>
                <w:bCs/>
                <w:sz w:val="14"/>
                <w:szCs w:val="14"/>
              </w:rPr>
              <w:t>absoluta</w:t>
            </w:r>
          </w:p>
          <w:p w14:paraId="4735AA2E" w14:textId="77777777" w:rsidR="007704AA" w:rsidRPr="00CC5666" w:rsidRDefault="007704AA" w:rsidP="009373A2">
            <w:pPr>
              <w:pStyle w:val="Default"/>
              <w:jc w:val="center"/>
              <w:rPr>
                <w:sz w:val="14"/>
                <w:szCs w:val="14"/>
              </w:rPr>
            </w:pPr>
            <w:r w:rsidRPr="00CC5666">
              <w:rPr>
                <w:b/>
                <w:bCs/>
                <w:sz w:val="14"/>
                <w:szCs w:val="14"/>
              </w:rPr>
              <w:t>2019 - 2020</w:t>
            </w:r>
          </w:p>
        </w:tc>
        <w:tc>
          <w:tcPr>
            <w:tcW w:w="1110" w:type="dxa"/>
            <w:vAlign w:val="center"/>
          </w:tcPr>
          <w:p w14:paraId="70CE6FD7" w14:textId="77777777" w:rsidR="007704AA" w:rsidRPr="00CC5666" w:rsidRDefault="007704AA" w:rsidP="009373A2">
            <w:pPr>
              <w:pStyle w:val="Default"/>
              <w:jc w:val="center"/>
              <w:rPr>
                <w:b/>
                <w:bCs/>
                <w:sz w:val="14"/>
                <w:szCs w:val="14"/>
              </w:rPr>
            </w:pPr>
            <w:r w:rsidRPr="00CC5666">
              <w:rPr>
                <w:b/>
                <w:bCs/>
                <w:sz w:val="14"/>
                <w:szCs w:val="14"/>
              </w:rPr>
              <w:t>Porcentaje de</w:t>
            </w:r>
          </w:p>
          <w:p w14:paraId="3AA56FBC" w14:textId="77777777" w:rsidR="007704AA" w:rsidRPr="00CC5666" w:rsidRDefault="007704AA" w:rsidP="009373A2">
            <w:pPr>
              <w:pStyle w:val="Default"/>
              <w:jc w:val="center"/>
              <w:rPr>
                <w:b/>
                <w:bCs/>
                <w:sz w:val="14"/>
                <w:szCs w:val="14"/>
              </w:rPr>
            </w:pPr>
            <w:r w:rsidRPr="00CC5666">
              <w:rPr>
                <w:b/>
                <w:bCs/>
                <w:sz w:val="14"/>
                <w:szCs w:val="14"/>
              </w:rPr>
              <w:t>Variación</w:t>
            </w:r>
          </w:p>
          <w:p w14:paraId="77BC5709" w14:textId="77777777" w:rsidR="007704AA" w:rsidRPr="00CC5666" w:rsidRDefault="007704AA" w:rsidP="009373A2">
            <w:pPr>
              <w:pStyle w:val="Default"/>
              <w:jc w:val="center"/>
              <w:rPr>
                <w:sz w:val="14"/>
                <w:szCs w:val="14"/>
              </w:rPr>
            </w:pPr>
            <w:r w:rsidRPr="00CC5666">
              <w:rPr>
                <w:b/>
                <w:bCs/>
                <w:sz w:val="14"/>
                <w:szCs w:val="14"/>
              </w:rPr>
              <w:t>2019 - 2020</w:t>
            </w:r>
          </w:p>
        </w:tc>
      </w:tr>
      <w:tr w:rsidR="007704AA" w:rsidRPr="00CC5666" w14:paraId="1A64229E" w14:textId="77777777" w:rsidTr="009373A2">
        <w:trPr>
          <w:trHeight w:val="187"/>
          <w:jc w:val="center"/>
        </w:trPr>
        <w:tc>
          <w:tcPr>
            <w:tcW w:w="1284" w:type="dxa"/>
          </w:tcPr>
          <w:p w14:paraId="06EECB92" w14:textId="77777777" w:rsidR="007704AA" w:rsidRPr="00CC5666" w:rsidRDefault="007704AA" w:rsidP="009373A2">
            <w:pPr>
              <w:pStyle w:val="Default"/>
              <w:rPr>
                <w:sz w:val="14"/>
                <w:szCs w:val="14"/>
              </w:rPr>
            </w:pPr>
            <w:r w:rsidRPr="00CC5666">
              <w:rPr>
                <w:b/>
                <w:bCs/>
                <w:sz w:val="14"/>
                <w:szCs w:val="14"/>
              </w:rPr>
              <w:t xml:space="preserve">INGRESOS TOTALES </w:t>
            </w:r>
          </w:p>
        </w:tc>
        <w:tc>
          <w:tcPr>
            <w:tcW w:w="1012" w:type="dxa"/>
          </w:tcPr>
          <w:p w14:paraId="12044B5A" w14:textId="77777777" w:rsidR="007704AA" w:rsidRPr="00CC5666" w:rsidRDefault="007704AA" w:rsidP="009373A2">
            <w:pPr>
              <w:pStyle w:val="Default"/>
              <w:jc w:val="right"/>
              <w:rPr>
                <w:sz w:val="14"/>
                <w:szCs w:val="14"/>
              </w:rPr>
            </w:pPr>
            <w:r w:rsidRPr="00CC5666">
              <w:rPr>
                <w:b/>
                <w:bCs/>
                <w:sz w:val="14"/>
                <w:szCs w:val="14"/>
              </w:rPr>
              <w:t xml:space="preserve">10.447.416,6 </w:t>
            </w:r>
          </w:p>
        </w:tc>
        <w:tc>
          <w:tcPr>
            <w:tcW w:w="1191" w:type="dxa"/>
          </w:tcPr>
          <w:p w14:paraId="49CB6EB9" w14:textId="77777777" w:rsidR="007704AA" w:rsidRPr="00CC5666" w:rsidRDefault="007704AA" w:rsidP="009373A2">
            <w:pPr>
              <w:pStyle w:val="Default"/>
              <w:ind w:right="142"/>
              <w:jc w:val="right"/>
              <w:rPr>
                <w:sz w:val="14"/>
                <w:szCs w:val="14"/>
              </w:rPr>
            </w:pPr>
            <w:r w:rsidRPr="00CC5666">
              <w:rPr>
                <w:b/>
                <w:bCs/>
                <w:sz w:val="14"/>
                <w:szCs w:val="14"/>
              </w:rPr>
              <w:t xml:space="preserve">10.509.606,9 </w:t>
            </w:r>
          </w:p>
        </w:tc>
        <w:tc>
          <w:tcPr>
            <w:tcW w:w="1049" w:type="dxa"/>
          </w:tcPr>
          <w:p w14:paraId="1C637D6F" w14:textId="77777777" w:rsidR="007704AA" w:rsidRPr="00CC5666" w:rsidRDefault="007704AA" w:rsidP="009373A2">
            <w:pPr>
              <w:pStyle w:val="Default"/>
              <w:jc w:val="right"/>
              <w:rPr>
                <w:sz w:val="14"/>
                <w:szCs w:val="14"/>
              </w:rPr>
            </w:pPr>
            <w:r w:rsidRPr="00CC5666">
              <w:rPr>
                <w:b/>
                <w:bCs/>
                <w:sz w:val="14"/>
                <w:szCs w:val="14"/>
              </w:rPr>
              <w:t xml:space="preserve">10.382.815,1 </w:t>
            </w:r>
          </w:p>
        </w:tc>
        <w:tc>
          <w:tcPr>
            <w:tcW w:w="1212" w:type="dxa"/>
          </w:tcPr>
          <w:p w14:paraId="2FCFD714" w14:textId="77777777" w:rsidR="007704AA" w:rsidRPr="00CC5666" w:rsidRDefault="007704AA" w:rsidP="009373A2">
            <w:pPr>
              <w:pStyle w:val="Default"/>
              <w:jc w:val="right"/>
              <w:rPr>
                <w:sz w:val="14"/>
                <w:szCs w:val="14"/>
              </w:rPr>
            </w:pPr>
            <w:r w:rsidRPr="00CC5666">
              <w:rPr>
                <w:b/>
                <w:bCs/>
                <w:sz w:val="14"/>
                <w:szCs w:val="14"/>
              </w:rPr>
              <w:t xml:space="preserve">9.324.211,0 </w:t>
            </w:r>
          </w:p>
        </w:tc>
        <w:tc>
          <w:tcPr>
            <w:tcW w:w="1126" w:type="dxa"/>
          </w:tcPr>
          <w:p w14:paraId="537AE63E" w14:textId="77777777" w:rsidR="007704AA" w:rsidRPr="00CC5666" w:rsidRDefault="007704AA" w:rsidP="009373A2">
            <w:pPr>
              <w:pStyle w:val="Default"/>
              <w:jc w:val="right"/>
              <w:rPr>
                <w:sz w:val="14"/>
                <w:szCs w:val="14"/>
              </w:rPr>
            </w:pPr>
            <w:r w:rsidRPr="00CC5666">
              <w:rPr>
                <w:b/>
                <w:bCs/>
                <w:sz w:val="14"/>
                <w:szCs w:val="14"/>
              </w:rPr>
              <w:t xml:space="preserve">89,8% </w:t>
            </w:r>
          </w:p>
        </w:tc>
        <w:tc>
          <w:tcPr>
            <w:tcW w:w="984" w:type="dxa"/>
          </w:tcPr>
          <w:p w14:paraId="2CDFB968" w14:textId="77777777" w:rsidR="007704AA" w:rsidRPr="00CC5666" w:rsidRDefault="007704AA" w:rsidP="009373A2">
            <w:pPr>
              <w:pStyle w:val="Default"/>
              <w:jc w:val="right"/>
              <w:rPr>
                <w:sz w:val="14"/>
                <w:szCs w:val="14"/>
              </w:rPr>
            </w:pPr>
            <w:r w:rsidRPr="00CC5666">
              <w:rPr>
                <w:b/>
                <w:bCs/>
                <w:sz w:val="14"/>
                <w:szCs w:val="14"/>
              </w:rPr>
              <w:t xml:space="preserve">- 1.123.205,6 </w:t>
            </w:r>
          </w:p>
        </w:tc>
        <w:tc>
          <w:tcPr>
            <w:tcW w:w="1110" w:type="dxa"/>
          </w:tcPr>
          <w:p w14:paraId="1DD89F4E" w14:textId="77777777" w:rsidR="007704AA" w:rsidRPr="00CC5666" w:rsidRDefault="007704AA" w:rsidP="009373A2">
            <w:pPr>
              <w:pStyle w:val="Default"/>
              <w:jc w:val="right"/>
              <w:rPr>
                <w:color w:val="FF0000"/>
                <w:sz w:val="14"/>
                <w:szCs w:val="14"/>
              </w:rPr>
            </w:pPr>
            <w:r w:rsidRPr="00CC5666">
              <w:rPr>
                <w:b/>
                <w:bCs/>
                <w:color w:val="FF0000"/>
                <w:sz w:val="14"/>
                <w:szCs w:val="14"/>
              </w:rPr>
              <w:t xml:space="preserve">-10,8% </w:t>
            </w:r>
          </w:p>
        </w:tc>
      </w:tr>
      <w:tr w:rsidR="007704AA" w:rsidRPr="00CC5666" w14:paraId="46EC0D9D" w14:textId="77777777" w:rsidTr="009373A2">
        <w:trPr>
          <w:trHeight w:val="187"/>
          <w:jc w:val="center"/>
        </w:trPr>
        <w:tc>
          <w:tcPr>
            <w:tcW w:w="1284" w:type="dxa"/>
          </w:tcPr>
          <w:p w14:paraId="0E90D27B" w14:textId="77777777" w:rsidR="007704AA" w:rsidRPr="00CC5666" w:rsidRDefault="007704AA" w:rsidP="009373A2">
            <w:pPr>
              <w:pStyle w:val="Default"/>
              <w:ind w:left="185"/>
              <w:rPr>
                <w:sz w:val="14"/>
                <w:szCs w:val="14"/>
              </w:rPr>
            </w:pPr>
            <w:r w:rsidRPr="00CC5666">
              <w:rPr>
                <w:sz w:val="14"/>
                <w:szCs w:val="14"/>
              </w:rPr>
              <w:t xml:space="preserve">Ingresos corrientes </w:t>
            </w:r>
          </w:p>
        </w:tc>
        <w:tc>
          <w:tcPr>
            <w:tcW w:w="1012" w:type="dxa"/>
          </w:tcPr>
          <w:p w14:paraId="64E76C4F" w14:textId="77777777" w:rsidR="007704AA" w:rsidRPr="00CC5666" w:rsidRDefault="007704AA" w:rsidP="009373A2">
            <w:pPr>
              <w:pStyle w:val="Default"/>
              <w:jc w:val="right"/>
              <w:rPr>
                <w:sz w:val="14"/>
                <w:szCs w:val="14"/>
              </w:rPr>
            </w:pPr>
            <w:r w:rsidRPr="00CC5666">
              <w:rPr>
                <w:sz w:val="14"/>
                <w:szCs w:val="14"/>
              </w:rPr>
              <w:t xml:space="preserve">5.262.601,0 </w:t>
            </w:r>
          </w:p>
        </w:tc>
        <w:tc>
          <w:tcPr>
            <w:tcW w:w="1191" w:type="dxa"/>
          </w:tcPr>
          <w:p w14:paraId="1D32F24F" w14:textId="77777777" w:rsidR="007704AA" w:rsidRPr="00CC5666" w:rsidRDefault="007704AA" w:rsidP="009373A2">
            <w:pPr>
              <w:pStyle w:val="Default"/>
              <w:ind w:right="142"/>
              <w:jc w:val="right"/>
              <w:rPr>
                <w:sz w:val="14"/>
                <w:szCs w:val="14"/>
              </w:rPr>
            </w:pPr>
            <w:r w:rsidRPr="00CC5666">
              <w:rPr>
                <w:sz w:val="14"/>
                <w:szCs w:val="14"/>
              </w:rPr>
              <w:t xml:space="preserve">5.458.185,2 </w:t>
            </w:r>
          </w:p>
        </w:tc>
        <w:tc>
          <w:tcPr>
            <w:tcW w:w="1049" w:type="dxa"/>
          </w:tcPr>
          <w:p w14:paraId="468691D9" w14:textId="77777777" w:rsidR="007704AA" w:rsidRPr="00CC5666" w:rsidRDefault="007704AA" w:rsidP="009373A2">
            <w:pPr>
              <w:pStyle w:val="Default"/>
              <w:jc w:val="right"/>
              <w:rPr>
                <w:sz w:val="14"/>
                <w:szCs w:val="14"/>
              </w:rPr>
            </w:pPr>
            <w:r w:rsidRPr="00CC5666">
              <w:rPr>
                <w:sz w:val="14"/>
                <w:szCs w:val="14"/>
              </w:rPr>
              <w:t xml:space="preserve">4.310.806,2 </w:t>
            </w:r>
          </w:p>
        </w:tc>
        <w:tc>
          <w:tcPr>
            <w:tcW w:w="1212" w:type="dxa"/>
          </w:tcPr>
          <w:p w14:paraId="339600CF" w14:textId="77777777" w:rsidR="007704AA" w:rsidRPr="00CC5666" w:rsidRDefault="007704AA" w:rsidP="009373A2">
            <w:pPr>
              <w:pStyle w:val="Default"/>
              <w:jc w:val="right"/>
              <w:rPr>
                <w:sz w:val="14"/>
                <w:szCs w:val="14"/>
              </w:rPr>
            </w:pPr>
            <w:r w:rsidRPr="00CC5666">
              <w:rPr>
                <w:sz w:val="14"/>
                <w:szCs w:val="14"/>
              </w:rPr>
              <w:t xml:space="preserve">4.694.708,0 </w:t>
            </w:r>
          </w:p>
        </w:tc>
        <w:tc>
          <w:tcPr>
            <w:tcW w:w="1126" w:type="dxa"/>
          </w:tcPr>
          <w:p w14:paraId="1CA9C9E9" w14:textId="77777777" w:rsidR="007704AA" w:rsidRPr="00CC5666" w:rsidRDefault="007704AA" w:rsidP="009373A2">
            <w:pPr>
              <w:pStyle w:val="Default"/>
              <w:jc w:val="right"/>
              <w:rPr>
                <w:sz w:val="14"/>
                <w:szCs w:val="14"/>
              </w:rPr>
            </w:pPr>
            <w:r w:rsidRPr="00CC5666">
              <w:rPr>
                <w:sz w:val="14"/>
                <w:szCs w:val="14"/>
              </w:rPr>
              <w:t xml:space="preserve">108,9% </w:t>
            </w:r>
          </w:p>
        </w:tc>
        <w:tc>
          <w:tcPr>
            <w:tcW w:w="984" w:type="dxa"/>
          </w:tcPr>
          <w:p w14:paraId="38B3B8C6" w14:textId="77777777" w:rsidR="007704AA" w:rsidRPr="00CC5666" w:rsidRDefault="007704AA" w:rsidP="009373A2">
            <w:pPr>
              <w:pStyle w:val="Default"/>
              <w:jc w:val="right"/>
              <w:rPr>
                <w:sz w:val="14"/>
                <w:szCs w:val="14"/>
              </w:rPr>
            </w:pPr>
            <w:r w:rsidRPr="00CC5666">
              <w:rPr>
                <w:sz w:val="14"/>
                <w:szCs w:val="14"/>
              </w:rPr>
              <w:t xml:space="preserve">- 567.893,0 </w:t>
            </w:r>
          </w:p>
        </w:tc>
        <w:tc>
          <w:tcPr>
            <w:tcW w:w="1110" w:type="dxa"/>
          </w:tcPr>
          <w:p w14:paraId="61C4688F" w14:textId="77777777" w:rsidR="007704AA" w:rsidRPr="00CC5666" w:rsidRDefault="007704AA" w:rsidP="009373A2">
            <w:pPr>
              <w:pStyle w:val="Default"/>
              <w:jc w:val="right"/>
              <w:rPr>
                <w:color w:val="FF0000"/>
                <w:sz w:val="14"/>
                <w:szCs w:val="14"/>
              </w:rPr>
            </w:pPr>
            <w:r w:rsidRPr="00CC5666">
              <w:rPr>
                <w:color w:val="FF0000"/>
                <w:sz w:val="14"/>
                <w:szCs w:val="14"/>
              </w:rPr>
              <w:t xml:space="preserve">-10,8% </w:t>
            </w:r>
          </w:p>
        </w:tc>
      </w:tr>
      <w:tr w:rsidR="007704AA" w:rsidRPr="00CC5666" w14:paraId="6809D085" w14:textId="77777777" w:rsidTr="009373A2">
        <w:trPr>
          <w:trHeight w:val="188"/>
          <w:jc w:val="center"/>
        </w:trPr>
        <w:tc>
          <w:tcPr>
            <w:tcW w:w="1284" w:type="dxa"/>
          </w:tcPr>
          <w:p w14:paraId="68D32DCE" w14:textId="77777777" w:rsidR="007704AA" w:rsidRPr="00CC5666" w:rsidRDefault="007704AA" w:rsidP="009373A2">
            <w:pPr>
              <w:pStyle w:val="Default"/>
              <w:ind w:left="185"/>
              <w:rPr>
                <w:sz w:val="14"/>
                <w:szCs w:val="14"/>
              </w:rPr>
            </w:pPr>
            <w:r w:rsidRPr="00CC5666">
              <w:rPr>
                <w:sz w:val="14"/>
                <w:szCs w:val="14"/>
              </w:rPr>
              <w:t xml:space="preserve">Ingresos de capital </w:t>
            </w:r>
          </w:p>
        </w:tc>
        <w:tc>
          <w:tcPr>
            <w:tcW w:w="1012" w:type="dxa"/>
          </w:tcPr>
          <w:p w14:paraId="089115A6" w14:textId="77777777" w:rsidR="007704AA" w:rsidRPr="00CC5666" w:rsidRDefault="007704AA" w:rsidP="009373A2">
            <w:pPr>
              <w:pStyle w:val="Default"/>
              <w:jc w:val="right"/>
              <w:rPr>
                <w:sz w:val="14"/>
                <w:szCs w:val="14"/>
              </w:rPr>
            </w:pPr>
            <w:r w:rsidRPr="00CC5666">
              <w:rPr>
                <w:sz w:val="14"/>
                <w:szCs w:val="14"/>
              </w:rPr>
              <w:t xml:space="preserve">100.375,7 </w:t>
            </w:r>
          </w:p>
        </w:tc>
        <w:tc>
          <w:tcPr>
            <w:tcW w:w="1191" w:type="dxa"/>
          </w:tcPr>
          <w:p w14:paraId="40F844AA" w14:textId="77777777" w:rsidR="007704AA" w:rsidRPr="00CC5666" w:rsidRDefault="007704AA" w:rsidP="009373A2">
            <w:pPr>
              <w:pStyle w:val="Default"/>
              <w:ind w:right="142"/>
              <w:jc w:val="right"/>
              <w:rPr>
                <w:sz w:val="14"/>
                <w:szCs w:val="14"/>
              </w:rPr>
            </w:pPr>
            <w:r w:rsidRPr="00CC5666">
              <w:rPr>
                <w:sz w:val="14"/>
                <w:szCs w:val="14"/>
              </w:rPr>
              <w:t xml:space="preserve">6.608,5 </w:t>
            </w:r>
          </w:p>
        </w:tc>
        <w:tc>
          <w:tcPr>
            <w:tcW w:w="1049" w:type="dxa"/>
          </w:tcPr>
          <w:p w14:paraId="0F6F12EA" w14:textId="77777777" w:rsidR="007704AA" w:rsidRPr="00CC5666" w:rsidRDefault="007704AA" w:rsidP="009373A2">
            <w:pPr>
              <w:pStyle w:val="Default"/>
              <w:jc w:val="right"/>
              <w:rPr>
                <w:sz w:val="14"/>
                <w:szCs w:val="14"/>
              </w:rPr>
            </w:pPr>
            <w:r w:rsidRPr="00CC5666">
              <w:rPr>
                <w:sz w:val="14"/>
                <w:szCs w:val="14"/>
              </w:rPr>
              <w:t xml:space="preserve">79.986,0 </w:t>
            </w:r>
          </w:p>
        </w:tc>
        <w:tc>
          <w:tcPr>
            <w:tcW w:w="1212" w:type="dxa"/>
          </w:tcPr>
          <w:p w14:paraId="333556BA" w14:textId="77777777" w:rsidR="007704AA" w:rsidRPr="00CC5666" w:rsidRDefault="007704AA" w:rsidP="009373A2">
            <w:pPr>
              <w:pStyle w:val="Default"/>
              <w:jc w:val="right"/>
              <w:rPr>
                <w:sz w:val="14"/>
                <w:szCs w:val="14"/>
              </w:rPr>
            </w:pPr>
            <w:r w:rsidRPr="00CC5666">
              <w:rPr>
                <w:sz w:val="14"/>
                <w:szCs w:val="14"/>
              </w:rPr>
              <w:t xml:space="preserve">81.608,5 </w:t>
            </w:r>
          </w:p>
        </w:tc>
        <w:tc>
          <w:tcPr>
            <w:tcW w:w="1126" w:type="dxa"/>
          </w:tcPr>
          <w:p w14:paraId="204CEE7F" w14:textId="77777777" w:rsidR="007704AA" w:rsidRPr="00CC5666" w:rsidRDefault="007704AA" w:rsidP="009373A2">
            <w:pPr>
              <w:pStyle w:val="Default"/>
              <w:jc w:val="right"/>
              <w:rPr>
                <w:sz w:val="14"/>
                <w:szCs w:val="14"/>
              </w:rPr>
            </w:pPr>
            <w:r w:rsidRPr="00CC5666">
              <w:rPr>
                <w:sz w:val="14"/>
                <w:szCs w:val="14"/>
              </w:rPr>
              <w:t xml:space="preserve">102,0% </w:t>
            </w:r>
          </w:p>
        </w:tc>
        <w:tc>
          <w:tcPr>
            <w:tcW w:w="984" w:type="dxa"/>
          </w:tcPr>
          <w:p w14:paraId="42663835" w14:textId="77777777" w:rsidR="007704AA" w:rsidRPr="00CC5666" w:rsidRDefault="007704AA" w:rsidP="009373A2">
            <w:pPr>
              <w:pStyle w:val="Default"/>
              <w:jc w:val="right"/>
              <w:rPr>
                <w:sz w:val="14"/>
                <w:szCs w:val="14"/>
              </w:rPr>
            </w:pPr>
            <w:r w:rsidRPr="00CC5666">
              <w:rPr>
                <w:sz w:val="14"/>
                <w:szCs w:val="14"/>
              </w:rPr>
              <w:t xml:space="preserve">- 18.767,2 </w:t>
            </w:r>
          </w:p>
        </w:tc>
        <w:tc>
          <w:tcPr>
            <w:tcW w:w="1110" w:type="dxa"/>
          </w:tcPr>
          <w:p w14:paraId="66871A53" w14:textId="77777777" w:rsidR="007704AA" w:rsidRPr="00CC5666" w:rsidRDefault="007704AA" w:rsidP="009373A2">
            <w:pPr>
              <w:pStyle w:val="Default"/>
              <w:jc w:val="right"/>
              <w:rPr>
                <w:color w:val="FF0000"/>
                <w:sz w:val="14"/>
                <w:szCs w:val="14"/>
              </w:rPr>
            </w:pPr>
            <w:r w:rsidRPr="00CC5666">
              <w:rPr>
                <w:color w:val="FF0000"/>
                <w:sz w:val="14"/>
                <w:szCs w:val="14"/>
              </w:rPr>
              <w:t xml:space="preserve">-18,7% </w:t>
            </w:r>
          </w:p>
        </w:tc>
      </w:tr>
      <w:tr w:rsidR="007704AA" w:rsidRPr="00CC5666" w14:paraId="54F54FD9" w14:textId="77777777" w:rsidTr="009373A2">
        <w:trPr>
          <w:trHeight w:val="86"/>
          <w:jc w:val="center"/>
        </w:trPr>
        <w:tc>
          <w:tcPr>
            <w:tcW w:w="1284" w:type="dxa"/>
          </w:tcPr>
          <w:p w14:paraId="5B916D82" w14:textId="77777777" w:rsidR="007704AA" w:rsidRPr="00CC5666" w:rsidRDefault="007704AA" w:rsidP="009373A2">
            <w:pPr>
              <w:pStyle w:val="Default"/>
              <w:ind w:left="185"/>
              <w:rPr>
                <w:sz w:val="14"/>
                <w:szCs w:val="14"/>
              </w:rPr>
            </w:pPr>
            <w:r w:rsidRPr="00CC5666">
              <w:rPr>
                <w:sz w:val="14"/>
                <w:szCs w:val="14"/>
              </w:rPr>
              <w:t xml:space="preserve">Financiamiento </w:t>
            </w:r>
          </w:p>
        </w:tc>
        <w:tc>
          <w:tcPr>
            <w:tcW w:w="1012" w:type="dxa"/>
          </w:tcPr>
          <w:p w14:paraId="75230358" w14:textId="77777777" w:rsidR="007704AA" w:rsidRPr="00CC5666" w:rsidRDefault="007704AA" w:rsidP="009373A2">
            <w:pPr>
              <w:pStyle w:val="Default"/>
              <w:jc w:val="right"/>
              <w:rPr>
                <w:sz w:val="14"/>
                <w:szCs w:val="14"/>
              </w:rPr>
            </w:pPr>
            <w:r w:rsidRPr="00CC5666">
              <w:rPr>
                <w:sz w:val="14"/>
                <w:szCs w:val="14"/>
              </w:rPr>
              <w:t xml:space="preserve">5.084.439,8 </w:t>
            </w:r>
          </w:p>
        </w:tc>
        <w:tc>
          <w:tcPr>
            <w:tcW w:w="1191" w:type="dxa"/>
          </w:tcPr>
          <w:p w14:paraId="5B442F1E" w14:textId="77777777" w:rsidR="007704AA" w:rsidRPr="00CC5666" w:rsidRDefault="007704AA" w:rsidP="009373A2">
            <w:pPr>
              <w:pStyle w:val="Default"/>
              <w:ind w:right="142"/>
              <w:jc w:val="right"/>
              <w:rPr>
                <w:sz w:val="14"/>
                <w:szCs w:val="14"/>
              </w:rPr>
            </w:pPr>
            <w:r w:rsidRPr="00CC5666">
              <w:rPr>
                <w:sz w:val="14"/>
                <w:szCs w:val="14"/>
              </w:rPr>
              <w:t xml:space="preserve">5.044.813,2 </w:t>
            </w:r>
          </w:p>
        </w:tc>
        <w:tc>
          <w:tcPr>
            <w:tcW w:w="1049" w:type="dxa"/>
          </w:tcPr>
          <w:p w14:paraId="61D07E51" w14:textId="77777777" w:rsidR="007704AA" w:rsidRPr="00CC5666" w:rsidRDefault="007704AA" w:rsidP="009373A2">
            <w:pPr>
              <w:pStyle w:val="Default"/>
              <w:jc w:val="right"/>
              <w:rPr>
                <w:sz w:val="14"/>
                <w:szCs w:val="14"/>
              </w:rPr>
            </w:pPr>
            <w:r w:rsidRPr="00CC5666">
              <w:rPr>
                <w:sz w:val="14"/>
                <w:szCs w:val="14"/>
              </w:rPr>
              <w:t xml:space="preserve">5.992.022,8 </w:t>
            </w:r>
          </w:p>
        </w:tc>
        <w:tc>
          <w:tcPr>
            <w:tcW w:w="1212" w:type="dxa"/>
          </w:tcPr>
          <w:p w14:paraId="168AE343" w14:textId="77777777" w:rsidR="007704AA" w:rsidRPr="00CC5666" w:rsidRDefault="007704AA" w:rsidP="009373A2">
            <w:pPr>
              <w:pStyle w:val="Default"/>
              <w:jc w:val="right"/>
              <w:rPr>
                <w:sz w:val="14"/>
                <w:szCs w:val="14"/>
              </w:rPr>
            </w:pPr>
            <w:r w:rsidRPr="00CC5666">
              <w:rPr>
                <w:sz w:val="14"/>
                <w:szCs w:val="14"/>
              </w:rPr>
              <w:t xml:space="preserve">4.547.894,5 </w:t>
            </w:r>
          </w:p>
        </w:tc>
        <w:tc>
          <w:tcPr>
            <w:tcW w:w="1126" w:type="dxa"/>
          </w:tcPr>
          <w:p w14:paraId="693D4227" w14:textId="77777777" w:rsidR="007704AA" w:rsidRPr="00CC5666" w:rsidRDefault="007704AA" w:rsidP="009373A2">
            <w:pPr>
              <w:pStyle w:val="Default"/>
              <w:jc w:val="right"/>
              <w:rPr>
                <w:sz w:val="14"/>
                <w:szCs w:val="14"/>
              </w:rPr>
            </w:pPr>
            <w:r w:rsidRPr="00CC5666">
              <w:rPr>
                <w:sz w:val="14"/>
                <w:szCs w:val="14"/>
              </w:rPr>
              <w:t xml:space="preserve">75,9% </w:t>
            </w:r>
          </w:p>
        </w:tc>
        <w:tc>
          <w:tcPr>
            <w:tcW w:w="984" w:type="dxa"/>
          </w:tcPr>
          <w:p w14:paraId="6E1FB093" w14:textId="77777777" w:rsidR="007704AA" w:rsidRPr="00CC5666" w:rsidRDefault="007704AA" w:rsidP="009373A2">
            <w:pPr>
              <w:pStyle w:val="Default"/>
              <w:jc w:val="right"/>
              <w:rPr>
                <w:sz w:val="14"/>
                <w:szCs w:val="14"/>
              </w:rPr>
            </w:pPr>
            <w:r w:rsidRPr="00CC5666">
              <w:rPr>
                <w:sz w:val="14"/>
                <w:szCs w:val="14"/>
              </w:rPr>
              <w:t xml:space="preserve">- 536.545,3 </w:t>
            </w:r>
          </w:p>
        </w:tc>
        <w:tc>
          <w:tcPr>
            <w:tcW w:w="1110" w:type="dxa"/>
          </w:tcPr>
          <w:p w14:paraId="50C5F282" w14:textId="77777777" w:rsidR="007704AA" w:rsidRPr="00CC5666" w:rsidRDefault="007704AA" w:rsidP="009373A2">
            <w:pPr>
              <w:pStyle w:val="Default"/>
              <w:jc w:val="right"/>
              <w:rPr>
                <w:color w:val="FF0000"/>
                <w:sz w:val="14"/>
                <w:szCs w:val="14"/>
              </w:rPr>
            </w:pPr>
            <w:r w:rsidRPr="00CC5666">
              <w:rPr>
                <w:color w:val="FF0000"/>
                <w:sz w:val="14"/>
                <w:szCs w:val="14"/>
              </w:rPr>
              <w:t xml:space="preserve">-10,6% </w:t>
            </w:r>
          </w:p>
        </w:tc>
      </w:tr>
      <w:tr w:rsidR="007704AA" w:rsidRPr="00CC5666" w14:paraId="79B6C2F2" w14:textId="77777777" w:rsidTr="009373A2">
        <w:trPr>
          <w:trHeight w:val="84"/>
          <w:jc w:val="center"/>
        </w:trPr>
        <w:tc>
          <w:tcPr>
            <w:tcW w:w="1284" w:type="dxa"/>
          </w:tcPr>
          <w:p w14:paraId="620523E0" w14:textId="77777777" w:rsidR="007704AA" w:rsidRPr="00CC5666" w:rsidRDefault="007704AA" w:rsidP="009373A2">
            <w:pPr>
              <w:pStyle w:val="Default"/>
              <w:ind w:firstLine="327"/>
              <w:rPr>
                <w:i/>
                <w:iCs/>
                <w:sz w:val="14"/>
                <w:szCs w:val="14"/>
              </w:rPr>
            </w:pPr>
            <w:r w:rsidRPr="00CC5666">
              <w:rPr>
                <w:i/>
                <w:iCs/>
                <w:sz w:val="14"/>
                <w:szCs w:val="14"/>
              </w:rPr>
              <w:t>Interno</w:t>
            </w:r>
          </w:p>
        </w:tc>
        <w:tc>
          <w:tcPr>
            <w:tcW w:w="1012" w:type="dxa"/>
          </w:tcPr>
          <w:p w14:paraId="7A3E45BA" w14:textId="77777777" w:rsidR="007704AA" w:rsidRPr="00CC5666" w:rsidRDefault="007704AA" w:rsidP="009373A2">
            <w:pPr>
              <w:pStyle w:val="Default"/>
              <w:jc w:val="right"/>
              <w:rPr>
                <w:i/>
                <w:iCs/>
                <w:sz w:val="14"/>
                <w:szCs w:val="14"/>
              </w:rPr>
            </w:pPr>
            <w:r w:rsidRPr="00CC5666">
              <w:rPr>
                <w:i/>
                <w:iCs/>
                <w:sz w:val="14"/>
                <w:szCs w:val="14"/>
              </w:rPr>
              <w:t xml:space="preserve">4.075.844,3 </w:t>
            </w:r>
          </w:p>
        </w:tc>
        <w:tc>
          <w:tcPr>
            <w:tcW w:w="1191" w:type="dxa"/>
          </w:tcPr>
          <w:p w14:paraId="4205EC5A" w14:textId="77777777" w:rsidR="007704AA" w:rsidRPr="00CC5666" w:rsidRDefault="007704AA" w:rsidP="009373A2">
            <w:pPr>
              <w:pStyle w:val="Default"/>
              <w:ind w:right="142"/>
              <w:jc w:val="right"/>
              <w:rPr>
                <w:i/>
                <w:iCs/>
                <w:sz w:val="14"/>
                <w:szCs w:val="14"/>
              </w:rPr>
            </w:pPr>
            <w:r w:rsidRPr="00CC5666">
              <w:rPr>
                <w:i/>
                <w:iCs/>
                <w:sz w:val="14"/>
                <w:szCs w:val="14"/>
              </w:rPr>
              <w:t xml:space="preserve">5.044.813,2 </w:t>
            </w:r>
          </w:p>
        </w:tc>
        <w:tc>
          <w:tcPr>
            <w:tcW w:w="1049" w:type="dxa"/>
          </w:tcPr>
          <w:p w14:paraId="7849153B" w14:textId="77777777" w:rsidR="007704AA" w:rsidRPr="00CC5666" w:rsidRDefault="007704AA" w:rsidP="009373A2">
            <w:pPr>
              <w:pStyle w:val="Default"/>
              <w:jc w:val="right"/>
              <w:rPr>
                <w:i/>
                <w:iCs/>
                <w:sz w:val="14"/>
                <w:szCs w:val="14"/>
              </w:rPr>
            </w:pPr>
            <w:r w:rsidRPr="00CC5666">
              <w:rPr>
                <w:i/>
                <w:iCs/>
                <w:sz w:val="14"/>
                <w:szCs w:val="14"/>
              </w:rPr>
              <w:t xml:space="preserve">4.565.694,6 </w:t>
            </w:r>
          </w:p>
        </w:tc>
        <w:tc>
          <w:tcPr>
            <w:tcW w:w="1212" w:type="dxa"/>
          </w:tcPr>
          <w:p w14:paraId="26C05ECA" w14:textId="77777777" w:rsidR="007704AA" w:rsidRPr="00CC5666" w:rsidRDefault="007704AA" w:rsidP="009373A2">
            <w:pPr>
              <w:pStyle w:val="Default"/>
              <w:jc w:val="right"/>
              <w:rPr>
                <w:i/>
                <w:iCs/>
                <w:sz w:val="14"/>
                <w:szCs w:val="14"/>
              </w:rPr>
            </w:pPr>
            <w:r w:rsidRPr="00CC5666">
              <w:rPr>
                <w:i/>
                <w:iCs/>
                <w:sz w:val="14"/>
                <w:szCs w:val="14"/>
              </w:rPr>
              <w:t xml:space="preserve">3.121.566,4 </w:t>
            </w:r>
          </w:p>
        </w:tc>
        <w:tc>
          <w:tcPr>
            <w:tcW w:w="1126" w:type="dxa"/>
          </w:tcPr>
          <w:p w14:paraId="3D0123A8" w14:textId="77777777" w:rsidR="007704AA" w:rsidRPr="00CC5666" w:rsidRDefault="007704AA" w:rsidP="009373A2">
            <w:pPr>
              <w:pStyle w:val="Default"/>
              <w:jc w:val="right"/>
              <w:rPr>
                <w:i/>
                <w:iCs/>
                <w:sz w:val="14"/>
                <w:szCs w:val="14"/>
              </w:rPr>
            </w:pPr>
            <w:r w:rsidRPr="00CC5666">
              <w:rPr>
                <w:i/>
                <w:iCs/>
                <w:sz w:val="14"/>
                <w:szCs w:val="14"/>
              </w:rPr>
              <w:t xml:space="preserve">68,4% </w:t>
            </w:r>
          </w:p>
        </w:tc>
        <w:tc>
          <w:tcPr>
            <w:tcW w:w="984" w:type="dxa"/>
          </w:tcPr>
          <w:p w14:paraId="6FC1A750" w14:textId="77777777" w:rsidR="007704AA" w:rsidRPr="00CC5666" w:rsidRDefault="007704AA" w:rsidP="009373A2">
            <w:pPr>
              <w:pStyle w:val="Default"/>
              <w:jc w:val="right"/>
              <w:rPr>
                <w:i/>
                <w:iCs/>
                <w:sz w:val="14"/>
                <w:szCs w:val="14"/>
              </w:rPr>
            </w:pPr>
            <w:r w:rsidRPr="00CC5666">
              <w:rPr>
                <w:i/>
                <w:iCs/>
                <w:sz w:val="14"/>
                <w:szCs w:val="14"/>
              </w:rPr>
              <w:t xml:space="preserve">- 954.277,9 </w:t>
            </w:r>
          </w:p>
        </w:tc>
        <w:tc>
          <w:tcPr>
            <w:tcW w:w="1110" w:type="dxa"/>
          </w:tcPr>
          <w:p w14:paraId="733CAC9C" w14:textId="77777777" w:rsidR="007704AA" w:rsidRPr="00CC5666" w:rsidRDefault="007704AA" w:rsidP="009373A2">
            <w:pPr>
              <w:pStyle w:val="Default"/>
              <w:jc w:val="right"/>
              <w:rPr>
                <w:i/>
                <w:iCs/>
                <w:color w:val="FF0000"/>
                <w:sz w:val="14"/>
                <w:szCs w:val="14"/>
              </w:rPr>
            </w:pPr>
            <w:r w:rsidRPr="00CC5666">
              <w:rPr>
                <w:i/>
                <w:iCs/>
                <w:color w:val="FF0000"/>
                <w:sz w:val="14"/>
                <w:szCs w:val="14"/>
              </w:rPr>
              <w:t xml:space="preserve">-23,4% </w:t>
            </w:r>
          </w:p>
        </w:tc>
      </w:tr>
      <w:tr w:rsidR="007704AA" w:rsidRPr="00CC5666" w14:paraId="7928F85D" w14:textId="77777777" w:rsidTr="009373A2">
        <w:trPr>
          <w:trHeight w:val="84"/>
          <w:jc w:val="center"/>
        </w:trPr>
        <w:tc>
          <w:tcPr>
            <w:tcW w:w="1284" w:type="dxa"/>
          </w:tcPr>
          <w:p w14:paraId="7361BBDE" w14:textId="77777777" w:rsidR="007704AA" w:rsidRPr="00CC5666" w:rsidRDefault="007704AA" w:rsidP="009373A2">
            <w:pPr>
              <w:pStyle w:val="Default"/>
              <w:ind w:firstLine="327"/>
              <w:rPr>
                <w:i/>
                <w:iCs/>
                <w:sz w:val="14"/>
                <w:szCs w:val="14"/>
              </w:rPr>
            </w:pPr>
            <w:r w:rsidRPr="00CC5666">
              <w:rPr>
                <w:i/>
                <w:iCs/>
                <w:sz w:val="14"/>
                <w:szCs w:val="14"/>
              </w:rPr>
              <w:t>Externo</w:t>
            </w:r>
          </w:p>
        </w:tc>
        <w:tc>
          <w:tcPr>
            <w:tcW w:w="1012" w:type="dxa"/>
          </w:tcPr>
          <w:p w14:paraId="07711A87" w14:textId="77777777" w:rsidR="007704AA" w:rsidRPr="00CC5666" w:rsidRDefault="007704AA" w:rsidP="009373A2">
            <w:pPr>
              <w:pStyle w:val="Default"/>
              <w:jc w:val="right"/>
              <w:rPr>
                <w:i/>
                <w:iCs/>
                <w:sz w:val="14"/>
                <w:szCs w:val="14"/>
              </w:rPr>
            </w:pPr>
            <w:r w:rsidRPr="00CC5666">
              <w:rPr>
                <w:i/>
                <w:iCs/>
                <w:sz w:val="14"/>
                <w:szCs w:val="14"/>
              </w:rPr>
              <w:t xml:space="preserve">1.008.516,8 </w:t>
            </w:r>
          </w:p>
        </w:tc>
        <w:tc>
          <w:tcPr>
            <w:tcW w:w="1191" w:type="dxa"/>
          </w:tcPr>
          <w:p w14:paraId="19136FA8" w14:textId="77777777" w:rsidR="007704AA" w:rsidRPr="00CC5666" w:rsidRDefault="007704AA" w:rsidP="009373A2">
            <w:pPr>
              <w:pStyle w:val="Default"/>
              <w:ind w:right="142"/>
              <w:jc w:val="right"/>
              <w:rPr>
                <w:i/>
                <w:iCs/>
                <w:sz w:val="14"/>
                <w:szCs w:val="14"/>
              </w:rPr>
            </w:pPr>
            <w:r w:rsidRPr="00CC5666">
              <w:rPr>
                <w:i/>
                <w:iCs/>
                <w:sz w:val="14"/>
                <w:szCs w:val="14"/>
              </w:rPr>
              <w:t xml:space="preserve">- </w:t>
            </w:r>
          </w:p>
        </w:tc>
        <w:tc>
          <w:tcPr>
            <w:tcW w:w="1049" w:type="dxa"/>
          </w:tcPr>
          <w:p w14:paraId="19AF45DE" w14:textId="77777777" w:rsidR="007704AA" w:rsidRPr="00CC5666" w:rsidRDefault="007704AA" w:rsidP="009373A2">
            <w:pPr>
              <w:pStyle w:val="Default"/>
              <w:jc w:val="right"/>
              <w:rPr>
                <w:i/>
                <w:iCs/>
                <w:sz w:val="14"/>
                <w:szCs w:val="14"/>
              </w:rPr>
            </w:pPr>
            <w:r w:rsidRPr="00CC5666">
              <w:rPr>
                <w:i/>
                <w:iCs/>
                <w:sz w:val="14"/>
                <w:szCs w:val="14"/>
              </w:rPr>
              <w:t xml:space="preserve">824.617,5 </w:t>
            </w:r>
          </w:p>
        </w:tc>
        <w:tc>
          <w:tcPr>
            <w:tcW w:w="1212" w:type="dxa"/>
          </w:tcPr>
          <w:p w14:paraId="74181436" w14:textId="77777777" w:rsidR="007704AA" w:rsidRPr="00CC5666" w:rsidRDefault="007704AA" w:rsidP="009373A2">
            <w:pPr>
              <w:pStyle w:val="Default"/>
              <w:jc w:val="right"/>
              <w:rPr>
                <w:i/>
                <w:iCs/>
                <w:sz w:val="14"/>
                <w:szCs w:val="14"/>
              </w:rPr>
            </w:pPr>
            <w:r w:rsidRPr="00CC5666">
              <w:rPr>
                <w:i/>
                <w:iCs/>
                <w:sz w:val="14"/>
                <w:szCs w:val="14"/>
              </w:rPr>
              <w:t xml:space="preserve">824.617,5 </w:t>
            </w:r>
          </w:p>
        </w:tc>
        <w:tc>
          <w:tcPr>
            <w:tcW w:w="1126" w:type="dxa"/>
          </w:tcPr>
          <w:p w14:paraId="5ACC4F28" w14:textId="77777777" w:rsidR="007704AA" w:rsidRPr="00CC5666" w:rsidRDefault="007704AA" w:rsidP="009373A2">
            <w:pPr>
              <w:pStyle w:val="Default"/>
              <w:jc w:val="right"/>
              <w:rPr>
                <w:i/>
                <w:iCs/>
                <w:sz w:val="14"/>
                <w:szCs w:val="14"/>
              </w:rPr>
            </w:pPr>
            <w:r w:rsidRPr="00CC5666">
              <w:rPr>
                <w:i/>
                <w:iCs/>
                <w:sz w:val="14"/>
                <w:szCs w:val="14"/>
              </w:rPr>
              <w:t xml:space="preserve">100,0% </w:t>
            </w:r>
          </w:p>
        </w:tc>
        <w:tc>
          <w:tcPr>
            <w:tcW w:w="984" w:type="dxa"/>
          </w:tcPr>
          <w:p w14:paraId="6B058EF7" w14:textId="77777777" w:rsidR="007704AA" w:rsidRPr="00CC5666" w:rsidRDefault="007704AA" w:rsidP="009373A2">
            <w:pPr>
              <w:pStyle w:val="Default"/>
              <w:jc w:val="right"/>
              <w:rPr>
                <w:i/>
                <w:iCs/>
                <w:sz w:val="14"/>
                <w:szCs w:val="14"/>
              </w:rPr>
            </w:pPr>
            <w:r w:rsidRPr="00CC5666">
              <w:rPr>
                <w:i/>
                <w:iCs/>
                <w:sz w:val="14"/>
                <w:szCs w:val="14"/>
              </w:rPr>
              <w:t xml:space="preserve">- 183.899,3 </w:t>
            </w:r>
          </w:p>
        </w:tc>
        <w:tc>
          <w:tcPr>
            <w:tcW w:w="1110" w:type="dxa"/>
          </w:tcPr>
          <w:p w14:paraId="4F4A86FA" w14:textId="77777777" w:rsidR="007704AA" w:rsidRPr="00CC5666" w:rsidRDefault="007704AA" w:rsidP="009373A2">
            <w:pPr>
              <w:pStyle w:val="Default"/>
              <w:jc w:val="right"/>
              <w:rPr>
                <w:i/>
                <w:iCs/>
                <w:color w:val="FF0000"/>
                <w:sz w:val="14"/>
                <w:szCs w:val="14"/>
              </w:rPr>
            </w:pPr>
            <w:r w:rsidRPr="00CC5666">
              <w:rPr>
                <w:i/>
                <w:iCs/>
                <w:color w:val="FF0000"/>
                <w:sz w:val="14"/>
                <w:szCs w:val="14"/>
              </w:rPr>
              <w:t xml:space="preserve">-18,2% </w:t>
            </w:r>
          </w:p>
        </w:tc>
      </w:tr>
    </w:tbl>
    <w:p w14:paraId="33CCF5EE" w14:textId="77777777" w:rsidR="007704AA" w:rsidRPr="00CC5666" w:rsidRDefault="007704AA" w:rsidP="007704AA">
      <w:pPr>
        <w:spacing w:line="240" w:lineRule="auto"/>
        <w:rPr>
          <w:rFonts w:ascii="Arial" w:hAnsi="Arial" w:cs="Arial"/>
          <w:b/>
          <w:bCs/>
          <w:sz w:val="14"/>
          <w:szCs w:val="14"/>
        </w:rPr>
      </w:pPr>
      <w:r w:rsidRPr="00CC5666">
        <w:rPr>
          <w:rFonts w:ascii="Arial" w:hAnsi="Arial" w:cs="Arial"/>
          <w:b/>
          <w:bCs/>
          <w:sz w:val="14"/>
          <w:szCs w:val="14"/>
        </w:rPr>
        <w:t>Fuente: Departamento de Análisis Presupuestario de la Asamblea Legislativa, con datos de las liquidaciones 2019 y 2020, de la Contabilidad Nacional. AL-DAPR-INF-007-2021. 15 de junio de 2021.</w:t>
      </w:r>
    </w:p>
    <w:p w14:paraId="590385E6"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El financiamiento igualmente se vio afectado por las condiciones del año 2020, pero también por un mayor acceso a recursos externos, además de una subpresupuestación de ingresos corrientes y de capital, y una sobrepresupuestación de recursos del endeudamiento, especialmente los recursos de deuda interna.</w:t>
      </w:r>
    </w:p>
    <w:p w14:paraId="7734AB9B"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Es evidente que la estimación de la caída en la producción provocó numerosos ajustes por parte del Ministerio de Hacienda en los estimados presupuestarios, especialmente en cuanto al comportamiento de los ingresos tributarios y por ende en la necesidad de financiamiento para solventar el vacío que se esperaba los ingresos iban a dejar.</w:t>
      </w:r>
    </w:p>
    <w:p w14:paraId="3AA85E75" w14:textId="08A869C2"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Cuando se analiza</w:t>
      </w:r>
      <w:r w:rsidR="00ED424C">
        <w:rPr>
          <w:rFonts w:ascii="Arial" w:hAnsi="Arial" w:cs="Arial"/>
          <w:sz w:val="24"/>
          <w:szCs w:val="24"/>
        </w:rPr>
        <w:t>n</w:t>
      </w:r>
      <w:r w:rsidRPr="00C80037">
        <w:rPr>
          <w:rFonts w:ascii="Arial" w:hAnsi="Arial" w:cs="Arial"/>
          <w:sz w:val="24"/>
          <w:szCs w:val="24"/>
        </w:rPr>
        <w:t xml:space="preserve"> los estimados presupuestarios de ingresos, entre el Presupuesto Inicial de 2020 y el Presupuesto con todas las modificaciones, el presupuesto registró finalmente una caída de </w:t>
      </w:r>
      <w:r w:rsidR="0013511B">
        <w:rPr>
          <w:rFonts w:ascii="Arial" w:hAnsi="Arial" w:cs="Arial"/>
          <w:sz w:val="24"/>
          <w:szCs w:val="24"/>
        </w:rPr>
        <w:t>¢</w:t>
      </w:r>
      <w:r w:rsidRPr="00C80037">
        <w:rPr>
          <w:rFonts w:ascii="Arial" w:hAnsi="Arial" w:cs="Arial"/>
          <w:sz w:val="24"/>
          <w:szCs w:val="24"/>
        </w:rPr>
        <w:t xml:space="preserve">1.156 millones, pero al analizar el presupuesto inicial respecto del ingreso efectivamente percibido (devengado), es notorio que a nivel presupuestario hubo una subestimación de los ingresos o una sobre estimación de su caída, de poco más de </w:t>
      </w:r>
      <w:r w:rsidR="0013511B">
        <w:rPr>
          <w:rFonts w:ascii="Arial" w:hAnsi="Arial" w:cs="Arial"/>
          <w:sz w:val="24"/>
          <w:szCs w:val="24"/>
        </w:rPr>
        <w:t>¢</w:t>
      </w:r>
      <w:r w:rsidRPr="00C80037">
        <w:rPr>
          <w:rFonts w:ascii="Arial" w:hAnsi="Arial" w:cs="Arial"/>
          <w:sz w:val="24"/>
          <w:szCs w:val="24"/>
        </w:rPr>
        <w:t xml:space="preserve">407 millones. Es decir, una subestimación de 35%. Pero cuando se analizan los 5 principales impuestos del Gobierno (Renta, IVA, combustibles, selectivo de consumo y el de importación), es posible notar que el IVA estuvo subvalorado en 65%, y aportó a la subestimación global igualmente un 65%. </w:t>
      </w:r>
    </w:p>
    <w:tbl>
      <w:tblPr>
        <w:tblW w:w="9576" w:type="dxa"/>
        <w:jc w:val="center"/>
        <w:tblCellMar>
          <w:left w:w="70" w:type="dxa"/>
          <w:right w:w="70" w:type="dxa"/>
        </w:tblCellMar>
        <w:tblLook w:val="04A0" w:firstRow="1" w:lastRow="0" w:firstColumn="1" w:lastColumn="0" w:noHBand="0" w:noVBand="1"/>
      </w:tblPr>
      <w:tblGrid>
        <w:gridCol w:w="4168"/>
        <w:gridCol w:w="1755"/>
        <w:gridCol w:w="1285"/>
        <w:gridCol w:w="1098"/>
        <w:gridCol w:w="1263"/>
        <w:gridCol w:w="7"/>
      </w:tblGrid>
      <w:tr w:rsidR="007704AA" w:rsidRPr="00CC5666" w14:paraId="34516A6F" w14:textId="77777777" w:rsidTr="009373A2">
        <w:trPr>
          <w:jc w:val="center"/>
        </w:trPr>
        <w:tc>
          <w:tcPr>
            <w:tcW w:w="9576" w:type="dxa"/>
            <w:gridSpan w:val="6"/>
            <w:tcBorders>
              <w:bottom w:val="single" w:sz="4" w:space="0" w:color="auto"/>
            </w:tcBorders>
            <w:shd w:val="clear" w:color="auto" w:fill="auto"/>
            <w:noWrap/>
            <w:vAlign w:val="center"/>
          </w:tcPr>
          <w:p w14:paraId="683C7FCD" w14:textId="77777777" w:rsidR="007704AA" w:rsidRPr="00CC5666" w:rsidRDefault="007704AA" w:rsidP="009373A2">
            <w:pPr>
              <w:spacing w:after="0" w:line="240" w:lineRule="auto"/>
              <w:jc w:val="center"/>
              <w:rPr>
                <w:rFonts w:ascii="Arial" w:eastAsia="Times New Roman" w:hAnsi="Arial" w:cs="Arial"/>
                <w:b/>
                <w:bCs/>
                <w:color w:val="000000"/>
                <w:sz w:val="20"/>
                <w:szCs w:val="20"/>
                <w:lang w:eastAsia="es-CR"/>
              </w:rPr>
            </w:pPr>
            <w:r w:rsidRPr="00CC5666">
              <w:rPr>
                <w:rFonts w:ascii="Arial" w:eastAsia="Times New Roman" w:hAnsi="Arial" w:cs="Arial"/>
                <w:b/>
                <w:bCs/>
                <w:color w:val="000000"/>
                <w:sz w:val="20"/>
                <w:szCs w:val="20"/>
                <w:lang w:eastAsia="es-CR"/>
              </w:rPr>
              <w:t>SOBREESTIMACIÓN DE LA CAÍA DE LOS PRINCIPALES TRIBUTOS DURANTE EL 2020</w:t>
            </w:r>
          </w:p>
          <w:p w14:paraId="73FFB862" w14:textId="77777777" w:rsidR="007704AA" w:rsidRPr="00CC5666" w:rsidRDefault="007704AA" w:rsidP="009373A2">
            <w:pPr>
              <w:spacing w:after="0" w:line="240" w:lineRule="auto"/>
              <w:jc w:val="center"/>
              <w:rPr>
                <w:rFonts w:ascii="Arial" w:eastAsia="Times New Roman" w:hAnsi="Arial" w:cs="Arial"/>
                <w:b/>
                <w:bCs/>
                <w:color w:val="000000"/>
                <w:sz w:val="20"/>
                <w:szCs w:val="20"/>
                <w:lang w:eastAsia="es-CR"/>
              </w:rPr>
            </w:pPr>
          </w:p>
        </w:tc>
      </w:tr>
      <w:tr w:rsidR="004724D3" w:rsidRPr="00CC5666" w14:paraId="3D42937B" w14:textId="77777777" w:rsidTr="009373A2">
        <w:trPr>
          <w:gridAfter w:val="1"/>
          <w:wAfter w:w="7" w:type="dxa"/>
          <w:jc w:val="center"/>
        </w:trPr>
        <w:tc>
          <w:tcPr>
            <w:tcW w:w="4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CEE48"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r w:rsidRPr="00896125">
              <w:rPr>
                <w:rFonts w:ascii="Arial" w:eastAsia="Times New Roman" w:hAnsi="Arial" w:cs="Arial"/>
                <w:b/>
                <w:bCs/>
                <w:color w:val="000000"/>
                <w:sz w:val="16"/>
                <w:szCs w:val="16"/>
                <w:lang w:eastAsia="es-CR"/>
              </w:rPr>
              <w:t>Concepto</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14:paraId="17FDFE59"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r w:rsidRPr="00896125">
              <w:rPr>
                <w:rFonts w:ascii="Arial" w:eastAsia="Times New Roman" w:hAnsi="Arial" w:cs="Arial"/>
                <w:b/>
                <w:bCs/>
                <w:color w:val="000000"/>
                <w:sz w:val="16"/>
                <w:szCs w:val="16"/>
                <w:lang w:eastAsia="es-CR"/>
              </w:rPr>
              <w:t>A) Estimación de la caída de ingresos presupuestarios</w:t>
            </w:r>
          </w:p>
          <w:p w14:paraId="06136D09"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r w:rsidRPr="00896125">
              <w:rPr>
                <w:rFonts w:ascii="Arial" w:eastAsia="Times New Roman" w:hAnsi="Arial" w:cs="Arial"/>
                <w:b/>
                <w:bCs/>
                <w:color w:val="000000"/>
                <w:sz w:val="16"/>
                <w:szCs w:val="16"/>
                <w:lang w:eastAsia="es-CR"/>
              </w:rPr>
              <w:t>(Pres. inicial vs final)</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324A976F"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r w:rsidRPr="00896125">
              <w:rPr>
                <w:rFonts w:ascii="Arial" w:eastAsia="Times New Roman" w:hAnsi="Arial" w:cs="Arial"/>
                <w:b/>
                <w:bCs/>
                <w:color w:val="000000"/>
                <w:sz w:val="16"/>
                <w:szCs w:val="16"/>
                <w:lang w:eastAsia="es-CR"/>
              </w:rPr>
              <w:t>B) Caída real del ingreso</w:t>
            </w:r>
            <w:r w:rsidRPr="00896125">
              <w:rPr>
                <w:rFonts w:ascii="Arial" w:eastAsia="Times New Roman" w:hAnsi="Arial" w:cs="Arial"/>
                <w:b/>
                <w:bCs/>
                <w:color w:val="000000"/>
                <w:sz w:val="16"/>
                <w:szCs w:val="16"/>
                <w:lang w:eastAsia="es-CR"/>
              </w:rPr>
              <w:br/>
              <w:t>(Devengado vs Inicial)</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72A05AC2"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r w:rsidRPr="00896125">
              <w:rPr>
                <w:rFonts w:ascii="Arial" w:eastAsia="Times New Roman" w:hAnsi="Arial" w:cs="Arial"/>
                <w:b/>
                <w:bCs/>
                <w:color w:val="000000"/>
                <w:sz w:val="16"/>
                <w:szCs w:val="16"/>
                <w:lang w:eastAsia="es-CR"/>
              </w:rPr>
              <w:t>Monto sobre estimado</w:t>
            </w:r>
          </w:p>
          <w:p w14:paraId="0CC6B1BA"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r w:rsidRPr="00896125">
              <w:rPr>
                <w:rFonts w:ascii="Arial" w:eastAsia="Times New Roman" w:hAnsi="Arial" w:cs="Arial"/>
                <w:b/>
                <w:bCs/>
                <w:color w:val="000000"/>
                <w:sz w:val="16"/>
                <w:szCs w:val="16"/>
                <w:lang w:eastAsia="es-CR"/>
              </w:rPr>
              <w:t>(A – B)</w:t>
            </w:r>
          </w:p>
          <w:p w14:paraId="3D9CD9C1"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455A88E5" w14:textId="77777777" w:rsidR="007704AA" w:rsidRPr="00896125" w:rsidRDefault="007704AA" w:rsidP="009373A2">
            <w:pPr>
              <w:spacing w:after="0" w:line="240" w:lineRule="auto"/>
              <w:jc w:val="center"/>
              <w:rPr>
                <w:rFonts w:ascii="Arial" w:eastAsia="Times New Roman" w:hAnsi="Arial" w:cs="Arial"/>
                <w:b/>
                <w:bCs/>
                <w:color w:val="000000"/>
                <w:sz w:val="16"/>
                <w:szCs w:val="16"/>
                <w:lang w:eastAsia="es-CR"/>
              </w:rPr>
            </w:pPr>
            <w:r w:rsidRPr="00896125">
              <w:rPr>
                <w:rFonts w:ascii="Arial" w:eastAsia="Times New Roman" w:hAnsi="Arial" w:cs="Arial"/>
                <w:b/>
                <w:bCs/>
                <w:color w:val="000000"/>
                <w:sz w:val="16"/>
                <w:szCs w:val="16"/>
                <w:lang w:eastAsia="es-CR"/>
              </w:rPr>
              <w:t>% de sobre estimación</w:t>
            </w:r>
          </w:p>
        </w:tc>
      </w:tr>
      <w:tr w:rsidR="004724D3" w:rsidRPr="00CC5666" w14:paraId="646E64F4" w14:textId="77777777" w:rsidTr="009373A2">
        <w:trPr>
          <w:gridAfter w:val="1"/>
          <w:wAfter w:w="7" w:type="dxa"/>
          <w:trHeight w:val="454"/>
          <w:jc w:val="center"/>
        </w:trPr>
        <w:tc>
          <w:tcPr>
            <w:tcW w:w="4168" w:type="dxa"/>
            <w:tcBorders>
              <w:top w:val="nil"/>
              <w:left w:val="single" w:sz="4" w:space="0" w:color="auto"/>
              <w:bottom w:val="single" w:sz="4" w:space="0" w:color="auto"/>
              <w:right w:val="single" w:sz="4" w:space="0" w:color="auto"/>
            </w:tcBorders>
            <w:shd w:val="clear" w:color="auto" w:fill="auto"/>
            <w:vAlign w:val="center"/>
            <w:hideMark/>
          </w:tcPr>
          <w:p w14:paraId="3E20AACD" w14:textId="77777777" w:rsidR="007704AA" w:rsidRPr="00CC5666" w:rsidRDefault="007704AA" w:rsidP="009373A2">
            <w:pPr>
              <w:spacing w:after="0" w:line="240" w:lineRule="auto"/>
              <w:rPr>
                <w:rFonts w:ascii="Arial" w:eastAsia="Times New Roman" w:hAnsi="Arial" w:cs="Arial"/>
                <w:b/>
                <w:bCs/>
                <w:color w:val="000000"/>
                <w:sz w:val="20"/>
                <w:szCs w:val="20"/>
                <w:lang w:eastAsia="es-CR"/>
              </w:rPr>
            </w:pPr>
            <w:r w:rsidRPr="00CC5666">
              <w:rPr>
                <w:rFonts w:ascii="Arial" w:eastAsia="Times New Roman" w:hAnsi="Arial" w:cs="Arial"/>
                <w:b/>
                <w:bCs/>
                <w:color w:val="000000"/>
                <w:sz w:val="20"/>
                <w:szCs w:val="20"/>
                <w:lang w:eastAsia="es-CR"/>
              </w:rPr>
              <w:t>INGRESOS TRIBUTARIOS</w:t>
            </w:r>
          </w:p>
        </w:tc>
        <w:tc>
          <w:tcPr>
            <w:tcW w:w="1755" w:type="dxa"/>
            <w:tcBorders>
              <w:top w:val="nil"/>
              <w:left w:val="nil"/>
              <w:bottom w:val="single" w:sz="4" w:space="0" w:color="auto"/>
              <w:right w:val="single" w:sz="4" w:space="0" w:color="auto"/>
            </w:tcBorders>
            <w:shd w:val="clear" w:color="auto" w:fill="auto"/>
            <w:vAlign w:val="center"/>
            <w:hideMark/>
          </w:tcPr>
          <w:p w14:paraId="06456181" w14:textId="77777777" w:rsidR="007704AA" w:rsidRPr="00CC5666" w:rsidRDefault="007704AA" w:rsidP="009373A2">
            <w:pPr>
              <w:spacing w:after="0" w:line="240" w:lineRule="auto"/>
              <w:jc w:val="right"/>
              <w:rPr>
                <w:rFonts w:ascii="Arial" w:eastAsia="Times New Roman" w:hAnsi="Arial" w:cs="Arial"/>
                <w:b/>
                <w:bCs/>
                <w:color w:val="000000"/>
                <w:sz w:val="20"/>
                <w:szCs w:val="20"/>
                <w:lang w:eastAsia="es-CR"/>
              </w:rPr>
            </w:pPr>
            <w:r w:rsidRPr="00CC5666">
              <w:rPr>
                <w:rFonts w:ascii="Arial" w:eastAsia="Times New Roman" w:hAnsi="Arial" w:cs="Arial"/>
                <w:b/>
                <w:bCs/>
                <w:color w:val="000000"/>
                <w:sz w:val="20"/>
                <w:szCs w:val="20"/>
                <w:lang w:eastAsia="es-CR"/>
              </w:rPr>
              <w:t>-1.156.437</w:t>
            </w:r>
          </w:p>
        </w:tc>
        <w:tc>
          <w:tcPr>
            <w:tcW w:w="1285" w:type="dxa"/>
            <w:tcBorders>
              <w:top w:val="nil"/>
              <w:left w:val="nil"/>
              <w:bottom w:val="single" w:sz="4" w:space="0" w:color="auto"/>
              <w:right w:val="single" w:sz="4" w:space="0" w:color="auto"/>
            </w:tcBorders>
            <w:shd w:val="clear" w:color="auto" w:fill="auto"/>
            <w:vAlign w:val="center"/>
            <w:hideMark/>
          </w:tcPr>
          <w:p w14:paraId="2EBA3BF9" w14:textId="77777777" w:rsidR="007704AA" w:rsidRPr="00CC5666" w:rsidRDefault="007704AA" w:rsidP="009373A2">
            <w:pPr>
              <w:spacing w:after="0" w:line="240" w:lineRule="auto"/>
              <w:jc w:val="right"/>
              <w:rPr>
                <w:rFonts w:ascii="Arial" w:eastAsia="Times New Roman" w:hAnsi="Arial" w:cs="Arial"/>
                <w:b/>
                <w:bCs/>
                <w:color w:val="000000"/>
                <w:sz w:val="20"/>
                <w:szCs w:val="20"/>
                <w:lang w:eastAsia="es-CR"/>
              </w:rPr>
            </w:pPr>
            <w:r w:rsidRPr="00CC5666">
              <w:rPr>
                <w:rFonts w:ascii="Arial" w:eastAsia="Times New Roman" w:hAnsi="Arial" w:cs="Arial"/>
                <w:b/>
                <w:bCs/>
                <w:color w:val="000000"/>
                <w:sz w:val="20"/>
                <w:szCs w:val="20"/>
                <w:lang w:eastAsia="es-CR"/>
              </w:rPr>
              <w:t>-749.041</w:t>
            </w:r>
          </w:p>
        </w:tc>
        <w:tc>
          <w:tcPr>
            <w:tcW w:w="1098" w:type="dxa"/>
            <w:tcBorders>
              <w:top w:val="nil"/>
              <w:left w:val="nil"/>
              <w:bottom w:val="single" w:sz="4" w:space="0" w:color="auto"/>
              <w:right w:val="single" w:sz="4" w:space="0" w:color="auto"/>
            </w:tcBorders>
            <w:shd w:val="clear" w:color="auto" w:fill="auto"/>
            <w:vAlign w:val="center"/>
            <w:hideMark/>
          </w:tcPr>
          <w:p w14:paraId="399B9C72" w14:textId="77777777" w:rsidR="007704AA" w:rsidRPr="00CC5666" w:rsidRDefault="007704AA" w:rsidP="009373A2">
            <w:pPr>
              <w:spacing w:after="0" w:line="240" w:lineRule="auto"/>
              <w:jc w:val="right"/>
              <w:rPr>
                <w:rFonts w:ascii="Arial" w:eastAsia="Times New Roman" w:hAnsi="Arial" w:cs="Arial"/>
                <w:b/>
                <w:bCs/>
                <w:color w:val="000000"/>
                <w:sz w:val="20"/>
                <w:szCs w:val="20"/>
                <w:lang w:eastAsia="es-CR"/>
              </w:rPr>
            </w:pPr>
            <w:r w:rsidRPr="00CC5666">
              <w:rPr>
                <w:rFonts w:ascii="Arial" w:eastAsia="Times New Roman" w:hAnsi="Arial" w:cs="Arial"/>
                <w:b/>
                <w:bCs/>
                <w:color w:val="000000"/>
                <w:sz w:val="20"/>
                <w:szCs w:val="20"/>
                <w:lang w:eastAsia="es-CR"/>
              </w:rPr>
              <w:t>407.397</w:t>
            </w:r>
          </w:p>
        </w:tc>
        <w:tc>
          <w:tcPr>
            <w:tcW w:w="1263" w:type="dxa"/>
            <w:tcBorders>
              <w:top w:val="nil"/>
              <w:left w:val="nil"/>
              <w:bottom w:val="single" w:sz="4" w:space="0" w:color="auto"/>
              <w:right w:val="single" w:sz="4" w:space="0" w:color="auto"/>
            </w:tcBorders>
            <w:shd w:val="clear" w:color="auto" w:fill="auto"/>
            <w:vAlign w:val="center"/>
            <w:hideMark/>
          </w:tcPr>
          <w:p w14:paraId="21CD84DA" w14:textId="77777777" w:rsidR="007704AA" w:rsidRPr="00CC5666" w:rsidRDefault="007704AA" w:rsidP="009373A2">
            <w:pPr>
              <w:spacing w:after="0" w:line="240" w:lineRule="auto"/>
              <w:jc w:val="right"/>
              <w:rPr>
                <w:rFonts w:ascii="Arial" w:eastAsia="Times New Roman" w:hAnsi="Arial" w:cs="Arial"/>
                <w:b/>
                <w:bCs/>
                <w:color w:val="000000"/>
                <w:sz w:val="20"/>
                <w:szCs w:val="20"/>
                <w:lang w:eastAsia="es-CR"/>
              </w:rPr>
            </w:pPr>
            <w:r w:rsidRPr="00CC5666">
              <w:rPr>
                <w:rFonts w:ascii="Arial" w:eastAsia="Times New Roman" w:hAnsi="Arial" w:cs="Arial"/>
                <w:b/>
                <w:bCs/>
                <w:color w:val="000000"/>
                <w:sz w:val="20"/>
                <w:szCs w:val="20"/>
                <w:lang w:eastAsia="es-CR"/>
              </w:rPr>
              <w:t>35,2%</w:t>
            </w:r>
          </w:p>
        </w:tc>
      </w:tr>
      <w:tr w:rsidR="004724D3" w:rsidRPr="00CC5666" w14:paraId="743450EE" w14:textId="77777777" w:rsidTr="009373A2">
        <w:trPr>
          <w:gridAfter w:val="1"/>
          <w:wAfter w:w="7" w:type="dxa"/>
          <w:trHeight w:val="454"/>
          <w:jc w:val="center"/>
        </w:trPr>
        <w:tc>
          <w:tcPr>
            <w:tcW w:w="4168" w:type="dxa"/>
            <w:tcBorders>
              <w:top w:val="nil"/>
              <w:left w:val="single" w:sz="4" w:space="0" w:color="auto"/>
              <w:bottom w:val="single" w:sz="4" w:space="0" w:color="auto"/>
              <w:right w:val="single" w:sz="4" w:space="0" w:color="auto"/>
            </w:tcBorders>
            <w:shd w:val="clear" w:color="auto" w:fill="auto"/>
            <w:vAlign w:val="center"/>
            <w:hideMark/>
          </w:tcPr>
          <w:p w14:paraId="7A23C299" w14:textId="77777777" w:rsidR="007704AA" w:rsidRPr="00CC5666" w:rsidRDefault="007704AA" w:rsidP="009373A2">
            <w:pPr>
              <w:spacing w:after="0" w:line="240" w:lineRule="auto"/>
              <w:ind w:left="209"/>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 xml:space="preserve">Impuesto a los ingresos y utilidades (renta) </w:t>
            </w:r>
          </w:p>
        </w:tc>
        <w:tc>
          <w:tcPr>
            <w:tcW w:w="1755" w:type="dxa"/>
            <w:tcBorders>
              <w:top w:val="nil"/>
              <w:left w:val="nil"/>
              <w:bottom w:val="single" w:sz="4" w:space="0" w:color="auto"/>
              <w:right w:val="single" w:sz="4" w:space="0" w:color="auto"/>
            </w:tcBorders>
            <w:shd w:val="clear" w:color="auto" w:fill="auto"/>
            <w:vAlign w:val="center"/>
            <w:hideMark/>
          </w:tcPr>
          <w:p w14:paraId="48ED5F3E"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-380.796</w:t>
            </w:r>
          </w:p>
        </w:tc>
        <w:tc>
          <w:tcPr>
            <w:tcW w:w="1285" w:type="dxa"/>
            <w:tcBorders>
              <w:top w:val="nil"/>
              <w:left w:val="nil"/>
              <w:bottom w:val="single" w:sz="4" w:space="0" w:color="auto"/>
              <w:right w:val="single" w:sz="4" w:space="0" w:color="auto"/>
            </w:tcBorders>
            <w:shd w:val="clear" w:color="auto" w:fill="auto"/>
            <w:vAlign w:val="center"/>
            <w:hideMark/>
          </w:tcPr>
          <w:p w14:paraId="556BAA82"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-295.718</w:t>
            </w:r>
          </w:p>
        </w:tc>
        <w:tc>
          <w:tcPr>
            <w:tcW w:w="1098" w:type="dxa"/>
            <w:tcBorders>
              <w:top w:val="nil"/>
              <w:left w:val="nil"/>
              <w:bottom w:val="single" w:sz="4" w:space="0" w:color="auto"/>
              <w:right w:val="single" w:sz="4" w:space="0" w:color="auto"/>
            </w:tcBorders>
            <w:shd w:val="clear" w:color="auto" w:fill="auto"/>
            <w:vAlign w:val="center"/>
            <w:hideMark/>
          </w:tcPr>
          <w:p w14:paraId="1E792707"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85.078</w:t>
            </w:r>
          </w:p>
        </w:tc>
        <w:tc>
          <w:tcPr>
            <w:tcW w:w="1263" w:type="dxa"/>
            <w:tcBorders>
              <w:top w:val="nil"/>
              <w:left w:val="nil"/>
              <w:bottom w:val="single" w:sz="4" w:space="0" w:color="auto"/>
              <w:right w:val="single" w:sz="4" w:space="0" w:color="auto"/>
            </w:tcBorders>
            <w:shd w:val="clear" w:color="auto" w:fill="auto"/>
            <w:vAlign w:val="center"/>
            <w:hideMark/>
          </w:tcPr>
          <w:p w14:paraId="28DAFD4E"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22,3%</w:t>
            </w:r>
          </w:p>
        </w:tc>
      </w:tr>
      <w:tr w:rsidR="004724D3" w:rsidRPr="00CC5666" w14:paraId="237DA86D" w14:textId="77777777" w:rsidTr="009373A2">
        <w:trPr>
          <w:gridAfter w:val="1"/>
          <w:wAfter w:w="7" w:type="dxa"/>
          <w:trHeight w:val="454"/>
          <w:jc w:val="center"/>
        </w:trPr>
        <w:tc>
          <w:tcPr>
            <w:tcW w:w="4168" w:type="dxa"/>
            <w:tcBorders>
              <w:top w:val="nil"/>
              <w:left w:val="single" w:sz="4" w:space="0" w:color="auto"/>
              <w:bottom w:val="single" w:sz="4" w:space="0" w:color="auto"/>
              <w:right w:val="single" w:sz="4" w:space="0" w:color="auto"/>
            </w:tcBorders>
            <w:shd w:val="clear" w:color="auto" w:fill="auto"/>
            <w:vAlign w:val="center"/>
            <w:hideMark/>
          </w:tcPr>
          <w:p w14:paraId="1611B220" w14:textId="77777777" w:rsidR="007704AA" w:rsidRPr="00CC5666" w:rsidRDefault="007704AA" w:rsidP="009373A2">
            <w:pPr>
              <w:spacing w:after="0" w:line="240" w:lineRule="auto"/>
              <w:ind w:left="209"/>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Impuesto al valor agregado (IVA)</w:t>
            </w:r>
          </w:p>
        </w:tc>
        <w:tc>
          <w:tcPr>
            <w:tcW w:w="1755" w:type="dxa"/>
            <w:tcBorders>
              <w:top w:val="nil"/>
              <w:left w:val="nil"/>
              <w:bottom w:val="single" w:sz="4" w:space="0" w:color="auto"/>
              <w:right w:val="single" w:sz="4" w:space="0" w:color="auto"/>
            </w:tcBorders>
            <w:shd w:val="clear" w:color="auto" w:fill="auto"/>
            <w:vAlign w:val="center"/>
            <w:hideMark/>
          </w:tcPr>
          <w:p w14:paraId="3FEB2C40"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-416.036</w:t>
            </w:r>
          </w:p>
        </w:tc>
        <w:tc>
          <w:tcPr>
            <w:tcW w:w="1285" w:type="dxa"/>
            <w:tcBorders>
              <w:top w:val="nil"/>
              <w:left w:val="nil"/>
              <w:bottom w:val="single" w:sz="4" w:space="0" w:color="auto"/>
              <w:right w:val="single" w:sz="4" w:space="0" w:color="auto"/>
            </w:tcBorders>
            <w:shd w:val="clear" w:color="auto" w:fill="auto"/>
            <w:vAlign w:val="center"/>
            <w:hideMark/>
          </w:tcPr>
          <w:p w14:paraId="3C0D56B0"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-147.442</w:t>
            </w:r>
          </w:p>
        </w:tc>
        <w:tc>
          <w:tcPr>
            <w:tcW w:w="1098" w:type="dxa"/>
            <w:tcBorders>
              <w:top w:val="nil"/>
              <w:left w:val="nil"/>
              <w:bottom w:val="single" w:sz="4" w:space="0" w:color="auto"/>
              <w:right w:val="single" w:sz="4" w:space="0" w:color="auto"/>
            </w:tcBorders>
            <w:shd w:val="clear" w:color="auto" w:fill="auto"/>
            <w:vAlign w:val="center"/>
            <w:hideMark/>
          </w:tcPr>
          <w:p w14:paraId="66C363B2"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268.595</w:t>
            </w:r>
          </w:p>
        </w:tc>
        <w:tc>
          <w:tcPr>
            <w:tcW w:w="1263" w:type="dxa"/>
            <w:tcBorders>
              <w:top w:val="nil"/>
              <w:left w:val="nil"/>
              <w:bottom w:val="single" w:sz="4" w:space="0" w:color="auto"/>
              <w:right w:val="single" w:sz="4" w:space="0" w:color="auto"/>
            </w:tcBorders>
            <w:shd w:val="clear" w:color="auto" w:fill="auto"/>
            <w:vAlign w:val="center"/>
            <w:hideMark/>
          </w:tcPr>
          <w:p w14:paraId="70D4819F"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64,6%</w:t>
            </w:r>
          </w:p>
        </w:tc>
      </w:tr>
      <w:tr w:rsidR="004724D3" w:rsidRPr="00CC5666" w14:paraId="005DB1BE" w14:textId="77777777" w:rsidTr="009373A2">
        <w:trPr>
          <w:gridAfter w:val="1"/>
          <w:wAfter w:w="7" w:type="dxa"/>
          <w:trHeight w:val="454"/>
          <w:jc w:val="center"/>
        </w:trPr>
        <w:tc>
          <w:tcPr>
            <w:tcW w:w="4168" w:type="dxa"/>
            <w:tcBorders>
              <w:top w:val="nil"/>
              <w:left w:val="single" w:sz="4" w:space="0" w:color="auto"/>
              <w:bottom w:val="single" w:sz="4" w:space="0" w:color="auto"/>
              <w:right w:val="single" w:sz="4" w:space="0" w:color="auto"/>
            </w:tcBorders>
            <w:shd w:val="clear" w:color="auto" w:fill="auto"/>
            <w:vAlign w:val="center"/>
            <w:hideMark/>
          </w:tcPr>
          <w:p w14:paraId="26B31439" w14:textId="77777777" w:rsidR="007704AA" w:rsidRPr="00CC5666" w:rsidRDefault="007704AA" w:rsidP="009373A2">
            <w:pPr>
              <w:spacing w:after="0" w:line="240" w:lineRule="auto"/>
              <w:ind w:left="209"/>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 xml:space="preserve">Impuesto único a los combustibles </w:t>
            </w:r>
          </w:p>
        </w:tc>
        <w:tc>
          <w:tcPr>
            <w:tcW w:w="1755" w:type="dxa"/>
            <w:tcBorders>
              <w:top w:val="nil"/>
              <w:left w:val="nil"/>
              <w:bottom w:val="single" w:sz="4" w:space="0" w:color="auto"/>
              <w:right w:val="single" w:sz="4" w:space="0" w:color="auto"/>
            </w:tcBorders>
            <w:shd w:val="clear" w:color="auto" w:fill="auto"/>
            <w:vAlign w:val="center"/>
            <w:hideMark/>
          </w:tcPr>
          <w:p w14:paraId="3F1B9225"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-123.000</w:t>
            </w:r>
          </w:p>
        </w:tc>
        <w:tc>
          <w:tcPr>
            <w:tcW w:w="1285" w:type="dxa"/>
            <w:tcBorders>
              <w:top w:val="nil"/>
              <w:left w:val="nil"/>
              <w:bottom w:val="single" w:sz="4" w:space="0" w:color="auto"/>
              <w:right w:val="single" w:sz="4" w:space="0" w:color="auto"/>
            </w:tcBorders>
            <w:shd w:val="clear" w:color="auto" w:fill="auto"/>
            <w:vAlign w:val="center"/>
            <w:hideMark/>
          </w:tcPr>
          <w:p w14:paraId="1FC25B34"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-98.616</w:t>
            </w:r>
          </w:p>
        </w:tc>
        <w:tc>
          <w:tcPr>
            <w:tcW w:w="1098" w:type="dxa"/>
            <w:tcBorders>
              <w:top w:val="nil"/>
              <w:left w:val="nil"/>
              <w:bottom w:val="single" w:sz="4" w:space="0" w:color="auto"/>
              <w:right w:val="single" w:sz="4" w:space="0" w:color="auto"/>
            </w:tcBorders>
            <w:shd w:val="clear" w:color="auto" w:fill="auto"/>
            <w:vAlign w:val="center"/>
            <w:hideMark/>
          </w:tcPr>
          <w:p w14:paraId="7E31917C"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24.384</w:t>
            </w:r>
          </w:p>
        </w:tc>
        <w:tc>
          <w:tcPr>
            <w:tcW w:w="1263" w:type="dxa"/>
            <w:tcBorders>
              <w:top w:val="nil"/>
              <w:left w:val="nil"/>
              <w:bottom w:val="single" w:sz="4" w:space="0" w:color="auto"/>
              <w:right w:val="single" w:sz="4" w:space="0" w:color="auto"/>
            </w:tcBorders>
            <w:shd w:val="clear" w:color="auto" w:fill="auto"/>
            <w:vAlign w:val="center"/>
            <w:hideMark/>
          </w:tcPr>
          <w:p w14:paraId="4EA739B5"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19,8%</w:t>
            </w:r>
          </w:p>
        </w:tc>
      </w:tr>
      <w:tr w:rsidR="004724D3" w:rsidRPr="00CC5666" w14:paraId="52704282" w14:textId="77777777" w:rsidTr="009373A2">
        <w:trPr>
          <w:gridAfter w:val="1"/>
          <w:wAfter w:w="7" w:type="dxa"/>
          <w:trHeight w:val="454"/>
          <w:jc w:val="center"/>
        </w:trPr>
        <w:tc>
          <w:tcPr>
            <w:tcW w:w="4168" w:type="dxa"/>
            <w:tcBorders>
              <w:top w:val="nil"/>
              <w:left w:val="single" w:sz="4" w:space="0" w:color="auto"/>
              <w:bottom w:val="single" w:sz="4" w:space="0" w:color="auto"/>
              <w:right w:val="single" w:sz="4" w:space="0" w:color="auto"/>
            </w:tcBorders>
            <w:shd w:val="clear" w:color="auto" w:fill="auto"/>
            <w:vAlign w:val="center"/>
            <w:hideMark/>
          </w:tcPr>
          <w:p w14:paraId="25788976" w14:textId="77777777" w:rsidR="007704AA" w:rsidRPr="00CC5666" w:rsidRDefault="007704AA" w:rsidP="009373A2">
            <w:pPr>
              <w:spacing w:after="0" w:line="240" w:lineRule="auto"/>
              <w:ind w:left="209"/>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 xml:space="preserve">Impuesto selectivo de consumo </w:t>
            </w:r>
          </w:p>
        </w:tc>
        <w:tc>
          <w:tcPr>
            <w:tcW w:w="1755" w:type="dxa"/>
            <w:tcBorders>
              <w:top w:val="nil"/>
              <w:left w:val="nil"/>
              <w:bottom w:val="single" w:sz="4" w:space="0" w:color="auto"/>
              <w:right w:val="single" w:sz="4" w:space="0" w:color="auto"/>
            </w:tcBorders>
            <w:shd w:val="clear" w:color="auto" w:fill="auto"/>
            <w:vAlign w:val="center"/>
            <w:hideMark/>
          </w:tcPr>
          <w:p w14:paraId="1C3E39A1"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-59.500</w:t>
            </w:r>
          </w:p>
        </w:tc>
        <w:tc>
          <w:tcPr>
            <w:tcW w:w="1285" w:type="dxa"/>
            <w:tcBorders>
              <w:top w:val="nil"/>
              <w:left w:val="nil"/>
              <w:bottom w:val="single" w:sz="4" w:space="0" w:color="auto"/>
              <w:right w:val="single" w:sz="4" w:space="0" w:color="auto"/>
            </w:tcBorders>
            <w:shd w:val="clear" w:color="auto" w:fill="auto"/>
            <w:vAlign w:val="center"/>
            <w:hideMark/>
          </w:tcPr>
          <w:p w14:paraId="1A359B79"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-24.554</w:t>
            </w:r>
          </w:p>
        </w:tc>
        <w:tc>
          <w:tcPr>
            <w:tcW w:w="1098" w:type="dxa"/>
            <w:tcBorders>
              <w:top w:val="nil"/>
              <w:left w:val="nil"/>
              <w:bottom w:val="single" w:sz="4" w:space="0" w:color="auto"/>
              <w:right w:val="single" w:sz="4" w:space="0" w:color="auto"/>
            </w:tcBorders>
            <w:shd w:val="clear" w:color="auto" w:fill="auto"/>
            <w:vAlign w:val="center"/>
            <w:hideMark/>
          </w:tcPr>
          <w:p w14:paraId="159A3D76"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34.947</w:t>
            </w:r>
          </w:p>
        </w:tc>
        <w:tc>
          <w:tcPr>
            <w:tcW w:w="1263" w:type="dxa"/>
            <w:tcBorders>
              <w:top w:val="nil"/>
              <w:left w:val="nil"/>
              <w:bottom w:val="single" w:sz="4" w:space="0" w:color="auto"/>
              <w:right w:val="single" w:sz="4" w:space="0" w:color="auto"/>
            </w:tcBorders>
            <w:shd w:val="clear" w:color="auto" w:fill="auto"/>
            <w:vAlign w:val="center"/>
            <w:hideMark/>
          </w:tcPr>
          <w:p w14:paraId="59349CCD"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58,7%</w:t>
            </w:r>
          </w:p>
        </w:tc>
      </w:tr>
      <w:tr w:rsidR="004724D3" w:rsidRPr="00CC5666" w14:paraId="778706A6" w14:textId="77777777" w:rsidTr="009373A2">
        <w:trPr>
          <w:gridAfter w:val="1"/>
          <w:wAfter w:w="7" w:type="dxa"/>
          <w:trHeight w:val="454"/>
          <w:jc w:val="center"/>
        </w:trPr>
        <w:tc>
          <w:tcPr>
            <w:tcW w:w="4168" w:type="dxa"/>
            <w:tcBorders>
              <w:top w:val="nil"/>
              <w:left w:val="single" w:sz="4" w:space="0" w:color="auto"/>
              <w:bottom w:val="single" w:sz="4" w:space="0" w:color="auto"/>
              <w:right w:val="single" w:sz="4" w:space="0" w:color="auto"/>
            </w:tcBorders>
            <w:shd w:val="clear" w:color="auto" w:fill="auto"/>
            <w:vAlign w:val="center"/>
            <w:hideMark/>
          </w:tcPr>
          <w:p w14:paraId="37B44D7E" w14:textId="77777777" w:rsidR="007704AA" w:rsidRPr="00CC5666" w:rsidRDefault="007704AA" w:rsidP="009373A2">
            <w:pPr>
              <w:spacing w:after="0" w:line="240" w:lineRule="auto"/>
              <w:ind w:left="209"/>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 xml:space="preserve">Derechos de importación de mercancías </w:t>
            </w:r>
          </w:p>
        </w:tc>
        <w:tc>
          <w:tcPr>
            <w:tcW w:w="1755" w:type="dxa"/>
            <w:tcBorders>
              <w:top w:val="nil"/>
              <w:left w:val="nil"/>
              <w:bottom w:val="single" w:sz="4" w:space="0" w:color="auto"/>
              <w:right w:val="single" w:sz="4" w:space="0" w:color="auto"/>
            </w:tcBorders>
            <w:shd w:val="clear" w:color="auto" w:fill="auto"/>
            <w:vAlign w:val="center"/>
            <w:hideMark/>
          </w:tcPr>
          <w:p w14:paraId="1B0DB391"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-62.525</w:t>
            </w:r>
          </w:p>
        </w:tc>
        <w:tc>
          <w:tcPr>
            <w:tcW w:w="1285" w:type="dxa"/>
            <w:tcBorders>
              <w:top w:val="nil"/>
              <w:left w:val="nil"/>
              <w:bottom w:val="single" w:sz="4" w:space="0" w:color="auto"/>
              <w:right w:val="single" w:sz="4" w:space="0" w:color="auto"/>
            </w:tcBorders>
            <w:shd w:val="clear" w:color="auto" w:fill="auto"/>
            <w:vAlign w:val="center"/>
            <w:hideMark/>
          </w:tcPr>
          <w:p w14:paraId="77AE7E84"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-32.723</w:t>
            </w:r>
          </w:p>
        </w:tc>
        <w:tc>
          <w:tcPr>
            <w:tcW w:w="1098" w:type="dxa"/>
            <w:tcBorders>
              <w:top w:val="nil"/>
              <w:left w:val="nil"/>
              <w:bottom w:val="single" w:sz="4" w:space="0" w:color="auto"/>
              <w:right w:val="single" w:sz="4" w:space="0" w:color="auto"/>
            </w:tcBorders>
            <w:shd w:val="clear" w:color="auto" w:fill="auto"/>
            <w:vAlign w:val="center"/>
            <w:hideMark/>
          </w:tcPr>
          <w:p w14:paraId="7C387AAC"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29.802</w:t>
            </w:r>
          </w:p>
        </w:tc>
        <w:tc>
          <w:tcPr>
            <w:tcW w:w="1263" w:type="dxa"/>
            <w:tcBorders>
              <w:top w:val="nil"/>
              <w:left w:val="nil"/>
              <w:bottom w:val="single" w:sz="4" w:space="0" w:color="auto"/>
              <w:right w:val="single" w:sz="4" w:space="0" w:color="auto"/>
            </w:tcBorders>
            <w:shd w:val="clear" w:color="auto" w:fill="auto"/>
            <w:vAlign w:val="center"/>
            <w:hideMark/>
          </w:tcPr>
          <w:p w14:paraId="1DC707E8" w14:textId="77777777" w:rsidR="007704AA" w:rsidRPr="00CC5666" w:rsidRDefault="007704AA" w:rsidP="009373A2">
            <w:pPr>
              <w:spacing w:after="0" w:line="240" w:lineRule="auto"/>
              <w:jc w:val="right"/>
              <w:rPr>
                <w:rFonts w:ascii="Arial" w:eastAsia="Times New Roman" w:hAnsi="Arial" w:cs="Arial"/>
                <w:color w:val="000000"/>
                <w:sz w:val="20"/>
                <w:szCs w:val="20"/>
                <w:lang w:eastAsia="es-CR"/>
              </w:rPr>
            </w:pPr>
            <w:r w:rsidRPr="00CC5666">
              <w:rPr>
                <w:rFonts w:ascii="Arial" w:eastAsia="Times New Roman" w:hAnsi="Arial" w:cs="Arial"/>
                <w:color w:val="000000"/>
                <w:sz w:val="20"/>
                <w:szCs w:val="20"/>
                <w:lang w:eastAsia="es-CR"/>
              </w:rPr>
              <w:t>47,7%</w:t>
            </w:r>
          </w:p>
        </w:tc>
      </w:tr>
    </w:tbl>
    <w:p w14:paraId="1217176D" w14:textId="77777777" w:rsidR="007704AA" w:rsidRPr="00896125" w:rsidRDefault="007704AA" w:rsidP="007704AA">
      <w:pPr>
        <w:spacing w:line="480" w:lineRule="auto"/>
        <w:rPr>
          <w:rFonts w:ascii="Arial" w:hAnsi="Arial" w:cs="Arial"/>
          <w:b/>
          <w:bCs/>
          <w:sz w:val="14"/>
          <w:szCs w:val="14"/>
        </w:rPr>
      </w:pPr>
      <w:r w:rsidRPr="00896125">
        <w:rPr>
          <w:rFonts w:ascii="Arial" w:hAnsi="Arial" w:cs="Arial"/>
          <w:b/>
          <w:bCs/>
          <w:sz w:val="14"/>
          <w:szCs w:val="14"/>
        </w:rPr>
        <w:t>Fuente: Elaboración propia con base en datos del Ministerio de Hacienda.</w:t>
      </w:r>
    </w:p>
    <w:p w14:paraId="1AEA73A9"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La causa de esto, una fuerte contracción de la actividad económica, producto de los cierres realizados para la contención del contagio del virus SARS-CoV-2 que generó la pandemia por Covid-19. </w:t>
      </w:r>
    </w:p>
    <w:p w14:paraId="2F63E3AD"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No se quiere con esto, ocultar la verdad de que la caída en la actividad económica producto de las acciones tomadas para evitar el contagio no haya sido la principal causa de esta reducción en la recaudación tributaria, aunque también se nota una subestimación muy elevada de ingresos so pretexto de la contracción de la economía nacional.</w:t>
      </w:r>
    </w:p>
    <w:p w14:paraId="2622300D" w14:textId="65F8954F"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De hecho, el Instituto Centroamericano de Estudios Fiscales, ha detectado también esta subvaloración presupuestaria, y lo atribuye a una de dos razones: 1) esconder una mejora recaudatoria que permita reportar una reducción del déficit fiscal (superávit</w:t>
      </w:r>
      <w:r w:rsidR="00AD5026">
        <w:rPr>
          <w:rFonts w:ascii="Arial" w:hAnsi="Arial" w:cs="Arial"/>
          <w:sz w:val="24"/>
          <w:szCs w:val="24"/>
        </w:rPr>
        <w:t xml:space="preserve"> primario</w:t>
      </w:r>
      <w:r w:rsidRPr="00C80037">
        <w:rPr>
          <w:rFonts w:ascii="Arial" w:hAnsi="Arial" w:cs="Arial"/>
          <w:sz w:val="24"/>
          <w:szCs w:val="24"/>
        </w:rPr>
        <w:t xml:space="preserve"> en el caso del 2021) y aparentar un esfuerzo extraordinario del Gobierno, o 2) para tener una fuente extraordinaria de ingresos que financie el aumento en el gasto en la última parte del Gobierno. Al respecto este instituto de investigación expresa lo siguiente:</w:t>
      </w:r>
    </w:p>
    <w:p w14:paraId="089A3226" w14:textId="0EC34D64" w:rsidR="007704AA" w:rsidRDefault="007704AA" w:rsidP="007704AA">
      <w:pPr>
        <w:spacing w:line="240" w:lineRule="auto"/>
        <w:ind w:left="708" w:right="616"/>
        <w:jc w:val="both"/>
        <w:rPr>
          <w:rFonts w:ascii="Arial" w:hAnsi="Arial" w:cs="Arial"/>
          <w:i/>
          <w:iCs/>
          <w:sz w:val="24"/>
          <w:szCs w:val="24"/>
        </w:rPr>
      </w:pPr>
      <w:r w:rsidRPr="00C80037">
        <w:rPr>
          <w:rFonts w:ascii="Arial" w:hAnsi="Arial" w:cs="Arial"/>
          <w:i/>
          <w:iCs/>
          <w:sz w:val="24"/>
          <w:szCs w:val="24"/>
        </w:rPr>
        <w:t xml:space="preserve">“Costa Rica, con todo y encontrarse en medio de una reforma tributaria de alcance parcial implementada en 2018, vio </w:t>
      </w:r>
      <w:r w:rsidRPr="00C80037">
        <w:rPr>
          <w:rFonts w:ascii="Arial" w:hAnsi="Arial" w:cs="Arial"/>
          <w:i/>
          <w:iCs/>
          <w:sz w:val="24"/>
          <w:szCs w:val="24"/>
          <w:u w:val="single"/>
        </w:rPr>
        <w:t>contraer su carga tributaria desde el 13.0% en 2019 hasta el 12.1% en 2020, tanto como resultado de la pandemia del covid-19 y la reducción de los precios internacionales de los combustibles, como de las moratorias aprobadas en el pago del Impuesto al Valor Agregado (IVA) y la exención de pagos parciales en el Impuesto Sobre la Renta (ISR), la  exención del cobro de aranceles en ciertos productos y el otorgamiento de facilidades de pago para el pago de algunos tributos</w:t>
      </w:r>
      <w:r w:rsidRPr="00C80037">
        <w:rPr>
          <w:rFonts w:ascii="Arial" w:hAnsi="Arial" w:cs="Arial"/>
          <w:i/>
          <w:iCs/>
          <w:sz w:val="24"/>
          <w:szCs w:val="24"/>
        </w:rPr>
        <w:t xml:space="preserve">, que produjeron un diferimiento en la obligación tributaria de los contribuyentes. El presupuesto 2021 para Costa Rica lamentablemente no ofrece ninguna mejora sustantiva en la recaudación o por lo menos una recuperación de los niveles observados previos a la pandemia, dado a que contempla una carga tributaria de solo el 12.2% del PIB, que no solo no considera los últimos efectos de la reforma tributaria de 2018, sino que menosprecia el rebote normal de la actividad económica, luego de un período de crisis; por ello, </w:t>
      </w:r>
      <w:r w:rsidRPr="00C80037">
        <w:rPr>
          <w:rFonts w:ascii="Arial" w:hAnsi="Arial" w:cs="Arial"/>
          <w:b/>
          <w:bCs/>
          <w:i/>
          <w:iCs/>
          <w:sz w:val="24"/>
          <w:szCs w:val="24"/>
          <w:u w:val="single"/>
        </w:rPr>
        <w:t>el valor considerado en el presupuesto parece que simplemente está subestimado, ya sea para esconder una mejora en la recaudación que permita reportar una reducción del déficit fiscal y de esa forma aparentar un esfuerzo extraordinario por el Gobierno, o para tener una fuente extraordinaria de ingresos para financiar un aumento en el gasto</w:t>
      </w:r>
      <w:r w:rsidRPr="00C80037">
        <w:rPr>
          <w:rFonts w:ascii="Arial" w:hAnsi="Arial" w:cs="Arial"/>
          <w:i/>
          <w:iCs/>
          <w:sz w:val="24"/>
          <w:szCs w:val="24"/>
        </w:rPr>
        <w:t>.”</w:t>
      </w:r>
      <w:r w:rsidR="00C4686A">
        <w:rPr>
          <w:rStyle w:val="Refdenotaalpie"/>
          <w:rFonts w:ascii="Arial" w:hAnsi="Arial" w:cs="Arial"/>
          <w:i/>
          <w:iCs/>
          <w:sz w:val="24"/>
          <w:szCs w:val="24"/>
        </w:rPr>
        <w:footnoteReference w:id="2"/>
      </w:r>
    </w:p>
    <w:p w14:paraId="3F78FA00" w14:textId="77777777" w:rsidR="004B5465" w:rsidRPr="00C80037" w:rsidRDefault="004B5465" w:rsidP="007704AA">
      <w:pPr>
        <w:spacing w:line="240" w:lineRule="auto"/>
        <w:ind w:left="708" w:right="616"/>
        <w:jc w:val="both"/>
        <w:rPr>
          <w:rFonts w:ascii="Arial" w:hAnsi="Arial" w:cs="Arial"/>
          <w:i/>
          <w:iCs/>
          <w:sz w:val="24"/>
          <w:szCs w:val="24"/>
        </w:rPr>
      </w:pPr>
    </w:p>
    <w:p w14:paraId="1E82A3F7"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Esto aplica igualmente para el presupuesto 2020, que es analizado en este informe, y el evento puede estarse desarrollándose también para el 2021, como lo apunta el ICEFI.</w:t>
      </w:r>
    </w:p>
    <w:p w14:paraId="14D8EB23"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Cuando se analiza el nivel de deterioro del crecimiento real de la economía y los déficit financiero y primario, en las estimaciones que publica el BCCR en sus diversos informes, se nota una estimación mucho más fuerte en las cifras aportadas por el Ministerio de Hacienda al Banco, respecto de la situación fiscal, que en el decrecimiento que proyecta el Banco sobre uno de los principales indicadores de la salud de la economía nacional, a saber la tasa esperada de crecimiento de la misma para el año 2020.</w:t>
      </w:r>
    </w:p>
    <w:p w14:paraId="0271363B" w14:textId="77777777" w:rsidR="004B5465" w:rsidRDefault="004B5465">
      <w:pPr>
        <w:rPr>
          <w:rFonts w:ascii="Arial" w:hAnsi="Arial" w:cs="Arial"/>
          <w:b/>
          <w:bCs/>
          <w:sz w:val="24"/>
          <w:szCs w:val="24"/>
        </w:rPr>
      </w:pPr>
      <w:r>
        <w:rPr>
          <w:rFonts w:ascii="Arial" w:hAnsi="Arial" w:cs="Arial"/>
          <w:b/>
          <w:bCs/>
          <w:sz w:val="24"/>
          <w:szCs w:val="24"/>
        </w:rPr>
        <w:br w:type="page"/>
      </w:r>
    </w:p>
    <w:p w14:paraId="60C15E3A" w14:textId="1F1BA40C" w:rsidR="007704AA" w:rsidRPr="00C80037" w:rsidRDefault="007704AA" w:rsidP="007704AA">
      <w:pPr>
        <w:spacing w:line="240" w:lineRule="auto"/>
        <w:jc w:val="center"/>
        <w:rPr>
          <w:rFonts w:ascii="Arial" w:hAnsi="Arial" w:cs="Arial"/>
          <w:b/>
          <w:bCs/>
          <w:sz w:val="24"/>
          <w:szCs w:val="24"/>
        </w:rPr>
      </w:pPr>
      <w:r w:rsidRPr="00C80037">
        <w:rPr>
          <w:rFonts w:ascii="Arial" w:hAnsi="Arial" w:cs="Arial"/>
          <w:b/>
          <w:bCs/>
          <w:sz w:val="24"/>
          <w:szCs w:val="24"/>
        </w:rPr>
        <w:t xml:space="preserve">Estimaciones del crecimiento real del PIB y </w:t>
      </w:r>
      <w:r w:rsidRPr="00C80037">
        <w:rPr>
          <w:rFonts w:ascii="Arial" w:hAnsi="Arial" w:cs="Arial"/>
          <w:b/>
          <w:bCs/>
          <w:sz w:val="24"/>
          <w:szCs w:val="24"/>
        </w:rPr>
        <w:br/>
        <w:t xml:space="preserve">de los déficit fiscal y primario del Banco Central </w:t>
      </w:r>
      <w:r w:rsidRPr="00C80037">
        <w:rPr>
          <w:rFonts w:ascii="Arial" w:hAnsi="Arial" w:cs="Arial"/>
          <w:b/>
          <w:bCs/>
          <w:sz w:val="24"/>
          <w:szCs w:val="24"/>
        </w:rPr>
        <w:br/>
        <w:t>por documento de publicación</w:t>
      </w:r>
    </w:p>
    <w:tbl>
      <w:tblPr>
        <w:tblW w:w="9081" w:type="dxa"/>
        <w:jc w:val="center"/>
        <w:tblCellMar>
          <w:left w:w="70" w:type="dxa"/>
          <w:right w:w="70" w:type="dxa"/>
        </w:tblCellMar>
        <w:tblLook w:val="04A0" w:firstRow="1" w:lastRow="0" w:firstColumn="1" w:lastColumn="0" w:noHBand="0" w:noVBand="1"/>
      </w:tblPr>
      <w:tblGrid>
        <w:gridCol w:w="5441"/>
        <w:gridCol w:w="1220"/>
        <w:gridCol w:w="1220"/>
        <w:gridCol w:w="1200"/>
      </w:tblGrid>
      <w:tr w:rsidR="004724D3" w:rsidRPr="00720D86" w14:paraId="2C0A15FC" w14:textId="77777777" w:rsidTr="009373A2">
        <w:trPr>
          <w:trHeight w:val="930"/>
          <w:jc w:val="center"/>
        </w:trPr>
        <w:tc>
          <w:tcPr>
            <w:tcW w:w="5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8BFF8" w14:textId="77777777" w:rsidR="007704AA" w:rsidRPr="00720D86" w:rsidRDefault="007704AA" w:rsidP="009373A2">
            <w:pPr>
              <w:spacing w:after="0" w:line="240" w:lineRule="auto"/>
              <w:jc w:val="center"/>
              <w:rPr>
                <w:rFonts w:ascii="Arial" w:eastAsia="Times New Roman" w:hAnsi="Arial" w:cs="Arial"/>
                <w:b/>
                <w:bCs/>
                <w:color w:val="000000"/>
                <w:sz w:val="20"/>
                <w:szCs w:val="20"/>
                <w:lang w:eastAsia="es-CR"/>
              </w:rPr>
            </w:pPr>
            <w:r w:rsidRPr="00720D86">
              <w:rPr>
                <w:rFonts w:ascii="Arial" w:eastAsia="Times New Roman" w:hAnsi="Arial" w:cs="Arial"/>
                <w:b/>
                <w:bCs/>
                <w:color w:val="000000"/>
                <w:sz w:val="20"/>
                <w:szCs w:val="20"/>
                <w:lang w:eastAsia="es-CR"/>
              </w:rPr>
              <w:t>Déficit Financiero</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F97253" w14:textId="77777777" w:rsidR="007704AA" w:rsidRPr="00720D86" w:rsidRDefault="007704AA" w:rsidP="009373A2">
            <w:pPr>
              <w:spacing w:after="0" w:line="240" w:lineRule="auto"/>
              <w:jc w:val="center"/>
              <w:rPr>
                <w:rFonts w:ascii="Arial" w:eastAsia="Times New Roman" w:hAnsi="Arial" w:cs="Arial"/>
                <w:b/>
                <w:bCs/>
                <w:color w:val="000000"/>
                <w:sz w:val="20"/>
                <w:szCs w:val="20"/>
                <w:lang w:eastAsia="es-CR"/>
              </w:rPr>
            </w:pPr>
            <w:r w:rsidRPr="00720D86">
              <w:rPr>
                <w:rFonts w:ascii="Arial" w:eastAsia="Times New Roman" w:hAnsi="Arial" w:cs="Arial"/>
                <w:b/>
                <w:bCs/>
                <w:color w:val="000000"/>
                <w:sz w:val="20"/>
                <w:szCs w:val="20"/>
                <w:lang w:eastAsia="es-CR"/>
              </w:rPr>
              <w:t>PIB Real</w:t>
            </w:r>
            <w:r w:rsidRPr="00720D86">
              <w:rPr>
                <w:rFonts w:ascii="Arial" w:eastAsia="Times New Roman" w:hAnsi="Arial" w:cs="Arial"/>
                <w:b/>
                <w:bCs/>
                <w:color w:val="000000"/>
                <w:sz w:val="20"/>
                <w:szCs w:val="20"/>
                <w:lang w:eastAsia="es-CR"/>
              </w:rPr>
              <w:br/>
              <w:t>(% var)</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A39CEA" w14:textId="77777777" w:rsidR="007704AA" w:rsidRPr="00720D86" w:rsidRDefault="007704AA" w:rsidP="009373A2">
            <w:pPr>
              <w:spacing w:after="0" w:line="240" w:lineRule="auto"/>
              <w:jc w:val="center"/>
              <w:rPr>
                <w:rFonts w:ascii="Arial" w:eastAsia="Times New Roman" w:hAnsi="Arial" w:cs="Arial"/>
                <w:b/>
                <w:bCs/>
                <w:color w:val="000000"/>
                <w:sz w:val="20"/>
                <w:szCs w:val="20"/>
                <w:lang w:eastAsia="es-CR"/>
              </w:rPr>
            </w:pPr>
            <w:r w:rsidRPr="00720D86">
              <w:rPr>
                <w:rFonts w:ascii="Arial" w:eastAsia="Times New Roman" w:hAnsi="Arial" w:cs="Arial"/>
                <w:b/>
                <w:bCs/>
                <w:color w:val="000000"/>
                <w:sz w:val="20"/>
                <w:szCs w:val="20"/>
                <w:lang w:eastAsia="es-CR"/>
              </w:rPr>
              <w:t>Déficit Financiero</w:t>
            </w:r>
            <w:r w:rsidRPr="00720D86">
              <w:rPr>
                <w:rFonts w:ascii="Arial" w:eastAsia="Times New Roman" w:hAnsi="Arial" w:cs="Arial"/>
                <w:b/>
                <w:bCs/>
                <w:color w:val="000000"/>
                <w:sz w:val="20"/>
                <w:szCs w:val="20"/>
                <w:lang w:eastAsia="es-CR"/>
              </w:rPr>
              <w:br/>
              <w:t>(% del PIB)</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C790C8" w14:textId="77777777" w:rsidR="007704AA" w:rsidRPr="00720D86" w:rsidRDefault="007704AA" w:rsidP="009373A2">
            <w:pPr>
              <w:spacing w:after="0" w:line="240" w:lineRule="auto"/>
              <w:jc w:val="center"/>
              <w:rPr>
                <w:rFonts w:ascii="Arial" w:eastAsia="Times New Roman" w:hAnsi="Arial" w:cs="Arial"/>
                <w:b/>
                <w:bCs/>
                <w:color w:val="000000"/>
                <w:sz w:val="20"/>
                <w:szCs w:val="20"/>
                <w:lang w:eastAsia="es-CR"/>
              </w:rPr>
            </w:pPr>
            <w:r w:rsidRPr="00720D86">
              <w:rPr>
                <w:rFonts w:ascii="Arial" w:eastAsia="Times New Roman" w:hAnsi="Arial" w:cs="Arial"/>
                <w:b/>
                <w:bCs/>
                <w:color w:val="000000"/>
                <w:sz w:val="20"/>
                <w:szCs w:val="20"/>
                <w:lang w:eastAsia="es-CR"/>
              </w:rPr>
              <w:t>Déficit Primario</w:t>
            </w:r>
            <w:r w:rsidRPr="00720D86">
              <w:rPr>
                <w:rFonts w:ascii="Arial" w:eastAsia="Times New Roman" w:hAnsi="Arial" w:cs="Arial"/>
                <w:b/>
                <w:bCs/>
                <w:color w:val="000000"/>
                <w:sz w:val="20"/>
                <w:szCs w:val="20"/>
                <w:lang w:eastAsia="es-CR"/>
              </w:rPr>
              <w:br/>
              <w:t>(% del PIB)</w:t>
            </w:r>
          </w:p>
        </w:tc>
      </w:tr>
      <w:tr w:rsidR="007704AA" w:rsidRPr="00720D86" w14:paraId="0AAF8335" w14:textId="77777777" w:rsidTr="009373A2">
        <w:trPr>
          <w:trHeight w:val="290"/>
          <w:jc w:val="center"/>
        </w:trPr>
        <w:tc>
          <w:tcPr>
            <w:tcW w:w="5441" w:type="dxa"/>
            <w:tcBorders>
              <w:top w:val="nil"/>
              <w:left w:val="single" w:sz="4" w:space="0" w:color="auto"/>
              <w:bottom w:val="single" w:sz="4" w:space="0" w:color="auto"/>
              <w:right w:val="single" w:sz="4" w:space="0" w:color="auto"/>
            </w:tcBorders>
            <w:shd w:val="clear" w:color="auto" w:fill="auto"/>
            <w:noWrap/>
            <w:vAlign w:val="center"/>
            <w:hideMark/>
          </w:tcPr>
          <w:p w14:paraId="19FA2969" w14:textId="77777777" w:rsidR="007704AA" w:rsidRPr="00720D86" w:rsidRDefault="007704AA" w:rsidP="009373A2">
            <w:pPr>
              <w:spacing w:after="0" w:line="240" w:lineRule="auto"/>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Programa Macroeconómico 2020-2021 (enero 2020)</w:t>
            </w:r>
          </w:p>
        </w:tc>
        <w:tc>
          <w:tcPr>
            <w:tcW w:w="1220" w:type="dxa"/>
            <w:tcBorders>
              <w:top w:val="nil"/>
              <w:left w:val="nil"/>
              <w:bottom w:val="single" w:sz="4" w:space="0" w:color="auto"/>
              <w:right w:val="single" w:sz="4" w:space="0" w:color="auto"/>
            </w:tcBorders>
            <w:shd w:val="clear" w:color="auto" w:fill="auto"/>
            <w:noWrap/>
            <w:vAlign w:val="center"/>
            <w:hideMark/>
          </w:tcPr>
          <w:p w14:paraId="2D1351D9"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2,5%</w:t>
            </w:r>
          </w:p>
        </w:tc>
        <w:tc>
          <w:tcPr>
            <w:tcW w:w="1220" w:type="dxa"/>
            <w:tcBorders>
              <w:top w:val="nil"/>
              <w:left w:val="nil"/>
              <w:bottom w:val="single" w:sz="4" w:space="0" w:color="auto"/>
              <w:right w:val="single" w:sz="4" w:space="0" w:color="auto"/>
            </w:tcBorders>
            <w:shd w:val="clear" w:color="auto" w:fill="auto"/>
            <w:noWrap/>
            <w:vAlign w:val="center"/>
            <w:hideMark/>
          </w:tcPr>
          <w:p w14:paraId="5937CE38"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-5,9%</w:t>
            </w:r>
          </w:p>
        </w:tc>
        <w:tc>
          <w:tcPr>
            <w:tcW w:w="1200" w:type="dxa"/>
            <w:tcBorders>
              <w:top w:val="nil"/>
              <w:left w:val="nil"/>
              <w:bottom w:val="single" w:sz="4" w:space="0" w:color="auto"/>
              <w:right w:val="single" w:sz="4" w:space="0" w:color="auto"/>
            </w:tcBorders>
            <w:shd w:val="clear" w:color="auto" w:fill="auto"/>
            <w:noWrap/>
            <w:vAlign w:val="center"/>
            <w:hideMark/>
          </w:tcPr>
          <w:p w14:paraId="4CEF12C2"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-1,3%</w:t>
            </w:r>
          </w:p>
        </w:tc>
      </w:tr>
      <w:tr w:rsidR="007704AA" w:rsidRPr="00720D86" w14:paraId="3D72EDE7" w14:textId="77777777" w:rsidTr="009373A2">
        <w:trPr>
          <w:trHeight w:val="290"/>
          <w:jc w:val="center"/>
        </w:trPr>
        <w:tc>
          <w:tcPr>
            <w:tcW w:w="5441" w:type="dxa"/>
            <w:tcBorders>
              <w:top w:val="nil"/>
              <w:left w:val="single" w:sz="4" w:space="0" w:color="auto"/>
              <w:bottom w:val="single" w:sz="4" w:space="0" w:color="auto"/>
              <w:right w:val="single" w:sz="4" w:space="0" w:color="auto"/>
            </w:tcBorders>
            <w:shd w:val="clear" w:color="auto" w:fill="auto"/>
            <w:noWrap/>
            <w:vAlign w:val="center"/>
            <w:hideMark/>
          </w:tcPr>
          <w:p w14:paraId="0A493CDB" w14:textId="77777777" w:rsidR="007704AA" w:rsidRPr="00720D86" w:rsidRDefault="007704AA" w:rsidP="009373A2">
            <w:pPr>
              <w:spacing w:after="0" w:line="240" w:lineRule="auto"/>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Informe de Política Monetaria (Abr-2020)</w:t>
            </w:r>
          </w:p>
        </w:tc>
        <w:tc>
          <w:tcPr>
            <w:tcW w:w="1220" w:type="dxa"/>
            <w:tcBorders>
              <w:top w:val="nil"/>
              <w:left w:val="nil"/>
              <w:bottom w:val="single" w:sz="4" w:space="0" w:color="auto"/>
              <w:right w:val="single" w:sz="4" w:space="0" w:color="auto"/>
            </w:tcBorders>
            <w:shd w:val="clear" w:color="auto" w:fill="auto"/>
            <w:noWrap/>
            <w:vAlign w:val="center"/>
            <w:hideMark/>
          </w:tcPr>
          <w:p w14:paraId="36B064AB"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-3,6%</w:t>
            </w:r>
          </w:p>
        </w:tc>
        <w:tc>
          <w:tcPr>
            <w:tcW w:w="1220" w:type="dxa"/>
            <w:tcBorders>
              <w:top w:val="nil"/>
              <w:left w:val="nil"/>
              <w:bottom w:val="single" w:sz="4" w:space="0" w:color="auto"/>
              <w:right w:val="single" w:sz="4" w:space="0" w:color="auto"/>
            </w:tcBorders>
            <w:shd w:val="clear" w:color="auto" w:fill="auto"/>
            <w:noWrap/>
            <w:vAlign w:val="center"/>
            <w:hideMark/>
          </w:tcPr>
          <w:p w14:paraId="2812B60F"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-5,9%</w:t>
            </w:r>
          </w:p>
        </w:tc>
        <w:tc>
          <w:tcPr>
            <w:tcW w:w="1200" w:type="dxa"/>
            <w:tcBorders>
              <w:top w:val="nil"/>
              <w:left w:val="nil"/>
              <w:bottom w:val="single" w:sz="4" w:space="0" w:color="auto"/>
              <w:right w:val="single" w:sz="4" w:space="0" w:color="auto"/>
            </w:tcBorders>
            <w:shd w:val="clear" w:color="auto" w:fill="auto"/>
            <w:noWrap/>
            <w:vAlign w:val="center"/>
            <w:hideMark/>
          </w:tcPr>
          <w:p w14:paraId="70DF314B"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-1,3%</w:t>
            </w:r>
          </w:p>
        </w:tc>
      </w:tr>
      <w:tr w:rsidR="007704AA" w:rsidRPr="00720D86" w14:paraId="3352E482" w14:textId="77777777" w:rsidTr="009373A2">
        <w:trPr>
          <w:trHeight w:val="290"/>
          <w:jc w:val="center"/>
        </w:trPr>
        <w:tc>
          <w:tcPr>
            <w:tcW w:w="5441" w:type="dxa"/>
            <w:tcBorders>
              <w:top w:val="nil"/>
              <w:left w:val="single" w:sz="4" w:space="0" w:color="auto"/>
              <w:bottom w:val="single" w:sz="4" w:space="0" w:color="auto"/>
              <w:right w:val="single" w:sz="4" w:space="0" w:color="auto"/>
            </w:tcBorders>
            <w:shd w:val="clear" w:color="auto" w:fill="auto"/>
            <w:noWrap/>
            <w:vAlign w:val="center"/>
            <w:hideMark/>
          </w:tcPr>
          <w:p w14:paraId="7D1D80DE" w14:textId="77777777" w:rsidR="007704AA" w:rsidRPr="00720D86" w:rsidRDefault="007704AA" w:rsidP="009373A2">
            <w:pPr>
              <w:spacing w:after="0" w:line="240" w:lineRule="auto"/>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Revisión del programa Macroeconómico 2020-2021 (Julio 2020)</w:t>
            </w:r>
          </w:p>
        </w:tc>
        <w:tc>
          <w:tcPr>
            <w:tcW w:w="1220" w:type="dxa"/>
            <w:tcBorders>
              <w:top w:val="nil"/>
              <w:left w:val="nil"/>
              <w:bottom w:val="single" w:sz="4" w:space="0" w:color="auto"/>
              <w:right w:val="single" w:sz="4" w:space="0" w:color="auto"/>
            </w:tcBorders>
            <w:shd w:val="clear" w:color="auto" w:fill="auto"/>
            <w:noWrap/>
            <w:vAlign w:val="center"/>
            <w:hideMark/>
          </w:tcPr>
          <w:p w14:paraId="6FE5CF90"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-5,0%</w:t>
            </w:r>
          </w:p>
        </w:tc>
        <w:tc>
          <w:tcPr>
            <w:tcW w:w="1220" w:type="dxa"/>
            <w:tcBorders>
              <w:top w:val="nil"/>
              <w:left w:val="nil"/>
              <w:bottom w:val="single" w:sz="4" w:space="0" w:color="auto"/>
              <w:right w:val="single" w:sz="4" w:space="0" w:color="auto"/>
            </w:tcBorders>
            <w:shd w:val="clear" w:color="auto" w:fill="auto"/>
            <w:noWrap/>
            <w:vAlign w:val="center"/>
            <w:hideMark/>
          </w:tcPr>
          <w:p w14:paraId="5E58BE86"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-9,3%</w:t>
            </w:r>
          </w:p>
        </w:tc>
        <w:tc>
          <w:tcPr>
            <w:tcW w:w="1200" w:type="dxa"/>
            <w:tcBorders>
              <w:top w:val="nil"/>
              <w:left w:val="nil"/>
              <w:bottom w:val="single" w:sz="4" w:space="0" w:color="auto"/>
              <w:right w:val="single" w:sz="4" w:space="0" w:color="auto"/>
            </w:tcBorders>
            <w:shd w:val="clear" w:color="auto" w:fill="auto"/>
            <w:noWrap/>
            <w:vAlign w:val="center"/>
            <w:hideMark/>
          </w:tcPr>
          <w:p w14:paraId="0D91F439"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-4,0%</w:t>
            </w:r>
          </w:p>
        </w:tc>
      </w:tr>
      <w:tr w:rsidR="007704AA" w:rsidRPr="00720D86" w14:paraId="2E85F89E" w14:textId="77777777" w:rsidTr="009373A2">
        <w:trPr>
          <w:trHeight w:val="290"/>
          <w:jc w:val="center"/>
        </w:trPr>
        <w:tc>
          <w:tcPr>
            <w:tcW w:w="5441" w:type="dxa"/>
            <w:tcBorders>
              <w:top w:val="nil"/>
              <w:left w:val="single" w:sz="4" w:space="0" w:color="auto"/>
              <w:bottom w:val="single" w:sz="4" w:space="0" w:color="auto"/>
              <w:right w:val="single" w:sz="4" w:space="0" w:color="auto"/>
            </w:tcBorders>
            <w:shd w:val="clear" w:color="auto" w:fill="auto"/>
            <w:noWrap/>
            <w:vAlign w:val="center"/>
            <w:hideMark/>
          </w:tcPr>
          <w:p w14:paraId="0E1512BE" w14:textId="77777777" w:rsidR="007704AA" w:rsidRPr="00720D86" w:rsidRDefault="007704AA" w:rsidP="009373A2">
            <w:pPr>
              <w:spacing w:after="0" w:line="240" w:lineRule="auto"/>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Informe de Política Monetaria (Oct-2020)</w:t>
            </w:r>
          </w:p>
        </w:tc>
        <w:tc>
          <w:tcPr>
            <w:tcW w:w="1220" w:type="dxa"/>
            <w:tcBorders>
              <w:top w:val="nil"/>
              <w:left w:val="nil"/>
              <w:bottom w:val="single" w:sz="4" w:space="0" w:color="auto"/>
              <w:right w:val="single" w:sz="4" w:space="0" w:color="auto"/>
            </w:tcBorders>
            <w:shd w:val="clear" w:color="auto" w:fill="auto"/>
            <w:noWrap/>
            <w:vAlign w:val="center"/>
            <w:hideMark/>
          </w:tcPr>
          <w:p w14:paraId="597CA963"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-4,5%</w:t>
            </w:r>
          </w:p>
        </w:tc>
        <w:tc>
          <w:tcPr>
            <w:tcW w:w="1220" w:type="dxa"/>
            <w:tcBorders>
              <w:top w:val="nil"/>
              <w:left w:val="nil"/>
              <w:bottom w:val="single" w:sz="4" w:space="0" w:color="auto"/>
              <w:right w:val="single" w:sz="4" w:space="0" w:color="auto"/>
            </w:tcBorders>
            <w:shd w:val="clear" w:color="auto" w:fill="auto"/>
            <w:noWrap/>
            <w:vAlign w:val="center"/>
            <w:hideMark/>
          </w:tcPr>
          <w:p w14:paraId="1E7B14CE"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-9,2%</w:t>
            </w:r>
          </w:p>
        </w:tc>
        <w:tc>
          <w:tcPr>
            <w:tcW w:w="1200" w:type="dxa"/>
            <w:tcBorders>
              <w:top w:val="nil"/>
              <w:left w:val="nil"/>
              <w:bottom w:val="single" w:sz="4" w:space="0" w:color="auto"/>
              <w:right w:val="single" w:sz="4" w:space="0" w:color="auto"/>
            </w:tcBorders>
            <w:shd w:val="clear" w:color="auto" w:fill="auto"/>
            <w:noWrap/>
            <w:vAlign w:val="center"/>
            <w:hideMark/>
          </w:tcPr>
          <w:p w14:paraId="72D9F481"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-4,0%</w:t>
            </w:r>
          </w:p>
        </w:tc>
      </w:tr>
      <w:tr w:rsidR="007704AA" w:rsidRPr="00720D86" w14:paraId="41154BAC" w14:textId="77777777" w:rsidTr="009373A2">
        <w:trPr>
          <w:trHeight w:val="290"/>
          <w:jc w:val="center"/>
        </w:trPr>
        <w:tc>
          <w:tcPr>
            <w:tcW w:w="5441" w:type="dxa"/>
            <w:tcBorders>
              <w:top w:val="nil"/>
              <w:left w:val="single" w:sz="4" w:space="0" w:color="auto"/>
              <w:bottom w:val="single" w:sz="4" w:space="0" w:color="auto"/>
              <w:right w:val="single" w:sz="4" w:space="0" w:color="auto"/>
            </w:tcBorders>
            <w:shd w:val="clear" w:color="auto" w:fill="auto"/>
            <w:noWrap/>
            <w:vAlign w:val="center"/>
            <w:hideMark/>
          </w:tcPr>
          <w:p w14:paraId="649F93B2" w14:textId="77777777" w:rsidR="007704AA" w:rsidRPr="00720D86" w:rsidRDefault="007704AA" w:rsidP="009373A2">
            <w:pPr>
              <w:spacing w:after="0" w:line="240" w:lineRule="auto"/>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Programa Macroeconómico 2021-2022 (enero 2021)</w:t>
            </w:r>
          </w:p>
        </w:tc>
        <w:tc>
          <w:tcPr>
            <w:tcW w:w="1220" w:type="dxa"/>
            <w:tcBorders>
              <w:top w:val="nil"/>
              <w:left w:val="nil"/>
              <w:bottom w:val="single" w:sz="4" w:space="0" w:color="auto"/>
              <w:right w:val="single" w:sz="4" w:space="0" w:color="auto"/>
            </w:tcBorders>
            <w:shd w:val="clear" w:color="auto" w:fill="auto"/>
            <w:noWrap/>
            <w:vAlign w:val="center"/>
            <w:hideMark/>
          </w:tcPr>
          <w:p w14:paraId="58F20CBF"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-4,5%</w:t>
            </w:r>
          </w:p>
        </w:tc>
        <w:tc>
          <w:tcPr>
            <w:tcW w:w="1220" w:type="dxa"/>
            <w:tcBorders>
              <w:top w:val="nil"/>
              <w:left w:val="nil"/>
              <w:bottom w:val="single" w:sz="4" w:space="0" w:color="auto"/>
              <w:right w:val="single" w:sz="4" w:space="0" w:color="auto"/>
            </w:tcBorders>
            <w:shd w:val="clear" w:color="auto" w:fill="auto"/>
            <w:noWrap/>
            <w:vAlign w:val="center"/>
            <w:hideMark/>
          </w:tcPr>
          <w:p w14:paraId="58DFE99B"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-8,1%</w:t>
            </w:r>
          </w:p>
        </w:tc>
        <w:tc>
          <w:tcPr>
            <w:tcW w:w="1200" w:type="dxa"/>
            <w:tcBorders>
              <w:top w:val="nil"/>
              <w:left w:val="nil"/>
              <w:bottom w:val="single" w:sz="4" w:space="0" w:color="auto"/>
              <w:right w:val="single" w:sz="4" w:space="0" w:color="auto"/>
            </w:tcBorders>
            <w:shd w:val="clear" w:color="auto" w:fill="auto"/>
            <w:noWrap/>
            <w:vAlign w:val="center"/>
            <w:hideMark/>
          </w:tcPr>
          <w:p w14:paraId="2111C091"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-3,4%</w:t>
            </w:r>
          </w:p>
        </w:tc>
      </w:tr>
      <w:tr w:rsidR="007704AA" w:rsidRPr="00720D86" w14:paraId="5EC70BFD" w14:textId="77777777" w:rsidTr="009373A2">
        <w:trPr>
          <w:trHeight w:val="290"/>
          <w:jc w:val="center"/>
        </w:trPr>
        <w:tc>
          <w:tcPr>
            <w:tcW w:w="5441" w:type="dxa"/>
            <w:tcBorders>
              <w:top w:val="nil"/>
              <w:left w:val="single" w:sz="4" w:space="0" w:color="auto"/>
              <w:bottom w:val="single" w:sz="4" w:space="0" w:color="auto"/>
              <w:right w:val="single" w:sz="4" w:space="0" w:color="auto"/>
            </w:tcBorders>
            <w:shd w:val="clear" w:color="auto" w:fill="auto"/>
            <w:noWrap/>
            <w:vAlign w:val="center"/>
            <w:hideMark/>
          </w:tcPr>
          <w:p w14:paraId="6904ECE2" w14:textId="77777777" w:rsidR="007704AA" w:rsidRPr="00720D86" w:rsidRDefault="007704AA" w:rsidP="009373A2">
            <w:pPr>
              <w:spacing w:after="0" w:line="240" w:lineRule="auto"/>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Oficial Hacienda (Febrero 2021)</w:t>
            </w:r>
          </w:p>
        </w:tc>
        <w:tc>
          <w:tcPr>
            <w:tcW w:w="1220" w:type="dxa"/>
            <w:tcBorders>
              <w:top w:val="nil"/>
              <w:left w:val="nil"/>
              <w:bottom w:val="single" w:sz="4" w:space="0" w:color="auto"/>
              <w:right w:val="single" w:sz="4" w:space="0" w:color="auto"/>
            </w:tcBorders>
            <w:shd w:val="clear" w:color="auto" w:fill="auto"/>
            <w:noWrap/>
            <w:vAlign w:val="center"/>
            <w:hideMark/>
          </w:tcPr>
          <w:p w14:paraId="7D008D6A"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-4,2%</w:t>
            </w:r>
          </w:p>
        </w:tc>
        <w:tc>
          <w:tcPr>
            <w:tcW w:w="1220" w:type="dxa"/>
            <w:tcBorders>
              <w:top w:val="nil"/>
              <w:left w:val="nil"/>
              <w:bottom w:val="single" w:sz="4" w:space="0" w:color="auto"/>
              <w:right w:val="single" w:sz="4" w:space="0" w:color="auto"/>
            </w:tcBorders>
            <w:shd w:val="clear" w:color="auto" w:fill="auto"/>
            <w:noWrap/>
            <w:vAlign w:val="center"/>
            <w:hideMark/>
          </w:tcPr>
          <w:p w14:paraId="193E0A41"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-8,1%</w:t>
            </w:r>
          </w:p>
        </w:tc>
        <w:tc>
          <w:tcPr>
            <w:tcW w:w="1200" w:type="dxa"/>
            <w:tcBorders>
              <w:top w:val="nil"/>
              <w:left w:val="nil"/>
              <w:bottom w:val="single" w:sz="4" w:space="0" w:color="auto"/>
              <w:right w:val="single" w:sz="4" w:space="0" w:color="auto"/>
            </w:tcBorders>
            <w:shd w:val="clear" w:color="auto" w:fill="auto"/>
            <w:noWrap/>
            <w:vAlign w:val="center"/>
            <w:hideMark/>
          </w:tcPr>
          <w:p w14:paraId="7C1C2512"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-3,4%</w:t>
            </w:r>
          </w:p>
        </w:tc>
      </w:tr>
      <w:tr w:rsidR="007704AA" w:rsidRPr="00720D86" w14:paraId="49BC694D" w14:textId="77777777" w:rsidTr="009373A2">
        <w:trPr>
          <w:trHeight w:val="290"/>
          <w:jc w:val="center"/>
        </w:trPr>
        <w:tc>
          <w:tcPr>
            <w:tcW w:w="5441" w:type="dxa"/>
            <w:tcBorders>
              <w:top w:val="nil"/>
              <w:left w:val="single" w:sz="4" w:space="0" w:color="auto"/>
              <w:bottom w:val="single" w:sz="4" w:space="0" w:color="auto"/>
              <w:right w:val="single" w:sz="4" w:space="0" w:color="auto"/>
            </w:tcBorders>
            <w:shd w:val="clear" w:color="auto" w:fill="auto"/>
            <w:noWrap/>
            <w:vAlign w:val="center"/>
            <w:hideMark/>
          </w:tcPr>
          <w:p w14:paraId="1523CAD8" w14:textId="77777777" w:rsidR="007704AA" w:rsidRPr="00720D86" w:rsidRDefault="007704AA" w:rsidP="009373A2">
            <w:pPr>
              <w:spacing w:after="0" w:line="240" w:lineRule="auto"/>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Con ingresos y gastos detectados en la liquidación (Marzo 2021)</w:t>
            </w:r>
          </w:p>
        </w:tc>
        <w:tc>
          <w:tcPr>
            <w:tcW w:w="1220" w:type="dxa"/>
            <w:tcBorders>
              <w:top w:val="nil"/>
              <w:left w:val="nil"/>
              <w:bottom w:val="single" w:sz="4" w:space="0" w:color="auto"/>
              <w:right w:val="single" w:sz="4" w:space="0" w:color="auto"/>
            </w:tcBorders>
            <w:shd w:val="clear" w:color="auto" w:fill="auto"/>
            <w:noWrap/>
            <w:vAlign w:val="center"/>
            <w:hideMark/>
          </w:tcPr>
          <w:p w14:paraId="19298375"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-4,2%</w:t>
            </w:r>
          </w:p>
        </w:tc>
        <w:tc>
          <w:tcPr>
            <w:tcW w:w="1220" w:type="dxa"/>
            <w:tcBorders>
              <w:top w:val="nil"/>
              <w:left w:val="nil"/>
              <w:bottom w:val="single" w:sz="4" w:space="0" w:color="auto"/>
              <w:right w:val="single" w:sz="4" w:space="0" w:color="auto"/>
            </w:tcBorders>
            <w:shd w:val="clear" w:color="auto" w:fill="auto"/>
            <w:noWrap/>
            <w:vAlign w:val="center"/>
            <w:hideMark/>
          </w:tcPr>
          <w:p w14:paraId="68A4E1D0"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-8,5%</w:t>
            </w:r>
          </w:p>
        </w:tc>
        <w:tc>
          <w:tcPr>
            <w:tcW w:w="1200" w:type="dxa"/>
            <w:tcBorders>
              <w:top w:val="nil"/>
              <w:left w:val="nil"/>
              <w:bottom w:val="single" w:sz="4" w:space="0" w:color="auto"/>
              <w:right w:val="single" w:sz="4" w:space="0" w:color="auto"/>
            </w:tcBorders>
            <w:shd w:val="clear" w:color="auto" w:fill="auto"/>
            <w:noWrap/>
            <w:vAlign w:val="center"/>
            <w:hideMark/>
          </w:tcPr>
          <w:p w14:paraId="1877DF40" w14:textId="77777777" w:rsidR="007704AA" w:rsidRPr="00720D86" w:rsidRDefault="007704AA" w:rsidP="009373A2">
            <w:pPr>
              <w:spacing w:after="0" w:line="240" w:lineRule="auto"/>
              <w:jc w:val="right"/>
              <w:rPr>
                <w:rFonts w:ascii="Arial" w:eastAsia="Times New Roman" w:hAnsi="Arial" w:cs="Arial"/>
                <w:color w:val="000000"/>
                <w:sz w:val="20"/>
                <w:szCs w:val="20"/>
                <w:lang w:eastAsia="es-CR"/>
              </w:rPr>
            </w:pPr>
            <w:r w:rsidRPr="00720D86">
              <w:rPr>
                <w:rFonts w:ascii="Arial" w:eastAsia="Times New Roman" w:hAnsi="Arial" w:cs="Arial"/>
                <w:color w:val="000000"/>
                <w:sz w:val="20"/>
                <w:szCs w:val="20"/>
                <w:lang w:eastAsia="es-CR"/>
              </w:rPr>
              <w:t>-3,8%</w:t>
            </w:r>
          </w:p>
        </w:tc>
      </w:tr>
    </w:tbl>
    <w:p w14:paraId="5C207AA6" w14:textId="77777777" w:rsidR="007704AA" w:rsidRPr="00896125" w:rsidRDefault="007704AA" w:rsidP="007704AA">
      <w:pPr>
        <w:spacing w:line="480" w:lineRule="auto"/>
        <w:jc w:val="both"/>
        <w:rPr>
          <w:rFonts w:ascii="Arial" w:hAnsi="Arial" w:cs="Arial"/>
          <w:b/>
          <w:bCs/>
          <w:sz w:val="14"/>
          <w:szCs w:val="14"/>
        </w:rPr>
      </w:pPr>
      <w:r w:rsidRPr="00896125">
        <w:rPr>
          <w:rFonts w:ascii="Arial" w:hAnsi="Arial" w:cs="Arial"/>
          <w:b/>
          <w:bCs/>
          <w:sz w:val="14"/>
          <w:szCs w:val="14"/>
        </w:rPr>
        <w:t>Fuente: Elaboración propia con base en datos del Banco Central de Costa Rica</w:t>
      </w:r>
    </w:p>
    <w:p w14:paraId="650E1DAD" w14:textId="3F799DEC"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Esto refleja que entre abril de 2020 y enero de 2021, las estimaciones del Banco Central fueron mucho más pesimistas respecto de la expectativa fiscal que respecto de la economía, como se puede constatar en este esfuerzo de síntesis que representa el siguiente gráfico, pues en el 2020 la expectativa del Banco decreció -0,6% en la tasa de decrecimiento, mientras que el Ministerio de Hacienda tenía expectativas mucho más bajas del déficit fiscal y </w:t>
      </w:r>
      <w:r w:rsidR="00F06C73">
        <w:rPr>
          <w:rFonts w:ascii="Arial" w:hAnsi="Arial" w:cs="Arial"/>
          <w:sz w:val="24"/>
          <w:szCs w:val="24"/>
        </w:rPr>
        <w:t>primario</w:t>
      </w:r>
      <w:r w:rsidRPr="00C80037">
        <w:rPr>
          <w:rFonts w:ascii="Arial" w:hAnsi="Arial" w:cs="Arial"/>
          <w:sz w:val="24"/>
          <w:szCs w:val="24"/>
        </w:rPr>
        <w:t>, más de 3 veces el decrecimiento de la economía.</w:t>
      </w:r>
    </w:p>
    <w:p w14:paraId="69955AD9" w14:textId="77777777" w:rsidR="007704AA" w:rsidRPr="00C80037" w:rsidRDefault="007704AA" w:rsidP="007704AA">
      <w:pPr>
        <w:spacing w:line="480"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7F5F7AA1" wp14:editId="0CF07278">
            <wp:extent cx="4410000" cy="2880000"/>
            <wp:effectExtent l="0" t="0" r="0" b="0"/>
            <wp:docPr id="36" name="Imagen 36"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en cascad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0B30AFC6" w14:textId="77777777" w:rsidR="007704AA" w:rsidRPr="00C80037" w:rsidRDefault="007704AA" w:rsidP="007704AA">
      <w:pPr>
        <w:spacing w:line="276" w:lineRule="auto"/>
        <w:jc w:val="both"/>
        <w:rPr>
          <w:rFonts w:ascii="Arial" w:hAnsi="Arial" w:cs="Arial"/>
          <w:i/>
          <w:iCs/>
          <w:sz w:val="24"/>
          <w:szCs w:val="24"/>
        </w:rPr>
      </w:pPr>
      <w:r w:rsidRPr="00C80037">
        <w:rPr>
          <w:rFonts w:ascii="Arial" w:hAnsi="Arial" w:cs="Arial"/>
          <w:i/>
          <w:iCs/>
          <w:sz w:val="24"/>
          <w:szCs w:val="24"/>
        </w:rPr>
        <w:t>El banco lo plantea en una cita en uno de sus informes al afirmar que:</w:t>
      </w:r>
    </w:p>
    <w:p w14:paraId="65D3F83F" w14:textId="77777777" w:rsidR="007704AA" w:rsidRPr="00C80037" w:rsidRDefault="007704AA" w:rsidP="007704AA">
      <w:pPr>
        <w:spacing w:line="276" w:lineRule="auto"/>
        <w:ind w:left="708" w:right="616"/>
        <w:jc w:val="both"/>
        <w:rPr>
          <w:rFonts w:ascii="Arial" w:hAnsi="Arial" w:cs="Arial"/>
          <w:i/>
          <w:iCs/>
          <w:sz w:val="24"/>
          <w:szCs w:val="24"/>
        </w:rPr>
      </w:pPr>
      <w:r w:rsidRPr="00C80037">
        <w:rPr>
          <w:rFonts w:ascii="Arial" w:hAnsi="Arial" w:cs="Arial"/>
          <w:i/>
          <w:iCs/>
          <w:sz w:val="24"/>
          <w:szCs w:val="24"/>
        </w:rPr>
        <w:t>“Según el escenario fiscal suministrado por el Ministerio de Hacienda, dada la contracción económica, el mayor desempleo y la aprobación de algunas leyes, entre ellas la Ley de Alivio Fiscal (Ley 9830) que incluyó una moratoria tributaria por tres meses, se prevé que los ingresos totales del Gobierno Central se reduzcan en 10,6% y los tributarios en 11,1% en el 2020. Con ello, los ingresos totales alcanzarían un 13,8% del PIB109 (14,8% en el 2019). Para el 2021, las proyecciones  del  Ministerio  de  Hacienda  suponen  una  recuperación  de  los ingresos hasta alcanzar el 14,5% del PIB, como resultado de la recuperación económica y las reformas que introdujo la Ley 9635, particularmente los Títulos I y II referidos al impuesto sobre el valor agregado y a la renta”</w:t>
      </w:r>
      <w:r w:rsidRPr="00C80037">
        <w:rPr>
          <w:rStyle w:val="Refdenotaalpie"/>
          <w:rFonts w:ascii="Arial" w:hAnsi="Arial" w:cs="Arial"/>
          <w:i/>
          <w:iCs/>
          <w:sz w:val="24"/>
          <w:szCs w:val="24"/>
        </w:rPr>
        <w:footnoteReference w:id="3"/>
      </w:r>
    </w:p>
    <w:p w14:paraId="0FE7875E" w14:textId="77777777" w:rsidR="007704AA" w:rsidRPr="00C80037" w:rsidRDefault="007704AA" w:rsidP="007704AA">
      <w:pPr>
        <w:spacing w:line="276" w:lineRule="auto"/>
        <w:jc w:val="both"/>
        <w:rPr>
          <w:rFonts w:ascii="Arial" w:hAnsi="Arial" w:cs="Arial"/>
          <w:sz w:val="24"/>
          <w:szCs w:val="24"/>
        </w:rPr>
      </w:pPr>
    </w:p>
    <w:p w14:paraId="4040EC01" w14:textId="7E211DD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Sin embargo, las estimaciones del Banco Central de Costa Rica (BCCR), respecto de la actividad económica, igualmente fueron sobreestimadas en su caída y aún más en el efecto rebote y la rápida recuperación que la economía empezó a registrar desde el segundo semestre de 2020 y que continúa durante el 2021, aunque ya para octubre de</w:t>
      </w:r>
      <w:r w:rsidR="003A54F0">
        <w:rPr>
          <w:rFonts w:ascii="Arial" w:hAnsi="Arial" w:cs="Arial"/>
          <w:sz w:val="24"/>
          <w:szCs w:val="24"/>
        </w:rPr>
        <w:t>l 2020</w:t>
      </w:r>
      <w:r w:rsidRPr="00C80037">
        <w:rPr>
          <w:rFonts w:ascii="Arial" w:hAnsi="Arial" w:cs="Arial"/>
          <w:sz w:val="24"/>
          <w:szCs w:val="24"/>
        </w:rPr>
        <w:t xml:space="preserve">, el Banco tenía más claro </w:t>
      </w:r>
      <w:r w:rsidR="003A54F0">
        <w:rPr>
          <w:rFonts w:ascii="Arial" w:hAnsi="Arial" w:cs="Arial"/>
          <w:sz w:val="24"/>
          <w:szCs w:val="24"/>
        </w:rPr>
        <w:t>el panorama</w:t>
      </w:r>
      <w:r w:rsidRPr="00C80037">
        <w:rPr>
          <w:rFonts w:ascii="Arial" w:hAnsi="Arial" w:cs="Arial"/>
          <w:sz w:val="24"/>
          <w:szCs w:val="24"/>
        </w:rPr>
        <w:t>.</w:t>
      </w:r>
    </w:p>
    <w:p w14:paraId="15AAA773" w14:textId="37212063"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Si bien la caída </w:t>
      </w:r>
      <w:r w:rsidR="00737C2E">
        <w:rPr>
          <w:rFonts w:ascii="Arial" w:hAnsi="Arial" w:cs="Arial"/>
          <w:sz w:val="24"/>
          <w:szCs w:val="24"/>
        </w:rPr>
        <w:t>del PIB</w:t>
      </w:r>
      <w:r w:rsidRPr="00C80037">
        <w:rPr>
          <w:rFonts w:ascii="Arial" w:hAnsi="Arial" w:cs="Arial"/>
          <w:sz w:val="24"/>
          <w:szCs w:val="24"/>
        </w:rPr>
        <w:t xml:space="preserve"> fue calculada para el II trimestre del 2020 por el Banco Central de Costa Rica (BCCR), en la revisión de medio periodo del Programa Macroeconómico 2020, en -9.2%</w:t>
      </w:r>
      <w:r w:rsidR="00737C2E">
        <w:rPr>
          <w:rFonts w:ascii="Arial" w:hAnsi="Arial" w:cs="Arial"/>
          <w:sz w:val="24"/>
          <w:szCs w:val="24"/>
        </w:rPr>
        <w:t xml:space="preserve"> en términos nominales</w:t>
      </w:r>
      <w:r w:rsidRPr="00C80037">
        <w:rPr>
          <w:rFonts w:ascii="Arial" w:hAnsi="Arial" w:cs="Arial"/>
          <w:sz w:val="24"/>
          <w:szCs w:val="24"/>
        </w:rPr>
        <w:t xml:space="preserve">, con una reducción interanual de -4.3%; el impacto </w:t>
      </w:r>
      <w:r w:rsidR="004B7E38">
        <w:rPr>
          <w:rFonts w:ascii="Arial" w:hAnsi="Arial" w:cs="Arial"/>
          <w:sz w:val="24"/>
          <w:szCs w:val="24"/>
        </w:rPr>
        <w:t xml:space="preserve">efectivo </w:t>
      </w:r>
      <w:r w:rsidRPr="00C80037">
        <w:rPr>
          <w:rFonts w:ascii="Arial" w:hAnsi="Arial" w:cs="Arial"/>
          <w:sz w:val="24"/>
          <w:szCs w:val="24"/>
        </w:rPr>
        <w:t>fue ligeramente menor y ha tenido una recuperación más rápida de lo esperado, aun con la contracción fuerte de sectores económicos clave para Costa Rica, como Hoteles y restaurantes, Transporte y Comercio, entre los más afectados.</w:t>
      </w:r>
    </w:p>
    <w:p w14:paraId="4EE6AC63" w14:textId="740E0334"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El II Trimestre terminó siendo 0.8 puntos porcentuales menor al registrado en la revisión del programa macroeconómico; y las expectativas que se tenían en aquel momento, fueron sobrestimadas en relación con la situación efectiva, pues la economía empezó a registrar un aumento considerable de su dinamismo, lo que implicó para el II Trimestre del 2020 la contracción fuese de -8.4%, y para finales del año de -2.7%. Para el primer trimestre de 2021, momento en que se realiza este informe, la economía estaba en franca recuperación, al registrar una caída interanual de -1.6%. </w:t>
      </w:r>
    </w:p>
    <w:p w14:paraId="027021FE"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7F64225B" wp14:editId="3F87092D">
            <wp:extent cx="4410000" cy="2880000"/>
            <wp:effectExtent l="0" t="0" r="0" b="0"/>
            <wp:docPr id="16" name="Imagen 1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líneas&#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22D4C074" w14:textId="77777777" w:rsidR="007704AA" w:rsidRPr="00C80037" w:rsidRDefault="007704AA" w:rsidP="007704AA">
      <w:pPr>
        <w:spacing w:line="276" w:lineRule="auto"/>
        <w:jc w:val="both"/>
        <w:rPr>
          <w:rFonts w:ascii="Arial" w:hAnsi="Arial" w:cs="Arial"/>
          <w:sz w:val="24"/>
          <w:szCs w:val="24"/>
        </w:rPr>
      </w:pPr>
    </w:p>
    <w:p w14:paraId="56E7D7F1"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Obviamente no es el nivel óptimo para recuperar el dinamismo económico y por ende los ingresos tributarios, pero el panorama es menos pesimista que el que se tenía a mediados del año 2020, al punto que le ha permitido al Gobierno registrar por 4 meses seguidos durante el 2021 un superávit primario relevante, por un aumento muy significativo en todos los impuestos.</w:t>
      </w:r>
    </w:p>
    <w:p w14:paraId="17541311"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Sin embargo, como hemos expresado los firmantes de este informe, la actividad económica tampoco es que tenía un dinamismo propio de un país boyante, sino más bien un crecimiento económico retraído y ralentizado, pues entre enero 2018 y marzo 2020, momento del inicio de la Pandemia, la economía había experimentado un crecimiento promedio interanual por trimestre de 2%, lo que reflejaba que la economía no estaba preparada para recibir la contundente contracción que la Pandemia y las medidas de contención implicaron para las empresas y el mercado laboral; que finalmente se reflejó en una caída en los ingresos tributarios, por la simbiosis que existe entre la economía y los impuestos.</w:t>
      </w:r>
    </w:p>
    <w:p w14:paraId="0F6C36D7"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Los datos permiten constatar que cuando se analiza en detalle el comportamiento del financiamiento y los ingresos tributarios, frente al comportamiento de la economía medido por el PIB, es posible evidenciar una relación casi asintótica, como es constatable en el gráfico siguiente:</w:t>
      </w:r>
    </w:p>
    <w:p w14:paraId="45808A68"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3A77D099" wp14:editId="218A61D7">
            <wp:extent cx="4410000" cy="2880000"/>
            <wp:effectExtent l="0" t="0" r="0" b="0"/>
            <wp:docPr id="32" name="Imagen 32"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Histo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6F4A8960"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El gráfico muestra que la caída en el PIB implica una caída casi idéntica de los ingresos tributarios, por una razón que resulta más que obvia, y es que los tres impuestos que más impacto tienen en el fisco (Renta, IVA y Combustibles), que entre los tres agrupan más del 90% de toda la recaudación tributaria, están claramente vinculados a la actividad de las empresas y en general de los mercados nacionales. </w:t>
      </w:r>
    </w:p>
    <w:p w14:paraId="198520A9" w14:textId="46FED466"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En el momento en que los ingresos empresariales caen, y los gastos y costos de producción permanecen invariables o incluso suben, las utilidades de las empresas y las personas se reduce y, por ende, el aporte que deben realizar</w:t>
      </w:r>
      <w:r w:rsidR="003338C4">
        <w:rPr>
          <w:rFonts w:ascii="Arial" w:hAnsi="Arial" w:cs="Arial"/>
          <w:sz w:val="24"/>
          <w:szCs w:val="24"/>
        </w:rPr>
        <w:t xml:space="preserve">. Es verdadero que </w:t>
      </w:r>
      <w:r w:rsidR="00DA4EA0">
        <w:rPr>
          <w:rFonts w:ascii="Arial" w:hAnsi="Arial" w:cs="Arial"/>
          <w:sz w:val="24"/>
          <w:szCs w:val="24"/>
        </w:rPr>
        <w:t xml:space="preserve">el argumento de que </w:t>
      </w:r>
      <w:r w:rsidRPr="00C80037">
        <w:rPr>
          <w:rFonts w:ascii="Arial" w:hAnsi="Arial" w:cs="Arial"/>
          <w:sz w:val="24"/>
          <w:szCs w:val="24"/>
        </w:rPr>
        <w:t xml:space="preserve">mayor dinamismo en la economía </w:t>
      </w:r>
      <w:r w:rsidR="00DA4EA0">
        <w:rPr>
          <w:rFonts w:ascii="Arial" w:hAnsi="Arial" w:cs="Arial"/>
          <w:sz w:val="24"/>
          <w:szCs w:val="24"/>
        </w:rPr>
        <w:t xml:space="preserve">viene </w:t>
      </w:r>
      <w:r w:rsidRPr="00C80037">
        <w:rPr>
          <w:rFonts w:ascii="Arial" w:hAnsi="Arial" w:cs="Arial"/>
          <w:sz w:val="24"/>
          <w:szCs w:val="24"/>
        </w:rPr>
        <w:t xml:space="preserve">de actividades exoneradas de cargas tributarias, pero </w:t>
      </w:r>
      <w:r w:rsidR="00DA4EA0">
        <w:rPr>
          <w:rFonts w:ascii="Arial" w:hAnsi="Arial" w:cs="Arial"/>
          <w:sz w:val="24"/>
          <w:szCs w:val="24"/>
        </w:rPr>
        <w:t xml:space="preserve">esto </w:t>
      </w:r>
      <w:r w:rsidRPr="00C80037">
        <w:rPr>
          <w:rFonts w:ascii="Arial" w:hAnsi="Arial" w:cs="Arial"/>
          <w:sz w:val="24"/>
          <w:szCs w:val="24"/>
        </w:rPr>
        <w:t xml:space="preserve">no </w:t>
      </w:r>
      <w:r w:rsidR="00DA4EA0">
        <w:rPr>
          <w:rFonts w:ascii="Arial" w:hAnsi="Arial" w:cs="Arial"/>
          <w:sz w:val="24"/>
          <w:szCs w:val="24"/>
        </w:rPr>
        <w:t xml:space="preserve">implica </w:t>
      </w:r>
      <w:r w:rsidRPr="00C80037">
        <w:rPr>
          <w:rFonts w:ascii="Arial" w:hAnsi="Arial" w:cs="Arial"/>
          <w:sz w:val="24"/>
          <w:szCs w:val="24"/>
        </w:rPr>
        <w:t xml:space="preserve">de ninguna forma una total disparidad entre la actividad económica fuerte y una recaudación tributaria boyante, solo una parte de tal desvinculación. </w:t>
      </w:r>
    </w:p>
    <w:p w14:paraId="2342C5BE"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De igual forma, la reducción de la actividad económica, implican menores intercambios de bienes y servicios, que se encuentran tasados por el IVA, y por ende se recauda menos por este concepto. Y finalmente el impuesto sobre los combustibles, a pesar de ser menos el efecto en reducción también se ve afectado.</w:t>
      </w:r>
    </w:p>
    <w:p w14:paraId="53A8D567"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54D829EE" wp14:editId="03CD6B7A">
            <wp:extent cx="4406400" cy="2880000"/>
            <wp:effectExtent l="0" t="0" r="0" b="0"/>
            <wp:docPr id="5" name="Imagen 5"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 Histogram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6400" cy="2880000"/>
                    </a:xfrm>
                    <a:prstGeom prst="rect">
                      <a:avLst/>
                    </a:prstGeom>
                    <a:noFill/>
                  </pic:spPr>
                </pic:pic>
              </a:graphicData>
            </a:graphic>
          </wp:inline>
        </w:drawing>
      </w:r>
    </w:p>
    <w:p w14:paraId="0F0F9FEC"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Esto confirma la frase que se le atribuye al expresidente Ricardo Jiménez Oreamuno, aquella que rezaba, </w:t>
      </w:r>
      <w:r w:rsidRPr="00C80037">
        <w:rPr>
          <w:rFonts w:ascii="Arial" w:hAnsi="Arial" w:cs="Arial"/>
          <w:i/>
          <w:iCs/>
          <w:sz w:val="24"/>
          <w:szCs w:val="24"/>
        </w:rPr>
        <w:t>“no hay mejor ministro de Hacienda que una buena cosecha de café”</w:t>
      </w:r>
      <w:r w:rsidRPr="00C80037">
        <w:rPr>
          <w:rFonts w:ascii="Arial" w:hAnsi="Arial" w:cs="Arial"/>
          <w:sz w:val="24"/>
          <w:szCs w:val="24"/>
        </w:rPr>
        <w:t xml:space="preserve">, refiriéndose a que las finanzas públicas tienen una estrecha relación con la actividad productiva, su dinamismo y la fortaleza del intercambio de bienes y servicios. </w:t>
      </w:r>
    </w:p>
    <w:p w14:paraId="6576C97E"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En este sentido, la carga tributaria costarricense, afectada por diversos elementos de orden coyuntural como estructural, tiene un momento de debilidad muy importante, que refleja la necesidad de que la economía vuelva a tener el dinamismo necesario para que permita también recuperar estos ingresos para el fisco.</w:t>
      </w:r>
    </w:p>
    <w:p w14:paraId="191CDFC9"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7AA0DCE4" wp14:editId="0847122A">
            <wp:extent cx="4410000" cy="2880000"/>
            <wp:effectExtent l="0" t="0" r="0" b="0"/>
            <wp:docPr id="35" name="Imagen 3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Gráfico de barra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79353939" w14:textId="77777777" w:rsidR="004B5465" w:rsidRDefault="004B5465">
      <w:pPr>
        <w:rPr>
          <w:rFonts w:ascii="Arial" w:eastAsia="Arial" w:hAnsi="Arial" w:cs="Arial"/>
          <w:b/>
          <w:color w:val="000000"/>
          <w:sz w:val="24"/>
          <w:szCs w:val="24"/>
          <w:u w:val="single"/>
          <w:lang w:val="es-ES" w:eastAsia="zh-CN" w:bidi="hi-IN"/>
        </w:rPr>
      </w:pPr>
      <w:r>
        <w:br w:type="page"/>
      </w:r>
    </w:p>
    <w:p w14:paraId="03C1E2E9" w14:textId="677713FC" w:rsidR="007704AA" w:rsidRPr="004D6CA7" w:rsidRDefault="00AB5D02" w:rsidP="007F36BB">
      <w:pPr>
        <w:pStyle w:val="Ttulo2"/>
      </w:pPr>
      <w:bookmarkStart w:id="4" w:name="_Toc78277702"/>
      <w:r>
        <w:t xml:space="preserve">Sobre los </w:t>
      </w:r>
      <w:r w:rsidR="00E722FD">
        <w:t>G</w:t>
      </w:r>
      <w:r w:rsidR="007704AA" w:rsidRPr="004D6CA7">
        <w:t>astos</w:t>
      </w:r>
      <w:bookmarkEnd w:id="4"/>
    </w:p>
    <w:p w14:paraId="402AC3A9" w14:textId="06D749EB"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A diferencia de los ingresos tributarios, el gasto, aún el primario sin contabilizar el gasto por intereses</w:t>
      </w:r>
      <w:r w:rsidR="005B040A">
        <w:rPr>
          <w:rFonts w:ascii="Arial" w:hAnsi="Arial" w:cs="Arial"/>
          <w:sz w:val="24"/>
          <w:szCs w:val="24"/>
        </w:rPr>
        <w:t xml:space="preserve"> (</w:t>
      </w:r>
      <w:r w:rsidRPr="00C80037">
        <w:rPr>
          <w:rFonts w:ascii="Arial" w:hAnsi="Arial" w:cs="Arial"/>
          <w:sz w:val="24"/>
          <w:szCs w:val="24"/>
        </w:rPr>
        <w:t>ineludibles en altos niveles de endeudamiento</w:t>
      </w:r>
      <w:r w:rsidR="005B040A">
        <w:rPr>
          <w:rFonts w:ascii="Arial" w:hAnsi="Arial" w:cs="Arial"/>
          <w:sz w:val="24"/>
          <w:szCs w:val="24"/>
        </w:rPr>
        <w:t>)</w:t>
      </w:r>
      <w:r w:rsidRPr="00C80037">
        <w:rPr>
          <w:rFonts w:ascii="Arial" w:hAnsi="Arial" w:cs="Arial"/>
          <w:sz w:val="24"/>
          <w:szCs w:val="24"/>
        </w:rPr>
        <w:t>, no tienen una relación con la economía, y por el contrario permanecen casi invariables en los momentos en que cae la economía.</w:t>
      </w:r>
    </w:p>
    <w:p w14:paraId="43A0FB04"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Para el 2020 esto fue absolutamente evidente, como puede observarse en el siguiente gráfico en el que se evidencia que el gasto tiene una dinámica independiente, lo que consolida la importancia que tuvo la reforma del 2018 de implementar una serie de medidas de control del gasto de remuneraciones y en general del gasto corriente por medio de la regla fiscal, de la que se hace un acápite específico en el presente informe.</w:t>
      </w:r>
    </w:p>
    <w:p w14:paraId="11CAB361"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29908823" wp14:editId="28C36701">
            <wp:extent cx="4410000" cy="2880000"/>
            <wp:effectExtent l="0" t="0" r="0" b="0"/>
            <wp:docPr id="31" name="Imagen 3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28504B6F"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Sin embargo, esto no justifica como el manejo que se hace de las cifras por parte del Gobierno, que publicita un esfuerzo de contención de gasto que solo se ve explicado por fenómenos exógenos al presupuesto del Poder Ejecutivo.</w:t>
      </w:r>
    </w:p>
    <w:p w14:paraId="2B6AA7D5"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Lo primero que hay que explicar es que la contención de gasto que el Gobierno plantea como una gestión propia, viene especialmente dado por un freno al gasto de capital, especialmente el que transfiere a otras instituciones del sector público. El cuadro siguiente desglosa cual partida de gasto aportó más a la reducción del gasto gubernamental, y es claro que casi el 80% fue producto de una caída de 288 mil millones en las transferencias de capital, y el gasto corriente solo aportó un 15,6% de esa caída, poco más de ¢56 mil millones.</w:t>
      </w:r>
    </w:p>
    <w:p w14:paraId="1E6F6139" w14:textId="77777777" w:rsidR="004B5465" w:rsidRDefault="004B5465">
      <w:pPr>
        <w:rPr>
          <w:rFonts w:ascii="Arial" w:hAnsi="Arial" w:cs="Arial"/>
          <w:b/>
          <w:bCs/>
          <w:sz w:val="24"/>
          <w:szCs w:val="24"/>
        </w:rPr>
      </w:pPr>
      <w:r>
        <w:rPr>
          <w:rFonts w:ascii="Arial" w:hAnsi="Arial" w:cs="Arial"/>
          <w:b/>
          <w:bCs/>
          <w:sz w:val="24"/>
          <w:szCs w:val="24"/>
        </w:rPr>
        <w:br w:type="page"/>
      </w:r>
    </w:p>
    <w:p w14:paraId="35B56D4C" w14:textId="09E12C5B" w:rsidR="007704AA" w:rsidRPr="00C80037" w:rsidRDefault="007704AA" w:rsidP="007704AA">
      <w:pPr>
        <w:spacing w:line="240" w:lineRule="auto"/>
        <w:jc w:val="center"/>
        <w:rPr>
          <w:rFonts w:ascii="Arial" w:hAnsi="Arial" w:cs="Arial"/>
          <w:b/>
          <w:bCs/>
          <w:sz w:val="24"/>
          <w:szCs w:val="24"/>
        </w:rPr>
      </w:pPr>
      <w:r w:rsidRPr="00C80037">
        <w:rPr>
          <w:rFonts w:ascii="Arial" w:hAnsi="Arial" w:cs="Arial"/>
          <w:b/>
          <w:bCs/>
          <w:sz w:val="24"/>
          <w:szCs w:val="24"/>
        </w:rPr>
        <w:t xml:space="preserve">Participación relativa de las reducciones </w:t>
      </w:r>
      <w:r w:rsidRPr="00C80037">
        <w:rPr>
          <w:rFonts w:ascii="Arial" w:hAnsi="Arial" w:cs="Arial"/>
          <w:b/>
          <w:bCs/>
          <w:sz w:val="24"/>
          <w:szCs w:val="24"/>
        </w:rPr>
        <w:br/>
        <w:t>en las diversas partidas en el gasto total sin intereses</w:t>
      </w:r>
    </w:p>
    <w:p w14:paraId="0C2ECB10" w14:textId="77777777" w:rsidR="007704AA" w:rsidRPr="00C80037" w:rsidRDefault="007704AA" w:rsidP="007704AA">
      <w:pPr>
        <w:spacing w:line="240" w:lineRule="auto"/>
        <w:jc w:val="center"/>
        <w:rPr>
          <w:rFonts w:ascii="Arial" w:hAnsi="Arial" w:cs="Arial"/>
          <w:sz w:val="24"/>
          <w:szCs w:val="24"/>
        </w:rPr>
      </w:pPr>
      <w:r w:rsidRPr="00C80037">
        <w:rPr>
          <w:rFonts w:ascii="Arial" w:hAnsi="Arial" w:cs="Arial"/>
          <w:sz w:val="24"/>
          <w:szCs w:val="24"/>
        </w:rPr>
        <w:t>En millones de colones</w:t>
      </w: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6"/>
        <w:gridCol w:w="1400"/>
        <w:gridCol w:w="1400"/>
        <w:gridCol w:w="1320"/>
        <w:gridCol w:w="1600"/>
      </w:tblGrid>
      <w:tr w:rsidR="007704AA" w:rsidRPr="00896125" w14:paraId="675CA233" w14:textId="77777777" w:rsidTr="00093F0E">
        <w:trPr>
          <w:trHeight w:val="290"/>
          <w:jc w:val="center"/>
        </w:trPr>
        <w:tc>
          <w:tcPr>
            <w:tcW w:w="2686" w:type="dxa"/>
            <w:shd w:val="clear" w:color="auto" w:fill="BFBFBF" w:themeFill="background1" w:themeFillShade="BF"/>
            <w:noWrap/>
            <w:vAlign w:val="center"/>
            <w:hideMark/>
          </w:tcPr>
          <w:p w14:paraId="7A30DF1A" w14:textId="77777777" w:rsidR="007704AA" w:rsidRPr="009111E6" w:rsidRDefault="007704AA" w:rsidP="009373A2">
            <w:pPr>
              <w:spacing w:after="0" w:line="240" w:lineRule="auto"/>
              <w:jc w:val="center"/>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Concepto</w:t>
            </w:r>
          </w:p>
        </w:tc>
        <w:tc>
          <w:tcPr>
            <w:tcW w:w="1400" w:type="dxa"/>
            <w:shd w:val="clear" w:color="auto" w:fill="BFBFBF" w:themeFill="background1" w:themeFillShade="BF"/>
            <w:noWrap/>
            <w:vAlign w:val="center"/>
            <w:hideMark/>
          </w:tcPr>
          <w:p w14:paraId="3FEBF4C9" w14:textId="77777777" w:rsidR="007704AA" w:rsidRPr="009111E6" w:rsidRDefault="007704AA" w:rsidP="009373A2">
            <w:pPr>
              <w:spacing w:after="0" w:line="240" w:lineRule="auto"/>
              <w:jc w:val="center"/>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2019</w:t>
            </w:r>
          </w:p>
        </w:tc>
        <w:tc>
          <w:tcPr>
            <w:tcW w:w="1400" w:type="dxa"/>
            <w:shd w:val="clear" w:color="auto" w:fill="BFBFBF" w:themeFill="background1" w:themeFillShade="BF"/>
            <w:noWrap/>
            <w:vAlign w:val="center"/>
            <w:hideMark/>
          </w:tcPr>
          <w:p w14:paraId="5A1AA519" w14:textId="77777777" w:rsidR="007704AA" w:rsidRPr="009111E6" w:rsidRDefault="007704AA" w:rsidP="009373A2">
            <w:pPr>
              <w:spacing w:after="0" w:line="240" w:lineRule="auto"/>
              <w:jc w:val="center"/>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2020</w:t>
            </w:r>
          </w:p>
        </w:tc>
        <w:tc>
          <w:tcPr>
            <w:tcW w:w="1320" w:type="dxa"/>
            <w:shd w:val="clear" w:color="auto" w:fill="BFBFBF" w:themeFill="background1" w:themeFillShade="BF"/>
            <w:noWrap/>
            <w:vAlign w:val="center"/>
            <w:hideMark/>
          </w:tcPr>
          <w:p w14:paraId="4B3CA75E" w14:textId="77777777" w:rsidR="007704AA" w:rsidRPr="009111E6" w:rsidRDefault="007704AA" w:rsidP="009373A2">
            <w:pPr>
              <w:spacing w:after="0" w:line="240" w:lineRule="auto"/>
              <w:jc w:val="center"/>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Diferencia</w:t>
            </w:r>
          </w:p>
        </w:tc>
        <w:tc>
          <w:tcPr>
            <w:tcW w:w="1600" w:type="dxa"/>
            <w:shd w:val="clear" w:color="auto" w:fill="BFBFBF" w:themeFill="background1" w:themeFillShade="BF"/>
            <w:noWrap/>
            <w:vAlign w:val="center"/>
            <w:hideMark/>
          </w:tcPr>
          <w:p w14:paraId="70EDA194" w14:textId="77777777" w:rsidR="007704AA" w:rsidRPr="009111E6" w:rsidRDefault="007704AA" w:rsidP="009373A2">
            <w:pPr>
              <w:spacing w:after="0" w:line="240" w:lineRule="auto"/>
              <w:jc w:val="center"/>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 de Participación</w:t>
            </w:r>
          </w:p>
        </w:tc>
      </w:tr>
      <w:tr w:rsidR="004724D3" w:rsidRPr="009111E6" w14:paraId="51F1EE34" w14:textId="77777777" w:rsidTr="00093F0E">
        <w:trPr>
          <w:trHeight w:val="290"/>
          <w:jc w:val="center"/>
        </w:trPr>
        <w:tc>
          <w:tcPr>
            <w:tcW w:w="2686" w:type="dxa"/>
            <w:shd w:val="clear" w:color="auto" w:fill="auto"/>
            <w:noWrap/>
            <w:vAlign w:val="center"/>
            <w:hideMark/>
          </w:tcPr>
          <w:p w14:paraId="67C76D0B" w14:textId="77777777" w:rsidR="007704AA" w:rsidRPr="009111E6" w:rsidRDefault="007704AA" w:rsidP="009373A2">
            <w:pPr>
              <w:spacing w:after="0" w:line="240" w:lineRule="auto"/>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G Total sin Intereses</w:t>
            </w:r>
          </w:p>
        </w:tc>
        <w:tc>
          <w:tcPr>
            <w:tcW w:w="1400" w:type="dxa"/>
            <w:shd w:val="clear" w:color="auto" w:fill="auto"/>
            <w:noWrap/>
            <w:vAlign w:val="center"/>
            <w:hideMark/>
          </w:tcPr>
          <w:p w14:paraId="68AF3C20" w14:textId="77777777" w:rsidR="007704AA" w:rsidRPr="009111E6" w:rsidRDefault="007704AA" w:rsidP="009373A2">
            <w:pPr>
              <w:spacing w:after="0" w:line="240" w:lineRule="auto"/>
              <w:jc w:val="right"/>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6.363.150</w:t>
            </w:r>
          </w:p>
        </w:tc>
        <w:tc>
          <w:tcPr>
            <w:tcW w:w="1400" w:type="dxa"/>
            <w:shd w:val="clear" w:color="auto" w:fill="auto"/>
            <w:noWrap/>
            <w:vAlign w:val="center"/>
            <w:hideMark/>
          </w:tcPr>
          <w:p w14:paraId="25A27E81" w14:textId="77777777" w:rsidR="007704AA" w:rsidRPr="009111E6" w:rsidRDefault="007704AA" w:rsidP="009373A2">
            <w:pPr>
              <w:spacing w:after="0" w:line="240" w:lineRule="auto"/>
              <w:jc w:val="right"/>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6.000.939</w:t>
            </w:r>
          </w:p>
        </w:tc>
        <w:tc>
          <w:tcPr>
            <w:tcW w:w="1320" w:type="dxa"/>
            <w:shd w:val="clear" w:color="auto" w:fill="auto"/>
            <w:noWrap/>
            <w:vAlign w:val="center"/>
            <w:hideMark/>
          </w:tcPr>
          <w:p w14:paraId="65DBDD66" w14:textId="77777777" w:rsidR="007704AA" w:rsidRPr="00093F0E" w:rsidRDefault="007704AA" w:rsidP="009373A2">
            <w:pPr>
              <w:spacing w:after="0" w:line="240" w:lineRule="auto"/>
              <w:jc w:val="right"/>
              <w:rPr>
                <w:rFonts w:ascii="Arial" w:eastAsia="Times New Roman" w:hAnsi="Arial" w:cs="Arial"/>
                <w:b/>
                <w:bCs/>
                <w:color w:val="FF0000"/>
                <w:sz w:val="20"/>
                <w:szCs w:val="20"/>
                <w:lang w:eastAsia="es-CR"/>
              </w:rPr>
            </w:pPr>
            <w:r w:rsidRPr="00093F0E">
              <w:rPr>
                <w:rFonts w:ascii="Arial" w:eastAsia="Times New Roman" w:hAnsi="Arial" w:cs="Arial"/>
                <w:b/>
                <w:bCs/>
                <w:color w:val="FF0000"/>
                <w:sz w:val="20"/>
                <w:szCs w:val="20"/>
                <w:lang w:eastAsia="es-CR"/>
              </w:rPr>
              <w:t>-362.211</w:t>
            </w:r>
          </w:p>
        </w:tc>
        <w:tc>
          <w:tcPr>
            <w:tcW w:w="1600" w:type="dxa"/>
            <w:shd w:val="clear" w:color="auto" w:fill="auto"/>
            <w:noWrap/>
            <w:vAlign w:val="center"/>
            <w:hideMark/>
          </w:tcPr>
          <w:p w14:paraId="3EC97749" w14:textId="77777777" w:rsidR="007704AA" w:rsidRPr="009111E6" w:rsidRDefault="007704AA" w:rsidP="009373A2">
            <w:pPr>
              <w:spacing w:after="0" w:line="240" w:lineRule="auto"/>
              <w:jc w:val="right"/>
              <w:rPr>
                <w:rFonts w:ascii="Arial" w:eastAsia="Times New Roman" w:hAnsi="Arial" w:cs="Arial"/>
                <w:b/>
                <w:bCs/>
                <w:color w:val="000000"/>
                <w:sz w:val="20"/>
                <w:szCs w:val="20"/>
                <w:lang w:eastAsia="es-CR"/>
              </w:rPr>
            </w:pPr>
            <w:r w:rsidRPr="009111E6">
              <w:rPr>
                <w:rFonts w:ascii="Arial" w:eastAsia="Times New Roman" w:hAnsi="Arial" w:cs="Arial"/>
                <w:b/>
                <w:bCs/>
                <w:color w:val="000000"/>
                <w:sz w:val="20"/>
                <w:szCs w:val="20"/>
                <w:lang w:eastAsia="es-CR"/>
              </w:rPr>
              <w:t>100,0%</w:t>
            </w:r>
          </w:p>
        </w:tc>
      </w:tr>
      <w:tr w:rsidR="004724D3" w:rsidRPr="009111E6" w14:paraId="59905E80" w14:textId="77777777" w:rsidTr="00093F0E">
        <w:trPr>
          <w:trHeight w:val="290"/>
          <w:jc w:val="center"/>
        </w:trPr>
        <w:tc>
          <w:tcPr>
            <w:tcW w:w="2686" w:type="dxa"/>
            <w:shd w:val="clear" w:color="auto" w:fill="auto"/>
            <w:noWrap/>
            <w:vAlign w:val="center"/>
            <w:hideMark/>
          </w:tcPr>
          <w:p w14:paraId="494C340E" w14:textId="77777777" w:rsidR="007704AA" w:rsidRPr="009111E6" w:rsidRDefault="007704AA" w:rsidP="009373A2">
            <w:pPr>
              <w:spacing w:after="0" w:line="240" w:lineRule="auto"/>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G Corriente SIN intereses</w:t>
            </w:r>
          </w:p>
        </w:tc>
        <w:tc>
          <w:tcPr>
            <w:tcW w:w="1400" w:type="dxa"/>
            <w:shd w:val="clear" w:color="auto" w:fill="auto"/>
            <w:noWrap/>
            <w:vAlign w:val="center"/>
            <w:hideMark/>
          </w:tcPr>
          <w:p w14:paraId="0B75DDE6"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5.612.418</w:t>
            </w:r>
          </w:p>
        </w:tc>
        <w:tc>
          <w:tcPr>
            <w:tcW w:w="1400" w:type="dxa"/>
            <w:shd w:val="clear" w:color="auto" w:fill="auto"/>
            <w:noWrap/>
            <w:vAlign w:val="center"/>
            <w:hideMark/>
          </w:tcPr>
          <w:p w14:paraId="43CE67BE"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5.556.061</w:t>
            </w:r>
          </w:p>
        </w:tc>
        <w:tc>
          <w:tcPr>
            <w:tcW w:w="1320" w:type="dxa"/>
            <w:shd w:val="clear" w:color="auto" w:fill="auto"/>
            <w:noWrap/>
            <w:vAlign w:val="center"/>
            <w:hideMark/>
          </w:tcPr>
          <w:p w14:paraId="606EBDC9" w14:textId="77777777" w:rsidR="007704AA" w:rsidRPr="00093F0E" w:rsidRDefault="007704AA" w:rsidP="009373A2">
            <w:pPr>
              <w:spacing w:after="0" w:line="240" w:lineRule="auto"/>
              <w:jc w:val="right"/>
              <w:rPr>
                <w:rFonts w:ascii="Arial" w:eastAsia="Times New Roman" w:hAnsi="Arial" w:cs="Arial"/>
                <w:color w:val="FF0000"/>
                <w:sz w:val="20"/>
                <w:szCs w:val="20"/>
                <w:lang w:eastAsia="es-CR"/>
              </w:rPr>
            </w:pPr>
            <w:r w:rsidRPr="00093F0E">
              <w:rPr>
                <w:rFonts w:ascii="Arial" w:eastAsia="Times New Roman" w:hAnsi="Arial" w:cs="Arial"/>
                <w:color w:val="FF0000"/>
                <w:sz w:val="20"/>
                <w:szCs w:val="20"/>
                <w:lang w:eastAsia="es-CR"/>
              </w:rPr>
              <w:t>-56.357</w:t>
            </w:r>
          </w:p>
        </w:tc>
        <w:tc>
          <w:tcPr>
            <w:tcW w:w="1600" w:type="dxa"/>
            <w:shd w:val="clear" w:color="auto" w:fill="auto"/>
            <w:noWrap/>
            <w:vAlign w:val="center"/>
            <w:hideMark/>
          </w:tcPr>
          <w:p w14:paraId="1373B917"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15,6%</w:t>
            </w:r>
          </w:p>
        </w:tc>
      </w:tr>
      <w:tr w:rsidR="004724D3" w:rsidRPr="009111E6" w14:paraId="305ABE9E" w14:textId="77777777" w:rsidTr="00093F0E">
        <w:trPr>
          <w:trHeight w:val="290"/>
          <w:jc w:val="center"/>
        </w:trPr>
        <w:tc>
          <w:tcPr>
            <w:tcW w:w="2686" w:type="dxa"/>
            <w:shd w:val="clear" w:color="auto" w:fill="auto"/>
            <w:noWrap/>
            <w:vAlign w:val="center"/>
            <w:hideMark/>
          </w:tcPr>
          <w:p w14:paraId="128648B8" w14:textId="77777777" w:rsidR="007704AA" w:rsidRPr="009111E6" w:rsidRDefault="007704AA" w:rsidP="009373A2">
            <w:pPr>
              <w:spacing w:after="0" w:line="240" w:lineRule="auto"/>
              <w:rPr>
                <w:rFonts w:ascii="Arial" w:eastAsia="Times New Roman" w:hAnsi="Arial" w:cs="Arial"/>
                <w:color w:val="000000"/>
                <w:sz w:val="20"/>
                <w:szCs w:val="20"/>
                <w:lang w:eastAsia="es-CR"/>
              </w:rPr>
            </w:pPr>
            <w:r w:rsidRPr="00896125">
              <w:rPr>
                <w:rFonts w:ascii="Arial" w:eastAsia="Times New Roman" w:hAnsi="Arial" w:cs="Arial"/>
                <w:color w:val="000000"/>
                <w:sz w:val="20"/>
                <w:szCs w:val="20"/>
                <w:lang w:eastAsia="es-CR"/>
              </w:rPr>
              <w:t>Inversión</w:t>
            </w:r>
          </w:p>
        </w:tc>
        <w:tc>
          <w:tcPr>
            <w:tcW w:w="1400" w:type="dxa"/>
            <w:shd w:val="clear" w:color="auto" w:fill="auto"/>
            <w:noWrap/>
            <w:vAlign w:val="center"/>
            <w:hideMark/>
          </w:tcPr>
          <w:p w14:paraId="44A063C1"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60.861</w:t>
            </w:r>
          </w:p>
        </w:tc>
        <w:tc>
          <w:tcPr>
            <w:tcW w:w="1400" w:type="dxa"/>
            <w:shd w:val="clear" w:color="auto" w:fill="auto"/>
            <w:noWrap/>
            <w:vAlign w:val="center"/>
            <w:hideMark/>
          </w:tcPr>
          <w:p w14:paraId="581FC3B2"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73.814</w:t>
            </w:r>
          </w:p>
        </w:tc>
        <w:tc>
          <w:tcPr>
            <w:tcW w:w="1320" w:type="dxa"/>
            <w:shd w:val="clear" w:color="auto" w:fill="auto"/>
            <w:noWrap/>
            <w:vAlign w:val="center"/>
            <w:hideMark/>
          </w:tcPr>
          <w:p w14:paraId="55A362AC"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12.954</w:t>
            </w:r>
          </w:p>
        </w:tc>
        <w:tc>
          <w:tcPr>
            <w:tcW w:w="1600" w:type="dxa"/>
            <w:shd w:val="clear" w:color="auto" w:fill="auto"/>
            <w:noWrap/>
            <w:vAlign w:val="center"/>
            <w:hideMark/>
          </w:tcPr>
          <w:p w14:paraId="780D469C"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-3,6%</w:t>
            </w:r>
          </w:p>
        </w:tc>
      </w:tr>
      <w:tr w:rsidR="004724D3" w:rsidRPr="009111E6" w14:paraId="635CE06A" w14:textId="77777777" w:rsidTr="00093F0E">
        <w:trPr>
          <w:trHeight w:val="290"/>
          <w:jc w:val="center"/>
        </w:trPr>
        <w:tc>
          <w:tcPr>
            <w:tcW w:w="2686" w:type="dxa"/>
            <w:shd w:val="clear" w:color="auto" w:fill="auto"/>
            <w:noWrap/>
            <w:vAlign w:val="center"/>
            <w:hideMark/>
          </w:tcPr>
          <w:p w14:paraId="244F7543" w14:textId="77777777" w:rsidR="007704AA" w:rsidRPr="00093F0E" w:rsidRDefault="007704AA" w:rsidP="009373A2">
            <w:pPr>
              <w:spacing w:after="0" w:line="240" w:lineRule="auto"/>
              <w:rPr>
                <w:rFonts w:ascii="Arial" w:eastAsia="Times New Roman" w:hAnsi="Arial" w:cs="Arial"/>
                <w:b/>
                <w:bCs/>
                <w:color w:val="000000"/>
                <w:sz w:val="20"/>
                <w:szCs w:val="20"/>
                <w:lang w:eastAsia="es-CR"/>
              </w:rPr>
            </w:pPr>
            <w:r w:rsidRPr="00093F0E">
              <w:rPr>
                <w:rFonts w:ascii="Arial" w:eastAsia="Times New Roman" w:hAnsi="Arial" w:cs="Arial"/>
                <w:b/>
                <w:bCs/>
                <w:color w:val="000000"/>
                <w:sz w:val="20"/>
                <w:szCs w:val="20"/>
                <w:lang w:eastAsia="es-CR"/>
              </w:rPr>
              <w:t>Transferencias de Capital</w:t>
            </w:r>
          </w:p>
        </w:tc>
        <w:tc>
          <w:tcPr>
            <w:tcW w:w="1400" w:type="dxa"/>
            <w:shd w:val="clear" w:color="auto" w:fill="auto"/>
            <w:noWrap/>
            <w:vAlign w:val="center"/>
            <w:hideMark/>
          </w:tcPr>
          <w:p w14:paraId="17525838" w14:textId="77777777" w:rsidR="007704AA" w:rsidRPr="00093F0E" w:rsidRDefault="007704AA" w:rsidP="009373A2">
            <w:pPr>
              <w:spacing w:after="0" w:line="240" w:lineRule="auto"/>
              <w:jc w:val="right"/>
              <w:rPr>
                <w:rFonts w:ascii="Arial" w:eastAsia="Times New Roman" w:hAnsi="Arial" w:cs="Arial"/>
                <w:b/>
                <w:bCs/>
                <w:color w:val="000000"/>
                <w:sz w:val="20"/>
                <w:szCs w:val="20"/>
                <w:lang w:eastAsia="es-CR"/>
              </w:rPr>
            </w:pPr>
            <w:r w:rsidRPr="00093F0E">
              <w:rPr>
                <w:rFonts w:ascii="Arial" w:eastAsia="Times New Roman" w:hAnsi="Arial" w:cs="Arial"/>
                <w:b/>
                <w:bCs/>
                <w:color w:val="000000"/>
                <w:sz w:val="20"/>
                <w:szCs w:val="20"/>
                <w:lang w:eastAsia="es-CR"/>
              </w:rPr>
              <w:t>657.965</w:t>
            </w:r>
          </w:p>
        </w:tc>
        <w:tc>
          <w:tcPr>
            <w:tcW w:w="1400" w:type="dxa"/>
            <w:shd w:val="clear" w:color="auto" w:fill="auto"/>
            <w:noWrap/>
            <w:vAlign w:val="center"/>
            <w:hideMark/>
          </w:tcPr>
          <w:p w14:paraId="4D0F1DC1" w14:textId="77777777" w:rsidR="007704AA" w:rsidRPr="00093F0E" w:rsidRDefault="007704AA" w:rsidP="009373A2">
            <w:pPr>
              <w:spacing w:after="0" w:line="240" w:lineRule="auto"/>
              <w:jc w:val="right"/>
              <w:rPr>
                <w:rFonts w:ascii="Arial" w:eastAsia="Times New Roman" w:hAnsi="Arial" w:cs="Arial"/>
                <w:b/>
                <w:bCs/>
                <w:color w:val="000000"/>
                <w:sz w:val="20"/>
                <w:szCs w:val="20"/>
                <w:lang w:eastAsia="es-CR"/>
              </w:rPr>
            </w:pPr>
            <w:r w:rsidRPr="00093F0E">
              <w:rPr>
                <w:rFonts w:ascii="Arial" w:eastAsia="Times New Roman" w:hAnsi="Arial" w:cs="Arial"/>
                <w:b/>
                <w:bCs/>
                <w:color w:val="000000"/>
                <w:sz w:val="20"/>
                <w:szCs w:val="20"/>
                <w:lang w:eastAsia="es-CR"/>
              </w:rPr>
              <w:t>370.201</w:t>
            </w:r>
          </w:p>
        </w:tc>
        <w:tc>
          <w:tcPr>
            <w:tcW w:w="1320" w:type="dxa"/>
            <w:shd w:val="clear" w:color="auto" w:fill="auto"/>
            <w:noWrap/>
            <w:vAlign w:val="center"/>
            <w:hideMark/>
          </w:tcPr>
          <w:p w14:paraId="57F564E8" w14:textId="77777777" w:rsidR="007704AA" w:rsidRPr="00093F0E" w:rsidRDefault="007704AA" w:rsidP="009373A2">
            <w:pPr>
              <w:spacing w:after="0" w:line="240" w:lineRule="auto"/>
              <w:jc w:val="right"/>
              <w:rPr>
                <w:rFonts w:ascii="Arial" w:eastAsia="Times New Roman" w:hAnsi="Arial" w:cs="Arial"/>
                <w:b/>
                <w:bCs/>
                <w:color w:val="FF0000"/>
                <w:sz w:val="20"/>
                <w:szCs w:val="20"/>
                <w:lang w:eastAsia="es-CR"/>
              </w:rPr>
            </w:pPr>
            <w:r w:rsidRPr="00093F0E">
              <w:rPr>
                <w:rFonts w:ascii="Arial" w:eastAsia="Times New Roman" w:hAnsi="Arial" w:cs="Arial"/>
                <w:b/>
                <w:bCs/>
                <w:color w:val="FF0000"/>
                <w:sz w:val="20"/>
                <w:szCs w:val="20"/>
                <w:lang w:eastAsia="es-CR"/>
              </w:rPr>
              <w:t>-287.764</w:t>
            </w:r>
          </w:p>
        </w:tc>
        <w:tc>
          <w:tcPr>
            <w:tcW w:w="1600" w:type="dxa"/>
            <w:shd w:val="clear" w:color="auto" w:fill="auto"/>
            <w:noWrap/>
            <w:vAlign w:val="center"/>
            <w:hideMark/>
          </w:tcPr>
          <w:p w14:paraId="7C2CF26B" w14:textId="77777777" w:rsidR="007704AA" w:rsidRPr="00093F0E" w:rsidRDefault="007704AA" w:rsidP="009373A2">
            <w:pPr>
              <w:spacing w:after="0" w:line="240" w:lineRule="auto"/>
              <w:jc w:val="right"/>
              <w:rPr>
                <w:rFonts w:ascii="Arial" w:eastAsia="Times New Roman" w:hAnsi="Arial" w:cs="Arial"/>
                <w:b/>
                <w:bCs/>
                <w:color w:val="000000"/>
                <w:sz w:val="20"/>
                <w:szCs w:val="20"/>
                <w:lang w:eastAsia="es-CR"/>
              </w:rPr>
            </w:pPr>
            <w:r w:rsidRPr="00093F0E">
              <w:rPr>
                <w:rFonts w:ascii="Arial" w:eastAsia="Times New Roman" w:hAnsi="Arial" w:cs="Arial"/>
                <w:b/>
                <w:bCs/>
                <w:color w:val="000000"/>
                <w:sz w:val="20"/>
                <w:szCs w:val="20"/>
                <w:lang w:eastAsia="es-CR"/>
              </w:rPr>
              <w:t>79,4%</w:t>
            </w:r>
          </w:p>
        </w:tc>
      </w:tr>
      <w:tr w:rsidR="004724D3" w:rsidRPr="009111E6" w14:paraId="20C1DEE7" w14:textId="77777777" w:rsidTr="00093F0E">
        <w:trPr>
          <w:trHeight w:val="290"/>
          <w:jc w:val="center"/>
        </w:trPr>
        <w:tc>
          <w:tcPr>
            <w:tcW w:w="2686" w:type="dxa"/>
            <w:shd w:val="clear" w:color="auto" w:fill="auto"/>
            <w:noWrap/>
            <w:vAlign w:val="center"/>
            <w:hideMark/>
          </w:tcPr>
          <w:p w14:paraId="7D1A31EC" w14:textId="77777777" w:rsidR="007704AA" w:rsidRPr="009111E6" w:rsidRDefault="007704AA" w:rsidP="009373A2">
            <w:pPr>
              <w:spacing w:after="0" w:line="240" w:lineRule="auto"/>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Concesión neta</w:t>
            </w:r>
          </w:p>
        </w:tc>
        <w:tc>
          <w:tcPr>
            <w:tcW w:w="1400" w:type="dxa"/>
            <w:shd w:val="clear" w:color="auto" w:fill="auto"/>
            <w:noWrap/>
            <w:vAlign w:val="center"/>
            <w:hideMark/>
          </w:tcPr>
          <w:p w14:paraId="70FA2EC1"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31.907</w:t>
            </w:r>
          </w:p>
        </w:tc>
        <w:tc>
          <w:tcPr>
            <w:tcW w:w="1400" w:type="dxa"/>
            <w:shd w:val="clear" w:color="auto" w:fill="auto"/>
            <w:noWrap/>
            <w:vAlign w:val="center"/>
            <w:hideMark/>
          </w:tcPr>
          <w:p w14:paraId="48E0A46A"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862</w:t>
            </w:r>
          </w:p>
        </w:tc>
        <w:tc>
          <w:tcPr>
            <w:tcW w:w="1320" w:type="dxa"/>
            <w:shd w:val="clear" w:color="auto" w:fill="auto"/>
            <w:noWrap/>
            <w:vAlign w:val="center"/>
            <w:hideMark/>
          </w:tcPr>
          <w:p w14:paraId="6D104B8D"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D0760D">
              <w:rPr>
                <w:rFonts w:ascii="Arial" w:eastAsia="Times New Roman" w:hAnsi="Arial" w:cs="Arial"/>
                <w:color w:val="FF0000"/>
                <w:sz w:val="20"/>
                <w:szCs w:val="20"/>
                <w:lang w:eastAsia="es-CR"/>
              </w:rPr>
              <w:t>-31.044</w:t>
            </w:r>
          </w:p>
        </w:tc>
        <w:tc>
          <w:tcPr>
            <w:tcW w:w="1600" w:type="dxa"/>
            <w:shd w:val="clear" w:color="auto" w:fill="auto"/>
            <w:noWrap/>
            <w:vAlign w:val="center"/>
            <w:hideMark/>
          </w:tcPr>
          <w:p w14:paraId="252F4048" w14:textId="77777777" w:rsidR="007704AA" w:rsidRPr="009111E6" w:rsidRDefault="007704AA" w:rsidP="009373A2">
            <w:pPr>
              <w:spacing w:after="0" w:line="240" w:lineRule="auto"/>
              <w:jc w:val="right"/>
              <w:rPr>
                <w:rFonts w:ascii="Arial" w:eastAsia="Times New Roman" w:hAnsi="Arial" w:cs="Arial"/>
                <w:color w:val="000000"/>
                <w:sz w:val="20"/>
                <w:szCs w:val="20"/>
                <w:lang w:eastAsia="es-CR"/>
              </w:rPr>
            </w:pPr>
            <w:r w:rsidRPr="009111E6">
              <w:rPr>
                <w:rFonts w:ascii="Arial" w:eastAsia="Times New Roman" w:hAnsi="Arial" w:cs="Arial"/>
                <w:color w:val="000000"/>
                <w:sz w:val="20"/>
                <w:szCs w:val="20"/>
                <w:lang w:eastAsia="es-CR"/>
              </w:rPr>
              <w:t>8,6%</w:t>
            </w:r>
          </w:p>
        </w:tc>
      </w:tr>
    </w:tbl>
    <w:p w14:paraId="4891081A" w14:textId="7EB6419E" w:rsidR="007704AA" w:rsidRPr="0018622B" w:rsidRDefault="0018622B" w:rsidP="0018622B">
      <w:pPr>
        <w:spacing w:line="480" w:lineRule="auto"/>
        <w:ind w:left="567"/>
        <w:rPr>
          <w:rFonts w:ascii="Arial" w:hAnsi="Arial" w:cs="Arial"/>
          <w:b/>
          <w:bCs/>
          <w:sz w:val="14"/>
          <w:szCs w:val="14"/>
        </w:rPr>
      </w:pPr>
      <w:r w:rsidRPr="0018622B">
        <w:rPr>
          <w:rFonts w:ascii="Arial" w:hAnsi="Arial" w:cs="Arial"/>
          <w:b/>
          <w:bCs/>
          <w:sz w:val="14"/>
          <w:szCs w:val="14"/>
        </w:rPr>
        <w:t>Fuente: Elaboración propia con base en datos del Ministerio de Hacienda</w:t>
      </w:r>
    </w:p>
    <w:p w14:paraId="7EF0B285" w14:textId="77777777" w:rsidR="007704AA" w:rsidRDefault="007704AA" w:rsidP="007704AA">
      <w:pPr>
        <w:spacing w:line="276" w:lineRule="auto"/>
        <w:jc w:val="both"/>
        <w:rPr>
          <w:rFonts w:ascii="Arial" w:hAnsi="Arial" w:cs="Arial"/>
          <w:sz w:val="24"/>
          <w:szCs w:val="24"/>
        </w:rPr>
      </w:pPr>
      <w:r w:rsidRPr="00C80037">
        <w:rPr>
          <w:rFonts w:ascii="Arial" w:hAnsi="Arial" w:cs="Arial"/>
          <w:sz w:val="24"/>
          <w:szCs w:val="24"/>
        </w:rPr>
        <w:t>En el siguiente gráfico es posible notar la caída del gasto de capital entre 2019 y 2020, por aproximadamente ¢275 mil millones, luego de excluir la inversión que realiza el Gobierno Central que creció en poco más de ¢12 mil millones.</w:t>
      </w:r>
    </w:p>
    <w:p w14:paraId="72FD99CA" w14:textId="77777777" w:rsidR="007704AA" w:rsidRPr="00C80037" w:rsidRDefault="007704AA" w:rsidP="007704AA">
      <w:pPr>
        <w:spacing w:line="276" w:lineRule="auto"/>
        <w:jc w:val="both"/>
        <w:rPr>
          <w:rFonts w:ascii="Arial" w:hAnsi="Arial" w:cs="Arial"/>
          <w:sz w:val="24"/>
          <w:szCs w:val="24"/>
        </w:rPr>
      </w:pPr>
    </w:p>
    <w:p w14:paraId="0601D5CB"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6B53655B" wp14:editId="796445A6">
            <wp:extent cx="4410000" cy="2880000"/>
            <wp:effectExtent l="0" t="0" r="0" b="0"/>
            <wp:docPr id="46" name="Imagen 4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Gráfico, Gráfico de barras&#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0F738685" w14:textId="60E70843"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El otro factor que alteró dramáticamente el crecimiento del gasto total y del gasto corriente fue la aplicación de las normas integradas en el Ley de Fortalecimiento de las Finanzas Públicas, N° 9635, en el Título III relativo a Empleo Público, que empez</w:t>
      </w:r>
      <w:r w:rsidR="00877FF9">
        <w:rPr>
          <w:rFonts w:ascii="Arial" w:hAnsi="Arial" w:cs="Arial"/>
          <w:sz w:val="24"/>
          <w:szCs w:val="24"/>
        </w:rPr>
        <w:t>ó</w:t>
      </w:r>
      <w:r w:rsidRPr="00C80037">
        <w:rPr>
          <w:rFonts w:ascii="Arial" w:hAnsi="Arial" w:cs="Arial"/>
          <w:sz w:val="24"/>
          <w:szCs w:val="24"/>
        </w:rPr>
        <w:t xml:space="preserve"> a ser operativa a partir de enero del siguiente año (2019), pero que empez</w:t>
      </w:r>
      <w:r w:rsidR="00877FF9">
        <w:rPr>
          <w:rFonts w:ascii="Arial" w:hAnsi="Arial" w:cs="Arial"/>
          <w:sz w:val="24"/>
          <w:szCs w:val="24"/>
        </w:rPr>
        <w:t>ó</w:t>
      </w:r>
      <w:r w:rsidRPr="00C80037">
        <w:rPr>
          <w:rFonts w:ascii="Arial" w:hAnsi="Arial" w:cs="Arial"/>
          <w:sz w:val="24"/>
          <w:szCs w:val="24"/>
        </w:rPr>
        <w:t xml:space="preserve"> a consolidarse a partir del 2020. Es claro</w:t>
      </w:r>
      <w:r w:rsidR="00877FF9">
        <w:rPr>
          <w:rFonts w:ascii="Arial" w:hAnsi="Arial" w:cs="Arial"/>
          <w:sz w:val="24"/>
          <w:szCs w:val="24"/>
        </w:rPr>
        <w:t>,</w:t>
      </w:r>
      <w:r w:rsidRPr="00C80037">
        <w:rPr>
          <w:rFonts w:ascii="Arial" w:hAnsi="Arial" w:cs="Arial"/>
          <w:sz w:val="24"/>
          <w:szCs w:val="24"/>
        </w:rPr>
        <w:t xml:space="preserve"> en el siguiente gráfico</w:t>
      </w:r>
      <w:r w:rsidR="00877FF9">
        <w:rPr>
          <w:rFonts w:ascii="Arial" w:hAnsi="Arial" w:cs="Arial"/>
          <w:sz w:val="24"/>
          <w:szCs w:val="24"/>
        </w:rPr>
        <w:t>,</w:t>
      </w:r>
      <w:r w:rsidRPr="00C80037">
        <w:rPr>
          <w:rFonts w:ascii="Arial" w:hAnsi="Arial" w:cs="Arial"/>
          <w:sz w:val="24"/>
          <w:szCs w:val="24"/>
        </w:rPr>
        <w:t xml:space="preserve"> que estas normas junto con tras aprobadas posteriormente como la</w:t>
      </w:r>
      <w:r w:rsidR="00877FF9">
        <w:rPr>
          <w:rFonts w:ascii="Arial" w:hAnsi="Arial" w:cs="Arial"/>
          <w:sz w:val="24"/>
          <w:szCs w:val="24"/>
        </w:rPr>
        <w:t>s</w:t>
      </w:r>
      <w:r w:rsidRPr="00C80037">
        <w:rPr>
          <w:rFonts w:ascii="Arial" w:hAnsi="Arial" w:cs="Arial"/>
          <w:sz w:val="24"/>
          <w:szCs w:val="24"/>
        </w:rPr>
        <w:t xml:space="preserve"> relacionada</w:t>
      </w:r>
      <w:r w:rsidR="00877FF9">
        <w:rPr>
          <w:rFonts w:ascii="Arial" w:hAnsi="Arial" w:cs="Arial"/>
          <w:sz w:val="24"/>
          <w:szCs w:val="24"/>
        </w:rPr>
        <w:t>s</w:t>
      </w:r>
      <w:r w:rsidRPr="00C80037">
        <w:rPr>
          <w:rFonts w:ascii="Arial" w:hAnsi="Arial" w:cs="Arial"/>
          <w:sz w:val="24"/>
          <w:szCs w:val="24"/>
        </w:rPr>
        <w:t xml:space="preserve"> con el congelamiento de las anualidades, y la propia regla fiscal, han implicado un freno al gasto en remuneraciones. Mientras este rubro creció cerca de 4.6% entre 2017 y 2018, la tasa de variación entre 2019 y 2020 prácticamente fue 0%.</w:t>
      </w:r>
    </w:p>
    <w:p w14:paraId="5DFC5184" w14:textId="77777777" w:rsidR="007704AA" w:rsidRPr="00C80037" w:rsidRDefault="007704AA" w:rsidP="007704AA">
      <w:pPr>
        <w:spacing w:line="276" w:lineRule="auto"/>
        <w:jc w:val="center"/>
        <w:rPr>
          <w:rFonts w:ascii="Arial" w:hAnsi="Arial" w:cs="Arial"/>
          <w:sz w:val="24"/>
          <w:szCs w:val="24"/>
        </w:rPr>
      </w:pPr>
    </w:p>
    <w:p w14:paraId="33D00D72" w14:textId="77777777" w:rsidR="007704AA" w:rsidRPr="00C80037" w:rsidRDefault="007704AA" w:rsidP="007704AA">
      <w:pPr>
        <w:spacing w:line="276" w:lineRule="auto"/>
        <w:jc w:val="center"/>
        <w:rPr>
          <w:rFonts w:ascii="Arial" w:hAnsi="Arial" w:cs="Arial"/>
          <w:sz w:val="24"/>
          <w:szCs w:val="24"/>
        </w:rPr>
      </w:pPr>
    </w:p>
    <w:p w14:paraId="4FA095BF"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16D0D93C" wp14:editId="652A83DF">
            <wp:extent cx="4410000" cy="2880000"/>
            <wp:effectExtent l="0" t="0" r="0" b="0"/>
            <wp:docPr id="48" name="Imagen 4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 Gráfico de barras&#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5E9D973A" w14:textId="77777777" w:rsidR="007704AA" w:rsidRPr="00C80037" w:rsidRDefault="007704AA" w:rsidP="004E155D">
      <w:pPr>
        <w:spacing w:line="276" w:lineRule="auto"/>
        <w:jc w:val="both"/>
        <w:rPr>
          <w:rFonts w:ascii="Arial" w:hAnsi="Arial" w:cs="Arial"/>
          <w:sz w:val="24"/>
          <w:szCs w:val="24"/>
        </w:rPr>
      </w:pPr>
      <w:r w:rsidRPr="00C80037">
        <w:rPr>
          <w:rFonts w:ascii="Arial" w:hAnsi="Arial" w:cs="Arial"/>
          <w:sz w:val="24"/>
          <w:szCs w:val="24"/>
        </w:rPr>
        <w:t>Aun así, el gasto por intereses sigue siendo el problema más serio que tienen las finanzas públicas. De hecho, en cuestión de 7 años se ha pasado de pagar cerca de ¢800 mil millones en intereses, a pagarse ¢1.681.309 millones en el 2020, lo que implica que el pago de intereses creció un 142% entre 2014 y 2020.</w:t>
      </w:r>
    </w:p>
    <w:p w14:paraId="5EBF79EA" w14:textId="2DB42A01" w:rsidR="007704AA" w:rsidRPr="00C80037" w:rsidRDefault="00CE5136" w:rsidP="007704AA">
      <w:pPr>
        <w:spacing w:line="276" w:lineRule="auto"/>
        <w:jc w:val="center"/>
        <w:rPr>
          <w:rFonts w:ascii="Arial" w:hAnsi="Arial" w:cs="Arial"/>
          <w:sz w:val="24"/>
          <w:szCs w:val="24"/>
        </w:rPr>
      </w:pPr>
      <w:r>
        <w:rPr>
          <w:rFonts w:ascii="Arial" w:hAnsi="Arial" w:cs="Arial"/>
          <w:noProof/>
          <w:sz w:val="24"/>
          <w:szCs w:val="24"/>
          <w:lang w:eastAsia="es-CR"/>
        </w:rPr>
        <w:drawing>
          <wp:inline distT="0" distB="0" distL="0" distR="0" wp14:anchorId="2ABE1B31" wp14:editId="73BC28B9">
            <wp:extent cx="3963600" cy="28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3600" cy="2880000"/>
                    </a:xfrm>
                    <a:prstGeom prst="rect">
                      <a:avLst/>
                    </a:prstGeom>
                    <a:noFill/>
                  </pic:spPr>
                </pic:pic>
              </a:graphicData>
            </a:graphic>
          </wp:inline>
        </w:drawing>
      </w:r>
    </w:p>
    <w:p w14:paraId="72B4EAC9" w14:textId="77777777" w:rsidR="007704AA" w:rsidRPr="00C80037" w:rsidRDefault="007704AA" w:rsidP="007704AA">
      <w:pPr>
        <w:rPr>
          <w:rFonts w:ascii="Arial" w:hAnsi="Arial" w:cs="Arial"/>
          <w:b/>
          <w:bCs/>
          <w:sz w:val="24"/>
          <w:szCs w:val="24"/>
        </w:rPr>
      </w:pPr>
      <w:r w:rsidRPr="00C80037">
        <w:rPr>
          <w:rFonts w:ascii="Arial" w:hAnsi="Arial" w:cs="Arial"/>
          <w:b/>
          <w:bCs/>
          <w:sz w:val="24"/>
          <w:szCs w:val="24"/>
        </w:rPr>
        <w:br w:type="page"/>
      </w:r>
    </w:p>
    <w:p w14:paraId="21A006A0" w14:textId="25FFAC39" w:rsidR="007704AA" w:rsidRPr="00C80037" w:rsidRDefault="007704AA" w:rsidP="007F36BB">
      <w:pPr>
        <w:pStyle w:val="Ttulo2"/>
      </w:pPr>
      <w:bookmarkStart w:id="5" w:name="_Toc78277703"/>
      <w:r w:rsidRPr="00C80037">
        <w:t>Déficit Financiero y Déficit Primario</w:t>
      </w:r>
      <w:bookmarkEnd w:id="5"/>
    </w:p>
    <w:p w14:paraId="132AE74B" w14:textId="0671AF1D"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Este panorama de los ingresos durante el 2020 y de los gastos presupuestados y ejecutados continúan provocando los dos problemas más serios que llevan incertidumbre sobre la estabilidad fiscal. Por un lado, un déficit financiero que se alimenta especialmente de intereses, </w:t>
      </w:r>
      <w:r w:rsidR="00A54543" w:rsidRPr="00C80037">
        <w:rPr>
          <w:rFonts w:ascii="Arial" w:hAnsi="Arial" w:cs="Arial"/>
          <w:sz w:val="24"/>
          <w:szCs w:val="24"/>
        </w:rPr>
        <w:t>y,</w:t>
      </w:r>
      <w:r w:rsidRPr="00C80037">
        <w:rPr>
          <w:rFonts w:ascii="Arial" w:hAnsi="Arial" w:cs="Arial"/>
          <w:sz w:val="24"/>
          <w:szCs w:val="24"/>
        </w:rPr>
        <w:t xml:space="preserve"> por otro lado, una deuda que se acumula, especialmente en el corto plazo.</w:t>
      </w:r>
    </w:p>
    <w:p w14:paraId="6FF7E071" w14:textId="77777777"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Las expectativas de déficit financiero a principios de la Pandemia llegaron a ser de más de 3 puntos porcentuales respecto del 2019, finalmente el déficit financiero alcanzó 8.1% del PIB y el déficit primario el 3.4% del PIB.</w:t>
      </w:r>
    </w:p>
    <w:p w14:paraId="136A31BC" w14:textId="77777777" w:rsidR="007704AA" w:rsidRPr="00C80037" w:rsidRDefault="007704AA" w:rsidP="007704AA">
      <w:pPr>
        <w:spacing w:line="480"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1310847B" wp14:editId="7BB72C09">
            <wp:extent cx="4410000" cy="2880000"/>
            <wp:effectExtent l="0" t="0" r="0" b="0"/>
            <wp:docPr id="51" name="Imagen 5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Gráfico, Gráfico en cascad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6C02B550" w14:textId="4DB1DE86"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Es claro que nuestro problema fiscal es endémico y crónico, y que se está convirtiendo en un lastre para el desarrollo. Salvo un par de años durante la Administración Arias Sánchez, el país siempre ha tenido déficit fiscal, aunque no déficit primario. La Crisis económica de 2008 provocó una caída en los ingresos de dos puntos porcentuales y un aumento de gasto de tres puntos porcentuales, que fueron requeridos para subsanar el daño potencial de la crisis financiera internacional sobre las finanzas de las personas y las empresas. Esto obviamente llevó a un aumento del déficit, que ha implicado mayores niveles de financiamiento y por ende de endeudamiento; al tiempo que el país estuvo evitando por décadas una reforma fiscal relevante que retomara la senda de la </w:t>
      </w:r>
      <w:r w:rsidR="00A54543" w:rsidRPr="00C80037">
        <w:rPr>
          <w:rFonts w:ascii="Arial" w:hAnsi="Arial" w:cs="Arial"/>
          <w:sz w:val="24"/>
          <w:szCs w:val="24"/>
        </w:rPr>
        <w:t>sostenibilidad</w:t>
      </w:r>
      <w:r w:rsidRPr="00C80037">
        <w:rPr>
          <w:rFonts w:ascii="Arial" w:hAnsi="Arial" w:cs="Arial"/>
          <w:sz w:val="24"/>
          <w:szCs w:val="24"/>
        </w:rPr>
        <w:t xml:space="preserve"> fiscal.</w:t>
      </w:r>
    </w:p>
    <w:p w14:paraId="3EF2AADC" w14:textId="77777777" w:rsidR="007704AA" w:rsidRPr="00C80037" w:rsidRDefault="007704AA" w:rsidP="007704AA">
      <w:pPr>
        <w:spacing w:line="480"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3D214ECE" wp14:editId="41D9004A">
            <wp:extent cx="4410000" cy="2880000"/>
            <wp:effectExtent l="0" t="0" r="0" b="0"/>
            <wp:docPr id="53" name="Imagen 5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líneas&#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7E9189DE" w14:textId="31CA2F93"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Para el año 2020, el desbalance fiscal alcanzó poco más de 8 puntos del PIB de ese año, donde destaca un déficit primario de -3,4% del PIB. Es evidente que el balance primario, es decir descontando los intereses de la deuda, ha estado oscilando bajo el umbral del 3%, hasta el año de análisis, que alcanzó un 3,</w:t>
      </w:r>
      <w:r w:rsidR="00FF3A19">
        <w:rPr>
          <w:rFonts w:ascii="Arial" w:hAnsi="Arial" w:cs="Arial"/>
          <w:sz w:val="24"/>
          <w:szCs w:val="24"/>
        </w:rPr>
        <w:t>4</w:t>
      </w:r>
      <w:r w:rsidRPr="00C80037">
        <w:rPr>
          <w:rFonts w:ascii="Arial" w:hAnsi="Arial" w:cs="Arial"/>
          <w:sz w:val="24"/>
          <w:szCs w:val="24"/>
        </w:rPr>
        <w:t>% del PIB.</w:t>
      </w:r>
    </w:p>
    <w:p w14:paraId="30630296" w14:textId="77777777" w:rsidR="007704AA" w:rsidRPr="00C80037" w:rsidRDefault="007704AA" w:rsidP="007704AA">
      <w:pPr>
        <w:spacing w:line="276"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3CECED5A" wp14:editId="685A60B2">
            <wp:extent cx="4410000" cy="2880000"/>
            <wp:effectExtent l="0" t="0" r="0" b="0"/>
            <wp:docPr id="54" name="Imagen 5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Gráfico, Gráfico de barras&#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6166EE8F" w14:textId="1D24749C" w:rsidR="007704AA" w:rsidRPr="00C80037" w:rsidRDefault="007704AA" w:rsidP="007704AA">
      <w:pPr>
        <w:spacing w:line="276" w:lineRule="auto"/>
        <w:jc w:val="both"/>
        <w:rPr>
          <w:rFonts w:ascii="Arial" w:hAnsi="Arial" w:cs="Arial"/>
          <w:sz w:val="24"/>
          <w:szCs w:val="24"/>
        </w:rPr>
      </w:pPr>
      <w:r w:rsidRPr="00C80037">
        <w:rPr>
          <w:rFonts w:ascii="Arial" w:hAnsi="Arial" w:cs="Arial"/>
          <w:sz w:val="24"/>
          <w:szCs w:val="24"/>
        </w:rPr>
        <w:t xml:space="preserve">Sin embargo, este dato de balances financiero y </w:t>
      </w:r>
      <w:r w:rsidR="004E155D" w:rsidRPr="00C80037">
        <w:rPr>
          <w:rFonts w:ascii="Arial" w:hAnsi="Arial" w:cs="Arial"/>
          <w:sz w:val="24"/>
          <w:szCs w:val="24"/>
        </w:rPr>
        <w:t>primario</w:t>
      </w:r>
      <w:r w:rsidRPr="00C80037">
        <w:rPr>
          <w:rFonts w:ascii="Arial" w:hAnsi="Arial" w:cs="Arial"/>
          <w:sz w:val="24"/>
          <w:szCs w:val="24"/>
        </w:rPr>
        <w:t xml:space="preserve"> tuvo para el año 2020 un error de cálculo que la Contraloría General de la República reporta en su dictamen de la liquidación del presupuesto de ese año, en el sentido de que por diversas razones que exponemos de seguid</w:t>
      </w:r>
      <w:r w:rsidR="00FF3A19">
        <w:rPr>
          <w:rFonts w:ascii="Arial" w:hAnsi="Arial" w:cs="Arial"/>
          <w:sz w:val="24"/>
          <w:szCs w:val="24"/>
        </w:rPr>
        <w:t>o</w:t>
      </w:r>
      <w:r w:rsidRPr="00C80037">
        <w:rPr>
          <w:rFonts w:ascii="Arial" w:hAnsi="Arial" w:cs="Arial"/>
          <w:sz w:val="24"/>
          <w:szCs w:val="24"/>
        </w:rPr>
        <w:t>, el déficit está subvalorado en aproximadamente 0.4</w:t>
      </w:r>
      <w:r w:rsidR="00FF5144">
        <w:rPr>
          <w:rFonts w:ascii="Arial" w:hAnsi="Arial" w:cs="Arial"/>
          <w:sz w:val="24"/>
          <w:szCs w:val="24"/>
        </w:rPr>
        <w:t>5</w:t>
      </w:r>
      <w:r w:rsidRPr="00C80037">
        <w:rPr>
          <w:rFonts w:ascii="Arial" w:hAnsi="Arial" w:cs="Arial"/>
          <w:sz w:val="24"/>
          <w:szCs w:val="24"/>
        </w:rPr>
        <w:t>% del PIB, es decir en cerca de ¢1</w:t>
      </w:r>
      <w:r w:rsidR="00FF5144">
        <w:rPr>
          <w:rFonts w:ascii="Arial" w:hAnsi="Arial" w:cs="Arial"/>
          <w:sz w:val="24"/>
          <w:szCs w:val="24"/>
        </w:rPr>
        <w:t>60</w:t>
      </w:r>
      <w:r w:rsidRPr="00C80037">
        <w:rPr>
          <w:rFonts w:ascii="Arial" w:hAnsi="Arial" w:cs="Arial"/>
          <w:sz w:val="24"/>
          <w:szCs w:val="24"/>
        </w:rPr>
        <w:t xml:space="preserve"> mil millones. La CGR llama la atención en el sentido de </w:t>
      </w:r>
      <w:r w:rsidR="00A54543" w:rsidRPr="00C80037">
        <w:rPr>
          <w:rFonts w:ascii="Arial" w:hAnsi="Arial" w:cs="Arial"/>
          <w:sz w:val="24"/>
          <w:szCs w:val="24"/>
        </w:rPr>
        <w:t>que,</w:t>
      </w:r>
      <w:r w:rsidRPr="00C80037">
        <w:rPr>
          <w:rFonts w:ascii="Arial" w:hAnsi="Arial" w:cs="Arial"/>
          <w:sz w:val="24"/>
          <w:szCs w:val="24"/>
        </w:rPr>
        <w:t xml:space="preserve"> por Ingresos no registrados, el déficit pudo haberse reducido en 0,17 puntos porcentuales, mientras que gastos no realizados o rubros de deuda con errores, el déficit debió aumentar 0,</w:t>
      </w:r>
      <w:r w:rsidR="002F4CEF">
        <w:rPr>
          <w:rFonts w:ascii="Arial" w:hAnsi="Arial" w:cs="Arial"/>
          <w:sz w:val="24"/>
          <w:szCs w:val="24"/>
        </w:rPr>
        <w:t>62</w:t>
      </w:r>
      <w:r w:rsidRPr="00C80037">
        <w:rPr>
          <w:rFonts w:ascii="Arial" w:hAnsi="Arial" w:cs="Arial"/>
          <w:sz w:val="24"/>
          <w:szCs w:val="24"/>
        </w:rPr>
        <w:t xml:space="preserve"> puntos porcentuales del PIB adicionales, lo que lleva a un saldo neto de -0.4</w:t>
      </w:r>
      <w:r w:rsidR="00B54232">
        <w:rPr>
          <w:rFonts w:ascii="Arial" w:hAnsi="Arial" w:cs="Arial"/>
          <w:sz w:val="24"/>
          <w:szCs w:val="24"/>
        </w:rPr>
        <w:t>5</w:t>
      </w:r>
      <w:r w:rsidRPr="00C80037">
        <w:rPr>
          <w:rFonts w:ascii="Arial" w:hAnsi="Arial" w:cs="Arial"/>
          <w:sz w:val="24"/>
          <w:szCs w:val="24"/>
        </w:rPr>
        <w:t xml:space="preserve"> puntos porcentuales que debieron estar aumentados en el déficit fiscal y primario.</w:t>
      </w:r>
    </w:p>
    <w:p w14:paraId="44DADB63" w14:textId="77777777" w:rsidR="007704AA" w:rsidRPr="00C80037" w:rsidRDefault="007704AA" w:rsidP="007704AA">
      <w:pPr>
        <w:spacing w:line="240" w:lineRule="auto"/>
        <w:jc w:val="center"/>
        <w:rPr>
          <w:rFonts w:ascii="Arial" w:hAnsi="Arial" w:cs="Arial"/>
          <w:b/>
          <w:bCs/>
          <w:sz w:val="24"/>
          <w:szCs w:val="24"/>
        </w:rPr>
      </w:pPr>
      <w:r w:rsidRPr="00C80037">
        <w:rPr>
          <w:rFonts w:ascii="Arial" w:hAnsi="Arial" w:cs="Arial"/>
          <w:b/>
          <w:bCs/>
          <w:sz w:val="24"/>
          <w:szCs w:val="24"/>
        </w:rPr>
        <w:t xml:space="preserve">Registros inadecuados no </w:t>
      </w:r>
      <w:r w:rsidRPr="00C80037">
        <w:rPr>
          <w:rFonts w:ascii="Arial" w:hAnsi="Arial" w:cs="Arial"/>
          <w:b/>
          <w:bCs/>
          <w:sz w:val="24"/>
          <w:szCs w:val="24"/>
        </w:rPr>
        <w:br/>
        <w:t>contabilizados en el déficit fiscal</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0"/>
        <w:gridCol w:w="1841"/>
        <w:gridCol w:w="1568"/>
      </w:tblGrid>
      <w:tr w:rsidR="003764E0" w:rsidRPr="003764E0" w14:paraId="21B1D55E" w14:textId="77777777" w:rsidTr="003764E0">
        <w:trPr>
          <w:jc w:val="center"/>
        </w:trPr>
        <w:tc>
          <w:tcPr>
            <w:tcW w:w="6060" w:type="dxa"/>
            <w:shd w:val="clear" w:color="auto" w:fill="7F7F7F" w:themeFill="text1" w:themeFillTint="80"/>
            <w:noWrap/>
            <w:vAlign w:val="center"/>
            <w:hideMark/>
          </w:tcPr>
          <w:p w14:paraId="1B1F2CF9" w14:textId="49A66F68" w:rsidR="0040569B" w:rsidRPr="003764E0" w:rsidRDefault="0040569B" w:rsidP="00884DD8">
            <w:pPr>
              <w:spacing w:after="0" w:line="240" w:lineRule="auto"/>
              <w:jc w:val="center"/>
              <w:rPr>
                <w:rFonts w:ascii="Arial" w:eastAsia="Times New Roman" w:hAnsi="Arial" w:cs="Arial"/>
                <w:b/>
                <w:bCs/>
                <w:color w:val="FFFFFF" w:themeColor="background1"/>
                <w:sz w:val="20"/>
                <w:szCs w:val="20"/>
                <w:lang w:eastAsia="es-CR"/>
              </w:rPr>
            </w:pPr>
            <w:r w:rsidRPr="003764E0">
              <w:rPr>
                <w:b/>
                <w:bCs/>
                <w:color w:val="FFFFFF" w:themeColor="background1"/>
              </w:rPr>
              <w:t>Concepto</w:t>
            </w:r>
          </w:p>
        </w:tc>
        <w:tc>
          <w:tcPr>
            <w:tcW w:w="1841" w:type="dxa"/>
            <w:shd w:val="clear" w:color="auto" w:fill="7F7F7F" w:themeFill="text1" w:themeFillTint="80"/>
            <w:vAlign w:val="center"/>
            <w:hideMark/>
          </w:tcPr>
          <w:p w14:paraId="7D007D3F" w14:textId="24D2D826" w:rsidR="00500683" w:rsidRPr="003764E0" w:rsidRDefault="0040569B" w:rsidP="00884DD8">
            <w:pPr>
              <w:spacing w:after="0" w:line="240" w:lineRule="auto"/>
              <w:jc w:val="center"/>
              <w:rPr>
                <w:b/>
                <w:bCs/>
                <w:color w:val="FFFFFF" w:themeColor="background1"/>
              </w:rPr>
            </w:pPr>
            <w:r w:rsidRPr="003764E0">
              <w:rPr>
                <w:b/>
                <w:bCs/>
                <w:color w:val="FFFFFF" w:themeColor="background1"/>
              </w:rPr>
              <w:t>Monto</w:t>
            </w:r>
          </w:p>
          <w:p w14:paraId="160D154A" w14:textId="2AFB0BA1" w:rsidR="0040569B" w:rsidRPr="003764E0" w:rsidRDefault="0040569B" w:rsidP="00884DD8">
            <w:pPr>
              <w:spacing w:after="0" w:line="240" w:lineRule="auto"/>
              <w:jc w:val="center"/>
              <w:rPr>
                <w:rFonts w:ascii="Arial" w:eastAsia="Times New Roman" w:hAnsi="Arial" w:cs="Arial"/>
                <w:b/>
                <w:bCs/>
                <w:color w:val="FFFFFF" w:themeColor="background1"/>
                <w:sz w:val="20"/>
                <w:szCs w:val="20"/>
                <w:lang w:eastAsia="es-CR"/>
              </w:rPr>
            </w:pPr>
            <w:r w:rsidRPr="003764E0">
              <w:rPr>
                <w:b/>
                <w:bCs/>
                <w:color w:val="FFFFFF" w:themeColor="background1"/>
              </w:rPr>
              <w:t xml:space="preserve">(en </w:t>
            </w:r>
            <w:r w:rsidR="00500683" w:rsidRPr="003764E0">
              <w:rPr>
                <w:b/>
                <w:bCs/>
                <w:color w:val="FFFFFF" w:themeColor="background1"/>
              </w:rPr>
              <w:t>MNS</w:t>
            </w:r>
            <w:r w:rsidRPr="003764E0">
              <w:rPr>
                <w:b/>
                <w:bCs/>
                <w:color w:val="FFFFFF" w:themeColor="background1"/>
              </w:rPr>
              <w:t xml:space="preserve"> de ¢)</w:t>
            </w:r>
          </w:p>
        </w:tc>
        <w:tc>
          <w:tcPr>
            <w:tcW w:w="1568" w:type="dxa"/>
            <w:shd w:val="clear" w:color="auto" w:fill="7F7F7F" w:themeFill="text1" w:themeFillTint="80"/>
            <w:vAlign w:val="center"/>
            <w:hideMark/>
          </w:tcPr>
          <w:p w14:paraId="46F39F9F" w14:textId="77777777" w:rsidR="00500683" w:rsidRPr="003764E0" w:rsidRDefault="0040569B" w:rsidP="00884DD8">
            <w:pPr>
              <w:spacing w:after="0" w:line="240" w:lineRule="auto"/>
              <w:jc w:val="center"/>
              <w:rPr>
                <w:b/>
                <w:bCs/>
                <w:color w:val="FFFFFF" w:themeColor="background1"/>
              </w:rPr>
            </w:pPr>
            <w:r w:rsidRPr="003764E0">
              <w:rPr>
                <w:b/>
                <w:bCs/>
                <w:color w:val="FFFFFF" w:themeColor="background1"/>
              </w:rPr>
              <w:t>% del PIB</w:t>
            </w:r>
          </w:p>
          <w:p w14:paraId="0EF680A4" w14:textId="3BFF29CE" w:rsidR="0040569B" w:rsidRPr="003764E0" w:rsidRDefault="0040569B" w:rsidP="00884DD8">
            <w:pPr>
              <w:spacing w:after="0" w:line="240" w:lineRule="auto"/>
              <w:jc w:val="center"/>
              <w:rPr>
                <w:rFonts w:ascii="Arial" w:eastAsia="Times New Roman" w:hAnsi="Arial" w:cs="Arial"/>
                <w:b/>
                <w:bCs/>
                <w:color w:val="FFFFFF" w:themeColor="background1"/>
                <w:sz w:val="20"/>
                <w:szCs w:val="20"/>
                <w:lang w:eastAsia="es-CR"/>
              </w:rPr>
            </w:pPr>
            <w:r w:rsidRPr="003764E0">
              <w:rPr>
                <w:b/>
                <w:bCs/>
                <w:color w:val="FFFFFF" w:themeColor="background1"/>
              </w:rPr>
              <w:t>(BCCR)</w:t>
            </w:r>
          </w:p>
        </w:tc>
      </w:tr>
      <w:tr w:rsidR="0040569B" w:rsidRPr="0040569B" w14:paraId="544F229B" w14:textId="77777777" w:rsidTr="003764E0">
        <w:trPr>
          <w:jc w:val="center"/>
        </w:trPr>
        <w:tc>
          <w:tcPr>
            <w:tcW w:w="6060" w:type="dxa"/>
            <w:shd w:val="clear" w:color="auto" w:fill="D9D9D9" w:themeFill="background1" w:themeFillShade="D9"/>
            <w:noWrap/>
            <w:hideMark/>
          </w:tcPr>
          <w:p w14:paraId="3E533D0F" w14:textId="58740B76" w:rsidR="0040569B" w:rsidRPr="0040569B" w:rsidRDefault="0040569B" w:rsidP="0040569B">
            <w:pPr>
              <w:spacing w:after="0" w:line="240" w:lineRule="auto"/>
              <w:rPr>
                <w:rFonts w:ascii="Arial" w:eastAsia="Times New Roman" w:hAnsi="Arial" w:cs="Arial"/>
                <w:b/>
                <w:bCs/>
                <w:color w:val="000000"/>
                <w:sz w:val="20"/>
                <w:szCs w:val="20"/>
                <w:lang w:eastAsia="es-CR"/>
              </w:rPr>
            </w:pPr>
            <w:r w:rsidRPr="0040569B">
              <w:rPr>
                <w:b/>
                <w:bCs/>
              </w:rPr>
              <w:t>Ingresos no registrados</w:t>
            </w:r>
          </w:p>
        </w:tc>
        <w:tc>
          <w:tcPr>
            <w:tcW w:w="1841" w:type="dxa"/>
            <w:shd w:val="clear" w:color="auto" w:fill="D9D9D9" w:themeFill="background1" w:themeFillShade="D9"/>
            <w:noWrap/>
            <w:hideMark/>
          </w:tcPr>
          <w:p w14:paraId="1A5A2DFC" w14:textId="5476BC39" w:rsidR="0040569B" w:rsidRPr="0040569B" w:rsidRDefault="0040569B" w:rsidP="0040569B">
            <w:pPr>
              <w:spacing w:after="0" w:line="240" w:lineRule="auto"/>
              <w:jc w:val="center"/>
              <w:rPr>
                <w:rFonts w:ascii="Arial" w:eastAsia="Times New Roman" w:hAnsi="Arial" w:cs="Arial"/>
                <w:b/>
                <w:bCs/>
                <w:color w:val="000000"/>
                <w:sz w:val="20"/>
                <w:szCs w:val="20"/>
                <w:lang w:eastAsia="es-CR"/>
              </w:rPr>
            </w:pPr>
            <w:r w:rsidRPr="0040569B">
              <w:rPr>
                <w:b/>
                <w:bCs/>
              </w:rPr>
              <w:t>62,278</w:t>
            </w:r>
          </w:p>
        </w:tc>
        <w:tc>
          <w:tcPr>
            <w:tcW w:w="1568" w:type="dxa"/>
            <w:shd w:val="clear" w:color="auto" w:fill="D9D9D9" w:themeFill="background1" w:themeFillShade="D9"/>
            <w:noWrap/>
            <w:hideMark/>
          </w:tcPr>
          <w:p w14:paraId="10A2E59B" w14:textId="5E292C7E" w:rsidR="0040569B" w:rsidRPr="0040569B" w:rsidRDefault="0040569B" w:rsidP="0040569B">
            <w:pPr>
              <w:spacing w:after="0" w:line="240" w:lineRule="auto"/>
              <w:jc w:val="center"/>
              <w:rPr>
                <w:rFonts w:ascii="Arial" w:eastAsia="Times New Roman" w:hAnsi="Arial" w:cs="Arial"/>
                <w:b/>
                <w:bCs/>
                <w:color w:val="000000"/>
                <w:sz w:val="20"/>
                <w:szCs w:val="20"/>
                <w:lang w:eastAsia="es-CR"/>
              </w:rPr>
            </w:pPr>
            <w:r w:rsidRPr="0040569B">
              <w:rPr>
                <w:b/>
                <w:bCs/>
              </w:rPr>
              <w:t>0.17%</w:t>
            </w:r>
          </w:p>
        </w:tc>
      </w:tr>
      <w:tr w:rsidR="0040569B" w:rsidRPr="00896125" w14:paraId="31FA379E" w14:textId="77777777" w:rsidTr="003764E0">
        <w:trPr>
          <w:jc w:val="center"/>
        </w:trPr>
        <w:tc>
          <w:tcPr>
            <w:tcW w:w="6060" w:type="dxa"/>
            <w:shd w:val="clear" w:color="auto" w:fill="auto"/>
            <w:noWrap/>
            <w:hideMark/>
          </w:tcPr>
          <w:p w14:paraId="7AEF7018" w14:textId="5713E77A" w:rsidR="0040569B" w:rsidRPr="00896125" w:rsidRDefault="0040569B" w:rsidP="0040569B">
            <w:pPr>
              <w:pStyle w:val="Prrafodelista"/>
              <w:numPr>
                <w:ilvl w:val="0"/>
                <w:numId w:val="23"/>
              </w:numPr>
              <w:spacing w:after="0" w:line="240" w:lineRule="auto"/>
              <w:rPr>
                <w:rFonts w:ascii="Arial" w:eastAsia="Times New Roman" w:hAnsi="Arial" w:cs="Arial"/>
                <w:color w:val="000000"/>
                <w:sz w:val="20"/>
                <w:szCs w:val="20"/>
                <w:lang w:eastAsia="es-CR"/>
              </w:rPr>
            </w:pPr>
            <w:r w:rsidRPr="00003871">
              <w:t>Impuesto sobre la propiedad (Transferencia del INS)</w:t>
            </w:r>
          </w:p>
        </w:tc>
        <w:tc>
          <w:tcPr>
            <w:tcW w:w="1841" w:type="dxa"/>
            <w:shd w:val="clear" w:color="auto" w:fill="auto"/>
            <w:noWrap/>
            <w:hideMark/>
          </w:tcPr>
          <w:p w14:paraId="4EAC361D" w14:textId="7F099F02"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58,512</w:t>
            </w:r>
          </w:p>
        </w:tc>
        <w:tc>
          <w:tcPr>
            <w:tcW w:w="1568" w:type="dxa"/>
            <w:shd w:val="clear" w:color="auto" w:fill="auto"/>
            <w:noWrap/>
            <w:hideMark/>
          </w:tcPr>
          <w:p w14:paraId="3FA4D7DE" w14:textId="639C9F6E"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0.16%</w:t>
            </w:r>
          </w:p>
        </w:tc>
      </w:tr>
      <w:tr w:rsidR="0040569B" w:rsidRPr="00896125" w14:paraId="1B298087" w14:textId="77777777" w:rsidTr="003764E0">
        <w:trPr>
          <w:jc w:val="center"/>
        </w:trPr>
        <w:tc>
          <w:tcPr>
            <w:tcW w:w="6060" w:type="dxa"/>
            <w:shd w:val="clear" w:color="auto" w:fill="auto"/>
            <w:noWrap/>
            <w:hideMark/>
          </w:tcPr>
          <w:p w14:paraId="67346550" w14:textId="482C1DE0" w:rsidR="0040569B" w:rsidRPr="00896125" w:rsidRDefault="0040569B" w:rsidP="0040569B">
            <w:pPr>
              <w:pStyle w:val="Prrafodelista"/>
              <w:numPr>
                <w:ilvl w:val="0"/>
                <w:numId w:val="23"/>
              </w:numPr>
              <w:spacing w:after="0" w:line="240" w:lineRule="auto"/>
              <w:rPr>
                <w:rFonts w:ascii="Arial" w:eastAsia="Times New Roman" w:hAnsi="Arial" w:cs="Arial"/>
                <w:color w:val="000000"/>
                <w:sz w:val="20"/>
                <w:szCs w:val="20"/>
                <w:lang w:eastAsia="es-CR"/>
              </w:rPr>
            </w:pPr>
            <w:r w:rsidRPr="00003871">
              <w:t>Impuesto sobre la propiedad (Transferencia del INS-IVA)</w:t>
            </w:r>
          </w:p>
        </w:tc>
        <w:tc>
          <w:tcPr>
            <w:tcW w:w="1841" w:type="dxa"/>
            <w:shd w:val="clear" w:color="auto" w:fill="auto"/>
            <w:noWrap/>
            <w:hideMark/>
          </w:tcPr>
          <w:p w14:paraId="601FA1C0" w14:textId="406C364C"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329</w:t>
            </w:r>
          </w:p>
        </w:tc>
        <w:tc>
          <w:tcPr>
            <w:tcW w:w="1568" w:type="dxa"/>
            <w:shd w:val="clear" w:color="auto" w:fill="auto"/>
            <w:noWrap/>
            <w:hideMark/>
          </w:tcPr>
          <w:p w14:paraId="388D2DF9" w14:textId="4C8716B4"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0.00%</w:t>
            </w:r>
          </w:p>
        </w:tc>
      </w:tr>
      <w:tr w:rsidR="0040569B" w:rsidRPr="00896125" w14:paraId="3B4CF318" w14:textId="77777777" w:rsidTr="003764E0">
        <w:trPr>
          <w:jc w:val="center"/>
        </w:trPr>
        <w:tc>
          <w:tcPr>
            <w:tcW w:w="6060" w:type="dxa"/>
            <w:shd w:val="clear" w:color="auto" w:fill="auto"/>
            <w:noWrap/>
            <w:hideMark/>
          </w:tcPr>
          <w:p w14:paraId="22347112" w14:textId="1BFFC3B0" w:rsidR="0040569B" w:rsidRPr="00896125" w:rsidRDefault="0040569B" w:rsidP="0040569B">
            <w:pPr>
              <w:pStyle w:val="Prrafodelista"/>
              <w:numPr>
                <w:ilvl w:val="0"/>
                <w:numId w:val="23"/>
              </w:numPr>
              <w:spacing w:after="0" w:line="240" w:lineRule="auto"/>
              <w:rPr>
                <w:rFonts w:ascii="Arial" w:eastAsia="Times New Roman" w:hAnsi="Arial" w:cs="Arial"/>
                <w:color w:val="000000"/>
                <w:sz w:val="20"/>
                <w:szCs w:val="20"/>
                <w:lang w:eastAsia="es-CR"/>
              </w:rPr>
            </w:pPr>
            <w:r w:rsidRPr="00003871">
              <w:t>Devolución de recursos del proyecto de mejoramiento de la Educación Superior</w:t>
            </w:r>
          </w:p>
        </w:tc>
        <w:tc>
          <w:tcPr>
            <w:tcW w:w="1841" w:type="dxa"/>
            <w:shd w:val="clear" w:color="auto" w:fill="auto"/>
            <w:noWrap/>
            <w:hideMark/>
          </w:tcPr>
          <w:p w14:paraId="50E27197" w14:textId="12746456"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3,437</w:t>
            </w:r>
          </w:p>
        </w:tc>
        <w:tc>
          <w:tcPr>
            <w:tcW w:w="1568" w:type="dxa"/>
            <w:shd w:val="clear" w:color="auto" w:fill="auto"/>
            <w:noWrap/>
            <w:hideMark/>
          </w:tcPr>
          <w:p w14:paraId="1A2C9496" w14:textId="47DFDBA7"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0.01%</w:t>
            </w:r>
          </w:p>
        </w:tc>
      </w:tr>
      <w:tr w:rsidR="0040569B" w:rsidRPr="0040569B" w14:paraId="5DED40B3" w14:textId="77777777" w:rsidTr="003764E0">
        <w:trPr>
          <w:jc w:val="center"/>
        </w:trPr>
        <w:tc>
          <w:tcPr>
            <w:tcW w:w="6060" w:type="dxa"/>
            <w:shd w:val="clear" w:color="auto" w:fill="D9D9D9" w:themeFill="background1" w:themeFillShade="D9"/>
            <w:noWrap/>
            <w:hideMark/>
          </w:tcPr>
          <w:p w14:paraId="1216A6D4" w14:textId="2F60E23A" w:rsidR="0040569B" w:rsidRPr="0040569B" w:rsidRDefault="0040569B" w:rsidP="0040569B">
            <w:pPr>
              <w:spacing w:after="0" w:line="240" w:lineRule="auto"/>
              <w:rPr>
                <w:rFonts w:ascii="Arial" w:eastAsia="Times New Roman" w:hAnsi="Arial" w:cs="Arial"/>
                <w:b/>
                <w:bCs/>
                <w:color w:val="000000"/>
                <w:sz w:val="20"/>
                <w:szCs w:val="20"/>
                <w:lang w:eastAsia="es-CR"/>
              </w:rPr>
            </w:pPr>
            <w:r w:rsidRPr="0040569B">
              <w:rPr>
                <w:b/>
                <w:bCs/>
              </w:rPr>
              <w:t>Gastos no realizados</w:t>
            </w:r>
          </w:p>
        </w:tc>
        <w:tc>
          <w:tcPr>
            <w:tcW w:w="1841" w:type="dxa"/>
            <w:shd w:val="clear" w:color="auto" w:fill="D9D9D9" w:themeFill="background1" w:themeFillShade="D9"/>
            <w:noWrap/>
            <w:hideMark/>
          </w:tcPr>
          <w:p w14:paraId="0A0AD4F5" w14:textId="7BF7557C" w:rsidR="0040569B" w:rsidRPr="0040569B" w:rsidRDefault="0040569B" w:rsidP="0040569B">
            <w:pPr>
              <w:spacing w:after="0" w:line="240" w:lineRule="auto"/>
              <w:jc w:val="center"/>
              <w:rPr>
                <w:rFonts w:ascii="Arial" w:eastAsia="Times New Roman" w:hAnsi="Arial" w:cs="Arial"/>
                <w:b/>
                <w:bCs/>
                <w:color w:val="000000"/>
                <w:sz w:val="20"/>
                <w:szCs w:val="20"/>
                <w:lang w:eastAsia="es-CR"/>
              </w:rPr>
            </w:pPr>
            <w:r w:rsidRPr="0040569B">
              <w:rPr>
                <w:b/>
                <w:bCs/>
              </w:rPr>
              <w:t>-154,738</w:t>
            </w:r>
          </w:p>
        </w:tc>
        <w:tc>
          <w:tcPr>
            <w:tcW w:w="1568" w:type="dxa"/>
            <w:shd w:val="clear" w:color="auto" w:fill="D9D9D9" w:themeFill="background1" w:themeFillShade="D9"/>
            <w:noWrap/>
            <w:hideMark/>
          </w:tcPr>
          <w:p w14:paraId="5C98687C" w14:textId="0143F41F" w:rsidR="0040569B" w:rsidRPr="0040569B" w:rsidRDefault="0040569B" w:rsidP="0040569B">
            <w:pPr>
              <w:spacing w:after="0" w:line="240" w:lineRule="auto"/>
              <w:jc w:val="center"/>
              <w:rPr>
                <w:rFonts w:ascii="Arial" w:eastAsia="Times New Roman" w:hAnsi="Arial" w:cs="Arial"/>
                <w:b/>
                <w:bCs/>
                <w:color w:val="000000"/>
                <w:sz w:val="20"/>
                <w:szCs w:val="20"/>
                <w:lang w:eastAsia="es-CR"/>
              </w:rPr>
            </w:pPr>
            <w:r w:rsidRPr="0040569B">
              <w:rPr>
                <w:b/>
                <w:bCs/>
              </w:rPr>
              <w:t>-0.43%</w:t>
            </w:r>
          </w:p>
        </w:tc>
      </w:tr>
      <w:tr w:rsidR="0040569B" w:rsidRPr="00896125" w14:paraId="3A41A85C" w14:textId="77777777" w:rsidTr="003764E0">
        <w:trPr>
          <w:jc w:val="center"/>
        </w:trPr>
        <w:tc>
          <w:tcPr>
            <w:tcW w:w="6060" w:type="dxa"/>
            <w:shd w:val="clear" w:color="auto" w:fill="auto"/>
            <w:noWrap/>
            <w:hideMark/>
          </w:tcPr>
          <w:p w14:paraId="71D80331" w14:textId="3610B259" w:rsidR="0040569B" w:rsidRPr="00896125" w:rsidRDefault="0040569B" w:rsidP="0040569B">
            <w:pPr>
              <w:pStyle w:val="Prrafodelista"/>
              <w:numPr>
                <w:ilvl w:val="0"/>
                <w:numId w:val="23"/>
              </w:numPr>
              <w:spacing w:after="0" w:line="240" w:lineRule="auto"/>
              <w:rPr>
                <w:rFonts w:ascii="Arial" w:eastAsia="Times New Roman" w:hAnsi="Arial" w:cs="Arial"/>
                <w:color w:val="000000"/>
                <w:sz w:val="20"/>
                <w:szCs w:val="20"/>
                <w:lang w:eastAsia="es-CR"/>
              </w:rPr>
            </w:pPr>
            <w:r w:rsidRPr="00003871">
              <w:t>Transferencias corrientes del MINSA</w:t>
            </w:r>
          </w:p>
        </w:tc>
        <w:tc>
          <w:tcPr>
            <w:tcW w:w="1841" w:type="dxa"/>
            <w:shd w:val="clear" w:color="auto" w:fill="auto"/>
            <w:noWrap/>
            <w:hideMark/>
          </w:tcPr>
          <w:p w14:paraId="06FF6BC9" w14:textId="6897AA13"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-61,789</w:t>
            </w:r>
          </w:p>
        </w:tc>
        <w:tc>
          <w:tcPr>
            <w:tcW w:w="1568" w:type="dxa"/>
            <w:shd w:val="clear" w:color="auto" w:fill="auto"/>
            <w:noWrap/>
            <w:hideMark/>
          </w:tcPr>
          <w:p w14:paraId="0FD6B099" w14:textId="32FEE1C4"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-0.17%</w:t>
            </w:r>
          </w:p>
        </w:tc>
      </w:tr>
      <w:tr w:rsidR="0040569B" w:rsidRPr="00896125" w14:paraId="2FFE68C7" w14:textId="77777777" w:rsidTr="003764E0">
        <w:trPr>
          <w:jc w:val="center"/>
        </w:trPr>
        <w:tc>
          <w:tcPr>
            <w:tcW w:w="6060" w:type="dxa"/>
            <w:shd w:val="clear" w:color="auto" w:fill="auto"/>
            <w:noWrap/>
            <w:hideMark/>
          </w:tcPr>
          <w:p w14:paraId="03E4B5E8" w14:textId="4EC14796" w:rsidR="0040569B" w:rsidRPr="00896125" w:rsidRDefault="0040569B" w:rsidP="0040569B">
            <w:pPr>
              <w:pStyle w:val="Prrafodelista"/>
              <w:numPr>
                <w:ilvl w:val="0"/>
                <w:numId w:val="23"/>
              </w:numPr>
              <w:spacing w:after="0" w:line="240" w:lineRule="auto"/>
              <w:rPr>
                <w:rFonts w:ascii="Arial" w:eastAsia="Times New Roman" w:hAnsi="Arial" w:cs="Arial"/>
                <w:color w:val="000000"/>
                <w:sz w:val="20"/>
                <w:szCs w:val="20"/>
                <w:lang w:eastAsia="es-CR"/>
              </w:rPr>
            </w:pPr>
            <w:r w:rsidRPr="00003871">
              <w:t>Régimen Especial de Pensiones</w:t>
            </w:r>
          </w:p>
        </w:tc>
        <w:tc>
          <w:tcPr>
            <w:tcW w:w="1841" w:type="dxa"/>
            <w:shd w:val="clear" w:color="auto" w:fill="auto"/>
            <w:noWrap/>
            <w:hideMark/>
          </w:tcPr>
          <w:p w14:paraId="782328A5" w14:textId="382DB38C"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-82,976</w:t>
            </w:r>
          </w:p>
        </w:tc>
        <w:tc>
          <w:tcPr>
            <w:tcW w:w="1568" w:type="dxa"/>
            <w:shd w:val="clear" w:color="auto" w:fill="auto"/>
            <w:noWrap/>
            <w:hideMark/>
          </w:tcPr>
          <w:p w14:paraId="77DB37F3" w14:textId="6253EF4D"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-0.23%</w:t>
            </w:r>
          </w:p>
        </w:tc>
      </w:tr>
      <w:tr w:rsidR="0040569B" w:rsidRPr="008B6BBA" w14:paraId="45AAF98E" w14:textId="77777777" w:rsidTr="003764E0">
        <w:trPr>
          <w:jc w:val="center"/>
        </w:trPr>
        <w:tc>
          <w:tcPr>
            <w:tcW w:w="6060" w:type="dxa"/>
            <w:shd w:val="clear" w:color="auto" w:fill="auto"/>
            <w:hideMark/>
          </w:tcPr>
          <w:p w14:paraId="4E066BBD" w14:textId="7E85DF77" w:rsidR="0040569B" w:rsidRPr="008B6BBA" w:rsidRDefault="007154B4" w:rsidP="0040569B">
            <w:pPr>
              <w:pStyle w:val="Prrafodelista"/>
              <w:numPr>
                <w:ilvl w:val="0"/>
                <w:numId w:val="23"/>
              </w:numPr>
              <w:spacing w:after="0" w:line="240" w:lineRule="auto"/>
              <w:rPr>
                <w:rFonts w:ascii="Arial" w:eastAsia="Times New Roman" w:hAnsi="Arial" w:cs="Arial"/>
                <w:b/>
                <w:bCs/>
                <w:color w:val="000000"/>
                <w:sz w:val="20"/>
                <w:szCs w:val="20"/>
                <w:lang w:eastAsia="es-CR"/>
              </w:rPr>
            </w:pPr>
            <w:r w:rsidRPr="00003871">
              <w:t>Comisión</w:t>
            </w:r>
            <w:r w:rsidR="0040569B" w:rsidRPr="00003871">
              <w:t xml:space="preserve"> no registrada INS como ente recaudador</w:t>
            </w:r>
          </w:p>
        </w:tc>
        <w:tc>
          <w:tcPr>
            <w:tcW w:w="1841" w:type="dxa"/>
            <w:shd w:val="clear" w:color="auto" w:fill="auto"/>
            <w:noWrap/>
            <w:hideMark/>
          </w:tcPr>
          <w:p w14:paraId="67601C81" w14:textId="1306B08B" w:rsidR="0040569B" w:rsidRPr="008B6BBA" w:rsidRDefault="0040569B" w:rsidP="0040569B">
            <w:pPr>
              <w:spacing w:after="0" w:line="240" w:lineRule="auto"/>
              <w:jc w:val="center"/>
              <w:rPr>
                <w:rFonts w:ascii="Arial" w:eastAsia="Times New Roman" w:hAnsi="Arial" w:cs="Arial"/>
                <w:b/>
                <w:bCs/>
                <w:color w:val="000000"/>
                <w:sz w:val="20"/>
                <w:szCs w:val="20"/>
                <w:lang w:eastAsia="es-CR"/>
              </w:rPr>
            </w:pPr>
            <w:r w:rsidRPr="00003871">
              <w:t>-1,303</w:t>
            </w:r>
          </w:p>
        </w:tc>
        <w:tc>
          <w:tcPr>
            <w:tcW w:w="1568" w:type="dxa"/>
            <w:shd w:val="clear" w:color="auto" w:fill="auto"/>
            <w:noWrap/>
            <w:hideMark/>
          </w:tcPr>
          <w:p w14:paraId="6D3281D0" w14:textId="1FB4677A" w:rsidR="0040569B" w:rsidRPr="008B6BBA" w:rsidRDefault="0040569B" w:rsidP="0040569B">
            <w:pPr>
              <w:spacing w:after="0" w:line="240" w:lineRule="auto"/>
              <w:jc w:val="center"/>
              <w:rPr>
                <w:rFonts w:ascii="Arial" w:eastAsia="Times New Roman" w:hAnsi="Arial" w:cs="Arial"/>
                <w:b/>
                <w:bCs/>
                <w:color w:val="000000"/>
                <w:sz w:val="20"/>
                <w:szCs w:val="20"/>
                <w:lang w:eastAsia="es-CR"/>
              </w:rPr>
            </w:pPr>
            <w:r w:rsidRPr="00003871">
              <w:t>0.00%</w:t>
            </w:r>
          </w:p>
        </w:tc>
      </w:tr>
      <w:tr w:rsidR="0040569B" w:rsidRPr="00896125" w14:paraId="6A728ACE" w14:textId="77777777" w:rsidTr="003764E0">
        <w:trPr>
          <w:jc w:val="center"/>
        </w:trPr>
        <w:tc>
          <w:tcPr>
            <w:tcW w:w="6060" w:type="dxa"/>
            <w:shd w:val="clear" w:color="auto" w:fill="auto"/>
            <w:noWrap/>
            <w:hideMark/>
          </w:tcPr>
          <w:p w14:paraId="4B349321" w14:textId="7FB7223E" w:rsidR="0040569B" w:rsidRPr="00896125" w:rsidRDefault="0040569B" w:rsidP="0040569B">
            <w:pPr>
              <w:pStyle w:val="Prrafodelista"/>
              <w:numPr>
                <w:ilvl w:val="0"/>
                <w:numId w:val="23"/>
              </w:numPr>
              <w:spacing w:after="0" w:line="240" w:lineRule="auto"/>
              <w:rPr>
                <w:rFonts w:ascii="Arial" w:eastAsia="Times New Roman" w:hAnsi="Arial" w:cs="Arial"/>
                <w:color w:val="000000"/>
                <w:sz w:val="20"/>
                <w:szCs w:val="20"/>
                <w:lang w:eastAsia="es-CR"/>
              </w:rPr>
            </w:pPr>
            <w:r w:rsidRPr="00003871">
              <w:t>Facturas no registradas por falta de contenido presupuestario en Min Seg y Justicia</w:t>
            </w:r>
          </w:p>
        </w:tc>
        <w:tc>
          <w:tcPr>
            <w:tcW w:w="1841" w:type="dxa"/>
            <w:shd w:val="clear" w:color="auto" w:fill="auto"/>
            <w:noWrap/>
            <w:hideMark/>
          </w:tcPr>
          <w:p w14:paraId="3AFD2AF6" w14:textId="18A2F698"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-1,723</w:t>
            </w:r>
          </w:p>
        </w:tc>
        <w:tc>
          <w:tcPr>
            <w:tcW w:w="1568" w:type="dxa"/>
            <w:shd w:val="clear" w:color="auto" w:fill="auto"/>
            <w:noWrap/>
            <w:hideMark/>
          </w:tcPr>
          <w:p w14:paraId="1D65EE45" w14:textId="7063EC0B"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0.00%</w:t>
            </w:r>
          </w:p>
        </w:tc>
      </w:tr>
      <w:tr w:rsidR="0040569B" w:rsidRPr="00896125" w14:paraId="047A6EBC" w14:textId="77777777" w:rsidTr="003764E0">
        <w:trPr>
          <w:jc w:val="center"/>
        </w:trPr>
        <w:tc>
          <w:tcPr>
            <w:tcW w:w="6060" w:type="dxa"/>
            <w:shd w:val="clear" w:color="auto" w:fill="auto"/>
            <w:noWrap/>
            <w:hideMark/>
          </w:tcPr>
          <w:p w14:paraId="4743F473" w14:textId="32EEF962" w:rsidR="0040569B" w:rsidRPr="00896125" w:rsidRDefault="0040569B" w:rsidP="0040569B">
            <w:pPr>
              <w:pStyle w:val="Prrafodelista"/>
              <w:numPr>
                <w:ilvl w:val="0"/>
                <w:numId w:val="23"/>
              </w:numPr>
              <w:spacing w:after="0" w:line="240" w:lineRule="auto"/>
              <w:rPr>
                <w:rFonts w:ascii="Arial" w:eastAsia="Times New Roman" w:hAnsi="Arial" w:cs="Arial"/>
                <w:color w:val="000000"/>
                <w:sz w:val="20"/>
                <w:szCs w:val="20"/>
                <w:lang w:eastAsia="es-CR"/>
              </w:rPr>
            </w:pPr>
            <w:r w:rsidRPr="00003871">
              <w:t>Resoluciones no registradas por falta de contenido en MH</w:t>
            </w:r>
          </w:p>
        </w:tc>
        <w:tc>
          <w:tcPr>
            <w:tcW w:w="1841" w:type="dxa"/>
            <w:shd w:val="clear" w:color="auto" w:fill="auto"/>
            <w:noWrap/>
            <w:hideMark/>
          </w:tcPr>
          <w:p w14:paraId="1505C409" w14:textId="3AB4C033"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-3,510</w:t>
            </w:r>
          </w:p>
        </w:tc>
        <w:tc>
          <w:tcPr>
            <w:tcW w:w="1568" w:type="dxa"/>
            <w:shd w:val="clear" w:color="auto" w:fill="auto"/>
            <w:noWrap/>
            <w:hideMark/>
          </w:tcPr>
          <w:p w14:paraId="193E4219" w14:textId="46C8C3DD" w:rsidR="0040569B" w:rsidRPr="008B6BBA" w:rsidRDefault="0040569B" w:rsidP="0040569B">
            <w:pPr>
              <w:spacing w:after="0" w:line="240" w:lineRule="auto"/>
              <w:jc w:val="center"/>
              <w:rPr>
                <w:rFonts w:ascii="Arial" w:eastAsia="Times New Roman" w:hAnsi="Arial" w:cs="Arial"/>
                <w:color w:val="000000"/>
                <w:sz w:val="20"/>
                <w:szCs w:val="20"/>
                <w:lang w:eastAsia="es-CR"/>
              </w:rPr>
            </w:pPr>
            <w:r w:rsidRPr="00003871">
              <w:t>-0.01%</w:t>
            </w:r>
          </w:p>
        </w:tc>
      </w:tr>
      <w:tr w:rsidR="0040569B" w:rsidRPr="00896125" w14:paraId="0B8CDE26" w14:textId="77777777" w:rsidTr="003764E0">
        <w:trPr>
          <w:jc w:val="center"/>
        </w:trPr>
        <w:tc>
          <w:tcPr>
            <w:tcW w:w="6060" w:type="dxa"/>
            <w:shd w:val="clear" w:color="auto" w:fill="auto"/>
            <w:noWrap/>
            <w:hideMark/>
          </w:tcPr>
          <w:p w14:paraId="67F6D7DE" w14:textId="148C030D" w:rsidR="0040569B" w:rsidRPr="008B6BBA" w:rsidRDefault="0040569B" w:rsidP="0040569B">
            <w:pPr>
              <w:pStyle w:val="Prrafodelista"/>
              <w:numPr>
                <w:ilvl w:val="0"/>
                <w:numId w:val="23"/>
              </w:numPr>
              <w:spacing w:after="0" w:line="240" w:lineRule="auto"/>
              <w:rPr>
                <w:rFonts w:ascii="Arial" w:eastAsia="Times New Roman" w:hAnsi="Arial" w:cs="Arial"/>
                <w:b/>
                <w:bCs/>
                <w:color w:val="000000"/>
                <w:sz w:val="20"/>
                <w:szCs w:val="20"/>
                <w:lang w:eastAsia="es-CR"/>
              </w:rPr>
            </w:pPr>
            <w:r w:rsidRPr="00003871">
              <w:t>Devolución de recursos del proyecto de mejoramiento de la Educación Superior</w:t>
            </w:r>
          </w:p>
        </w:tc>
        <w:tc>
          <w:tcPr>
            <w:tcW w:w="1841" w:type="dxa"/>
            <w:shd w:val="clear" w:color="auto" w:fill="auto"/>
            <w:noWrap/>
            <w:hideMark/>
          </w:tcPr>
          <w:p w14:paraId="03C45AFC" w14:textId="5C6ED9D3" w:rsidR="0040569B" w:rsidRPr="008B6BBA" w:rsidRDefault="0040569B" w:rsidP="0040569B">
            <w:pPr>
              <w:spacing w:after="0" w:line="240" w:lineRule="auto"/>
              <w:jc w:val="center"/>
              <w:rPr>
                <w:rFonts w:ascii="Arial" w:eastAsia="Times New Roman" w:hAnsi="Arial" w:cs="Arial"/>
                <w:b/>
                <w:bCs/>
                <w:color w:val="000000"/>
                <w:sz w:val="20"/>
                <w:szCs w:val="20"/>
                <w:lang w:eastAsia="es-CR"/>
              </w:rPr>
            </w:pPr>
            <w:r w:rsidRPr="00003871">
              <w:t>-3,437</w:t>
            </w:r>
          </w:p>
        </w:tc>
        <w:tc>
          <w:tcPr>
            <w:tcW w:w="1568" w:type="dxa"/>
            <w:shd w:val="clear" w:color="auto" w:fill="auto"/>
            <w:noWrap/>
            <w:hideMark/>
          </w:tcPr>
          <w:p w14:paraId="1EE32847" w14:textId="64015032" w:rsidR="0040569B" w:rsidRPr="008B6BBA" w:rsidRDefault="0040569B" w:rsidP="0040569B">
            <w:pPr>
              <w:spacing w:after="0" w:line="240" w:lineRule="auto"/>
              <w:jc w:val="center"/>
              <w:rPr>
                <w:rFonts w:ascii="Arial" w:eastAsia="Times New Roman" w:hAnsi="Arial" w:cs="Arial"/>
                <w:b/>
                <w:bCs/>
                <w:color w:val="000000"/>
                <w:sz w:val="20"/>
                <w:szCs w:val="20"/>
                <w:lang w:eastAsia="es-CR"/>
              </w:rPr>
            </w:pPr>
            <w:r w:rsidRPr="00003871">
              <w:t>-0.01%</w:t>
            </w:r>
          </w:p>
        </w:tc>
      </w:tr>
      <w:tr w:rsidR="0040569B" w:rsidRPr="00500683" w14:paraId="099ED694" w14:textId="77777777" w:rsidTr="003764E0">
        <w:trPr>
          <w:jc w:val="center"/>
        </w:trPr>
        <w:tc>
          <w:tcPr>
            <w:tcW w:w="6060" w:type="dxa"/>
            <w:shd w:val="clear" w:color="auto" w:fill="D9D9D9" w:themeFill="background1" w:themeFillShade="D9"/>
            <w:noWrap/>
          </w:tcPr>
          <w:p w14:paraId="74E3EFD4" w14:textId="2431192F" w:rsidR="0040569B" w:rsidRPr="00500683" w:rsidRDefault="0040569B" w:rsidP="0040569B">
            <w:pPr>
              <w:spacing w:after="0" w:line="240" w:lineRule="auto"/>
              <w:rPr>
                <w:b/>
                <w:bCs/>
              </w:rPr>
            </w:pPr>
            <w:r w:rsidRPr="00500683">
              <w:rPr>
                <w:b/>
                <w:bCs/>
              </w:rPr>
              <w:t>Rubros que no son Servicio de la Deuda</w:t>
            </w:r>
          </w:p>
        </w:tc>
        <w:tc>
          <w:tcPr>
            <w:tcW w:w="1841" w:type="dxa"/>
            <w:shd w:val="clear" w:color="auto" w:fill="D9D9D9" w:themeFill="background1" w:themeFillShade="D9"/>
            <w:noWrap/>
          </w:tcPr>
          <w:p w14:paraId="67748EC7" w14:textId="3235A65E" w:rsidR="0040569B" w:rsidRPr="00500683" w:rsidRDefault="0040569B" w:rsidP="0040569B">
            <w:pPr>
              <w:spacing w:after="0" w:line="240" w:lineRule="auto"/>
              <w:jc w:val="center"/>
              <w:rPr>
                <w:b/>
                <w:bCs/>
              </w:rPr>
            </w:pPr>
            <w:r w:rsidRPr="00500683">
              <w:rPr>
                <w:b/>
                <w:bCs/>
              </w:rPr>
              <w:t>-68,447</w:t>
            </w:r>
          </w:p>
        </w:tc>
        <w:tc>
          <w:tcPr>
            <w:tcW w:w="1568" w:type="dxa"/>
            <w:shd w:val="clear" w:color="auto" w:fill="D9D9D9" w:themeFill="background1" w:themeFillShade="D9"/>
            <w:noWrap/>
          </w:tcPr>
          <w:p w14:paraId="7D9649EC" w14:textId="53CCD3F9" w:rsidR="0040569B" w:rsidRPr="00500683" w:rsidRDefault="0040569B" w:rsidP="0040569B">
            <w:pPr>
              <w:spacing w:after="0" w:line="240" w:lineRule="auto"/>
              <w:jc w:val="center"/>
              <w:rPr>
                <w:b/>
                <w:bCs/>
              </w:rPr>
            </w:pPr>
            <w:r w:rsidRPr="00500683">
              <w:rPr>
                <w:b/>
                <w:bCs/>
              </w:rPr>
              <w:t>-0.19%</w:t>
            </w:r>
          </w:p>
        </w:tc>
      </w:tr>
      <w:tr w:rsidR="0040569B" w:rsidRPr="00896125" w14:paraId="2912C6F6" w14:textId="77777777" w:rsidTr="003764E0">
        <w:trPr>
          <w:jc w:val="center"/>
        </w:trPr>
        <w:tc>
          <w:tcPr>
            <w:tcW w:w="6060" w:type="dxa"/>
            <w:shd w:val="clear" w:color="auto" w:fill="auto"/>
            <w:noWrap/>
          </w:tcPr>
          <w:p w14:paraId="7F47F527" w14:textId="5DD5D169" w:rsidR="0040569B" w:rsidRPr="00500683" w:rsidRDefault="0040569B" w:rsidP="00500683">
            <w:pPr>
              <w:pStyle w:val="Prrafodelista"/>
              <w:numPr>
                <w:ilvl w:val="0"/>
                <w:numId w:val="23"/>
              </w:numPr>
              <w:spacing w:after="0" w:line="240" w:lineRule="auto"/>
              <w:rPr>
                <w:rFonts w:ascii="Arial" w:eastAsia="Times New Roman" w:hAnsi="Arial" w:cs="Arial"/>
                <w:color w:val="000000"/>
                <w:sz w:val="20"/>
                <w:szCs w:val="20"/>
                <w:lang w:eastAsia="es-CR"/>
              </w:rPr>
            </w:pPr>
            <w:r w:rsidRPr="00500683">
              <w:rPr>
                <w:rFonts w:ascii="Arial" w:eastAsia="Times New Roman" w:hAnsi="Arial" w:cs="Arial"/>
                <w:color w:val="000000"/>
                <w:sz w:val="20"/>
                <w:szCs w:val="20"/>
                <w:lang w:eastAsia="es-CR"/>
              </w:rPr>
              <w:t>Arrendamientos</w:t>
            </w:r>
          </w:p>
        </w:tc>
        <w:tc>
          <w:tcPr>
            <w:tcW w:w="1841" w:type="dxa"/>
            <w:shd w:val="clear" w:color="auto" w:fill="auto"/>
            <w:noWrap/>
          </w:tcPr>
          <w:p w14:paraId="0694DC5F" w14:textId="2D16EA3C" w:rsidR="0040569B" w:rsidRPr="00031DC2" w:rsidRDefault="0040569B" w:rsidP="0040569B">
            <w:pPr>
              <w:spacing w:after="0" w:line="240" w:lineRule="auto"/>
              <w:jc w:val="center"/>
            </w:pPr>
            <w:r w:rsidRPr="00003871">
              <w:t>-7,657</w:t>
            </w:r>
          </w:p>
        </w:tc>
        <w:tc>
          <w:tcPr>
            <w:tcW w:w="1568" w:type="dxa"/>
            <w:shd w:val="clear" w:color="auto" w:fill="auto"/>
            <w:noWrap/>
          </w:tcPr>
          <w:p w14:paraId="17D6DE17" w14:textId="13854484" w:rsidR="0040569B" w:rsidRPr="00031DC2" w:rsidRDefault="0040569B" w:rsidP="0040569B">
            <w:pPr>
              <w:spacing w:after="0" w:line="240" w:lineRule="auto"/>
              <w:jc w:val="center"/>
            </w:pPr>
            <w:r w:rsidRPr="00003871">
              <w:t>-0.02%</w:t>
            </w:r>
          </w:p>
        </w:tc>
      </w:tr>
      <w:tr w:rsidR="0040569B" w:rsidRPr="00896125" w14:paraId="5A738CCF" w14:textId="77777777" w:rsidTr="003764E0">
        <w:trPr>
          <w:jc w:val="center"/>
        </w:trPr>
        <w:tc>
          <w:tcPr>
            <w:tcW w:w="6060" w:type="dxa"/>
            <w:shd w:val="clear" w:color="auto" w:fill="auto"/>
            <w:noWrap/>
          </w:tcPr>
          <w:p w14:paraId="66F8BB9B" w14:textId="3D30078B" w:rsidR="0040569B" w:rsidRPr="00500683" w:rsidRDefault="0040569B" w:rsidP="00500683">
            <w:pPr>
              <w:pStyle w:val="Prrafodelista"/>
              <w:numPr>
                <w:ilvl w:val="0"/>
                <w:numId w:val="23"/>
              </w:numPr>
              <w:spacing w:after="0" w:line="240" w:lineRule="auto"/>
              <w:rPr>
                <w:rFonts w:ascii="Arial" w:eastAsia="Times New Roman" w:hAnsi="Arial" w:cs="Arial"/>
                <w:color w:val="000000"/>
                <w:sz w:val="20"/>
                <w:szCs w:val="20"/>
                <w:lang w:eastAsia="es-CR"/>
              </w:rPr>
            </w:pPr>
            <w:r w:rsidRPr="00500683">
              <w:rPr>
                <w:rFonts w:ascii="Arial" w:eastAsia="Times New Roman" w:hAnsi="Arial" w:cs="Arial"/>
                <w:color w:val="000000"/>
                <w:sz w:val="20"/>
                <w:szCs w:val="20"/>
                <w:lang w:eastAsia="es-CR"/>
              </w:rPr>
              <w:t>Adeudos con la CCSS</w:t>
            </w:r>
          </w:p>
        </w:tc>
        <w:tc>
          <w:tcPr>
            <w:tcW w:w="1841" w:type="dxa"/>
            <w:shd w:val="clear" w:color="auto" w:fill="auto"/>
            <w:noWrap/>
          </w:tcPr>
          <w:p w14:paraId="6F42186D" w14:textId="2FE4E016" w:rsidR="0040569B" w:rsidRPr="00031DC2" w:rsidRDefault="0040569B" w:rsidP="0040569B">
            <w:pPr>
              <w:spacing w:after="0" w:line="240" w:lineRule="auto"/>
              <w:jc w:val="center"/>
            </w:pPr>
            <w:r w:rsidRPr="00003871">
              <w:t>-60,790</w:t>
            </w:r>
          </w:p>
        </w:tc>
        <w:tc>
          <w:tcPr>
            <w:tcW w:w="1568" w:type="dxa"/>
            <w:shd w:val="clear" w:color="auto" w:fill="auto"/>
            <w:noWrap/>
          </w:tcPr>
          <w:p w14:paraId="55AFF5BF" w14:textId="089F196F" w:rsidR="0040569B" w:rsidRPr="00031DC2" w:rsidRDefault="0040569B" w:rsidP="0040569B">
            <w:pPr>
              <w:spacing w:after="0" w:line="240" w:lineRule="auto"/>
              <w:jc w:val="center"/>
            </w:pPr>
            <w:r w:rsidRPr="00003871">
              <w:t>-0.17%</w:t>
            </w:r>
          </w:p>
        </w:tc>
      </w:tr>
      <w:tr w:rsidR="003764E0" w:rsidRPr="003764E0" w14:paraId="3E0AC141" w14:textId="77777777" w:rsidTr="003764E0">
        <w:trPr>
          <w:jc w:val="center"/>
        </w:trPr>
        <w:tc>
          <w:tcPr>
            <w:tcW w:w="6060" w:type="dxa"/>
            <w:shd w:val="clear" w:color="auto" w:fill="7F7F7F" w:themeFill="text1" w:themeFillTint="80"/>
            <w:noWrap/>
          </w:tcPr>
          <w:p w14:paraId="5FCE4415" w14:textId="5A9F7BE2" w:rsidR="0040569B" w:rsidRPr="003764E0" w:rsidRDefault="0040569B" w:rsidP="0040569B">
            <w:pPr>
              <w:spacing w:after="0" w:line="240" w:lineRule="auto"/>
              <w:rPr>
                <w:b/>
                <w:bCs/>
                <w:color w:val="FFFFFF" w:themeColor="background1"/>
              </w:rPr>
            </w:pPr>
            <w:r w:rsidRPr="003764E0">
              <w:rPr>
                <w:b/>
                <w:bCs/>
                <w:color w:val="FFFFFF" w:themeColor="background1"/>
              </w:rPr>
              <w:t>Déficit subvaluado</w:t>
            </w:r>
          </w:p>
        </w:tc>
        <w:tc>
          <w:tcPr>
            <w:tcW w:w="1841" w:type="dxa"/>
            <w:shd w:val="clear" w:color="auto" w:fill="7F7F7F" w:themeFill="text1" w:themeFillTint="80"/>
            <w:noWrap/>
          </w:tcPr>
          <w:p w14:paraId="0716BF03" w14:textId="33606EA9" w:rsidR="0040569B" w:rsidRPr="003764E0" w:rsidRDefault="0040569B" w:rsidP="0040569B">
            <w:pPr>
              <w:spacing w:after="0" w:line="240" w:lineRule="auto"/>
              <w:jc w:val="center"/>
              <w:rPr>
                <w:b/>
                <w:bCs/>
                <w:color w:val="FFFFFF" w:themeColor="background1"/>
              </w:rPr>
            </w:pPr>
            <w:r w:rsidRPr="003764E0">
              <w:rPr>
                <w:b/>
                <w:bCs/>
                <w:color w:val="FFFFFF" w:themeColor="background1"/>
              </w:rPr>
              <w:t>-160,907</w:t>
            </w:r>
          </w:p>
        </w:tc>
        <w:tc>
          <w:tcPr>
            <w:tcW w:w="1568" w:type="dxa"/>
            <w:shd w:val="clear" w:color="auto" w:fill="7F7F7F" w:themeFill="text1" w:themeFillTint="80"/>
            <w:noWrap/>
          </w:tcPr>
          <w:p w14:paraId="0EAA805A" w14:textId="15820FE8" w:rsidR="0040569B" w:rsidRPr="003764E0" w:rsidRDefault="0040569B" w:rsidP="0040569B">
            <w:pPr>
              <w:spacing w:after="0" w:line="240" w:lineRule="auto"/>
              <w:jc w:val="center"/>
              <w:rPr>
                <w:b/>
                <w:bCs/>
                <w:color w:val="FFFFFF" w:themeColor="background1"/>
              </w:rPr>
            </w:pPr>
            <w:r w:rsidRPr="003764E0">
              <w:rPr>
                <w:b/>
                <w:bCs/>
                <w:color w:val="FFFFFF" w:themeColor="background1"/>
              </w:rPr>
              <w:t>-0.45%</w:t>
            </w:r>
          </w:p>
        </w:tc>
      </w:tr>
    </w:tbl>
    <w:p w14:paraId="1EBDD3DE" w14:textId="064F3FF6" w:rsidR="00500683" w:rsidRDefault="00500683" w:rsidP="003764E0">
      <w:pPr>
        <w:spacing w:after="0" w:line="240" w:lineRule="auto"/>
        <w:rPr>
          <w:rFonts w:ascii="Arial" w:hAnsi="Arial" w:cs="Arial"/>
          <w:b/>
          <w:bCs/>
          <w:sz w:val="14"/>
          <w:szCs w:val="14"/>
        </w:rPr>
      </w:pPr>
      <w:r>
        <w:rPr>
          <w:rFonts w:ascii="Arial" w:hAnsi="Arial" w:cs="Arial"/>
          <w:b/>
          <w:bCs/>
          <w:sz w:val="14"/>
          <w:szCs w:val="14"/>
        </w:rPr>
        <w:t>Nota: PIB utilizado a febrero de 202</w:t>
      </w:r>
      <w:r w:rsidR="00354049">
        <w:rPr>
          <w:rFonts w:ascii="Arial" w:hAnsi="Arial" w:cs="Arial"/>
          <w:b/>
          <w:bCs/>
          <w:sz w:val="14"/>
          <w:szCs w:val="14"/>
        </w:rPr>
        <w:t>: ¢</w:t>
      </w:r>
      <w:r>
        <w:rPr>
          <w:rFonts w:ascii="Arial" w:hAnsi="Arial" w:cs="Arial"/>
          <w:b/>
          <w:bCs/>
          <w:sz w:val="14"/>
          <w:szCs w:val="14"/>
        </w:rPr>
        <w:t>1</w:t>
      </w:r>
      <w:r w:rsidR="00354049" w:rsidRPr="00354049">
        <w:rPr>
          <w:rFonts w:ascii="Arial" w:hAnsi="Arial" w:cs="Arial"/>
          <w:b/>
          <w:bCs/>
          <w:sz w:val="14"/>
          <w:szCs w:val="14"/>
        </w:rPr>
        <w:t>35,983,495</w:t>
      </w:r>
      <w:r w:rsidR="00354049">
        <w:rPr>
          <w:rFonts w:ascii="Arial" w:hAnsi="Arial" w:cs="Arial"/>
          <w:b/>
          <w:bCs/>
          <w:sz w:val="14"/>
          <w:szCs w:val="14"/>
        </w:rPr>
        <w:t>,2 Millones.</w:t>
      </w:r>
    </w:p>
    <w:p w14:paraId="36330DAE" w14:textId="6D5F282C" w:rsidR="007704AA" w:rsidRDefault="007704AA" w:rsidP="003764E0">
      <w:pPr>
        <w:spacing w:after="0" w:line="240" w:lineRule="auto"/>
        <w:rPr>
          <w:rFonts w:ascii="Arial" w:hAnsi="Arial" w:cs="Arial"/>
          <w:b/>
          <w:bCs/>
          <w:sz w:val="14"/>
          <w:szCs w:val="14"/>
        </w:rPr>
      </w:pPr>
      <w:r w:rsidRPr="00896125">
        <w:rPr>
          <w:rFonts w:ascii="Arial" w:hAnsi="Arial" w:cs="Arial"/>
          <w:b/>
          <w:bCs/>
          <w:sz w:val="14"/>
          <w:szCs w:val="14"/>
        </w:rPr>
        <w:t>Fuente: Elaboración propia con base en datos de la CGR; Memoria Anual 202</w:t>
      </w:r>
      <w:r w:rsidR="00B921B8">
        <w:rPr>
          <w:rFonts w:ascii="Arial" w:hAnsi="Arial" w:cs="Arial"/>
          <w:b/>
          <w:bCs/>
          <w:sz w:val="14"/>
          <w:szCs w:val="14"/>
        </w:rPr>
        <w:t>0</w:t>
      </w:r>
      <w:r w:rsidRPr="00896125">
        <w:rPr>
          <w:rFonts w:ascii="Arial" w:hAnsi="Arial" w:cs="Arial"/>
          <w:b/>
          <w:bCs/>
          <w:sz w:val="14"/>
          <w:szCs w:val="14"/>
        </w:rPr>
        <w:t>.</w:t>
      </w:r>
    </w:p>
    <w:p w14:paraId="1F10E9B3" w14:textId="77777777" w:rsidR="00884DD8" w:rsidRPr="00896125" w:rsidRDefault="00884DD8" w:rsidP="00884DD8">
      <w:pPr>
        <w:spacing w:after="0" w:line="240" w:lineRule="auto"/>
        <w:ind w:left="284"/>
        <w:rPr>
          <w:rFonts w:ascii="Arial" w:hAnsi="Arial" w:cs="Arial"/>
          <w:b/>
          <w:bCs/>
          <w:sz w:val="14"/>
          <w:szCs w:val="14"/>
        </w:rPr>
      </w:pPr>
    </w:p>
    <w:p w14:paraId="2EC1CCE8" w14:textId="4EA4549F" w:rsidR="007704AA" w:rsidRDefault="007704AA" w:rsidP="007704AA">
      <w:pPr>
        <w:spacing w:line="276" w:lineRule="auto"/>
        <w:jc w:val="both"/>
        <w:rPr>
          <w:rFonts w:ascii="Arial" w:hAnsi="Arial" w:cs="Arial"/>
          <w:sz w:val="24"/>
          <w:szCs w:val="24"/>
        </w:rPr>
      </w:pPr>
      <w:r w:rsidRPr="00C80037">
        <w:rPr>
          <w:rFonts w:ascii="Arial" w:hAnsi="Arial" w:cs="Arial"/>
          <w:sz w:val="24"/>
          <w:szCs w:val="24"/>
        </w:rPr>
        <w:t>En ese sentido, el déficit financiero, no debió ser 8.1% del PIB, sino haber alcanzado el 8.5% del PIB para el 2020, y el déficit primario alcanzar el -3.</w:t>
      </w:r>
      <w:r w:rsidR="00DA3FDA">
        <w:rPr>
          <w:rFonts w:ascii="Arial" w:hAnsi="Arial" w:cs="Arial"/>
          <w:sz w:val="24"/>
          <w:szCs w:val="24"/>
        </w:rPr>
        <w:t>9</w:t>
      </w:r>
      <w:r w:rsidRPr="00C80037">
        <w:rPr>
          <w:rFonts w:ascii="Arial" w:hAnsi="Arial" w:cs="Arial"/>
          <w:sz w:val="24"/>
          <w:szCs w:val="24"/>
        </w:rPr>
        <w:t>% del PIB en lugar del -3,4% que fuera publicado por el Banco Central y el Ministerio de Hacienda. En el siguiente cuadro se realiza el comparativo de ambos datos para efectos de claridad y transparencia.</w:t>
      </w:r>
    </w:p>
    <w:p w14:paraId="0AA5684A" w14:textId="77777777" w:rsidR="007704AA" w:rsidRPr="00C80037" w:rsidRDefault="007704AA" w:rsidP="007704AA">
      <w:pPr>
        <w:spacing w:line="240" w:lineRule="auto"/>
        <w:jc w:val="center"/>
        <w:rPr>
          <w:rFonts w:ascii="Arial" w:hAnsi="Arial" w:cs="Arial"/>
          <w:b/>
          <w:bCs/>
          <w:sz w:val="24"/>
          <w:szCs w:val="24"/>
        </w:rPr>
      </w:pPr>
      <w:r w:rsidRPr="00C80037">
        <w:rPr>
          <w:rFonts w:ascii="Arial" w:hAnsi="Arial" w:cs="Arial"/>
          <w:b/>
          <w:bCs/>
          <w:sz w:val="24"/>
          <w:szCs w:val="24"/>
        </w:rPr>
        <w:t xml:space="preserve">Impacto en las cifras fiscales de los registros no </w:t>
      </w:r>
      <w:r w:rsidRPr="00C80037">
        <w:rPr>
          <w:rFonts w:ascii="Arial" w:hAnsi="Arial" w:cs="Arial"/>
          <w:b/>
          <w:bCs/>
          <w:sz w:val="24"/>
          <w:szCs w:val="24"/>
        </w:rPr>
        <w:br/>
        <w:t>contabilizados por el Ministerio de Hacienda</w:t>
      </w:r>
    </w:p>
    <w:tbl>
      <w:tblPr>
        <w:tblW w:w="5382" w:type="dxa"/>
        <w:jc w:val="center"/>
        <w:tblLayout w:type="fixed"/>
        <w:tblCellMar>
          <w:left w:w="70" w:type="dxa"/>
          <w:right w:w="70" w:type="dxa"/>
        </w:tblCellMar>
        <w:tblLook w:val="04A0" w:firstRow="1" w:lastRow="0" w:firstColumn="1" w:lastColumn="0" w:noHBand="0" w:noVBand="1"/>
      </w:tblPr>
      <w:tblGrid>
        <w:gridCol w:w="1081"/>
        <w:gridCol w:w="1101"/>
        <w:gridCol w:w="1061"/>
        <w:gridCol w:w="1101"/>
        <w:gridCol w:w="1038"/>
      </w:tblGrid>
      <w:tr w:rsidR="004724D3" w:rsidRPr="00357C5B" w14:paraId="454E563C" w14:textId="77777777" w:rsidTr="009373A2">
        <w:trPr>
          <w:trHeight w:val="50"/>
          <w:jc w:val="center"/>
        </w:trPr>
        <w:tc>
          <w:tcPr>
            <w:tcW w:w="10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EA3AC" w14:textId="77777777" w:rsidR="007704AA" w:rsidRPr="00357C5B" w:rsidRDefault="007704AA" w:rsidP="009373A2">
            <w:pPr>
              <w:spacing w:after="0" w:line="240" w:lineRule="auto"/>
              <w:jc w:val="center"/>
              <w:rPr>
                <w:rFonts w:ascii="Arial" w:eastAsia="Times New Roman" w:hAnsi="Arial" w:cs="Arial"/>
                <w:b/>
                <w:bCs/>
                <w:color w:val="000000"/>
                <w:sz w:val="18"/>
                <w:szCs w:val="18"/>
                <w:lang w:eastAsia="es-CR"/>
              </w:rPr>
            </w:pPr>
            <w:r w:rsidRPr="00357C5B">
              <w:rPr>
                <w:rFonts w:ascii="Arial" w:eastAsia="Times New Roman" w:hAnsi="Arial" w:cs="Arial"/>
                <w:b/>
                <w:bCs/>
                <w:color w:val="000000"/>
                <w:sz w:val="18"/>
                <w:szCs w:val="18"/>
                <w:lang w:eastAsia="es-CR"/>
              </w:rPr>
              <w:t>DÉFICIT</w:t>
            </w:r>
          </w:p>
        </w:tc>
        <w:tc>
          <w:tcPr>
            <w:tcW w:w="2162" w:type="dxa"/>
            <w:gridSpan w:val="2"/>
            <w:tcBorders>
              <w:top w:val="single" w:sz="4" w:space="0" w:color="auto"/>
              <w:left w:val="nil"/>
              <w:bottom w:val="single" w:sz="4" w:space="0" w:color="auto"/>
              <w:right w:val="single" w:sz="4" w:space="0" w:color="auto"/>
            </w:tcBorders>
            <w:shd w:val="clear" w:color="auto" w:fill="auto"/>
            <w:vAlign w:val="center"/>
            <w:hideMark/>
          </w:tcPr>
          <w:p w14:paraId="0EF9A739" w14:textId="77777777" w:rsidR="007704AA" w:rsidRPr="00357C5B" w:rsidRDefault="007704AA" w:rsidP="009373A2">
            <w:pPr>
              <w:spacing w:after="0" w:line="240" w:lineRule="auto"/>
              <w:jc w:val="center"/>
              <w:rPr>
                <w:rFonts w:ascii="Arial" w:eastAsia="Times New Roman" w:hAnsi="Arial" w:cs="Arial"/>
                <w:b/>
                <w:bCs/>
                <w:color w:val="000000"/>
                <w:sz w:val="18"/>
                <w:szCs w:val="18"/>
                <w:lang w:eastAsia="es-CR"/>
              </w:rPr>
            </w:pPr>
            <w:r w:rsidRPr="00896125">
              <w:rPr>
                <w:rFonts w:ascii="Arial" w:eastAsia="Times New Roman" w:hAnsi="Arial" w:cs="Arial"/>
                <w:b/>
                <w:bCs/>
                <w:color w:val="000000"/>
                <w:sz w:val="18"/>
                <w:szCs w:val="18"/>
                <w:lang w:eastAsia="es-CR"/>
              </w:rPr>
              <w:t>HACIENDA</w:t>
            </w:r>
          </w:p>
        </w:tc>
        <w:tc>
          <w:tcPr>
            <w:tcW w:w="2139" w:type="dxa"/>
            <w:gridSpan w:val="2"/>
            <w:tcBorders>
              <w:top w:val="single" w:sz="4" w:space="0" w:color="auto"/>
              <w:left w:val="nil"/>
              <w:bottom w:val="single" w:sz="4" w:space="0" w:color="auto"/>
              <w:right w:val="single" w:sz="4" w:space="0" w:color="auto"/>
            </w:tcBorders>
            <w:shd w:val="clear" w:color="auto" w:fill="auto"/>
            <w:vAlign w:val="center"/>
            <w:hideMark/>
          </w:tcPr>
          <w:p w14:paraId="1A90EFDB" w14:textId="77777777" w:rsidR="007704AA" w:rsidRPr="00357C5B" w:rsidRDefault="007704AA" w:rsidP="009373A2">
            <w:pPr>
              <w:spacing w:after="0" w:line="240" w:lineRule="auto"/>
              <w:jc w:val="center"/>
              <w:rPr>
                <w:rFonts w:ascii="Arial" w:eastAsia="Times New Roman" w:hAnsi="Arial" w:cs="Arial"/>
                <w:b/>
                <w:bCs/>
                <w:color w:val="000000"/>
                <w:sz w:val="18"/>
                <w:szCs w:val="18"/>
                <w:lang w:eastAsia="es-CR"/>
              </w:rPr>
            </w:pPr>
            <w:r w:rsidRPr="00896125">
              <w:rPr>
                <w:rFonts w:ascii="Arial" w:eastAsia="Times New Roman" w:hAnsi="Arial" w:cs="Arial"/>
                <w:b/>
                <w:bCs/>
                <w:color w:val="000000"/>
                <w:sz w:val="18"/>
                <w:szCs w:val="18"/>
                <w:lang w:eastAsia="es-CR"/>
              </w:rPr>
              <w:t>HACIENDA + CGR (LIQUIDACIÓN)</w:t>
            </w:r>
          </w:p>
        </w:tc>
      </w:tr>
      <w:tr w:rsidR="004724D3" w:rsidRPr="00357C5B" w14:paraId="76BBED90" w14:textId="77777777" w:rsidTr="009373A2">
        <w:trPr>
          <w:trHeight w:val="50"/>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694F260B" w14:textId="77777777" w:rsidR="007704AA" w:rsidRPr="00357C5B" w:rsidRDefault="007704AA" w:rsidP="009373A2">
            <w:pPr>
              <w:spacing w:after="0" w:line="240" w:lineRule="auto"/>
              <w:rPr>
                <w:rFonts w:ascii="Arial" w:eastAsia="Times New Roman" w:hAnsi="Arial" w:cs="Arial"/>
                <w:b/>
                <w:bCs/>
                <w:color w:val="000000"/>
                <w:sz w:val="18"/>
                <w:szCs w:val="18"/>
                <w:lang w:eastAsia="es-CR"/>
              </w:rPr>
            </w:pPr>
          </w:p>
        </w:tc>
        <w:tc>
          <w:tcPr>
            <w:tcW w:w="1101" w:type="dxa"/>
            <w:tcBorders>
              <w:top w:val="nil"/>
              <w:left w:val="nil"/>
              <w:bottom w:val="single" w:sz="4" w:space="0" w:color="auto"/>
              <w:right w:val="single" w:sz="4" w:space="0" w:color="auto"/>
            </w:tcBorders>
            <w:shd w:val="clear" w:color="auto" w:fill="auto"/>
            <w:noWrap/>
            <w:vAlign w:val="center"/>
            <w:hideMark/>
          </w:tcPr>
          <w:p w14:paraId="1C736391" w14:textId="77777777" w:rsidR="007704AA" w:rsidRPr="00357C5B" w:rsidRDefault="007704AA" w:rsidP="009373A2">
            <w:pPr>
              <w:spacing w:after="0" w:line="240" w:lineRule="auto"/>
              <w:jc w:val="center"/>
              <w:rPr>
                <w:rFonts w:ascii="Arial" w:eastAsia="Times New Roman" w:hAnsi="Arial" w:cs="Arial"/>
                <w:b/>
                <w:bCs/>
                <w:i/>
                <w:iCs/>
                <w:color w:val="000000"/>
                <w:sz w:val="18"/>
                <w:szCs w:val="18"/>
                <w:lang w:eastAsia="es-CR"/>
              </w:rPr>
            </w:pPr>
            <w:r w:rsidRPr="00357C5B">
              <w:rPr>
                <w:rFonts w:ascii="Arial" w:eastAsia="Times New Roman" w:hAnsi="Arial" w:cs="Arial"/>
                <w:b/>
                <w:bCs/>
                <w:i/>
                <w:iCs/>
                <w:color w:val="000000"/>
                <w:sz w:val="18"/>
                <w:szCs w:val="18"/>
                <w:lang w:eastAsia="es-CR"/>
              </w:rPr>
              <w:t>Monto</w:t>
            </w:r>
          </w:p>
        </w:tc>
        <w:tc>
          <w:tcPr>
            <w:tcW w:w="1061" w:type="dxa"/>
            <w:tcBorders>
              <w:top w:val="nil"/>
              <w:left w:val="nil"/>
              <w:bottom w:val="single" w:sz="4" w:space="0" w:color="auto"/>
              <w:right w:val="single" w:sz="4" w:space="0" w:color="auto"/>
            </w:tcBorders>
            <w:shd w:val="clear" w:color="auto" w:fill="auto"/>
            <w:noWrap/>
            <w:vAlign w:val="center"/>
            <w:hideMark/>
          </w:tcPr>
          <w:p w14:paraId="11BF76EA" w14:textId="77777777" w:rsidR="007704AA" w:rsidRPr="00357C5B" w:rsidRDefault="007704AA" w:rsidP="009373A2">
            <w:pPr>
              <w:spacing w:after="0" w:line="240" w:lineRule="auto"/>
              <w:jc w:val="center"/>
              <w:rPr>
                <w:rFonts w:ascii="Arial" w:eastAsia="Times New Roman" w:hAnsi="Arial" w:cs="Arial"/>
                <w:b/>
                <w:bCs/>
                <w:i/>
                <w:iCs/>
                <w:color w:val="000000"/>
                <w:sz w:val="18"/>
                <w:szCs w:val="18"/>
                <w:lang w:eastAsia="es-CR"/>
              </w:rPr>
            </w:pPr>
            <w:r w:rsidRPr="00357C5B">
              <w:rPr>
                <w:rFonts w:ascii="Arial" w:eastAsia="Times New Roman" w:hAnsi="Arial" w:cs="Arial"/>
                <w:b/>
                <w:bCs/>
                <w:i/>
                <w:iCs/>
                <w:color w:val="000000"/>
                <w:sz w:val="18"/>
                <w:szCs w:val="18"/>
                <w:lang w:eastAsia="es-CR"/>
              </w:rPr>
              <w:t>% del PIB</w:t>
            </w:r>
          </w:p>
        </w:tc>
        <w:tc>
          <w:tcPr>
            <w:tcW w:w="1101" w:type="dxa"/>
            <w:tcBorders>
              <w:top w:val="nil"/>
              <w:left w:val="nil"/>
              <w:bottom w:val="single" w:sz="4" w:space="0" w:color="auto"/>
              <w:right w:val="single" w:sz="4" w:space="0" w:color="auto"/>
            </w:tcBorders>
            <w:shd w:val="clear" w:color="auto" w:fill="auto"/>
            <w:noWrap/>
            <w:vAlign w:val="center"/>
            <w:hideMark/>
          </w:tcPr>
          <w:p w14:paraId="79419C30" w14:textId="77777777" w:rsidR="007704AA" w:rsidRPr="00357C5B" w:rsidRDefault="007704AA" w:rsidP="009373A2">
            <w:pPr>
              <w:spacing w:after="0" w:line="240" w:lineRule="auto"/>
              <w:jc w:val="center"/>
              <w:rPr>
                <w:rFonts w:ascii="Arial" w:eastAsia="Times New Roman" w:hAnsi="Arial" w:cs="Arial"/>
                <w:b/>
                <w:bCs/>
                <w:i/>
                <w:iCs/>
                <w:color w:val="000000"/>
                <w:sz w:val="18"/>
                <w:szCs w:val="18"/>
                <w:lang w:eastAsia="es-CR"/>
              </w:rPr>
            </w:pPr>
            <w:r w:rsidRPr="00357C5B">
              <w:rPr>
                <w:rFonts w:ascii="Arial" w:eastAsia="Times New Roman" w:hAnsi="Arial" w:cs="Arial"/>
                <w:b/>
                <w:bCs/>
                <w:i/>
                <w:iCs/>
                <w:color w:val="000000"/>
                <w:sz w:val="18"/>
                <w:szCs w:val="18"/>
                <w:lang w:eastAsia="es-CR"/>
              </w:rPr>
              <w:t>Monto</w:t>
            </w:r>
          </w:p>
        </w:tc>
        <w:tc>
          <w:tcPr>
            <w:tcW w:w="1038" w:type="dxa"/>
            <w:tcBorders>
              <w:top w:val="nil"/>
              <w:left w:val="nil"/>
              <w:bottom w:val="single" w:sz="4" w:space="0" w:color="auto"/>
              <w:right w:val="single" w:sz="4" w:space="0" w:color="auto"/>
            </w:tcBorders>
            <w:shd w:val="clear" w:color="auto" w:fill="auto"/>
            <w:noWrap/>
            <w:vAlign w:val="center"/>
            <w:hideMark/>
          </w:tcPr>
          <w:p w14:paraId="6511CB95" w14:textId="77777777" w:rsidR="007704AA" w:rsidRPr="00357C5B" w:rsidRDefault="007704AA" w:rsidP="009373A2">
            <w:pPr>
              <w:spacing w:after="0" w:line="240" w:lineRule="auto"/>
              <w:jc w:val="center"/>
              <w:rPr>
                <w:rFonts w:ascii="Arial" w:eastAsia="Times New Roman" w:hAnsi="Arial" w:cs="Arial"/>
                <w:b/>
                <w:bCs/>
                <w:i/>
                <w:iCs/>
                <w:color w:val="000000"/>
                <w:sz w:val="18"/>
                <w:szCs w:val="18"/>
                <w:lang w:eastAsia="es-CR"/>
              </w:rPr>
            </w:pPr>
            <w:r w:rsidRPr="00357C5B">
              <w:rPr>
                <w:rFonts w:ascii="Arial" w:eastAsia="Times New Roman" w:hAnsi="Arial" w:cs="Arial"/>
                <w:b/>
                <w:bCs/>
                <w:i/>
                <w:iCs/>
                <w:color w:val="000000"/>
                <w:sz w:val="18"/>
                <w:szCs w:val="18"/>
                <w:lang w:eastAsia="es-CR"/>
              </w:rPr>
              <w:t>% del PIB</w:t>
            </w:r>
          </w:p>
        </w:tc>
      </w:tr>
      <w:tr w:rsidR="00142969" w:rsidRPr="00357C5B" w14:paraId="17765C71" w14:textId="77777777" w:rsidTr="005A45A6">
        <w:trPr>
          <w:trHeight w:val="580"/>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2295B6BC" w14:textId="77777777" w:rsidR="00142969" w:rsidRPr="00357C5B" w:rsidRDefault="00142969" w:rsidP="00142969">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Financiero</w:t>
            </w:r>
          </w:p>
        </w:tc>
        <w:tc>
          <w:tcPr>
            <w:tcW w:w="1101" w:type="dxa"/>
            <w:tcBorders>
              <w:top w:val="nil"/>
              <w:left w:val="nil"/>
              <w:bottom w:val="single" w:sz="4" w:space="0" w:color="auto"/>
              <w:right w:val="single" w:sz="4" w:space="0" w:color="auto"/>
            </w:tcBorders>
            <w:shd w:val="clear" w:color="auto" w:fill="auto"/>
            <w:noWrap/>
            <w:vAlign w:val="center"/>
            <w:hideMark/>
          </w:tcPr>
          <w:p w14:paraId="649002DE" w14:textId="77777777"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-2.905.930</w:t>
            </w:r>
          </w:p>
        </w:tc>
        <w:tc>
          <w:tcPr>
            <w:tcW w:w="1061" w:type="dxa"/>
            <w:tcBorders>
              <w:top w:val="nil"/>
              <w:left w:val="nil"/>
              <w:bottom w:val="single" w:sz="4" w:space="0" w:color="auto"/>
              <w:right w:val="single" w:sz="4" w:space="0" w:color="auto"/>
            </w:tcBorders>
            <w:shd w:val="clear" w:color="auto" w:fill="auto"/>
            <w:noWrap/>
            <w:vAlign w:val="center"/>
            <w:hideMark/>
          </w:tcPr>
          <w:p w14:paraId="03CADDD0" w14:textId="77777777"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-8,1%</w:t>
            </w:r>
          </w:p>
        </w:tc>
        <w:tc>
          <w:tcPr>
            <w:tcW w:w="1101" w:type="dxa"/>
            <w:tcBorders>
              <w:top w:val="nil"/>
              <w:left w:val="nil"/>
              <w:bottom w:val="single" w:sz="4" w:space="0" w:color="auto"/>
              <w:right w:val="single" w:sz="4" w:space="0" w:color="auto"/>
            </w:tcBorders>
            <w:shd w:val="clear" w:color="auto" w:fill="auto"/>
            <w:noWrap/>
            <w:vAlign w:val="center"/>
            <w:hideMark/>
          </w:tcPr>
          <w:p w14:paraId="18AC1BE7" w14:textId="50FB0807"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142969">
              <w:rPr>
                <w:rFonts w:ascii="Arial" w:eastAsia="Times New Roman" w:hAnsi="Arial" w:cs="Arial"/>
                <w:color w:val="000000"/>
                <w:sz w:val="18"/>
                <w:szCs w:val="18"/>
                <w:lang w:eastAsia="es-CR"/>
              </w:rPr>
              <w:t>-3,066,837</w:t>
            </w:r>
          </w:p>
        </w:tc>
        <w:tc>
          <w:tcPr>
            <w:tcW w:w="1038" w:type="dxa"/>
            <w:tcBorders>
              <w:top w:val="nil"/>
              <w:left w:val="nil"/>
              <w:bottom w:val="single" w:sz="4" w:space="0" w:color="auto"/>
              <w:right w:val="single" w:sz="4" w:space="0" w:color="auto"/>
            </w:tcBorders>
            <w:shd w:val="clear" w:color="auto" w:fill="auto"/>
            <w:noWrap/>
            <w:vAlign w:val="center"/>
            <w:hideMark/>
          </w:tcPr>
          <w:p w14:paraId="1DB72E42" w14:textId="77777777"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-8,5%</w:t>
            </w:r>
          </w:p>
        </w:tc>
      </w:tr>
      <w:tr w:rsidR="00142969" w:rsidRPr="00357C5B" w14:paraId="6AC8F776" w14:textId="77777777" w:rsidTr="005A45A6">
        <w:trPr>
          <w:trHeight w:val="290"/>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32C512F3" w14:textId="77777777" w:rsidR="00142969" w:rsidRPr="00357C5B" w:rsidRDefault="00142969" w:rsidP="00142969">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Primario</w:t>
            </w:r>
          </w:p>
        </w:tc>
        <w:tc>
          <w:tcPr>
            <w:tcW w:w="1101" w:type="dxa"/>
            <w:tcBorders>
              <w:top w:val="nil"/>
              <w:left w:val="nil"/>
              <w:bottom w:val="single" w:sz="4" w:space="0" w:color="auto"/>
              <w:right w:val="single" w:sz="4" w:space="0" w:color="auto"/>
            </w:tcBorders>
            <w:shd w:val="clear" w:color="auto" w:fill="auto"/>
            <w:noWrap/>
            <w:vAlign w:val="center"/>
            <w:hideMark/>
          </w:tcPr>
          <w:p w14:paraId="4D74BB16" w14:textId="77777777"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-1.224.622</w:t>
            </w:r>
          </w:p>
        </w:tc>
        <w:tc>
          <w:tcPr>
            <w:tcW w:w="1061" w:type="dxa"/>
            <w:tcBorders>
              <w:top w:val="nil"/>
              <w:left w:val="nil"/>
              <w:bottom w:val="single" w:sz="4" w:space="0" w:color="auto"/>
              <w:right w:val="single" w:sz="4" w:space="0" w:color="auto"/>
            </w:tcBorders>
            <w:shd w:val="clear" w:color="auto" w:fill="auto"/>
            <w:noWrap/>
            <w:vAlign w:val="center"/>
            <w:hideMark/>
          </w:tcPr>
          <w:p w14:paraId="123A076C" w14:textId="77777777"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-3,4%</w:t>
            </w:r>
          </w:p>
        </w:tc>
        <w:tc>
          <w:tcPr>
            <w:tcW w:w="1101" w:type="dxa"/>
            <w:tcBorders>
              <w:top w:val="nil"/>
              <w:left w:val="nil"/>
              <w:bottom w:val="single" w:sz="4" w:space="0" w:color="auto"/>
              <w:right w:val="single" w:sz="4" w:space="0" w:color="auto"/>
            </w:tcBorders>
            <w:shd w:val="clear" w:color="auto" w:fill="auto"/>
            <w:noWrap/>
            <w:vAlign w:val="center"/>
            <w:hideMark/>
          </w:tcPr>
          <w:p w14:paraId="573B7833" w14:textId="60C07D9C"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142969">
              <w:rPr>
                <w:rFonts w:ascii="Arial" w:eastAsia="Times New Roman" w:hAnsi="Arial" w:cs="Arial"/>
                <w:color w:val="000000"/>
                <w:sz w:val="18"/>
                <w:szCs w:val="18"/>
                <w:lang w:eastAsia="es-CR"/>
              </w:rPr>
              <w:t>-1,385,529</w:t>
            </w:r>
          </w:p>
        </w:tc>
        <w:tc>
          <w:tcPr>
            <w:tcW w:w="1038" w:type="dxa"/>
            <w:tcBorders>
              <w:top w:val="nil"/>
              <w:left w:val="nil"/>
              <w:bottom w:val="single" w:sz="4" w:space="0" w:color="auto"/>
              <w:right w:val="single" w:sz="4" w:space="0" w:color="auto"/>
            </w:tcBorders>
            <w:shd w:val="clear" w:color="auto" w:fill="auto"/>
            <w:noWrap/>
            <w:vAlign w:val="center"/>
            <w:hideMark/>
          </w:tcPr>
          <w:p w14:paraId="1F7F1EB0" w14:textId="24C036A7" w:rsidR="00142969" w:rsidRPr="00357C5B" w:rsidRDefault="00142969" w:rsidP="005A45A6">
            <w:pPr>
              <w:spacing w:after="0" w:line="240" w:lineRule="auto"/>
              <w:jc w:val="center"/>
              <w:rPr>
                <w:rFonts w:ascii="Arial" w:eastAsia="Times New Roman" w:hAnsi="Arial" w:cs="Arial"/>
                <w:color w:val="000000"/>
                <w:sz w:val="18"/>
                <w:szCs w:val="18"/>
                <w:lang w:eastAsia="es-CR"/>
              </w:rPr>
            </w:pPr>
            <w:r w:rsidRPr="00357C5B">
              <w:rPr>
                <w:rFonts w:ascii="Arial" w:eastAsia="Times New Roman" w:hAnsi="Arial" w:cs="Arial"/>
                <w:color w:val="000000"/>
                <w:sz w:val="18"/>
                <w:szCs w:val="18"/>
                <w:lang w:eastAsia="es-CR"/>
              </w:rPr>
              <w:t>-3,</w:t>
            </w:r>
            <w:r>
              <w:rPr>
                <w:rFonts w:ascii="Arial" w:eastAsia="Times New Roman" w:hAnsi="Arial" w:cs="Arial"/>
                <w:color w:val="000000"/>
                <w:sz w:val="18"/>
                <w:szCs w:val="18"/>
                <w:lang w:eastAsia="es-CR"/>
              </w:rPr>
              <w:t>9</w:t>
            </w:r>
            <w:r w:rsidRPr="00357C5B">
              <w:rPr>
                <w:rFonts w:ascii="Arial" w:eastAsia="Times New Roman" w:hAnsi="Arial" w:cs="Arial"/>
                <w:color w:val="000000"/>
                <w:sz w:val="18"/>
                <w:szCs w:val="18"/>
                <w:lang w:eastAsia="es-CR"/>
              </w:rPr>
              <w:t>%</w:t>
            </w:r>
          </w:p>
        </w:tc>
      </w:tr>
    </w:tbl>
    <w:p w14:paraId="3ACA6C8B" w14:textId="7A0C5004" w:rsidR="007704AA" w:rsidRPr="00896125" w:rsidRDefault="007704AA" w:rsidP="007704AA">
      <w:pPr>
        <w:ind w:left="1843"/>
        <w:rPr>
          <w:rFonts w:ascii="Arial" w:hAnsi="Arial" w:cs="Arial"/>
          <w:b/>
          <w:bCs/>
          <w:sz w:val="14"/>
          <w:szCs w:val="14"/>
        </w:rPr>
      </w:pPr>
      <w:r w:rsidRPr="00896125">
        <w:rPr>
          <w:rFonts w:ascii="Arial" w:hAnsi="Arial" w:cs="Arial"/>
          <w:b/>
          <w:bCs/>
          <w:sz w:val="14"/>
          <w:szCs w:val="14"/>
        </w:rPr>
        <w:t xml:space="preserve">Fuente: Elaboración propia con base en datos de la CGR; </w:t>
      </w:r>
      <w:r w:rsidR="00B921B8">
        <w:rPr>
          <w:rFonts w:ascii="Arial" w:hAnsi="Arial" w:cs="Arial"/>
          <w:b/>
          <w:bCs/>
          <w:sz w:val="14"/>
          <w:szCs w:val="14"/>
        </w:rPr>
        <w:t>Memoria Anual 2020</w:t>
      </w:r>
      <w:r w:rsidRPr="00896125">
        <w:rPr>
          <w:rFonts w:ascii="Arial" w:hAnsi="Arial" w:cs="Arial"/>
          <w:b/>
          <w:bCs/>
          <w:sz w:val="14"/>
          <w:szCs w:val="14"/>
        </w:rPr>
        <w:t>.</w:t>
      </w:r>
    </w:p>
    <w:p w14:paraId="02B2E1F2" w14:textId="77777777" w:rsidR="007704AA" w:rsidRDefault="007704AA" w:rsidP="007704AA">
      <w:pPr>
        <w:spacing w:line="276" w:lineRule="auto"/>
        <w:jc w:val="both"/>
        <w:rPr>
          <w:rFonts w:ascii="Arial" w:hAnsi="Arial" w:cs="Arial"/>
          <w:sz w:val="24"/>
          <w:szCs w:val="24"/>
        </w:rPr>
      </w:pPr>
      <w:r>
        <w:rPr>
          <w:rFonts w:ascii="Arial" w:hAnsi="Arial" w:cs="Arial"/>
          <w:sz w:val="24"/>
          <w:szCs w:val="24"/>
        </w:rPr>
        <w:t>Aun con estas desavenencias en las cifras entre la Contraloría General de la República y el Ministerio de Hacienda, que no son menores, el Gobierno de la República tiene una visión optimista del logro de las metas que se quieren alcanzar en los próximos años para lograr algo de equilibrio en las finanzas públicas y llevar estabilidad a la explosiva deuda gubernamental.</w:t>
      </w:r>
    </w:p>
    <w:p w14:paraId="2392C567" w14:textId="14A3FC7E" w:rsidR="007704AA" w:rsidRDefault="007704AA" w:rsidP="007704AA">
      <w:pPr>
        <w:spacing w:line="276" w:lineRule="auto"/>
        <w:jc w:val="both"/>
        <w:rPr>
          <w:rFonts w:ascii="Arial" w:hAnsi="Arial" w:cs="Arial"/>
          <w:sz w:val="24"/>
          <w:szCs w:val="24"/>
        </w:rPr>
      </w:pPr>
      <w:r>
        <w:rPr>
          <w:rFonts w:ascii="Arial" w:hAnsi="Arial" w:cs="Arial"/>
          <w:sz w:val="24"/>
          <w:szCs w:val="24"/>
        </w:rPr>
        <w:t>El Poder Ejecutivo, en el Marco Fiscal de Mediano Plazo para el periodo 2021-2025, expone que las proyecciones nacen con un déficit financiero de -8,7% del 2020, y de</w:t>
      </w:r>
      <w:r w:rsidR="00B87A4E">
        <w:rPr>
          <w:rFonts w:ascii="Arial" w:hAnsi="Arial" w:cs="Arial"/>
          <w:sz w:val="24"/>
          <w:szCs w:val="24"/>
        </w:rPr>
        <w:t xml:space="preserve"> </w:t>
      </w:r>
      <w:r w:rsidR="00B87A4E">
        <w:rPr>
          <w:rFonts w:ascii="Arial" w:hAnsi="Arial" w:cs="Arial"/>
          <w:sz w:val="24"/>
          <w:szCs w:val="24"/>
        </w:rPr>
        <w:br/>
      </w:r>
      <w:r>
        <w:rPr>
          <w:rFonts w:ascii="Arial" w:hAnsi="Arial" w:cs="Arial"/>
          <w:sz w:val="24"/>
          <w:szCs w:val="24"/>
        </w:rPr>
        <w:t>-3.9% en cuanto al balance primario, datos que son relevantes en virtud del esfuerzo que es necesario realizar para alcanzar la meta de 1 punto porcentual de superávit primario al 2023, con el Fondo Monetario Internacional.</w:t>
      </w:r>
    </w:p>
    <w:p w14:paraId="50ABB4A5" w14:textId="28DF4B0D" w:rsidR="007704AA" w:rsidRDefault="007704AA" w:rsidP="007704AA">
      <w:pPr>
        <w:spacing w:line="276" w:lineRule="auto"/>
        <w:jc w:val="both"/>
        <w:rPr>
          <w:rFonts w:ascii="Arial" w:hAnsi="Arial" w:cs="Arial"/>
          <w:sz w:val="24"/>
          <w:szCs w:val="24"/>
        </w:rPr>
      </w:pPr>
      <w:r>
        <w:rPr>
          <w:rFonts w:ascii="Arial" w:hAnsi="Arial" w:cs="Arial"/>
          <w:sz w:val="24"/>
          <w:szCs w:val="24"/>
        </w:rPr>
        <w:t>Definir claramente si la realidad actual es de -3,4% como lo anunció el Gobierno en enero de 2021, o -3,9% como de fine el Marco Fiscal de Mediano Plazo 2021-2025</w:t>
      </w:r>
      <w:r w:rsidR="00884DD8">
        <w:rPr>
          <w:rFonts w:ascii="Arial" w:hAnsi="Arial" w:cs="Arial"/>
          <w:sz w:val="24"/>
          <w:szCs w:val="24"/>
        </w:rPr>
        <w:t xml:space="preserve"> y la CGR</w:t>
      </w:r>
      <w:r w:rsidR="008F7650">
        <w:rPr>
          <w:rFonts w:ascii="Arial" w:hAnsi="Arial" w:cs="Arial"/>
          <w:sz w:val="24"/>
          <w:szCs w:val="24"/>
        </w:rPr>
        <w:t>;</w:t>
      </w:r>
      <w:r>
        <w:rPr>
          <w:rFonts w:ascii="Arial" w:hAnsi="Arial" w:cs="Arial"/>
          <w:sz w:val="24"/>
          <w:szCs w:val="24"/>
        </w:rPr>
        <w:t xml:space="preserve"> es vital para conocer </w:t>
      </w:r>
      <w:r w:rsidR="00A54543">
        <w:rPr>
          <w:rFonts w:ascii="Arial" w:hAnsi="Arial" w:cs="Arial"/>
          <w:sz w:val="24"/>
          <w:szCs w:val="24"/>
        </w:rPr>
        <w:t>qué</w:t>
      </w:r>
      <w:r>
        <w:rPr>
          <w:rFonts w:ascii="Arial" w:hAnsi="Arial" w:cs="Arial"/>
          <w:sz w:val="24"/>
          <w:szCs w:val="24"/>
        </w:rPr>
        <w:t xml:space="preserve"> tan fuerte debe ser el esfuerzo nacional por reducir la brecha entre ingreso total y gasto primario, lo que permite cierto tipo de margen de maniobra para el proceso de negociación y decisión políticas que implican dicho esfuerzo. En </w:t>
      </w:r>
      <w:r w:rsidR="008F7650">
        <w:rPr>
          <w:rFonts w:ascii="Arial" w:hAnsi="Arial" w:cs="Arial"/>
          <w:sz w:val="24"/>
          <w:szCs w:val="24"/>
        </w:rPr>
        <w:t xml:space="preserve">el </w:t>
      </w:r>
      <w:r>
        <w:rPr>
          <w:rFonts w:ascii="Arial" w:hAnsi="Arial" w:cs="Arial"/>
          <w:sz w:val="24"/>
          <w:szCs w:val="24"/>
        </w:rPr>
        <w:t xml:space="preserve">primer escenario, el esfuerzo sería de 1.7 en el primer año y de 4,4 puntos para el 2023; mientras </w:t>
      </w:r>
      <w:r w:rsidR="00A54543">
        <w:rPr>
          <w:rFonts w:ascii="Arial" w:hAnsi="Arial" w:cs="Arial"/>
          <w:sz w:val="24"/>
          <w:szCs w:val="24"/>
        </w:rPr>
        <w:t>que,</w:t>
      </w:r>
      <w:r>
        <w:rPr>
          <w:rFonts w:ascii="Arial" w:hAnsi="Arial" w:cs="Arial"/>
          <w:sz w:val="24"/>
          <w:szCs w:val="24"/>
        </w:rPr>
        <w:t xml:space="preserve"> en el tercer escenario, el esfuerzo sería de 2.2 puntos porcentuales en el primer año y de 4.9 puntos para el final del periodo.</w:t>
      </w:r>
    </w:p>
    <w:p w14:paraId="663DFF92" w14:textId="77777777" w:rsidR="007704AA" w:rsidRDefault="007704AA" w:rsidP="007704AA">
      <w:pPr>
        <w:spacing w:line="276" w:lineRule="auto"/>
        <w:jc w:val="both"/>
        <w:rPr>
          <w:rFonts w:ascii="Arial" w:hAnsi="Arial" w:cs="Arial"/>
          <w:sz w:val="24"/>
          <w:szCs w:val="24"/>
        </w:rPr>
      </w:pPr>
      <w:r>
        <w:rPr>
          <w:rFonts w:ascii="Arial" w:hAnsi="Arial" w:cs="Arial"/>
          <w:sz w:val="24"/>
          <w:szCs w:val="24"/>
        </w:rPr>
        <w:t>Es decir, aunque es un problema aritmético, también es un elemento fundamental para resolver el problema político del conjunto de decisiones que son necesarias tomar en el futuro próximo.</w:t>
      </w:r>
    </w:p>
    <w:p w14:paraId="738277E0" w14:textId="77777777" w:rsidR="007704AA" w:rsidRDefault="007704AA" w:rsidP="007704AA">
      <w:pPr>
        <w:spacing w:line="480" w:lineRule="auto"/>
        <w:jc w:val="center"/>
        <w:rPr>
          <w:rFonts w:ascii="Arial" w:hAnsi="Arial" w:cs="Arial"/>
          <w:sz w:val="24"/>
          <w:szCs w:val="24"/>
        </w:rPr>
      </w:pPr>
      <w:r>
        <w:rPr>
          <w:rFonts w:ascii="Arial" w:hAnsi="Arial" w:cs="Arial"/>
          <w:noProof/>
          <w:sz w:val="24"/>
          <w:szCs w:val="24"/>
          <w:lang w:eastAsia="es-CR"/>
        </w:rPr>
        <w:drawing>
          <wp:inline distT="0" distB="0" distL="0" distR="0" wp14:anchorId="6E3C860C" wp14:editId="22EF5E17">
            <wp:extent cx="4410000" cy="2880000"/>
            <wp:effectExtent l="0" t="0" r="0" b="0"/>
            <wp:docPr id="55" name="Imagen 55"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Gráfico, Gráfico en cascad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6F3DC588" w14:textId="5F867869" w:rsidR="007704AA" w:rsidRDefault="007704AA" w:rsidP="007704AA">
      <w:pPr>
        <w:spacing w:line="276" w:lineRule="auto"/>
        <w:jc w:val="both"/>
        <w:rPr>
          <w:rFonts w:ascii="Arial" w:hAnsi="Arial" w:cs="Arial"/>
          <w:sz w:val="24"/>
          <w:szCs w:val="24"/>
        </w:rPr>
      </w:pPr>
      <w:r>
        <w:rPr>
          <w:rFonts w:ascii="Arial" w:hAnsi="Arial" w:cs="Arial"/>
          <w:sz w:val="24"/>
          <w:szCs w:val="24"/>
        </w:rPr>
        <w:t xml:space="preserve">Como es posible apreciar, el Gobierno estableció en dicho marco fiscal de mediano plazo, y también con el FMI, la meta de que Costa Rica logre alcanzar un superávit primario de un punto porcentual del PIB para el 2023. Esto implica un esfuerzo de 4.9 puntos porcentuales en tan solo 2 años y medio, a partir de este momento, lo que requiere un amplio acuerdo nacional en torno a temas de absoluta relevancia para el país, en temas muy sensibles como impuestos y reducción de gastos, en medio de una crisis </w:t>
      </w:r>
      <w:r w:rsidR="00A54543">
        <w:rPr>
          <w:rFonts w:ascii="Arial" w:hAnsi="Arial" w:cs="Arial"/>
          <w:sz w:val="24"/>
          <w:szCs w:val="24"/>
        </w:rPr>
        <w:t>pos pandemia</w:t>
      </w:r>
      <w:r>
        <w:rPr>
          <w:rFonts w:ascii="Arial" w:hAnsi="Arial" w:cs="Arial"/>
          <w:sz w:val="24"/>
          <w:szCs w:val="24"/>
        </w:rPr>
        <w:t>, y con una economía que rebota favorablemente, pero con muchas debilidades coyunturales y estructurales presentes antes de la crisis y que persistirán luego de la misma.</w:t>
      </w:r>
    </w:p>
    <w:p w14:paraId="2FCFE7AC" w14:textId="77777777" w:rsidR="007704AA" w:rsidRPr="00CB083E" w:rsidRDefault="007704AA" w:rsidP="007704AA">
      <w:pPr>
        <w:spacing w:line="276" w:lineRule="auto"/>
        <w:jc w:val="center"/>
        <w:rPr>
          <w:rFonts w:ascii="Arial" w:hAnsi="Arial" w:cs="Arial"/>
          <w:b/>
          <w:bCs/>
          <w:sz w:val="28"/>
          <w:szCs w:val="28"/>
        </w:rPr>
      </w:pPr>
      <w:r w:rsidRPr="00CB083E">
        <w:rPr>
          <w:rFonts w:ascii="Arial" w:hAnsi="Arial" w:cs="Arial"/>
          <w:b/>
          <w:bCs/>
          <w:sz w:val="28"/>
          <w:szCs w:val="28"/>
        </w:rPr>
        <w:t xml:space="preserve">Estimación de las medidas acordadas </w:t>
      </w:r>
      <w:r>
        <w:rPr>
          <w:rFonts w:ascii="Arial" w:hAnsi="Arial" w:cs="Arial"/>
          <w:b/>
          <w:bCs/>
          <w:sz w:val="28"/>
          <w:szCs w:val="28"/>
        </w:rPr>
        <w:br/>
      </w:r>
      <w:r w:rsidRPr="00CB083E">
        <w:rPr>
          <w:rFonts w:ascii="Arial" w:hAnsi="Arial" w:cs="Arial"/>
          <w:b/>
          <w:bCs/>
          <w:sz w:val="28"/>
          <w:szCs w:val="28"/>
        </w:rPr>
        <w:t>con el Fondo Monetario Internacional</w:t>
      </w:r>
    </w:p>
    <w:p w14:paraId="55F76F4D" w14:textId="77777777" w:rsidR="007704AA" w:rsidRDefault="007704AA" w:rsidP="00691563">
      <w:pPr>
        <w:spacing w:after="0" w:line="240" w:lineRule="auto"/>
        <w:jc w:val="center"/>
        <w:rPr>
          <w:rFonts w:ascii="Arial" w:hAnsi="Arial" w:cs="Arial"/>
          <w:sz w:val="24"/>
          <w:szCs w:val="24"/>
        </w:rPr>
      </w:pPr>
      <w:r w:rsidRPr="00C80037">
        <w:rPr>
          <w:rFonts w:ascii="Arial" w:hAnsi="Arial" w:cs="Arial"/>
          <w:noProof/>
          <w:sz w:val="24"/>
          <w:szCs w:val="24"/>
          <w:lang w:eastAsia="es-CR"/>
        </w:rPr>
        <w:drawing>
          <wp:inline distT="0" distB="0" distL="0" distR="0" wp14:anchorId="53F96934" wp14:editId="2245C95B">
            <wp:extent cx="5612130" cy="3712845"/>
            <wp:effectExtent l="0" t="0" r="7620" b="0"/>
            <wp:docPr id="6" name="table" descr="Tabla&#10;&#10;Descripción generada automáticamente">
              <a:extLst xmlns:a="http://schemas.openxmlformats.org/drawingml/2006/main">
                <a:ext uri="{FF2B5EF4-FFF2-40B4-BE49-F238E27FC236}">
                  <a16:creationId xmlns:a16="http://schemas.microsoft.com/office/drawing/2014/main" id="{F4AA1C48-2996-4D9C-84A7-B18ECE218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Tabla&#10;&#10;Descripción generada automáticamente">
                      <a:extLst>
                        <a:ext uri="{FF2B5EF4-FFF2-40B4-BE49-F238E27FC236}">
                          <a16:creationId xmlns:a16="http://schemas.microsoft.com/office/drawing/2014/main" id="{F4AA1C48-2996-4D9C-84A7-B18ECE2189C8}"/>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612130" cy="3712845"/>
                    </a:xfrm>
                    <a:prstGeom prst="rect">
                      <a:avLst/>
                    </a:prstGeom>
                  </pic:spPr>
                </pic:pic>
              </a:graphicData>
            </a:graphic>
          </wp:inline>
        </w:drawing>
      </w:r>
    </w:p>
    <w:p w14:paraId="1075B132" w14:textId="77777777" w:rsidR="007704AA" w:rsidRPr="00AB5D02" w:rsidRDefault="007704AA" w:rsidP="00691563">
      <w:pPr>
        <w:spacing w:line="240" w:lineRule="auto"/>
        <w:ind w:left="284" w:right="473"/>
        <w:jc w:val="both"/>
        <w:rPr>
          <w:rFonts w:ascii="Arial" w:hAnsi="Arial" w:cs="Arial"/>
          <w:b/>
          <w:bCs/>
          <w:sz w:val="14"/>
          <w:szCs w:val="14"/>
          <w:lang w:val="en-US"/>
        </w:rPr>
      </w:pPr>
      <w:r w:rsidRPr="009353A9">
        <w:rPr>
          <w:rFonts w:ascii="Arial" w:hAnsi="Arial" w:cs="Arial"/>
          <w:b/>
          <w:bCs/>
          <w:sz w:val="14"/>
          <w:szCs w:val="14"/>
        </w:rPr>
        <w:t xml:space="preserve">Fuente: Elaboración propia con base en datos de IMF. </w:t>
      </w:r>
      <w:r w:rsidRPr="00AB5D02">
        <w:rPr>
          <w:rFonts w:ascii="Arial" w:hAnsi="Arial" w:cs="Arial"/>
          <w:b/>
          <w:bCs/>
          <w:sz w:val="14"/>
          <w:szCs w:val="14"/>
          <w:lang w:val="en-US"/>
        </w:rPr>
        <w:t>Article IVA consultation and request for an extended arrangement under the extended fund facility—press release; staff report; and statement by the executive director for Costa Rica.</w:t>
      </w:r>
    </w:p>
    <w:p w14:paraId="0E1B84F0" w14:textId="77777777" w:rsidR="007704AA" w:rsidRPr="00AB5D02" w:rsidRDefault="007704AA" w:rsidP="007704AA">
      <w:pPr>
        <w:spacing w:line="276" w:lineRule="auto"/>
        <w:jc w:val="both"/>
        <w:rPr>
          <w:rFonts w:ascii="Arial" w:hAnsi="Arial" w:cs="Arial"/>
          <w:sz w:val="24"/>
          <w:szCs w:val="24"/>
          <w:lang w:val="en-US"/>
        </w:rPr>
      </w:pPr>
    </w:p>
    <w:p w14:paraId="50C7A063" w14:textId="77777777" w:rsidR="007704AA" w:rsidRDefault="007704AA" w:rsidP="007704AA">
      <w:pPr>
        <w:spacing w:line="276" w:lineRule="auto"/>
        <w:jc w:val="both"/>
        <w:rPr>
          <w:rFonts w:ascii="Arial" w:hAnsi="Arial" w:cs="Arial"/>
          <w:sz w:val="24"/>
          <w:szCs w:val="24"/>
        </w:rPr>
      </w:pPr>
      <w:r>
        <w:rPr>
          <w:rFonts w:ascii="Arial" w:hAnsi="Arial" w:cs="Arial"/>
          <w:sz w:val="24"/>
          <w:szCs w:val="24"/>
        </w:rPr>
        <w:t>De hecho, el Poder Ejecutivo sostiene que la ruta deberá ser un aumento de la carga tributaria al 2023 de 2,2 puntos, una reducción de gasto primario de 3,1 puntos al 2023, lo que implica una reducción del gasto corriente de 2,5 puntos. Ver siguiente gráfico.</w:t>
      </w:r>
    </w:p>
    <w:p w14:paraId="1560CE75" w14:textId="77777777" w:rsidR="007704AA" w:rsidRDefault="007704AA" w:rsidP="007704AA">
      <w:pPr>
        <w:spacing w:line="276" w:lineRule="auto"/>
        <w:jc w:val="center"/>
        <w:rPr>
          <w:rFonts w:ascii="Arial" w:hAnsi="Arial" w:cs="Arial"/>
          <w:sz w:val="24"/>
          <w:szCs w:val="24"/>
        </w:rPr>
      </w:pPr>
      <w:r>
        <w:rPr>
          <w:rFonts w:ascii="Arial" w:hAnsi="Arial" w:cs="Arial"/>
          <w:noProof/>
          <w:sz w:val="24"/>
          <w:szCs w:val="24"/>
          <w:lang w:eastAsia="es-CR"/>
        </w:rPr>
        <w:drawing>
          <wp:inline distT="0" distB="0" distL="0" distR="0" wp14:anchorId="6A4A7D40" wp14:editId="46B3EE3F">
            <wp:extent cx="4410000" cy="2880000"/>
            <wp:effectExtent l="0" t="0" r="0" b="0"/>
            <wp:docPr id="56" name="Imagen 56"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Gráfico, Gráfico en cascad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14:paraId="3C5CC5A7" w14:textId="06F9D905" w:rsidR="00CA3F27" w:rsidRDefault="005D3D84" w:rsidP="005D3D84">
      <w:pPr>
        <w:pStyle w:val="Ttulo2"/>
      </w:pPr>
      <w:bookmarkStart w:id="6" w:name="_Toc78277704"/>
      <w:r>
        <w:t>Ruta propuesta por el actual Gobierno</w:t>
      </w:r>
      <w:bookmarkEnd w:id="6"/>
    </w:p>
    <w:p w14:paraId="3DDD25D6" w14:textId="5CF51EA5" w:rsidR="007704AA" w:rsidRDefault="00BC5010" w:rsidP="007704AA">
      <w:pPr>
        <w:spacing w:line="276" w:lineRule="auto"/>
        <w:rPr>
          <w:rFonts w:ascii="Arial" w:hAnsi="Arial" w:cs="Arial"/>
          <w:sz w:val="24"/>
          <w:szCs w:val="24"/>
        </w:rPr>
      </w:pPr>
      <w:r>
        <w:rPr>
          <w:rFonts w:ascii="Arial" w:hAnsi="Arial" w:cs="Arial"/>
          <w:sz w:val="24"/>
          <w:szCs w:val="24"/>
        </w:rPr>
        <w:t>Para la Administración Alvarado Quesada, la única ruta posible para cumplir estos niveles de meta, es la siguiente:</w:t>
      </w:r>
    </w:p>
    <w:p w14:paraId="68015995" w14:textId="77777777" w:rsidR="007704AA" w:rsidRDefault="007704AA" w:rsidP="007704AA">
      <w:pPr>
        <w:pStyle w:val="Prrafodelista"/>
        <w:numPr>
          <w:ilvl w:val="0"/>
          <w:numId w:val="24"/>
        </w:numPr>
        <w:spacing w:line="276" w:lineRule="auto"/>
        <w:rPr>
          <w:rFonts w:ascii="Arial" w:hAnsi="Arial" w:cs="Arial"/>
          <w:sz w:val="24"/>
          <w:szCs w:val="24"/>
        </w:rPr>
      </w:pPr>
      <w:r>
        <w:rPr>
          <w:rFonts w:ascii="Arial" w:hAnsi="Arial" w:cs="Arial"/>
          <w:sz w:val="24"/>
          <w:szCs w:val="24"/>
        </w:rPr>
        <w:t>Aprobación completa e integra del conjunto de proyectos de Ley de reforma tributaria y de control de gasto, que han sido presentados ante la Asamblea Legislativa, relativas a los siguientes tópicos:</w:t>
      </w:r>
    </w:p>
    <w:tbl>
      <w:tblPr>
        <w:tblW w:w="8828" w:type="dxa"/>
        <w:jc w:val="center"/>
        <w:tblCellMar>
          <w:left w:w="0" w:type="dxa"/>
          <w:right w:w="0" w:type="dxa"/>
        </w:tblCellMar>
        <w:tblLook w:val="0420" w:firstRow="1" w:lastRow="0" w:firstColumn="0" w:lastColumn="0" w:noHBand="0" w:noVBand="1"/>
      </w:tblPr>
      <w:tblGrid>
        <w:gridCol w:w="7414"/>
        <w:gridCol w:w="1414"/>
      </w:tblGrid>
      <w:tr w:rsidR="007704AA" w:rsidRPr="000868DB" w14:paraId="356AEA67" w14:textId="77777777" w:rsidTr="00AA7537">
        <w:trPr>
          <w:trHeight w:val="20"/>
          <w:jc w:val="center"/>
        </w:trPr>
        <w:tc>
          <w:tcPr>
            <w:tcW w:w="7414" w:type="dxa"/>
            <w:tcBorders>
              <w:top w:val="single" w:sz="8" w:space="0" w:color="FFFFFF"/>
              <w:left w:val="single" w:sz="8" w:space="0" w:color="FFFFFF"/>
              <w:bottom w:val="single" w:sz="24" w:space="0" w:color="FFFFFF"/>
              <w:right w:val="single" w:sz="8" w:space="0" w:color="FFFFFF"/>
            </w:tcBorders>
            <w:shd w:val="clear" w:color="auto" w:fill="000000"/>
            <w:vAlign w:val="center"/>
          </w:tcPr>
          <w:p w14:paraId="16D696FA"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b/>
                <w:bCs/>
                <w:sz w:val="16"/>
                <w:szCs w:val="16"/>
              </w:rPr>
              <w:t>Nombre corto</w:t>
            </w:r>
          </w:p>
        </w:tc>
        <w:tc>
          <w:tcPr>
            <w:tcW w:w="1414" w:type="dxa"/>
            <w:tcBorders>
              <w:top w:val="single" w:sz="8" w:space="0" w:color="FFFFFF"/>
              <w:left w:val="single" w:sz="8" w:space="0" w:color="FFFFFF"/>
              <w:bottom w:val="single" w:sz="24" w:space="0" w:color="FFFFFF"/>
              <w:right w:val="single" w:sz="8" w:space="0" w:color="FFFFFF"/>
            </w:tcBorders>
            <w:shd w:val="clear" w:color="auto" w:fill="000000"/>
            <w:tcMar>
              <w:top w:w="22" w:type="dxa"/>
              <w:left w:w="22" w:type="dxa"/>
              <w:bottom w:w="0" w:type="dxa"/>
              <w:right w:w="22" w:type="dxa"/>
            </w:tcMar>
            <w:vAlign w:val="center"/>
            <w:hideMark/>
          </w:tcPr>
          <w:p w14:paraId="416AB33C"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b/>
                <w:bCs/>
                <w:sz w:val="16"/>
                <w:szCs w:val="16"/>
              </w:rPr>
              <w:t>Expediente</w:t>
            </w:r>
          </w:p>
        </w:tc>
      </w:tr>
      <w:tr w:rsidR="007704AA" w:rsidRPr="000868DB" w14:paraId="09591C9F" w14:textId="77777777" w:rsidTr="00AA7537">
        <w:trPr>
          <w:trHeight w:val="20"/>
          <w:jc w:val="center"/>
        </w:trPr>
        <w:tc>
          <w:tcPr>
            <w:tcW w:w="7414" w:type="dxa"/>
            <w:tcBorders>
              <w:top w:val="single" w:sz="24"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61AF3095" w14:textId="77777777" w:rsidR="007704AA" w:rsidRPr="000868DB" w:rsidRDefault="007704AA" w:rsidP="009373A2">
            <w:pPr>
              <w:spacing w:after="0" w:line="240" w:lineRule="auto"/>
              <w:rPr>
                <w:rFonts w:ascii="Arial" w:hAnsi="Arial" w:cs="Arial"/>
                <w:sz w:val="16"/>
                <w:szCs w:val="16"/>
              </w:rPr>
            </w:pPr>
            <w:r>
              <w:rPr>
                <w:rFonts w:ascii="Arial" w:hAnsi="Arial" w:cs="Arial"/>
                <w:sz w:val="16"/>
                <w:szCs w:val="16"/>
              </w:rPr>
              <w:t xml:space="preserve">USO DE LAS </w:t>
            </w:r>
            <w:r w:rsidRPr="000868DB">
              <w:rPr>
                <w:rFonts w:ascii="Arial" w:hAnsi="Arial" w:cs="Arial"/>
                <w:sz w:val="16"/>
                <w:szCs w:val="16"/>
              </w:rPr>
              <w:t>UTILIDADES DE EMPRESAS PÚBLICAS</w:t>
            </w:r>
          </w:p>
        </w:tc>
        <w:tc>
          <w:tcPr>
            <w:tcW w:w="1414" w:type="dxa"/>
            <w:tcBorders>
              <w:top w:val="single" w:sz="24"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18E7A2B1"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22384</w:t>
            </w:r>
          </w:p>
        </w:tc>
      </w:tr>
      <w:tr w:rsidR="007704AA" w:rsidRPr="000868DB" w14:paraId="42900E6A"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3AABBBB4"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REFORMA LEY GENERAL DE ADUANAS</w:t>
            </w:r>
          </w:p>
        </w:tc>
        <w:tc>
          <w:tcPr>
            <w:tcW w:w="1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694CCE37"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22364</w:t>
            </w:r>
          </w:p>
        </w:tc>
      </w:tr>
      <w:tr w:rsidR="007704AA" w:rsidRPr="000868DB" w14:paraId="0B8B38E9"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2B85CAB5"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 xml:space="preserve">ELIMINACIÓN DE PLAZAS VACANTES Y CONGELAMIENTO DE AUMENTOS DE PENSIONES </w:t>
            </w:r>
          </w:p>
        </w:tc>
        <w:tc>
          <w:tcPr>
            <w:tcW w:w="1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46BE3F32"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22368</w:t>
            </w:r>
          </w:p>
        </w:tc>
      </w:tr>
      <w:tr w:rsidR="007704AA" w:rsidRPr="000868DB" w14:paraId="27786505"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7712EAA7"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ACUERDO CON EL FMI</w:t>
            </w:r>
          </w:p>
        </w:tc>
        <w:tc>
          <w:tcPr>
            <w:tcW w:w="1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2BC108B9"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22433</w:t>
            </w:r>
          </w:p>
        </w:tc>
      </w:tr>
      <w:tr w:rsidR="007704AA" w:rsidRPr="000868DB" w14:paraId="6CE8E738"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50C8330D"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 xml:space="preserve">RENTA GLOBAL </w:t>
            </w:r>
          </w:p>
        </w:tc>
        <w:tc>
          <w:tcPr>
            <w:tcW w:w="1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2B5B6971"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22393</w:t>
            </w:r>
          </w:p>
        </w:tc>
      </w:tr>
      <w:tr w:rsidR="007704AA" w:rsidRPr="000868DB" w14:paraId="0DFAFEE2"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3DFB4103"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IMPUESTO PREMIOS DE LOTERÍA</w:t>
            </w:r>
          </w:p>
        </w:tc>
        <w:tc>
          <w:tcPr>
            <w:tcW w:w="1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6AF9D8B1"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22354</w:t>
            </w:r>
          </w:p>
        </w:tc>
      </w:tr>
      <w:tr w:rsidR="007704AA" w:rsidRPr="000868DB" w14:paraId="13B98D49"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7110CBE3"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ELIMINACIÓN DE EXONERACIONES</w:t>
            </w:r>
          </w:p>
        </w:tc>
        <w:tc>
          <w:tcPr>
            <w:tcW w:w="1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2C6AAE9D"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22369</w:t>
            </w:r>
          </w:p>
        </w:tc>
      </w:tr>
      <w:tr w:rsidR="007704AA" w:rsidRPr="000868DB" w14:paraId="6B241405"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506DF19A"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IMPUESTO CASAS DE LUJO</w:t>
            </w:r>
          </w:p>
        </w:tc>
        <w:tc>
          <w:tcPr>
            <w:tcW w:w="1414" w:type="dxa"/>
            <w:tcBorders>
              <w:top w:val="single" w:sz="8" w:space="0" w:color="FFFFFF"/>
              <w:left w:val="single" w:sz="8" w:space="0" w:color="FFFFFF"/>
              <w:bottom w:val="single" w:sz="8" w:space="0" w:color="FFFFFF"/>
              <w:right w:val="single" w:sz="8" w:space="0" w:color="FFFFFF"/>
            </w:tcBorders>
            <w:shd w:val="clear" w:color="auto" w:fill="E7E7E7"/>
            <w:tcMar>
              <w:top w:w="22" w:type="dxa"/>
              <w:left w:w="22" w:type="dxa"/>
              <w:bottom w:w="0" w:type="dxa"/>
              <w:right w:w="22" w:type="dxa"/>
            </w:tcMar>
            <w:vAlign w:val="center"/>
            <w:hideMark/>
          </w:tcPr>
          <w:p w14:paraId="24DA70BF"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22382</w:t>
            </w:r>
          </w:p>
        </w:tc>
      </w:tr>
      <w:tr w:rsidR="007704AA" w:rsidRPr="000868DB" w14:paraId="3B8B9039" w14:textId="77777777" w:rsidTr="00AA7537">
        <w:trPr>
          <w:trHeight w:val="20"/>
          <w:jc w:val="center"/>
        </w:trPr>
        <w:tc>
          <w:tcPr>
            <w:tcW w:w="7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6220EC57" w14:textId="77777777" w:rsidR="007704AA" w:rsidRPr="000868DB" w:rsidRDefault="007704AA" w:rsidP="009373A2">
            <w:pPr>
              <w:spacing w:after="0" w:line="240" w:lineRule="auto"/>
              <w:rPr>
                <w:rFonts w:ascii="Arial" w:hAnsi="Arial" w:cs="Arial"/>
                <w:sz w:val="16"/>
                <w:szCs w:val="16"/>
              </w:rPr>
            </w:pPr>
            <w:r w:rsidRPr="000868DB">
              <w:rPr>
                <w:rFonts w:ascii="Arial" w:hAnsi="Arial" w:cs="Arial"/>
                <w:sz w:val="16"/>
                <w:szCs w:val="16"/>
              </w:rPr>
              <w:t>EMPLEO PÚBLICO</w:t>
            </w:r>
          </w:p>
        </w:tc>
        <w:tc>
          <w:tcPr>
            <w:tcW w:w="1414" w:type="dxa"/>
            <w:tcBorders>
              <w:top w:val="single" w:sz="8" w:space="0" w:color="FFFFFF"/>
              <w:left w:val="single" w:sz="8" w:space="0" w:color="FFFFFF"/>
              <w:bottom w:val="single" w:sz="8" w:space="0" w:color="FFFFFF"/>
              <w:right w:val="single" w:sz="8" w:space="0" w:color="FFFFFF"/>
            </w:tcBorders>
            <w:shd w:val="clear" w:color="auto" w:fill="CBCBCB"/>
            <w:tcMar>
              <w:top w:w="22" w:type="dxa"/>
              <w:left w:w="22" w:type="dxa"/>
              <w:bottom w:w="0" w:type="dxa"/>
              <w:right w:w="22" w:type="dxa"/>
            </w:tcMar>
            <w:vAlign w:val="center"/>
            <w:hideMark/>
          </w:tcPr>
          <w:p w14:paraId="2417AE6F" w14:textId="77777777" w:rsidR="007704AA" w:rsidRPr="000868DB" w:rsidRDefault="007704AA" w:rsidP="009373A2">
            <w:pPr>
              <w:spacing w:after="0" w:line="240" w:lineRule="auto"/>
              <w:jc w:val="center"/>
              <w:rPr>
                <w:rFonts w:ascii="Arial" w:hAnsi="Arial" w:cs="Arial"/>
                <w:sz w:val="16"/>
                <w:szCs w:val="16"/>
              </w:rPr>
            </w:pPr>
            <w:r w:rsidRPr="000868DB">
              <w:rPr>
                <w:rFonts w:ascii="Arial" w:hAnsi="Arial" w:cs="Arial"/>
                <w:sz w:val="16"/>
                <w:szCs w:val="16"/>
              </w:rPr>
              <w:t>21336</w:t>
            </w:r>
          </w:p>
        </w:tc>
      </w:tr>
    </w:tbl>
    <w:p w14:paraId="7428A183" w14:textId="77777777" w:rsidR="007704AA" w:rsidRDefault="007704AA" w:rsidP="007704AA">
      <w:pPr>
        <w:spacing w:line="276" w:lineRule="auto"/>
        <w:rPr>
          <w:rFonts w:ascii="Arial" w:hAnsi="Arial" w:cs="Arial"/>
          <w:sz w:val="24"/>
          <w:szCs w:val="24"/>
        </w:rPr>
      </w:pPr>
    </w:p>
    <w:p w14:paraId="55C91161" w14:textId="78EA52AC" w:rsidR="007704AA" w:rsidRDefault="007704AA" w:rsidP="007704AA">
      <w:pPr>
        <w:pStyle w:val="Prrafodelista"/>
        <w:numPr>
          <w:ilvl w:val="0"/>
          <w:numId w:val="24"/>
        </w:numPr>
        <w:spacing w:line="276" w:lineRule="auto"/>
        <w:jc w:val="both"/>
        <w:rPr>
          <w:rFonts w:ascii="Arial" w:hAnsi="Arial" w:cs="Arial"/>
          <w:sz w:val="24"/>
          <w:szCs w:val="24"/>
        </w:rPr>
      </w:pPr>
      <w:r>
        <w:rPr>
          <w:rFonts w:ascii="Arial" w:hAnsi="Arial" w:cs="Arial"/>
          <w:sz w:val="24"/>
          <w:szCs w:val="24"/>
        </w:rPr>
        <w:t xml:space="preserve">Mantener las medidas de control de gasto plasmadas en el Decreto Ejecutivo N° </w:t>
      </w:r>
      <w:r w:rsidRPr="006F0233">
        <w:rPr>
          <w:rFonts w:ascii="Arial" w:hAnsi="Arial" w:cs="Arial"/>
          <w:sz w:val="24"/>
          <w:szCs w:val="24"/>
        </w:rPr>
        <w:t>42.798</w:t>
      </w:r>
      <w:r>
        <w:rPr>
          <w:rFonts w:ascii="Arial" w:hAnsi="Arial" w:cs="Arial"/>
          <w:sz w:val="24"/>
          <w:szCs w:val="24"/>
        </w:rPr>
        <w:t xml:space="preserve"> </w:t>
      </w:r>
      <w:r w:rsidR="00A54543">
        <w:rPr>
          <w:rFonts w:ascii="Arial" w:hAnsi="Arial" w:cs="Arial"/>
          <w:sz w:val="24"/>
          <w:szCs w:val="24"/>
        </w:rPr>
        <w:t>que,</w:t>
      </w:r>
      <w:r>
        <w:rPr>
          <w:rFonts w:ascii="Arial" w:hAnsi="Arial" w:cs="Arial"/>
          <w:sz w:val="24"/>
          <w:szCs w:val="24"/>
        </w:rPr>
        <w:t xml:space="preserve"> entre otras cosas, restringe a lo largo de 5 años, el </w:t>
      </w:r>
      <w:r w:rsidRPr="008655E5">
        <w:rPr>
          <w:rFonts w:ascii="Arial" w:hAnsi="Arial" w:cs="Arial"/>
          <w:sz w:val="24"/>
          <w:szCs w:val="24"/>
        </w:rPr>
        <w:t>crecimiento de las transferencias corrientes</w:t>
      </w:r>
      <w:r>
        <w:rPr>
          <w:rFonts w:ascii="Arial" w:hAnsi="Arial" w:cs="Arial"/>
          <w:sz w:val="24"/>
          <w:szCs w:val="24"/>
        </w:rPr>
        <w:t xml:space="preserve"> a un límite superior; reduce el </w:t>
      </w:r>
      <w:r w:rsidRPr="008655E5">
        <w:rPr>
          <w:rFonts w:ascii="Arial" w:hAnsi="Arial" w:cs="Arial"/>
          <w:sz w:val="24"/>
          <w:szCs w:val="24"/>
        </w:rPr>
        <w:t>crecimiento de la partida de adquisición de bienes y servicios</w:t>
      </w:r>
      <w:r>
        <w:rPr>
          <w:rFonts w:ascii="Arial" w:hAnsi="Arial" w:cs="Arial"/>
          <w:sz w:val="24"/>
          <w:szCs w:val="24"/>
        </w:rPr>
        <w:t xml:space="preserve">, con el mismo mecanismo; y disminuye </w:t>
      </w:r>
      <w:r w:rsidRPr="008655E5">
        <w:rPr>
          <w:rFonts w:ascii="Arial" w:hAnsi="Arial" w:cs="Arial"/>
          <w:sz w:val="24"/>
          <w:szCs w:val="24"/>
        </w:rPr>
        <w:t>el crecimiento de algunas partidas de remuneraciones como servicios especiales y remuneraciones eventuales</w:t>
      </w:r>
      <w:r>
        <w:rPr>
          <w:rFonts w:ascii="Arial" w:hAnsi="Arial" w:cs="Arial"/>
          <w:sz w:val="24"/>
          <w:szCs w:val="24"/>
        </w:rPr>
        <w:t>.</w:t>
      </w:r>
    </w:p>
    <w:p w14:paraId="1DAC9A92" w14:textId="77777777" w:rsidR="007704AA" w:rsidRDefault="007704AA" w:rsidP="007704AA">
      <w:pPr>
        <w:pStyle w:val="Prrafodelista"/>
        <w:numPr>
          <w:ilvl w:val="0"/>
          <w:numId w:val="24"/>
        </w:numPr>
        <w:spacing w:line="276" w:lineRule="auto"/>
        <w:jc w:val="both"/>
        <w:rPr>
          <w:rFonts w:ascii="Arial" w:hAnsi="Arial" w:cs="Arial"/>
          <w:sz w:val="24"/>
          <w:szCs w:val="24"/>
        </w:rPr>
      </w:pPr>
      <w:r>
        <w:rPr>
          <w:rFonts w:ascii="Arial" w:hAnsi="Arial" w:cs="Arial"/>
          <w:sz w:val="24"/>
          <w:szCs w:val="24"/>
        </w:rPr>
        <w:t>Además, apuntala la idea de que se aplique la regla fiscal tal cual está vigente, lo que implica que tan solo para el 2022, el límite ya no será al gasto corriente, sino que por el nivel de Deuda/PIB, deberá ser aplicado el límite al gasto total, además de que ya no será de 4,67% máximo como en el 2020, o de 4,16% para el 2021; sino que debe ser de 1.96%.</w:t>
      </w:r>
    </w:p>
    <w:tbl>
      <w:tblPr>
        <w:tblW w:w="3841" w:type="dxa"/>
        <w:jc w:val="center"/>
        <w:tblCellMar>
          <w:left w:w="70" w:type="dxa"/>
          <w:right w:w="70" w:type="dxa"/>
        </w:tblCellMar>
        <w:tblLook w:val="04A0" w:firstRow="1" w:lastRow="0" w:firstColumn="1" w:lastColumn="0" w:noHBand="0" w:noVBand="1"/>
      </w:tblPr>
      <w:tblGrid>
        <w:gridCol w:w="985"/>
        <w:gridCol w:w="1191"/>
        <w:gridCol w:w="1665"/>
      </w:tblGrid>
      <w:tr w:rsidR="007704AA" w:rsidRPr="007827F0" w14:paraId="39538862" w14:textId="77777777" w:rsidTr="009373A2">
        <w:trPr>
          <w:trHeight w:val="420"/>
          <w:jc w:val="center"/>
        </w:trPr>
        <w:tc>
          <w:tcPr>
            <w:tcW w:w="3841" w:type="dxa"/>
            <w:gridSpan w:val="3"/>
            <w:tcBorders>
              <w:top w:val="nil"/>
              <w:left w:val="nil"/>
              <w:bottom w:val="nil"/>
              <w:right w:val="nil"/>
            </w:tcBorders>
            <w:shd w:val="clear" w:color="auto" w:fill="auto"/>
            <w:noWrap/>
            <w:vAlign w:val="bottom"/>
            <w:hideMark/>
          </w:tcPr>
          <w:p w14:paraId="01B28ED6" w14:textId="77777777" w:rsidR="007704AA" w:rsidRDefault="007704AA" w:rsidP="009373A2">
            <w:pPr>
              <w:spacing w:after="0" w:line="240" w:lineRule="auto"/>
              <w:jc w:val="center"/>
              <w:rPr>
                <w:rFonts w:ascii="Calibri" w:eastAsia="Times New Roman" w:hAnsi="Calibri" w:cs="Calibri"/>
                <w:b/>
                <w:bCs/>
                <w:color w:val="000000"/>
                <w:sz w:val="28"/>
                <w:szCs w:val="28"/>
                <w:lang w:eastAsia="es-CR"/>
              </w:rPr>
            </w:pPr>
            <w:r w:rsidRPr="007827F0">
              <w:rPr>
                <w:rFonts w:ascii="Calibri" w:eastAsia="Times New Roman" w:hAnsi="Calibri" w:cs="Calibri"/>
                <w:b/>
                <w:bCs/>
                <w:color w:val="000000"/>
                <w:sz w:val="28"/>
                <w:szCs w:val="28"/>
                <w:lang w:eastAsia="es-CR"/>
              </w:rPr>
              <w:t>Límites de la Regla Fiscal</w:t>
            </w:r>
          </w:p>
          <w:p w14:paraId="3A1E5945" w14:textId="77777777" w:rsidR="007704AA" w:rsidRPr="007827F0" w:rsidRDefault="007704AA" w:rsidP="009373A2">
            <w:pPr>
              <w:spacing w:after="0" w:line="240" w:lineRule="auto"/>
              <w:jc w:val="center"/>
              <w:rPr>
                <w:rFonts w:ascii="Calibri" w:eastAsia="Times New Roman" w:hAnsi="Calibri" w:cs="Calibri"/>
                <w:b/>
                <w:bCs/>
                <w:color w:val="000000"/>
                <w:sz w:val="14"/>
                <w:szCs w:val="14"/>
                <w:lang w:eastAsia="es-CR"/>
              </w:rPr>
            </w:pPr>
          </w:p>
        </w:tc>
      </w:tr>
      <w:tr w:rsidR="007704AA" w:rsidRPr="007827F0" w14:paraId="48A4EA88" w14:textId="77777777" w:rsidTr="009373A2">
        <w:trPr>
          <w:trHeight w:val="29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D9B0" w14:textId="77777777" w:rsidR="007704AA" w:rsidRPr="007827F0" w:rsidRDefault="007704AA" w:rsidP="009373A2">
            <w:pPr>
              <w:spacing w:after="0" w:line="240" w:lineRule="auto"/>
              <w:jc w:val="center"/>
              <w:rPr>
                <w:rFonts w:ascii="Calibri" w:eastAsia="Times New Roman" w:hAnsi="Calibri" w:cs="Calibri"/>
                <w:color w:val="000000"/>
                <w:lang w:eastAsia="es-CR"/>
              </w:rPr>
            </w:pPr>
            <w:r w:rsidRPr="007827F0">
              <w:rPr>
                <w:rFonts w:ascii="Calibri" w:eastAsia="Times New Roman" w:hAnsi="Calibri" w:cs="Calibri"/>
                <w:color w:val="000000"/>
                <w:lang w:eastAsia="es-CR"/>
              </w:rPr>
              <w:t>2020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2CE316B8" w14:textId="77777777" w:rsidR="007704AA" w:rsidRPr="007827F0" w:rsidRDefault="007704AA" w:rsidP="009373A2">
            <w:pPr>
              <w:spacing w:after="0" w:line="240" w:lineRule="auto"/>
              <w:jc w:val="center"/>
              <w:rPr>
                <w:rFonts w:ascii="Calibri" w:eastAsia="Times New Roman" w:hAnsi="Calibri" w:cs="Calibri"/>
                <w:color w:val="000000"/>
                <w:lang w:eastAsia="es-CR"/>
              </w:rPr>
            </w:pPr>
            <w:r w:rsidRPr="007827F0">
              <w:rPr>
                <w:rFonts w:ascii="Calibri" w:eastAsia="Times New Roman" w:hAnsi="Calibri" w:cs="Calibri"/>
                <w:color w:val="000000"/>
                <w:lang w:eastAsia="es-CR"/>
              </w:rPr>
              <w:t>4,67%</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14:paraId="1EEB6C42" w14:textId="77777777" w:rsidR="007704AA" w:rsidRPr="007827F0" w:rsidRDefault="007704AA" w:rsidP="009373A2">
            <w:pPr>
              <w:spacing w:after="0" w:line="240" w:lineRule="auto"/>
              <w:rPr>
                <w:rFonts w:ascii="Calibri" w:eastAsia="Times New Roman" w:hAnsi="Calibri" w:cs="Calibri"/>
                <w:color w:val="000000"/>
                <w:lang w:eastAsia="es-CR"/>
              </w:rPr>
            </w:pPr>
            <w:r w:rsidRPr="007827F0">
              <w:rPr>
                <w:rFonts w:ascii="Calibri" w:eastAsia="Times New Roman" w:hAnsi="Calibri" w:cs="Calibri"/>
                <w:color w:val="000000"/>
                <w:lang w:eastAsia="es-CR"/>
              </w:rPr>
              <w:t>Gasto Corriente</w:t>
            </w:r>
          </w:p>
        </w:tc>
      </w:tr>
      <w:tr w:rsidR="007704AA" w:rsidRPr="007827F0" w14:paraId="41FE99EC" w14:textId="77777777" w:rsidTr="009373A2">
        <w:trPr>
          <w:trHeight w:val="29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9C632FA" w14:textId="77777777" w:rsidR="007704AA" w:rsidRPr="007827F0" w:rsidRDefault="007704AA" w:rsidP="009373A2">
            <w:pPr>
              <w:spacing w:after="0" w:line="240" w:lineRule="auto"/>
              <w:jc w:val="center"/>
              <w:rPr>
                <w:rFonts w:ascii="Calibri" w:eastAsia="Times New Roman" w:hAnsi="Calibri" w:cs="Calibri"/>
                <w:color w:val="000000"/>
                <w:lang w:eastAsia="es-CR"/>
              </w:rPr>
            </w:pPr>
            <w:r w:rsidRPr="007827F0">
              <w:rPr>
                <w:rFonts w:ascii="Calibri" w:eastAsia="Times New Roman" w:hAnsi="Calibri" w:cs="Calibri"/>
                <w:color w:val="000000"/>
                <w:lang w:eastAsia="es-CR"/>
              </w:rPr>
              <w:t>2021</w:t>
            </w:r>
          </w:p>
        </w:tc>
        <w:tc>
          <w:tcPr>
            <w:tcW w:w="1191" w:type="dxa"/>
            <w:tcBorders>
              <w:top w:val="nil"/>
              <w:left w:val="nil"/>
              <w:bottom w:val="single" w:sz="4" w:space="0" w:color="auto"/>
              <w:right w:val="single" w:sz="4" w:space="0" w:color="auto"/>
            </w:tcBorders>
            <w:shd w:val="clear" w:color="auto" w:fill="auto"/>
            <w:noWrap/>
            <w:vAlign w:val="bottom"/>
            <w:hideMark/>
          </w:tcPr>
          <w:p w14:paraId="439E9D47" w14:textId="77777777" w:rsidR="007704AA" w:rsidRPr="007827F0" w:rsidRDefault="007704AA" w:rsidP="009373A2">
            <w:pPr>
              <w:spacing w:after="0" w:line="240" w:lineRule="auto"/>
              <w:jc w:val="center"/>
              <w:rPr>
                <w:rFonts w:ascii="Calibri" w:eastAsia="Times New Roman" w:hAnsi="Calibri" w:cs="Calibri"/>
                <w:color w:val="000000"/>
                <w:lang w:eastAsia="es-CR"/>
              </w:rPr>
            </w:pPr>
            <w:r w:rsidRPr="007827F0">
              <w:rPr>
                <w:rFonts w:ascii="Calibri" w:eastAsia="Times New Roman" w:hAnsi="Calibri" w:cs="Calibri"/>
                <w:color w:val="000000"/>
                <w:lang w:eastAsia="es-CR"/>
              </w:rPr>
              <w:t>4,13%</w:t>
            </w:r>
          </w:p>
        </w:tc>
        <w:tc>
          <w:tcPr>
            <w:tcW w:w="1665" w:type="dxa"/>
            <w:tcBorders>
              <w:top w:val="nil"/>
              <w:left w:val="nil"/>
              <w:bottom w:val="single" w:sz="4" w:space="0" w:color="auto"/>
              <w:right w:val="single" w:sz="4" w:space="0" w:color="auto"/>
            </w:tcBorders>
            <w:shd w:val="clear" w:color="auto" w:fill="auto"/>
            <w:noWrap/>
            <w:vAlign w:val="bottom"/>
            <w:hideMark/>
          </w:tcPr>
          <w:p w14:paraId="37047B65" w14:textId="77777777" w:rsidR="007704AA" w:rsidRPr="007827F0" w:rsidRDefault="007704AA" w:rsidP="009373A2">
            <w:pPr>
              <w:spacing w:after="0" w:line="240" w:lineRule="auto"/>
              <w:rPr>
                <w:rFonts w:ascii="Calibri" w:eastAsia="Times New Roman" w:hAnsi="Calibri" w:cs="Calibri"/>
                <w:color w:val="000000"/>
                <w:lang w:eastAsia="es-CR"/>
              </w:rPr>
            </w:pPr>
            <w:r w:rsidRPr="007827F0">
              <w:rPr>
                <w:rFonts w:ascii="Calibri" w:eastAsia="Times New Roman" w:hAnsi="Calibri" w:cs="Calibri"/>
                <w:color w:val="000000"/>
                <w:lang w:eastAsia="es-CR"/>
              </w:rPr>
              <w:t>Gasto Corriente</w:t>
            </w:r>
          </w:p>
        </w:tc>
      </w:tr>
      <w:tr w:rsidR="007704AA" w:rsidRPr="007827F0" w14:paraId="579C5D04" w14:textId="77777777" w:rsidTr="009373A2">
        <w:trPr>
          <w:trHeight w:val="29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F63D078" w14:textId="77777777" w:rsidR="007704AA" w:rsidRPr="007827F0" w:rsidRDefault="007704AA" w:rsidP="009373A2">
            <w:pPr>
              <w:spacing w:after="0" w:line="240" w:lineRule="auto"/>
              <w:jc w:val="center"/>
              <w:rPr>
                <w:rFonts w:ascii="Calibri" w:eastAsia="Times New Roman" w:hAnsi="Calibri" w:cs="Calibri"/>
                <w:color w:val="000000"/>
                <w:lang w:eastAsia="es-CR"/>
              </w:rPr>
            </w:pPr>
            <w:r w:rsidRPr="007827F0">
              <w:rPr>
                <w:rFonts w:ascii="Calibri" w:eastAsia="Times New Roman" w:hAnsi="Calibri" w:cs="Calibri"/>
                <w:color w:val="000000"/>
                <w:lang w:eastAsia="es-CR"/>
              </w:rPr>
              <w:t>2022</w:t>
            </w:r>
          </w:p>
        </w:tc>
        <w:tc>
          <w:tcPr>
            <w:tcW w:w="1191" w:type="dxa"/>
            <w:tcBorders>
              <w:top w:val="nil"/>
              <w:left w:val="nil"/>
              <w:bottom w:val="single" w:sz="4" w:space="0" w:color="auto"/>
              <w:right w:val="single" w:sz="4" w:space="0" w:color="auto"/>
            </w:tcBorders>
            <w:shd w:val="clear" w:color="auto" w:fill="auto"/>
            <w:noWrap/>
            <w:vAlign w:val="bottom"/>
            <w:hideMark/>
          </w:tcPr>
          <w:p w14:paraId="13416E5A" w14:textId="77777777" w:rsidR="007704AA" w:rsidRPr="007827F0" w:rsidRDefault="007704AA" w:rsidP="009373A2">
            <w:pPr>
              <w:spacing w:after="0" w:line="240" w:lineRule="auto"/>
              <w:jc w:val="center"/>
              <w:rPr>
                <w:rFonts w:ascii="Calibri" w:eastAsia="Times New Roman" w:hAnsi="Calibri" w:cs="Calibri"/>
                <w:color w:val="000000"/>
                <w:lang w:eastAsia="es-CR"/>
              </w:rPr>
            </w:pPr>
            <w:r w:rsidRPr="007827F0">
              <w:rPr>
                <w:rFonts w:ascii="Calibri" w:eastAsia="Times New Roman" w:hAnsi="Calibri" w:cs="Calibri"/>
                <w:color w:val="000000"/>
                <w:lang w:eastAsia="es-CR"/>
              </w:rPr>
              <w:t>1,96%</w:t>
            </w:r>
          </w:p>
        </w:tc>
        <w:tc>
          <w:tcPr>
            <w:tcW w:w="1665" w:type="dxa"/>
            <w:tcBorders>
              <w:top w:val="nil"/>
              <w:left w:val="nil"/>
              <w:bottom w:val="single" w:sz="4" w:space="0" w:color="auto"/>
              <w:right w:val="single" w:sz="4" w:space="0" w:color="auto"/>
            </w:tcBorders>
            <w:shd w:val="clear" w:color="auto" w:fill="auto"/>
            <w:noWrap/>
            <w:vAlign w:val="bottom"/>
            <w:hideMark/>
          </w:tcPr>
          <w:p w14:paraId="5033359B" w14:textId="77777777" w:rsidR="007704AA" w:rsidRPr="007827F0" w:rsidRDefault="007704AA" w:rsidP="009373A2">
            <w:pPr>
              <w:spacing w:after="0" w:line="240" w:lineRule="auto"/>
              <w:rPr>
                <w:rFonts w:ascii="Calibri" w:eastAsia="Times New Roman" w:hAnsi="Calibri" w:cs="Calibri"/>
                <w:color w:val="000000"/>
                <w:lang w:eastAsia="es-CR"/>
              </w:rPr>
            </w:pPr>
            <w:r w:rsidRPr="007827F0">
              <w:rPr>
                <w:rFonts w:ascii="Calibri" w:eastAsia="Times New Roman" w:hAnsi="Calibri" w:cs="Calibri"/>
                <w:color w:val="000000"/>
                <w:lang w:eastAsia="es-CR"/>
              </w:rPr>
              <w:t>Gasto Total</w:t>
            </w:r>
          </w:p>
        </w:tc>
      </w:tr>
    </w:tbl>
    <w:p w14:paraId="24A936E6" w14:textId="77777777" w:rsidR="007704AA" w:rsidRPr="00470EF8" w:rsidRDefault="007704AA" w:rsidP="007704AA">
      <w:pPr>
        <w:spacing w:line="276" w:lineRule="auto"/>
        <w:ind w:left="2552" w:right="2459"/>
        <w:jc w:val="both"/>
        <w:rPr>
          <w:rFonts w:ascii="Arial" w:hAnsi="Arial" w:cs="Arial"/>
          <w:b/>
          <w:bCs/>
          <w:sz w:val="14"/>
          <w:szCs w:val="14"/>
        </w:rPr>
      </w:pPr>
      <w:r w:rsidRPr="00470EF8">
        <w:rPr>
          <w:rFonts w:ascii="Arial" w:hAnsi="Arial" w:cs="Arial"/>
          <w:b/>
          <w:bCs/>
          <w:sz w:val="14"/>
          <w:szCs w:val="14"/>
        </w:rPr>
        <w:t>Fuente: DM-0466-2019; DM-0321-2020 y DM-0238-2021</w:t>
      </w:r>
    </w:p>
    <w:p w14:paraId="0AABE43C" w14:textId="6108D5EC" w:rsidR="007704AA" w:rsidRDefault="007704AA" w:rsidP="007704AA">
      <w:pPr>
        <w:pStyle w:val="Prrafodelista"/>
        <w:numPr>
          <w:ilvl w:val="0"/>
          <w:numId w:val="24"/>
        </w:numPr>
        <w:spacing w:line="276" w:lineRule="auto"/>
        <w:jc w:val="both"/>
        <w:rPr>
          <w:rFonts w:ascii="Arial" w:hAnsi="Arial" w:cs="Arial"/>
          <w:sz w:val="24"/>
          <w:szCs w:val="24"/>
        </w:rPr>
      </w:pPr>
      <w:r>
        <w:rPr>
          <w:rFonts w:ascii="Arial" w:hAnsi="Arial" w:cs="Arial"/>
          <w:sz w:val="24"/>
          <w:szCs w:val="24"/>
        </w:rPr>
        <w:t>Evitar que los riesgos de la deuda, en tanto contingencias fiscales, se materialicen. Estas se refieren a las demandas contra el Estado, la sostenibilidad de los regímenes de pensiones vigentes fuera del presupuesto, los desastres naturales o eventos catastróficos, problemas de liquidez o financieros de las instituciones como las municipalidades y las empresas públicas No financieras como el ICE, el AyA, RECOPE o INCOFER, entre otras, o riesgos del sistema financiero nacional o de las concesiones.</w:t>
      </w:r>
    </w:p>
    <w:p w14:paraId="38A3587E" w14:textId="77777777" w:rsidR="00132430" w:rsidRDefault="008B1846" w:rsidP="008B1846">
      <w:pPr>
        <w:spacing w:line="276" w:lineRule="auto"/>
        <w:jc w:val="both"/>
        <w:rPr>
          <w:rFonts w:ascii="Arial" w:hAnsi="Arial" w:cs="Arial"/>
          <w:sz w:val="24"/>
          <w:szCs w:val="24"/>
        </w:rPr>
      </w:pPr>
      <w:r>
        <w:rPr>
          <w:rFonts w:ascii="Arial" w:hAnsi="Arial" w:cs="Arial"/>
          <w:sz w:val="24"/>
          <w:szCs w:val="24"/>
        </w:rPr>
        <w:t>Est</w:t>
      </w:r>
      <w:r w:rsidR="007C53A3">
        <w:rPr>
          <w:rFonts w:ascii="Arial" w:hAnsi="Arial" w:cs="Arial"/>
          <w:sz w:val="24"/>
          <w:szCs w:val="24"/>
        </w:rPr>
        <w:t>a ruta unívoca que plantea el gobierno, no considera la diversidad de criterios y posiciones en democracia, tanto en la Asamblea Legislativa como fuera de ella</w:t>
      </w:r>
      <w:r w:rsidR="00132430">
        <w:rPr>
          <w:rFonts w:ascii="Arial" w:hAnsi="Arial" w:cs="Arial"/>
          <w:sz w:val="24"/>
          <w:szCs w:val="24"/>
        </w:rPr>
        <w:t>. El Gobierno no ha planteado espacios de construcción colectiva más allá de unas mesas de diálogo que ya fueron superadas, sin que haya una verdadera gestión política gubernamental que integren las posiciones en futuro común.</w:t>
      </w:r>
    </w:p>
    <w:p w14:paraId="7CCC44E4" w14:textId="77071418" w:rsidR="00345617" w:rsidRPr="0059263C" w:rsidRDefault="00345617" w:rsidP="00535111">
      <w:pPr>
        <w:pStyle w:val="Ttulo1"/>
      </w:pPr>
      <w:bookmarkStart w:id="7" w:name="_Toc78277705"/>
      <w:r w:rsidRPr="0059263C">
        <w:t>CONTRATOS DE PRÉSTAMO PARA APOYO PRESUPUESTARIO</w:t>
      </w:r>
      <w:bookmarkEnd w:id="7"/>
    </w:p>
    <w:p w14:paraId="437BDFEE" w14:textId="77777777" w:rsidR="00DC5343" w:rsidRPr="00FD1D60" w:rsidRDefault="00DC5343" w:rsidP="00DC5343">
      <w:pPr>
        <w:pStyle w:val="Sinespaciado"/>
        <w:spacing w:line="276" w:lineRule="auto"/>
        <w:jc w:val="both"/>
        <w:rPr>
          <w:rFonts w:ascii="Arial" w:eastAsia="Arial" w:hAnsi="Arial" w:cs="Arial"/>
          <w:i/>
          <w:color w:val="000000"/>
          <w:sz w:val="24"/>
          <w:szCs w:val="24"/>
          <w:lang w:val="es-ES" w:eastAsia="zh-CN" w:bidi="hi-IN"/>
        </w:rPr>
      </w:pPr>
      <w:r>
        <w:rPr>
          <w:rFonts w:ascii="Arial" w:eastAsia="Arial" w:hAnsi="Arial" w:cs="Arial"/>
          <w:color w:val="000000"/>
          <w:sz w:val="24"/>
          <w:szCs w:val="24"/>
          <w:lang w:val="es-ES" w:eastAsia="zh-CN" w:bidi="hi-IN"/>
        </w:rPr>
        <w:t>El país viene arrastrando una profunda crisis fiscal que se agravó durante 2020, especialmente por el impacto de la pandemia provocada por la Covid-19. Según datos de la Contraloría General de la República</w:t>
      </w:r>
      <w:r w:rsidR="004F5D58">
        <w:rPr>
          <w:rStyle w:val="Refdenotaalpie"/>
          <w:rFonts w:ascii="Arial" w:eastAsia="Arial" w:hAnsi="Arial" w:cs="Arial"/>
          <w:color w:val="000000"/>
          <w:sz w:val="24"/>
          <w:szCs w:val="24"/>
          <w:lang w:val="es-ES" w:eastAsia="zh-CN" w:bidi="hi-IN"/>
        </w:rPr>
        <w:footnoteReference w:id="4"/>
      </w:r>
      <w:r>
        <w:rPr>
          <w:rFonts w:ascii="Arial" w:eastAsia="Arial" w:hAnsi="Arial" w:cs="Arial"/>
          <w:color w:val="000000"/>
          <w:sz w:val="24"/>
          <w:szCs w:val="24"/>
          <w:lang w:val="es-ES" w:eastAsia="zh-CN" w:bidi="hi-IN"/>
        </w:rPr>
        <w:t xml:space="preserve">, </w:t>
      </w:r>
      <w:r w:rsidR="00205631">
        <w:rPr>
          <w:rFonts w:ascii="Arial" w:eastAsia="Arial" w:hAnsi="Arial" w:cs="Arial"/>
          <w:color w:val="000000"/>
          <w:sz w:val="24"/>
          <w:szCs w:val="24"/>
          <w:lang w:val="es-ES" w:eastAsia="zh-CN" w:bidi="hi-IN"/>
        </w:rPr>
        <w:t>“</w:t>
      </w:r>
      <w:r w:rsidR="00205631" w:rsidRPr="00FD1D60">
        <w:rPr>
          <w:rFonts w:ascii="Arial" w:eastAsia="Arial" w:hAnsi="Arial" w:cs="Arial"/>
          <w:i/>
          <w:color w:val="000000"/>
          <w:sz w:val="24"/>
          <w:szCs w:val="24"/>
          <w:lang w:val="es-ES" w:eastAsia="zh-CN" w:bidi="hi-IN"/>
        </w:rPr>
        <w:t>…</w:t>
      </w:r>
      <w:r w:rsidRPr="00FD1D60">
        <w:rPr>
          <w:rFonts w:ascii="Arial" w:eastAsia="Arial" w:hAnsi="Arial" w:cs="Arial"/>
          <w:i/>
          <w:color w:val="000000"/>
          <w:sz w:val="24"/>
          <w:szCs w:val="24"/>
          <w:lang w:val="es-ES" w:eastAsia="zh-CN" w:bidi="hi-IN"/>
        </w:rPr>
        <w:t xml:space="preserve">el efecto de la pandemia trajo consigo la más severa afectación sobre los ingresos de las últimas décadas, que se concretó por la vía del impacto de la contracción económica sobre la </w:t>
      </w:r>
      <w:r w:rsidR="004F5D58" w:rsidRPr="00FD1D60">
        <w:rPr>
          <w:rFonts w:ascii="Arial" w:eastAsia="Arial" w:hAnsi="Arial" w:cs="Arial"/>
          <w:i/>
          <w:color w:val="000000"/>
          <w:sz w:val="24"/>
          <w:szCs w:val="24"/>
          <w:lang w:val="es-ES" w:eastAsia="zh-CN" w:bidi="hi-IN"/>
        </w:rPr>
        <w:t>recaudación,</w:t>
      </w:r>
      <w:r w:rsidRPr="00FD1D60">
        <w:rPr>
          <w:rFonts w:ascii="Arial" w:eastAsia="Arial" w:hAnsi="Arial" w:cs="Arial"/>
          <w:i/>
          <w:color w:val="000000"/>
          <w:sz w:val="24"/>
          <w:szCs w:val="24"/>
          <w:lang w:val="es-ES" w:eastAsia="zh-CN" w:bidi="hi-IN"/>
        </w:rPr>
        <w:t xml:space="preserve"> así como por la de la aprobación de leyes que alivianaron la carga en el pago de varios impuestos. Así las cosas, en el segundo presupuesto extraordinario de la República (aprobado en julio) la estimación inicial de ingresos tributarios fue ajustada a la baja en un 22,7% (de ¢5,09 billones a ¢3,93 billones), y la carga tributaria efectiva cerró en 12,1% del PIB frente a niveles muy cercanos al 13,0% en años previos.</w:t>
      </w:r>
    </w:p>
    <w:p w14:paraId="37490315" w14:textId="77777777" w:rsidR="00DC5343" w:rsidRPr="00FD1D60" w:rsidRDefault="00DC5343" w:rsidP="00DC5343">
      <w:pPr>
        <w:pStyle w:val="Sinespaciado"/>
        <w:spacing w:line="276" w:lineRule="auto"/>
        <w:jc w:val="both"/>
        <w:rPr>
          <w:rFonts w:ascii="Arial" w:eastAsia="Arial" w:hAnsi="Arial" w:cs="Arial"/>
          <w:i/>
          <w:color w:val="000000"/>
          <w:sz w:val="24"/>
          <w:szCs w:val="24"/>
          <w:lang w:val="es-ES" w:eastAsia="zh-CN" w:bidi="hi-IN"/>
        </w:rPr>
      </w:pPr>
    </w:p>
    <w:p w14:paraId="07081BDC" w14:textId="77777777" w:rsidR="00DC5343" w:rsidRDefault="00DC5343" w:rsidP="00DC5343">
      <w:pPr>
        <w:pStyle w:val="Sinespaciado"/>
        <w:spacing w:line="276" w:lineRule="auto"/>
        <w:jc w:val="both"/>
        <w:rPr>
          <w:rFonts w:ascii="Arial" w:eastAsia="Arial" w:hAnsi="Arial" w:cs="Arial"/>
          <w:color w:val="000000"/>
          <w:sz w:val="24"/>
          <w:szCs w:val="24"/>
          <w:lang w:val="es-ES" w:eastAsia="zh-CN" w:bidi="hi-IN"/>
        </w:rPr>
      </w:pPr>
      <w:r w:rsidRPr="00FD1D60">
        <w:rPr>
          <w:rFonts w:ascii="Arial" w:eastAsia="Arial" w:hAnsi="Arial" w:cs="Arial"/>
          <w:i/>
          <w:color w:val="000000"/>
          <w:sz w:val="24"/>
          <w:szCs w:val="24"/>
          <w:lang w:val="es-ES" w:eastAsia="zh-CN" w:bidi="hi-IN"/>
        </w:rPr>
        <w:t>En consecuencia, el porcentaje del presupuesto aprobado financiado con endeudamiento pasó de un 48,0% en la versión inicial a un 57,1% en la definitiva</w:t>
      </w:r>
      <w:r w:rsidR="004F5D58" w:rsidRPr="00FD1D60">
        <w:rPr>
          <w:rFonts w:ascii="Arial" w:eastAsia="Arial" w:hAnsi="Arial" w:cs="Arial"/>
          <w:i/>
          <w:color w:val="000000"/>
          <w:sz w:val="24"/>
          <w:szCs w:val="24"/>
          <w:lang w:val="es-ES" w:eastAsia="zh-CN" w:bidi="hi-IN"/>
        </w:rPr>
        <w:t xml:space="preserve">, </w:t>
      </w:r>
      <w:r w:rsidRPr="00FD1D60">
        <w:rPr>
          <w:rFonts w:ascii="Arial" w:eastAsia="Arial" w:hAnsi="Arial" w:cs="Arial"/>
          <w:i/>
          <w:color w:val="000000"/>
          <w:sz w:val="24"/>
          <w:szCs w:val="24"/>
          <w:lang w:val="es-ES" w:eastAsia="zh-CN" w:bidi="hi-IN"/>
        </w:rPr>
        <w:t>y mientras que a inicios del año se preveía que el Gobierno cerraría el 2020 con un déficit primario del 1,3% del PIB, un déficit financiero del 5,9% del PIB y una deuda del 61,0% del PIB, estos indicadores terminaron ubicándose, respectivamente, en 3,4%, 8,1% y 67,5%. El crecimiento de 11 puntos del PIB experimentado por la deuda del Gobierno Central, la ubica muy por encima de los niveles de sostenibilidad que puede gestionar el país, junto con mayor vulnerabilidad en la composición del portafolio. Por su parte, la liquidez, frente a la baja en la recaudación tributaria, pasó por momentos críticos y estuvo inusualmente apuntalada en recursos provenientes de préstamos del exterior para apoyo presupuestario</w:t>
      </w:r>
      <w:r w:rsidRPr="00DC5343">
        <w:rPr>
          <w:rFonts w:ascii="Arial" w:eastAsia="Arial" w:hAnsi="Arial" w:cs="Arial"/>
          <w:color w:val="000000"/>
          <w:sz w:val="24"/>
          <w:szCs w:val="24"/>
          <w:lang w:val="es-ES" w:eastAsia="zh-CN" w:bidi="hi-IN"/>
        </w:rPr>
        <w:t>.</w:t>
      </w:r>
      <w:r w:rsidR="00205631">
        <w:rPr>
          <w:rFonts w:ascii="Arial" w:eastAsia="Arial" w:hAnsi="Arial" w:cs="Arial"/>
          <w:color w:val="000000"/>
          <w:sz w:val="24"/>
          <w:szCs w:val="24"/>
          <w:lang w:val="es-ES" w:eastAsia="zh-CN" w:bidi="hi-IN"/>
        </w:rPr>
        <w:t>”</w:t>
      </w:r>
    </w:p>
    <w:p w14:paraId="5D218AA8" w14:textId="77777777" w:rsidR="002E390E" w:rsidRDefault="002E390E" w:rsidP="00DC5343">
      <w:pPr>
        <w:pStyle w:val="Sinespaciado"/>
        <w:spacing w:line="276" w:lineRule="auto"/>
        <w:jc w:val="both"/>
        <w:rPr>
          <w:rFonts w:ascii="Arial" w:eastAsia="Arial" w:hAnsi="Arial" w:cs="Arial"/>
          <w:color w:val="000000"/>
          <w:sz w:val="24"/>
          <w:szCs w:val="24"/>
          <w:lang w:val="es-ES" w:eastAsia="zh-CN" w:bidi="hi-IN"/>
        </w:rPr>
      </w:pPr>
    </w:p>
    <w:p w14:paraId="6AD130A9" w14:textId="77777777" w:rsidR="002E390E" w:rsidRDefault="002E390E" w:rsidP="002E390E">
      <w:pPr>
        <w:pStyle w:val="Sinespaciado"/>
        <w:spacing w:line="276" w:lineRule="auto"/>
        <w:jc w:val="both"/>
        <w:rPr>
          <w:rFonts w:ascii="Arial" w:eastAsia="Arial" w:hAnsi="Arial" w:cs="Arial"/>
          <w:color w:val="000000"/>
          <w:sz w:val="24"/>
          <w:szCs w:val="24"/>
          <w:lang w:val="es-ES" w:eastAsia="zh-CN" w:bidi="hi-IN"/>
        </w:rPr>
      </w:pPr>
      <w:r>
        <w:rPr>
          <w:rFonts w:ascii="Arial" w:eastAsia="Arial" w:hAnsi="Arial" w:cs="Arial"/>
          <w:color w:val="000000"/>
          <w:sz w:val="24"/>
          <w:szCs w:val="24"/>
          <w:lang w:val="es-ES" w:eastAsia="zh-CN" w:bidi="hi-IN"/>
        </w:rPr>
        <w:t xml:space="preserve">En efecto, durante el ejercicio económico 2020, </w:t>
      </w:r>
      <w:r w:rsidR="00807EA6">
        <w:rPr>
          <w:rFonts w:ascii="Arial" w:eastAsia="Arial" w:hAnsi="Arial" w:cs="Arial"/>
          <w:color w:val="000000"/>
          <w:sz w:val="24"/>
          <w:szCs w:val="24"/>
          <w:lang w:val="es-ES" w:eastAsia="zh-CN" w:bidi="hi-IN"/>
        </w:rPr>
        <w:t xml:space="preserve">el </w:t>
      </w:r>
      <w:r w:rsidR="00FD1D60">
        <w:rPr>
          <w:rFonts w:ascii="Arial" w:eastAsia="Arial" w:hAnsi="Arial" w:cs="Arial"/>
          <w:color w:val="000000"/>
          <w:sz w:val="24"/>
          <w:szCs w:val="24"/>
          <w:lang w:val="es-ES" w:eastAsia="zh-CN" w:bidi="hi-IN"/>
        </w:rPr>
        <w:t>G</w:t>
      </w:r>
      <w:r w:rsidR="00807EA6">
        <w:rPr>
          <w:rFonts w:ascii="Arial" w:eastAsia="Arial" w:hAnsi="Arial" w:cs="Arial"/>
          <w:color w:val="000000"/>
          <w:sz w:val="24"/>
          <w:szCs w:val="24"/>
          <w:lang w:val="es-ES" w:eastAsia="zh-CN" w:bidi="hi-IN"/>
        </w:rPr>
        <w:t xml:space="preserve">obierno </w:t>
      </w:r>
      <w:r w:rsidR="00FD1D60">
        <w:rPr>
          <w:rFonts w:ascii="Arial" w:eastAsia="Arial" w:hAnsi="Arial" w:cs="Arial"/>
          <w:color w:val="000000"/>
          <w:sz w:val="24"/>
          <w:szCs w:val="24"/>
          <w:lang w:val="es-ES" w:eastAsia="zh-CN" w:bidi="hi-IN"/>
        </w:rPr>
        <w:t>C</w:t>
      </w:r>
      <w:r w:rsidR="00807EA6">
        <w:rPr>
          <w:rFonts w:ascii="Arial" w:eastAsia="Arial" w:hAnsi="Arial" w:cs="Arial"/>
          <w:color w:val="000000"/>
          <w:sz w:val="24"/>
          <w:szCs w:val="24"/>
          <w:lang w:val="es-ES" w:eastAsia="zh-CN" w:bidi="hi-IN"/>
        </w:rPr>
        <w:t xml:space="preserve">entral hizo frente al problema de liquidez recurriendo a </w:t>
      </w:r>
      <w:r>
        <w:rPr>
          <w:rFonts w:ascii="Arial" w:eastAsia="Arial" w:hAnsi="Arial" w:cs="Arial"/>
          <w:color w:val="000000"/>
          <w:sz w:val="24"/>
          <w:szCs w:val="24"/>
          <w:lang w:val="es-ES" w:eastAsia="zh-CN" w:bidi="hi-IN"/>
        </w:rPr>
        <w:t xml:space="preserve">los créditos </w:t>
      </w:r>
      <w:r w:rsidR="00F60200">
        <w:rPr>
          <w:rFonts w:ascii="Arial" w:eastAsia="Arial" w:hAnsi="Arial" w:cs="Arial"/>
          <w:color w:val="000000"/>
          <w:sz w:val="24"/>
          <w:szCs w:val="24"/>
          <w:lang w:val="es-ES" w:eastAsia="zh-CN" w:bidi="hi-IN"/>
        </w:rPr>
        <w:t xml:space="preserve">de apoyo presupuestario </w:t>
      </w:r>
      <w:r>
        <w:rPr>
          <w:rFonts w:ascii="Arial" w:eastAsia="Arial" w:hAnsi="Arial" w:cs="Arial"/>
          <w:color w:val="000000"/>
          <w:sz w:val="24"/>
          <w:szCs w:val="24"/>
          <w:lang w:val="es-ES" w:eastAsia="zh-CN" w:bidi="hi-IN"/>
        </w:rPr>
        <w:t xml:space="preserve">aprobados por la Asamblea Legislativa, </w:t>
      </w:r>
      <w:r w:rsidR="00807EA6">
        <w:rPr>
          <w:rFonts w:ascii="Arial" w:eastAsia="Arial" w:hAnsi="Arial" w:cs="Arial"/>
          <w:color w:val="000000"/>
          <w:sz w:val="24"/>
          <w:szCs w:val="24"/>
          <w:lang w:val="es-ES" w:eastAsia="zh-CN" w:bidi="hi-IN"/>
        </w:rPr>
        <w:t xml:space="preserve">que </w:t>
      </w:r>
      <w:r>
        <w:rPr>
          <w:rFonts w:ascii="Arial" w:eastAsia="Arial" w:hAnsi="Arial" w:cs="Arial"/>
          <w:color w:val="000000"/>
          <w:sz w:val="24"/>
          <w:szCs w:val="24"/>
          <w:lang w:val="es-ES" w:eastAsia="zh-CN" w:bidi="hi-IN"/>
        </w:rPr>
        <w:t>fueron los siguientes:</w:t>
      </w:r>
    </w:p>
    <w:p w14:paraId="7644B73B" w14:textId="77777777" w:rsidR="002E390E" w:rsidRDefault="002E390E" w:rsidP="002E390E">
      <w:pPr>
        <w:pStyle w:val="Sinespaciado"/>
        <w:spacing w:line="276" w:lineRule="auto"/>
        <w:jc w:val="both"/>
        <w:rPr>
          <w:rFonts w:ascii="Arial" w:eastAsia="Arial" w:hAnsi="Arial" w:cs="Arial"/>
          <w:color w:val="000000"/>
          <w:sz w:val="24"/>
          <w:szCs w:val="24"/>
          <w:lang w:val="es-ES" w:eastAsia="zh-CN" w:bidi="hi-IN"/>
        </w:rPr>
      </w:pPr>
    </w:p>
    <w:tbl>
      <w:tblPr>
        <w:tblStyle w:val="Tablanormal2"/>
        <w:tblW w:w="0" w:type="auto"/>
        <w:tblInd w:w="851" w:type="dxa"/>
        <w:tblLook w:val="04A0" w:firstRow="1" w:lastRow="0" w:firstColumn="1" w:lastColumn="0" w:noHBand="0" w:noVBand="1"/>
      </w:tblPr>
      <w:tblGrid>
        <w:gridCol w:w="4389"/>
        <w:gridCol w:w="1134"/>
        <w:gridCol w:w="1848"/>
      </w:tblGrid>
      <w:tr w:rsidR="002E390E" w:rsidRPr="00311707" w14:paraId="1FFEC806" w14:textId="77777777" w:rsidTr="00DA4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45364BBE" w14:textId="77777777" w:rsidR="002E390E" w:rsidRPr="00311707" w:rsidRDefault="002E390E" w:rsidP="00E43BAE">
            <w:pPr>
              <w:pStyle w:val="Sinespaciado"/>
              <w:spacing w:line="276" w:lineRule="auto"/>
              <w:jc w:val="center"/>
              <w:rPr>
                <w:rFonts w:ascii="Arial" w:eastAsia="Arial" w:hAnsi="Arial" w:cs="Arial"/>
                <w:color w:val="000000"/>
                <w:sz w:val="24"/>
                <w:szCs w:val="24"/>
                <w:lang w:val="es-ES" w:eastAsia="zh-CN" w:bidi="hi-IN"/>
              </w:rPr>
            </w:pPr>
            <w:r w:rsidRPr="00311707">
              <w:rPr>
                <w:rFonts w:ascii="Arial" w:eastAsia="Arial" w:hAnsi="Arial" w:cs="Arial"/>
                <w:color w:val="000000"/>
                <w:sz w:val="24"/>
                <w:szCs w:val="24"/>
                <w:lang w:val="es-ES" w:eastAsia="zh-CN" w:bidi="hi-IN"/>
              </w:rPr>
              <w:t>Crédito</w:t>
            </w:r>
          </w:p>
        </w:tc>
        <w:tc>
          <w:tcPr>
            <w:tcW w:w="1134" w:type="dxa"/>
          </w:tcPr>
          <w:p w14:paraId="4F0494DC" w14:textId="77777777" w:rsidR="002E390E" w:rsidRPr="00311707" w:rsidRDefault="002E390E" w:rsidP="00E43BAE">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lang w:val="es-ES" w:eastAsia="zh-CN" w:bidi="hi-IN"/>
              </w:rPr>
            </w:pPr>
            <w:r w:rsidRPr="00311707">
              <w:rPr>
                <w:rFonts w:ascii="Arial" w:eastAsia="Arial" w:hAnsi="Arial" w:cs="Arial"/>
                <w:color w:val="000000"/>
                <w:sz w:val="24"/>
                <w:szCs w:val="24"/>
                <w:lang w:val="es-ES" w:eastAsia="zh-CN" w:bidi="hi-IN"/>
              </w:rPr>
              <w:t>Ley</w:t>
            </w:r>
          </w:p>
        </w:tc>
        <w:tc>
          <w:tcPr>
            <w:tcW w:w="1848" w:type="dxa"/>
          </w:tcPr>
          <w:p w14:paraId="7DCF97C8" w14:textId="77777777" w:rsidR="002E390E" w:rsidRPr="00311707" w:rsidRDefault="002E390E" w:rsidP="00E43BAE">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lang w:val="es-ES" w:eastAsia="zh-CN" w:bidi="hi-IN"/>
              </w:rPr>
            </w:pPr>
            <w:r w:rsidRPr="00311707">
              <w:rPr>
                <w:rFonts w:ascii="Arial" w:eastAsia="Arial" w:hAnsi="Arial" w:cs="Arial"/>
                <w:color w:val="000000"/>
                <w:sz w:val="24"/>
                <w:szCs w:val="24"/>
                <w:lang w:val="es-ES" w:eastAsia="zh-CN" w:bidi="hi-IN"/>
              </w:rPr>
              <w:t>Monto</w:t>
            </w:r>
          </w:p>
        </w:tc>
      </w:tr>
      <w:tr w:rsidR="002E390E" w:rsidRPr="00311707" w14:paraId="3C242D36" w14:textId="77777777" w:rsidTr="00DA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0C4C451B" w14:textId="77777777" w:rsidR="002E390E" w:rsidRPr="00311707" w:rsidRDefault="002E390E" w:rsidP="00E43BAE">
            <w:pPr>
              <w:pStyle w:val="Sinespaciado"/>
              <w:spacing w:line="276" w:lineRule="auto"/>
              <w:jc w:val="both"/>
              <w:rPr>
                <w:rFonts w:ascii="Arial" w:eastAsia="Arial" w:hAnsi="Arial" w:cs="Arial"/>
                <w:b w:val="0"/>
                <w:color w:val="000000"/>
                <w:lang w:val="es-ES" w:eastAsia="zh-CN" w:bidi="hi-IN"/>
              </w:rPr>
            </w:pPr>
            <w:r w:rsidRPr="00311707">
              <w:rPr>
                <w:rFonts w:ascii="Arial" w:eastAsia="Arial" w:hAnsi="Arial" w:cs="Arial"/>
                <w:b w:val="0"/>
                <w:color w:val="000000"/>
                <w:lang w:val="es-ES" w:eastAsia="zh-CN" w:bidi="hi-IN"/>
              </w:rPr>
              <w:t>BID N° 4819/OC-CR Programa de Apoyo a la Sostenibilidad Fiscal</w:t>
            </w:r>
          </w:p>
        </w:tc>
        <w:tc>
          <w:tcPr>
            <w:tcW w:w="1134" w:type="dxa"/>
          </w:tcPr>
          <w:p w14:paraId="6503D5C1" w14:textId="77777777" w:rsidR="002E390E" w:rsidRPr="00311707" w:rsidRDefault="002E390E" w:rsidP="00E43B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s-ES" w:eastAsia="zh-CN" w:bidi="hi-IN"/>
              </w:rPr>
            </w:pPr>
            <w:r w:rsidRPr="00311707">
              <w:rPr>
                <w:rFonts w:ascii="Arial" w:eastAsia="Calibri" w:hAnsi="Arial" w:cs="Arial"/>
              </w:rPr>
              <w:t>9754</w:t>
            </w:r>
          </w:p>
        </w:tc>
        <w:tc>
          <w:tcPr>
            <w:tcW w:w="1848" w:type="dxa"/>
          </w:tcPr>
          <w:p w14:paraId="5F2C28C0" w14:textId="77777777" w:rsidR="002E390E" w:rsidRPr="00311707" w:rsidRDefault="002E390E" w:rsidP="00E43BAE">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es-ES" w:eastAsia="zh-CN" w:bidi="hi-IN"/>
              </w:rPr>
            </w:pPr>
            <w:r w:rsidRPr="00311707">
              <w:rPr>
                <w:rFonts w:ascii="Arial" w:eastAsia="Arial" w:hAnsi="Arial" w:cs="Arial"/>
                <w:color w:val="000000"/>
                <w:lang w:val="es-ES" w:eastAsia="zh-CN" w:bidi="hi-IN"/>
              </w:rPr>
              <w:t>¢57.200,7 millones</w:t>
            </w:r>
          </w:p>
        </w:tc>
      </w:tr>
      <w:tr w:rsidR="002E390E" w:rsidRPr="00311707" w14:paraId="1D457AA7" w14:textId="77777777" w:rsidTr="00DA413A">
        <w:tc>
          <w:tcPr>
            <w:cnfStyle w:val="001000000000" w:firstRow="0" w:lastRow="0" w:firstColumn="1" w:lastColumn="0" w:oddVBand="0" w:evenVBand="0" w:oddHBand="0" w:evenHBand="0" w:firstRowFirstColumn="0" w:firstRowLastColumn="0" w:lastRowFirstColumn="0" w:lastRowLastColumn="0"/>
            <w:tcW w:w="4389" w:type="dxa"/>
          </w:tcPr>
          <w:p w14:paraId="52E733D4" w14:textId="77777777" w:rsidR="002E390E" w:rsidRPr="00311707" w:rsidRDefault="002E390E" w:rsidP="00E43BAE">
            <w:pPr>
              <w:pStyle w:val="Sinespaciado"/>
              <w:spacing w:line="276" w:lineRule="auto"/>
              <w:jc w:val="both"/>
              <w:rPr>
                <w:rFonts w:ascii="Arial" w:eastAsia="Arial" w:hAnsi="Arial" w:cs="Arial"/>
                <w:b w:val="0"/>
                <w:color w:val="000000"/>
                <w:lang w:val="es-ES" w:eastAsia="zh-CN" w:bidi="hi-IN"/>
              </w:rPr>
            </w:pPr>
            <w:r w:rsidRPr="00311707">
              <w:rPr>
                <w:rFonts w:ascii="Arial" w:eastAsia="Arial" w:hAnsi="Arial" w:cs="Arial"/>
                <w:b w:val="0"/>
                <w:color w:val="000000"/>
                <w:lang w:val="es-ES" w:eastAsia="zh-CN" w:bidi="hi-IN"/>
              </w:rPr>
              <w:t>Crédito CAF Programa de Apoyo para el Fortalecimiento de las Finanzas Públicas</w:t>
            </w:r>
          </w:p>
        </w:tc>
        <w:tc>
          <w:tcPr>
            <w:tcW w:w="1134" w:type="dxa"/>
          </w:tcPr>
          <w:p w14:paraId="0ABC233C" w14:textId="77777777" w:rsidR="002E390E" w:rsidRPr="00311707" w:rsidRDefault="002E390E" w:rsidP="00E43B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11707">
              <w:rPr>
                <w:rFonts w:ascii="Arial" w:eastAsia="Calibri" w:hAnsi="Arial" w:cs="Arial"/>
              </w:rPr>
              <w:t>9833</w:t>
            </w:r>
          </w:p>
        </w:tc>
        <w:tc>
          <w:tcPr>
            <w:tcW w:w="1848" w:type="dxa"/>
          </w:tcPr>
          <w:p w14:paraId="6EA078C1" w14:textId="77777777" w:rsidR="002E390E" w:rsidRPr="00311707" w:rsidRDefault="002E390E" w:rsidP="00E43BAE">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s-ES" w:eastAsia="zh-CN" w:bidi="hi-IN"/>
              </w:rPr>
            </w:pPr>
            <w:r w:rsidRPr="00311707">
              <w:rPr>
                <w:rFonts w:ascii="Arial" w:eastAsia="Arial" w:hAnsi="Arial" w:cs="Arial"/>
                <w:color w:val="000000"/>
                <w:lang w:val="es-ES" w:eastAsia="zh-CN" w:bidi="hi-IN"/>
              </w:rPr>
              <w:t>¢290.708,0 millones</w:t>
            </w:r>
          </w:p>
        </w:tc>
      </w:tr>
      <w:tr w:rsidR="002E390E" w:rsidRPr="00311707" w14:paraId="787E05A1" w14:textId="77777777" w:rsidTr="00DA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0D7F19EF" w14:textId="77777777" w:rsidR="002E390E" w:rsidRPr="00311707" w:rsidRDefault="002E390E" w:rsidP="00E43BAE">
            <w:pPr>
              <w:pStyle w:val="Sinespaciado"/>
              <w:spacing w:line="276" w:lineRule="auto"/>
              <w:jc w:val="both"/>
              <w:rPr>
                <w:rFonts w:ascii="Arial" w:eastAsia="Arial" w:hAnsi="Arial" w:cs="Arial"/>
                <w:b w:val="0"/>
                <w:color w:val="000000"/>
                <w:lang w:val="es-ES" w:eastAsia="zh-CN" w:bidi="hi-IN"/>
              </w:rPr>
            </w:pPr>
            <w:r w:rsidRPr="00311707">
              <w:rPr>
                <w:rFonts w:ascii="Arial" w:eastAsia="Arial" w:hAnsi="Arial" w:cs="Arial"/>
                <w:b w:val="0"/>
                <w:color w:val="000000"/>
                <w:lang w:val="es-ES" w:eastAsia="zh-CN" w:bidi="hi-IN"/>
              </w:rPr>
              <w:t>BID Plan de Descarbonización de Costa Rica</w:t>
            </w:r>
          </w:p>
        </w:tc>
        <w:tc>
          <w:tcPr>
            <w:tcW w:w="1134" w:type="dxa"/>
          </w:tcPr>
          <w:p w14:paraId="6012A151" w14:textId="77777777" w:rsidR="002E390E" w:rsidRPr="00311707" w:rsidRDefault="002E390E" w:rsidP="00E43B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11707">
              <w:rPr>
                <w:rFonts w:ascii="Arial" w:eastAsia="Calibri" w:hAnsi="Arial" w:cs="Arial"/>
              </w:rPr>
              <w:t>9846</w:t>
            </w:r>
          </w:p>
        </w:tc>
        <w:tc>
          <w:tcPr>
            <w:tcW w:w="1848" w:type="dxa"/>
          </w:tcPr>
          <w:p w14:paraId="45C382CE" w14:textId="77777777" w:rsidR="002E390E" w:rsidRPr="00311707" w:rsidRDefault="002E390E" w:rsidP="00E43BAE">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es-ES" w:eastAsia="zh-CN" w:bidi="hi-IN"/>
              </w:rPr>
            </w:pPr>
            <w:r w:rsidRPr="00311707">
              <w:rPr>
                <w:rFonts w:ascii="Arial" w:eastAsia="Arial" w:hAnsi="Arial" w:cs="Arial"/>
                <w:color w:val="000000"/>
                <w:lang w:val="es-ES" w:eastAsia="zh-CN" w:bidi="hi-IN"/>
              </w:rPr>
              <w:t>¢131.612,9 millones</w:t>
            </w:r>
          </w:p>
        </w:tc>
      </w:tr>
      <w:tr w:rsidR="002E390E" w:rsidRPr="00311707" w14:paraId="0B264B30" w14:textId="77777777" w:rsidTr="00DA413A">
        <w:tc>
          <w:tcPr>
            <w:cnfStyle w:val="001000000000" w:firstRow="0" w:lastRow="0" w:firstColumn="1" w:lastColumn="0" w:oddVBand="0" w:evenVBand="0" w:oddHBand="0" w:evenHBand="0" w:firstRowFirstColumn="0" w:firstRowLastColumn="0" w:lastRowFirstColumn="0" w:lastRowLastColumn="0"/>
            <w:tcW w:w="4389" w:type="dxa"/>
          </w:tcPr>
          <w:p w14:paraId="15AAE7CE" w14:textId="77777777" w:rsidR="002E390E" w:rsidRPr="00311707" w:rsidRDefault="00594AC7" w:rsidP="00594AC7">
            <w:pPr>
              <w:pStyle w:val="Sinespaciado"/>
              <w:spacing w:line="276" w:lineRule="auto"/>
              <w:jc w:val="both"/>
              <w:rPr>
                <w:rFonts w:ascii="Arial" w:eastAsia="Arial" w:hAnsi="Arial" w:cs="Arial"/>
                <w:b w:val="0"/>
                <w:color w:val="000000"/>
                <w:lang w:val="es-ES" w:eastAsia="zh-CN" w:bidi="hi-IN"/>
              </w:rPr>
            </w:pPr>
            <w:r w:rsidRPr="00311707">
              <w:rPr>
                <w:rFonts w:ascii="Arial" w:eastAsia="Arial" w:hAnsi="Arial" w:cs="Arial"/>
                <w:b w:val="0"/>
                <w:color w:val="000000"/>
                <w:lang w:val="es-ES" w:eastAsia="zh-CN" w:bidi="hi-IN"/>
              </w:rPr>
              <w:t>AFD Plan de Descarbonización de Costa Rica</w:t>
            </w:r>
          </w:p>
        </w:tc>
        <w:tc>
          <w:tcPr>
            <w:tcW w:w="1134" w:type="dxa"/>
          </w:tcPr>
          <w:p w14:paraId="588B761E" w14:textId="77777777" w:rsidR="002E390E" w:rsidRPr="00311707" w:rsidRDefault="002E390E" w:rsidP="00E43BAE">
            <w:pPr>
              <w:pStyle w:val="Sinespaciado"/>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11707">
              <w:rPr>
                <w:rFonts w:ascii="Arial" w:eastAsia="Calibri" w:hAnsi="Arial" w:cs="Arial"/>
              </w:rPr>
              <w:t>9846</w:t>
            </w:r>
          </w:p>
        </w:tc>
        <w:tc>
          <w:tcPr>
            <w:tcW w:w="1848" w:type="dxa"/>
          </w:tcPr>
          <w:p w14:paraId="793F4425" w14:textId="77777777" w:rsidR="002E390E" w:rsidRPr="00311707" w:rsidRDefault="002E390E" w:rsidP="00E43BAE">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s-ES" w:eastAsia="zh-CN" w:bidi="hi-IN"/>
              </w:rPr>
            </w:pPr>
            <w:r w:rsidRPr="00311707">
              <w:rPr>
                <w:rFonts w:ascii="Arial" w:eastAsia="Arial" w:hAnsi="Arial" w:cs="Arial"/>
                <w:color w:val="000000"/>
                <w:lang w:val="es-ES" w:eastAsia="zh-CN" w:bidi="hi-IN"/>
              </w:rPr>
              <w:t>¢85.728,9 millones</w:t>
            </w:r>
          </w:p>
        </w:tc>
      </w:tr>
      <w:tr w:rsidR="002E390E" w:rsidRPr="00311707" w14:paraId="5D57866E" w14:textId="77777777" w:rsidTr="00DA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571F1AC5" w14:textId="77777777" w:rsidR="002E390E" w:rsidRPr="00311707" w:rsidRDefault="002E390E" w:rsidP="00E43BAE">
            <w:pPr>
              <w:pStyle w:val="Sinespaciado"/>
              <w:spacing w:line="276" w:lineRule="auto"/>
              <w:jc w:val="both"/>
              <w:rPr>
                <w:rFonts w:ascii="Arial" w:eastAsia="Arial" w:hAnsi="Arial" w:cs="Arial"/>
                <w:b w:val="0"/>
                <w:color w:val="000000"/>
                <w:lang w:val="es-ES" w:eastAsia="zh-CN" w:bidi="hi-IN"/>
              </w:rPr>
            </w:pPr>
            <w:r w:rsidRPr="00311707">
              <w:rPr>
                <w:rFonts w:ascii="Arial" w:eastAsia="Arial" w:hAnsi="Arial" w:cs="Arial"/>
                <w:b w:val="0"/>
                <w:color w:val="000000"/>
                <w:lang w:val="es-ES" w:eastAsia="zh-CN" w:bidi="hi-IN"/>
              </w:rPr>
              <w:t>FMI Crédito Instrumento de Financiamiento Rápido (IFR)</w:t>
            </w:r>
          </w:p>
        </w:tc>
        <w:tc>
          <w:tcPr>
            <w:tcW w:w="1134" w:type="dxa"/>
          </w:tcPr>
          <w:p w14:paraId="5F52E975" w14:textId="77777777" w:rsidR="002E390E" w:rsidRPr="00311707" w:rsidRDefault="002E390E" w:rsidP="00E43BAE">
            <w:pPr>
              <w:pStyle w:val="Sinespaciado"/>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11707">
              <w:rPr>
                <w:rFonts w:ascii="Arial" w:eastAsia="Calibri" w:hAnsi="Arial" w:cs="Arial"/>
              </w:rPr>
              <w:t>9895</w:t>
            </w:r>
          </w:p>
        </w:tc>
        <w:tc>
          <w:tcPr>
            <w:tcW w:w="1848" w:type="dxa"/>
          </w:tcPr>
          <w:p w14:paraId="0AD30AF1" w14:textId="77777777" w:rsidR="002E390E" w:rsidRPr="00311707" w:rsidRDefault="002E390E" w:rsidP="00E43BAE">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lang w:val="es-ES" w:eastAsia="zh-CN" w:bidi="hi-IN"/>
              </w:rPr>
            </w:pPr>
            <w:r w:rsidRPr="00311707">
              <w:rPr>
                <w:rFonts w:ascii="Arial" w:eastAsia="Arial" w:hAnsi="Arial" w:cs="Arial"/>
                <w:color w:val="000000"/>
                <w:lang w:val="es-ES" w:eastAsia="zh-CN" w:bidi="hi-IN"/>
              </w:rPr>
              <w:t>¢259.367,1 millones</w:t>
            </w:r>
          </w:p>
        </w:tc>
      </w:tr>
    </w:tbl>
    <w:p w14:paraId="01CD23B9" w14:textId="77777777" w:rsidR="002E390E" w:rsidRDefault="002E390E" w:rsidP="002E390E">
      <w:pPr>
        <w:pStyle w:val="Sinespaciado"/>
        <w:spacing w:line="276" w:lineRule="auto"/>
        <w:jc w:val="both"/>
        <w:rPr>
          <w:rFonts w:ascii="Arial" w:eastAsia="Arial" w:hAnsi="Arial" w:cs="Arial"/>
          <w:color w:val="000000"/>
          <w:sz w:val="16"/>
          <w:szCs w:val="16"/>
          <w:lang w:val="es-ES" w:eastAsia="zh-CN" w:bidi="hi-IN"/>
        </w:rPr>
      </w:pPr>
    </w:p>
    <w:p w14:paraId="35E02A0D" w14:textId="77777777" w:rsidR="002E390E" w:rsidRPr="00F57397" w:rsidRDefault="00DA413A" w:rsidP="002E390E">
      <w:pPr>
        <w:pStyle w:val="Sinespaciado"/>
        <w:spacing w:line="276" w:lineRule="auto"/>
        <w:jc w:val="both"/>
        <w:rPr>
          <w:rFonts w:ascii="Arial" w:eastAsia="Arial" w:hAnsi="Arial" w:cs="Arial"/>
          <w:color w:val="000000"/>
          <w:sz w:val="16"/>
          <w:szCs w:val="16"/>
          <w:lang w:val="es-ES" w:eastAsia="zh-CN" w:bidi="hi-IN"/>
        </w:rPr>
      </w:pPr>
      <w:r>
        <w:rPr>
          <w:rFonts w:ascii="Arial" w:eastAsia="Arial" w:hAnsi="Arial" w:cs="Arial"/>
          <w:color w:val="000000"/>
          <w:sz w:val="16"/>
          <w:szCs w:val="16"/>
          <w:lang w:val="es-ES" w:eastAsia="zh-CN" w:bidi="hi-IN"/>
        </w:rPr>
        <w:t xml:space="preserve">                    </w:t>
      </w:r>
      <w:r w:rsidR="002E390E" w:rsidRPr="00F57397">
        <w:rPr>
          <w:rFonts w:ascii="Arial" w:eastAsia="Arial" w:hAnsi="Arial" w:cs="Arial"/>
          <w:color w:val="000000"/>
          <w:sz w:val="16"/>
          <w:szCs w:val="16"/>
          <w:lang w:val="es-ES" w:eastAsia="zh-CN" w:bidi="hi-IN"/>
        </w:rPr>
        <w:t>Fuente: Elaboración propia con datos del Departamento de Análisis Presupuestario</w:t>
      </w:r>
    </w:p>
    <w:p w14:paraId="73BA1741" w14:textId="77777777" w:rsidR="002E390E" w:rsidRDefault="002E390E" w:rsidP="002E390E">
      <w:pPr>
        <w:pStyle w:val="Sinespaciado"/>
        <w:spacing w:line="276" w:lineRule="auto"/>
        <w:jc w:val="both"/>
        <w:rPr>
          <w:rFonts w:ascii="Arial" w:eastAsia="Arial" w:hAnsi="Arial" w:cs="Arial"/>
          <w:color w:val="000000"/>
          <w:sz w:val="24"/>
          <w:szCs w:val="24"/>
          <w:lang w:val="es-ES" w:eastAsia="zh-CN" w:bidi="hi-IN"/>
        </w:rPr>
      </w:pPr>
    </w:p>
    <w:p w14:paraId="451B03FC" w14:textId="77777777" w:rsidR="002E390E" w:rsidRDefault="002E390E" w:rsidP="002E390E">
      <w:pPr>
        <w:pStyle w:val="Sinespaciado"/>
        <w:spacing w:line="276" w:lineRule="auto"/>
        <w:jc w:val="both"/>
        <w:rPr>
          <w:rFonts w:ascii="Arial" w:eastAsia="Arial" w:hAnsi="Arial" w:cs="Arial"/>
          <w:color w:val="000000"/>
          <w:sz w:val="24"/>
          <w:szCs w:val="24"/>
          <w:lang w:val="es-ES" w:eastAsia="zh-CN" w:bidi="hi-IN"/>
        </w:rPr>
      </w:pPr>
      <w:r>
        <w:rPr>
          <w:rFonts w:ascii="Arial" w:eastAsia="Arial" w:hAnsi="Arial" w:cs="Arial"/>
          <w:color w:val="000000"/>
          <w:sz w:val="24"/>
          <w:szCs w:val="24"/>
          <w:lang w:val="es-ES" w:eastAsia="zh-CN" w:bidi="hi-IN"/>
        </w:rPr>
        <w:t xml:space="preserve">Así las cosas, el monto total de estos recursos alcanzó la suma de </w:t>
      </w:r>
      <w:r w:rsidRPr="00603006">
        <w:rPr>
          <w:rFonts w:ascii="Arial" w:hAnsi="Arial" w:cs="Arial"/>
          <w:sz w:val="24"/>
          <w:szCs w:val="24"/>
        </w:rPr>
        <w:t>¢824.617,5 millones</w:t>
      </w:r>
      <w:r>
        <w:rPr>
          <w:rFonts w:ascii="Arial" w:hAnsi="Arial" w:cs="Arial"/>
          <w:sz w:val="24"/>
          <w:szCs w:val="24"/>
        </w:rPr>
        <w:t>, es decir, casi 2,3% del PIB 2020</w:t>
      </w:r>
      <w:r w:rsidR="00FD1D60">
        <w:rPr>
          <w:rFonts w:ascii="Arial" w:hAnsi="Arial" w:cs="Arial"/>
          <w:sz w:val="24"/>
          <w:szCs w:val="24"/>
        </w:rPr>
        <w:t>, recursos que f</w:t>
      </w:r>
      <w:r w:rsidR="00807EA6">
        <w:rPr>
          <w:rFonts w:ascii="Arial" w:hAnsi="Arial" w:cs="Arial"/>
          <w:sz w:val="24"/>
          <w:szCs w:val="24"/>
        </w:rPr>
        <w:t>ueron ejecutados en su totalidad.</w:t>
      </w:r>
      <w:r w:rsidR="005F0D04">
        <w:rPr>
          <w:rFonts w:ascii="Arial" w:hAnsi="Arial" w:cs="Arial"/>
          <w:sz w:val="24"/>
          <w:szCs w:val="24"/>
        </w:rPr>
        <w:t xml:space="preserve"> Por este mismo concepto, </w:t>
      </w:r>
      <w:r w:rsidR="00FD1D60">
        <w:rPr>
          <w:rFonts w:ascii="Arial" w:hAnsi="Arial" w:cs="Arial"/>
          <w:sz w:val="24"/>
          <w:szCs w:val="24"/>
        </w:rPr>
        <w:t xml:space="preserve">pero </w:t>
      </w:r>
      <w:r w:rsidR="005F0D04">
        <w:rPr>
          <w:rFonts w:ascii="Arial" w:hAnsi="Arial" w:cs="Arial"/>
          <w:sz w:val="24"/>
          <w:szCs w:val="24"/>
        </w:rPr>
        <w:t>en 2019, se ejecutaron ¢1,00 billones, siendo que la variación absoluta respecto a 2020 fue de ¢1</w:t>
      </w:r>
      <w:r w:rsidR="005F0D04" w:rsidRPr="005F0D04">
        <w:rPr>
          <w:rFonts w:ascii="Arial" w:hAnsi="Arial" w:cs="Arial"/>
          <w:sz w:val="24"/>
          <w:szCs w:val="24"/>
        </w:rPr>
        <w:t>83.899,3</w:t>
      </w:r>
      <w:r w:rsidR="005F0D04">
        <w:rPr>
          <w:rFonts w:ascii="Arial" w:hAnsi="Arial" w:cs="Arial"/>
          <w:sz w:val="24"/>
          <w:szCs w:val="24"/>
        </w:rPr>
        <w:t xml:space="preserve"> millones (-18,2%).</w:t>
      </w:r>
    </w:p>
    <w:p w14:paraId="3874BFA0" w14:textId="77777777" w:rsidR="00BB1667" w:rsidRDefault="00BB1667" w:rsidP="00DC5343">
      <w:pPr>
        <w:pStyle w:val="Sinespaciado"/>
        <w:spacing w:line="276" w:lineRule="auto"/>
        <w:jc w:val="both"/>
        <w:rPr>
          <w:rFonts w:ascii="Arial" w:eastAsia="Arial" w:hAnsi="Arial" w:cs="Arial"/>
          <w:color w:val="000000"/>
          <w:sz w:val="24"/>
          <w:szCs w:val="24"/>
          <w:lang w:val="es-ES" w:eastAsia="zh-CN" w:bidi="hi-IN"/>
        </w:rPr>
      </w:pPr>
    </w:p>
    <w:p w14:paraId="71E8383C" w14:textId="77777777" w:rsidR="00BB1667" w:rsidRDefault="00F60200" w:rsidP="00BB1667">
      <w:pPr>
        <w:pStyle w:val="Sinespaciado"/>
        <w:spacing w:line="276" w:lineRule="auto"/>
        <w:jc w:val="both"/>
        <w:rPr>
          <w:rFonts w:ascii="Arial" w:eastAsia="Arial" w:hAnsi="Arial" w:cs="Arial"/>
          <w:color w:val="000000"/>
          <w:sz w:val="24"/>
          <w:szCs w:val="24"/>
          <w:lang w:val="es-ES" w:eastAsia="zh-CN" w:bidi="hi-IN"/>
        </w:rPr>
      </w:pPr>
      <w:r>
        <w:rPr>
          <w:rFonts w:ascii="Arial" w:eastAsia="Arial" w:hAnsi="Arial" w:cs="Arial"/>
          <w:color w:val="000000"/>
          <w:sz w:val="24"/>
          <w:szCs w:val="24"/>
          <w:lang w:val="es-ES" w:eastAsia="zh-CN" w:bidi="hi-IN"/>
        </w:rPr>
        <w:t xml:space="preserve">Esta modalidad de crédito </w:t>
      </w:r>
      <w:r w:rsidR="007A7AE9">
        <w:rPr>
          <w:rFonts w:ascii="Arial" w:eastAsia="Arial" w:hAnsi="Arial" w:cs="Arial"/>
          <w:color w:val="000000"/>
          <w:sz w:val="24"/>
          <w:szCs w:val="24"/>
          <w:lang w:val="es-ES" w:eastAsia="zh-CN" w:bidi="hi-IN"/>
        </w:rPr>
        <w:t xml:space="preserve">externo </w:t>
      </w:r>
      <w:r w:rsidR="00BB1667">
        <w:rPr>
          <w:rFonts w:ascii="Arial" w:eastAsia="Arial" w:hAnsi="Arial" w:cs="Arial"/>
          <w:color w:val="000000"/>
          <w:sz w:val="24"/>
          <w:szCs w:val="24"/>
          <w:lang w:val="es-ES" w:eastAsia="zh-CN" w:bidi="hi-IN"/>
        </w:rPr>
        <w:t>trae</w:t>
      </w:r>
      <w:r>
        <w:rPr>
          <w:rFonts w:ascii="Arial" w:eastAsia="Arial" w:hAnsi="Arial" w:cs="Arial"/>
          <w:color w:val="000000"/>
          <w:sz w:val="24"/>
          <w:szCs w:val="24"/>
          <w:lang w:val="es-ES" w:eastAsia="zh-CN" w:bidi="hi-IN"/>
        </w:rPr>
        <w:t xml:space="preserve"> </w:t>
      </w:r>
      <w:r w:rsidR="00BB1667">
        <w:rPr>
          <w:rFonts w:ascii="Arial" w:eastAsia="Arial" w:hAnsi="Arial" w:cs="Arial"/>
          <w:color w:val="000000"/>
          <w:sz w:val="24"/>
          <w:szCs w:val="24"/>
          <w:lang w:val="es-ES" w:eastAsia="zh-CN" w:bidi="hi-IN"/>
        </w:rPr>
        <w:t>consigo potencial</w:t>
      </w:r>
      <w:r w:rsidR="00691C92">
        <w:rPr>
          <w:rFonts w:ascii="Arial" w:eastAsia="Arial" w:hAnsi="Arial" w:cs="Arial"/>
          <w:color w:val="000000"/>
          <w:sz w:val="24"/>
          <w:szCs w:val="24"/>
          <w:lang w:val="es-ES" w:eastAsia="zh-CN" w:bidi="hi-IN"/>
        </w:rPr>
        <w:t>es</w:t>
      </w:r>
      <w:r w:rsidR="00BB1667">
        <w:rPr>
          <w:rFonts w:ascii="Arial" w:eastAsia="Arial" w:hAnsi="Arial" w:cs="Arial"/>
          <w:color w:val="000000"/>
          <w:sz w:val="24"/>
          <w:szCs w:val="24"/>
          <w:lang w:val="es-ES" w:eastAsia="zh-CN" w:bidi="hi-IN"/>
        </w:rPr>
        <w:t xml:space="preserve"> beneficio</w:t>
      </w:r>
      <w:r w:rsidR="00691C92">
        <w:rPr>
          <w:rFonts w:ascii="Arial" w:eastAsia="Arial" w:hAnsi="Arial" w:cs="Arial"/>
          <w:color w:val="000000"/>
          <w:sz w:val="24"/>
          <w:szCs w:val="24"/>
          <w:lang w:val="es-ES" w:eastAsia="zh-CN" w:bidi="hi-IN"/>
        </w:rPr>
        <w:t>s</w:t>
      </w:r>
      <w:r w:rsidR="00BB1667">
        <w:rPr>
          <w:rFonts w:ascii="Arial" w:eastAsia="Arial" w:hAnsi="Arial" w:cs="Arial"/>
          <w:color w:val="000000"/>
          <w:sz w:val="24"/>
          <w:szCs w:val="24"/>
          <w:lang w:val="es-ES" w:eastAsia="zh-CN" w:bidi="hi-IN"/>
        </w:rPr>
        <w:t xml:space="preserve"> para las finanzas públicas, </w:t>
      </w:r>
      <w:r w:rsidR="00691C92">
        <w:rPr>
          <w:rFonts w:ascii="Arial" w:eastAsia="Arial" w:hAnsi="Arial" w:cs="Arial"/>
          <w:color w:val="000000"/>
          <w:sz w:val="24"/>
          <w:szCs w:val="24"/>
          <w:lang w:val="es-ES" w:eastAsia="zh-CN" w:bidi="hi-IN"/>
        </w:rPr>
        <w:t xml:space="preserve">en virtud de </w:t>
      </w:r>
      <w:r w:rsidR="00BB1667">
        <w:rPr>
          <w:rFonts w:ascii="Arial" w:eastAsia="Arial" w:hAnsi="Arial" w:cs="Arial"/>
          <w:color w:val="000000"/>
          <w:sz w:val="24"/>
          <w:szCs w:val="24"/>
          <w:lang w:val="es-ES" w:eastAsia="zh-CN" w:bidi="hi-IN"/>
        </w:rPr>
        <w:t>las siguientes consideraciones:</w:t>
      </w:r>
    </w:p>
    <w:p w14:paraId="74C25133" w14:textId="77777777" w:rsidR="002E390E" w:rsidRDefault="002E390E" w:rsidP="00BB1667">
      <w:pPr>
        <w:pStyle w:val="Sinespaciado"/>
        <w:spacing w:line="276" w:lineRule="auto"/>
        <w:jc w:val="both"/>
        <w:rPr>
          <w:rFonts w:ascii="Arial" w:eastAsia="Arial" w:hAnsi="Arial" w:cs="Arial"/>
          <w:color w:val="000000"/>
          <w:sz w:val="24"/>
          <w:szCs w:val="24"/>
          <w:lang w:val="es-ES" w:eastAsia="zh-CN" w:bidi="hi-IN"/>
        </w:rPr>
      </w:pPr>
    </w:p>
    <w:p w14:paraId="5DB21806" w14:textId="6FE2E258" w:rsidR="00BB1667" w:rsidRDefault="00BB1667" w:rsidP="00BB1667">
      <w:pPr>
        <w:pStyle w:val="Sinespaciado"/>
        <w:numPr>
          <w:ilvl w:val="0"/>
          <w:numId w:val="1"/>
        </w:numPr>
        <w:spacing w:line="276" w:lineRule="auto"/>
        <w:jc w:val="both"/>
        <w:rPr>
          <w:rFonts w:ascii="Arial" w:eastAsia="Arial" w:hAnsi="Arial" w:cs="Arial"/>
          <w:color w:val="000000"/>
          <w:sz w:val="24"/>
          <w:szCs w:val="24"/>
          <w:lang w:val="es-ES" w:eastAsia="zh-CN" w:bidi="hi-IN"/>
        </w:rPr>
      </w:pPr>
      <w:r>
        <w:rPr>
          <w:rFonts w:ascii="Arial" w:eastAsia="Arial" w:hAnsi="Arial" w:cs="Arial"/>
          <w:color w:val="000000"/>
          <w:sz w:val="24"/>
          <w:szCs w:val="24"/>
          <w:lang w:val="es-ES" w:eastAsia="zh-CN" w:bidi="hi-IN"/>
        </w:rPr>
        <w:t>N</w:t>
      </w:r>
      <w:r w:rsidRPr="004278BB">
        <w:rPr>
          <w:rFonts w:ascii="Arial" w:eastAsia="Arial" w:hAnsi="Arial" w:cs="Arial"/>
          <w:color w:val="000000"/>
          <w:sz w:val="24"/>
          <w:szCs w:val="24"/>
          <w:lang w:val="es-ES" w:eastAsia="zh-CN" w:bidi="hi-IN"/>
        </w:rPr>
        <w:t>o representa</w:t>
      </w:r>
      <w:r w:rsidR="00F60200">
        <w:rPr>
          <w:rFonts w:ascii="Arial" w:eastAsia="Arial" w:hAnsi="Arial" w:cs="Arial"/>
          <w:color w:val="000000"/>
          <w:sz w:val="24"/>
          <w:szCs w:val="24"/>
          <w:lang w:val="es-ES" w:eastAsia="zh-CN" w:bidi="hi-IN"/>
        </w:rPr>
        <w:t xml:space="preserve"> </w:t>
      </w:r>
      <w:r w:rsidRPr="004278BB">
        <w:rPr>
          <w:rFonts w:ascii="Arial" w:eastAsia="Arial" w:hAnsi="Arial" w:cs="Arial"/>
          <w:color w:val="000000"/>
          <w:sz w:val="24"/>
          <w:szCs w:val="24"/>
          <w:lang w:val="es-ES" w:eastAsia="zh-CN" w:bidi="hi-IN"/>
        </w:rPr>
        <w:t>un aumento en el gasto, sino que más bien provee</w:t>
      </w:r>
      <w:r w:rsidR="00F60200">
        <w:rPr>
          <w:rFonts w:ascii="Arial" w:eastAsia="Arial" w:hAnsi="Arial" w:cs="Arial"/>
          <w:color w:val="000000"/>
          <w:sz w:val="24"/>
          <w:szCs w:val="24"/>
          <w:lang w:val="es-ES" w:eastAsia="zh-CN" w:bidi="hi-IN"/>
        </w:rPr>
        <w:t xml:space="preserve">, </w:t>
      </w:r>
      <w:r w:rsidRPr="004278BB">
        <w:rPr>
          <w:rFonts w:ascii="Arial" w:eastAsia="Arial" w:hAnsi="Arial" w:cs="Arial"/>
          <w:color w:val="000000"/>
          <w:sz w:val="24"/>
          <w:szCs w:val="24"/>
          <w:lang w:val="es-ES" w:eastAsia="zh-CN" w:bidi="hi-IN"/>
        </w:rPr>
        <w:t xml:space="preserve">para financiar el gasto ya aprobado, una opción de financiamiento de menor costo con respecto a otras fuentes internas y externas. En otras palabras, permite sustituir </w:t>
      </w:r>
      <w:r w:rsidR="00BF1E48">
        <w:rPr>
          <w:rFonts w:ascii="Arial" w:eastAsia="Arial" w:hAnsi="Arial" w:cs="Arial"/>
          <w:color w:val="000000"/>
          <w:sz w:val="24"/>
          <w:szCs w:val="24"/>
          <w:lang w:val="es-ES" w:eastAsia="zh-CN" w:bidi="hi-IN"/>
        </w:rPr>
        <w:t>“</w:t>
      </w:r>
      <w:r w:rsidRPr="004278BB">
        <w:rPr>
          <w:rFonts w:ascii="Arial" w:eastAsia="Arial" w:hAnsi="Arial" w:cs="Arial"/>
          <w:color w:val="000000"/>
          <w:sz w:val="24"/>
          <w:szCs w:val="24"/>
          <w:lang w:val="es-ES" w:eastAsia="zh-CN" w:bidi="hi-IN"/>
        </w:rPr>
        <w:t>deuda cara por deuda barata</w:t>
      </w:r>
      <w:r w:rsidR="00BF1E48">
        <w:rPr>
          <w:rFonts w:ascii="Arial" w:eastAsia="Arial" w:hAnsi="Arial" w:cs="Arial"/>
          <w:color w:val="000000"/>
          <w:sz w:val="24"/>
          <w:szCs w:val="24"/>
          <w:lang w:val="es-ES" w:eastAsia="zh-CN" w:bidi="hi-IN"/>
        </w:rPr>
        <w:t>”</w:t>
      </w:r>
      <w:r w:rsidRPr="004278BB">
        <w:rPr>
          <w:rFonts w:ascii="Arial" w:eastAsia="Arial" w:hAnsi="Arial" w:cs="Arial"/>
          <w:color w:val="000000"/>
          <w:sz w:val="24"/>
          <w:szCs w:val="24"/>
          <w:lang w:val="es-ES" w:eastAsia="zh-CN" w:bidi="hi-IN"/>
        </w:rPr>
        <w:t>.</w:t>
      </w:r>
    </w:p>
    <w:p w14:paraId="145079D2" w14:textId="77777777" w:rsidR="007A7AE9" w:rsidRDefault="007A7AE9" w:rsidP="007A7AE9">
      <w:pPr>
        <w:pStyle w:val="Sinespaciado"/>
        <w:spacing w:line="276" w:lineRule="auto"/>
        <w:ind w:left="720"/>
        <w:jc w:val="both"/>
        <w:rPr>
          <w:rFonts w:ascii="Arial" w:eastAsia="Arial" w:hAnsi="Arial" w:cs="Arial"/>
          <w:color w:val="000000"/>
          <w:sz w:val="24"/>
          <w:szCs w:val="24"/>
          <w:lang w:val="es-ES" w:eastAsia="zh-CN" w:bidi="hi-IN"/>
        </w:rPr>
      </w:pPr>
    </w:p>
    <w:p w14:paraId="6E5E2662" w14:textId="77777777" w:rsidR="00BB1667" w:rsidRDefault="00F60200" w:rsidP="00BB1667">
      <w:pPr>
        <w:pStyle w:val="Sinespaciado"/>
        <w:numPr>
          <w:ilvl w:val="0"/>
          <w:numId w:val="1"/>
        </w:numPr>
        <w:spacing w:line="276" w:lineRule="auto"/>
        <w:jc w:val="both"/>
        <w:rPr>
          <w:rFonts w:ascii="Arial" w:eastAsia="Arial" w:hAnsi="Arial" w:cs="Arial"/>
          <w:color w:val="000000"/>
          <w:sz w:val="24"/>
          <w:szCs w:val="24"/>
          <w:lang w:val="es-ES" w:eastAsia="zh-CN" w:bidi="hi-IN"/>
        </w:rPr>
      </w:pPr>
      <w:r>
        <w:rPr>
          <w:rFonts w:ascii="Arial" w:eastAsia="Arial" w:hAnsi="Arial" w:cs="Arial"/>
          <w:color w:val="000000"/>
          <w:sz w:val="24"/>
          <w:szCs w:val="24"/>
          <w:lang w:val="es-ES" w:eastAsia="zh-CN" w:bidi="hi-IN"/>
        </w:rPr>
        <w:t>M</w:t>
      </w:r>
      <w:r w:rsidR="00BB1667" w:rsidRPr="00D8381B">
        <w:rPr>
          <w:rFonts w:ascii="Arial" w:eastAsia="Arial" w:hAnsi="Arial" w:cs="Arial"/>
          <w:color w:val="000000"/>
          <w:sz w:val="24"/>
          <w:szCs w:val="24"/>
          <w:lang w:val="es-ES" w:eastAsia="zh-CN" w:bidi="hi-IN"/>
        </w:rPr>
        <w:t>ejora la gestión de tesorería y de deuda pública, además de que contribuye a la sostenibilidad fiscal, pues el menor costo del financiamiento implica un menor déficit fiscal y un menor saldo de deuda del Gobierno Central.</w:t>
      </w:r>
    </w:p>
    <w:p w14:paraId="2CF3672D" w14:textId="77777777" w:rsidR="007A7AE9" w:rsidRDefault="007A7AE9" w:rsidP="007A7AE9">
      <w:pPr>
        <w:pStyle w:val="Sinespaciado"/>
        <w:spacing w:line="276" w:lineRule="auto"/>
        <w:jc w:val="both"/>
        <w:rPr>
          <w:rFonts w:ascii="Arial" w:eastAsia="Arial" w:hAnsi="Arial" w:cs="Arial"/>
          <w:color w:val="000000"/>
          <w:sz w:val="24"/>
          <w:szCs w:val="24"/>
          <w:lang w:val="es-ES" w:eastAsia="zh-CN" w:bidi="hi-IN"/>
        </w:rPr>
      </w:pPr>
    </w:p>
    <w:p w14:paraId="10CA00A4" w14:textId="77777777" w:rsidR="00BB1667" w:rsidRDefault="00F60200" w:rsidP="00BB1667">
      <w:pPr>
        <w:pStyle w:val="Sinespaciado"/>
        <w:numPr>
          <w:ilvl w:val="0"/>
          <w:numId w:val="1"/>
        </w:numPr>
        <w:spacing w:line="276" w:lineRule="auto"/>
        <w:jc w:val="both"/>
        <w:rPr>
          <w:rFonts w:ascii="Arial" w:eastAsia="Arial" w:hAnsi="Arial" w:cs="Arial"/>
          <w:color w:val="000000"/>
          <w:sz w:val="24"/>
          <w:szCs w:val="24"/>
          <w:lang w:val="es-ES" w:eastAsia="zh-CN" w:bidi="hi-IN"/>
        </w:rPr>
      </w:pPr>
      <w:r>
        <w:rPr>
          <w:rFonts w:ascii="Arial" w:eastAsia="Arial" w:hAnsi="Arial" w:cs="Arial"/>
          <w:color w:val="000000"/>
          <w:sz w:val="24"/>
          <w:szCs w:val="24"/>
          <w:lang w:val="es-ES" w:eastAsia="zh-CN" w:bidi="hi-IN"/>
        </w:rPr>
        <w:t>M</w:t>
      </w:r>
      <w:r w:rsidR="00BB1667" w:rsidRPr="00D8381B">
        <w:rPr>
          <w:rFonts w:ascii="Arial" w:eastAsia="Arial" w:hAnsi="Arial" w:cs="Arial"/>
          <w:color w:val="000000"/>
          <w:sz w:val="24"/>
          <w:szCs w:val="24"/>
          <w:lang w:val="es-ES" w:eastAsia="zh-CN" w:bidi="hi-IN"/>
        </w:rPr>
        <w:t>itigan las presiones alcistas sobre las tasas de interés que, en la actual coyuntura, podría ejercer el Gobierno Central en el mercado financiero local.</w:t>
      </w:r>
    </w:p>
    <w:p w14:paraId="30875E82" w14:textId="77777777" w:rsidR="007A7AE9" w:rsidRDefault="007A7AE9" w:rsidP="007A7AE9">
      <w:pPr>
        <w:pStyle w:val="Sinespaciado"/>
        <w:spacing w:line="276" w:lineRule="auto"/>
        <w:jc w:val="both"/>
        <w:rPr>
          <w:rFonts w:ascii="Arial" w:eastAsia="Arial" w:hAnsi="Arial" w:cs="Arial"/>
          <w:color w:val="000000"/>
          <w:sz w:val="24"/>
          <w:szCs w:val="24"/>
          <w:lang w:val="es-ES" w:eastAsia="zh-CN" w:bidi="hi-IN"/>
        </w:rPr>
      </w:pPr>
    </w:p>
    <w:p w14:paraId="54416D47" w14:textId="1F46E58D" w:rsidR="00BB1667" w:rsidRDefault="00BB1667" w:rsidP="00BB1667">
      <w:pPr>
        <w:pStyle w:val="Sinespaciado"/>
        <w:numPr>
          <w:ilvl w:val="0"/>
          <w:numId w:val="1"/>
        </w:numPr>
        <w:spacing w:line="276" w:lineRule="auto"/>
        <w:jc w:val="both"/>
        <w:rPr>
          <w:rFonts w:ascii="Arial" w:eastAsia="Arial" w:hAnsi="Arial" w:cs="Arial"/>
          <w:color w:val="000000"/>
          <w:sz w:val="24"/>
          <w:szCs w:val="24"/>
          <w:lang w:val="es-ES" w:eastAsia="zh-CN" w:bidi="hi-IN"/>
        </w:rPr>
      </w:pPr>
      <w:r w:rsidRPr="00D8381B">
        <w:rPr>
          <w:rFonts w:ascii="Arial" w:eastAsia="Arial" w:hAnsi="Arial" w:cs="Arial"/>
          <w:color w:val="000000"/>
          <w:sz w:val="24"/>
          <w:szCs w:val="24"/>
          <w:lang w:val="es-ES" w:eastAsia="zh-CN" w:bidi="hi-IN"/>
        </w:rPr>
        <w:t>Es una clara señal para los organismos financieros internacionales y ayuda a recuperar la confianza de los inversionistas y demás agentes económicos</w:t>
      </w:r>
      <w:r w:rsidR="007A7AE9">
        <w:rPr>
          <w:rFonts w:ascii="Arial" w:eastAsia="Arial" w:hAnsi="Arial" w:cs="Arial"/>
          <w:color w:val="000000"/>
          <w:sz w:val="24"/>
          <w:szCs w:val="24"/>
          <w:lang w:val="es-ES" w:eastAsia="zh-CN" w:bidi="hi-IN"/>
        </w:rPr>
        <w:t xml:space="preserve"> del mercado</w:t>
      </w:r>
      <w:r w:rsidRPr="00D8381B">
        <w:rPr>
          <w:rFonts w:ascii="Arial" w:eastAsia="Arial" w:hAnsi="Arial" w:cs="Arial"/>
          <w:color w:val="000000"/>
          <w:sz w:val="24"/>
          <w:szCs w:val="24"/>
          <w:lang w:val="es-ES" w:eastAsia="zh-CN" w:bidi="hi-IN"/>
        </w:rPr>
        <w:t>.</w:t>
      </w:r>
    </w:p>
    <w:p w14:paraId="6D0A24A4" w14:textId="77777777" w:rsidR="00BB1667" w:rsidRDefault="00BB1667" w:rsidP="00BB1667">
      <w:pPr>
        <w:pStyle w:val="Sinespaciado"/>
        <w:spacing w:line="276" w:lineRule="auto"/>
        <w:jc w:val="both"/>
        <w:rPr>
          <w:rFonts w:ascii="Arial" w:eastAsia="Arial" w:hAnsi="Arial" w:cs="Arial"/>
          <w:color w:val="000000"/>
          <w:sz w:val="24"/>
          <w:szCs w:val="24"/>
          <w:lang w:val="es-ES" w:eastAsia="zh-CN" w:bidi="hi-IN"/>
        </w:rPr>
      </w:pPr>
    </w:p>
    <w:p w14:paraId="392C9E57" w14:textId="04870724" w:rsidR="00F57397" w:rsidRDefault="00F57397" w:rsidP="00F57397">
      <w:pPr>
        <w:pStyle w:val="Sinespaciado"/>
        <w:spacing w:line="276" w:lineRule="auto"/>
        <w:jc w:val="both"/>
        <w:rPr>
          <w:rFonts w:ascii="Arial" w:eastAsia="Arial" w:hAnsi="Arial" w:cs="Arial"/>
          <w:color w:val="000000"/>
          <w:sz w:val="24"/>
          <w:szCs w:val="24"/>
          <w:lang w:val="es-ES" w:eastAsia="zh-CN" w:bidi="hi-IN"/>
        </w:rPr>
      </w:pPr>
      <w:r>
        <w:rPr>
          <w:rFonts w:ascii="Arial" w:eastAsia="Arial" w:hAnsi="Arial" w:cs="Arial"/>
          <w:color w:val="000000"/>
          <w:sz w:val="24"/>
          <w:szCs w:val="24"/>
          <w:lang w:val="es-ES" w:eastAsia="zh-CN" w:bidi="hi-IN"/>
        </w:rPr>
        <w:t xml:space="preserve">A pesar de </w:t>
      </w:r>
      <w:r w:rsidR="00691C92">
        <w:rPr>
          <w:rFonts w:ascii="Arial" w:eastAsia="Arial" w:hAnsi="Arial" w:cs="Arial"/>
          <w:color w:val="000000"/>
          <w:sz w:val="24"/>
          <w:szCs w:val="24"/>
          <w:lang w:val="es-ES" w:eastAsia="zh-CN" w:bidi="hi-IN"/>
        </w:rPr>
        <w:t xml:space="preserve">lo anterior, </w:t>
      </w:r>
      <w:r>
        <w:rPr>
          <w:rFonts w:ascii="Arial" w:eastAsia="Arial" w:hAnsi="Arial" w:cs="Arial"/>
          <w:color w:val="000000"/>
          <w:sz w:val="24"/>
          <w:szCs w:val="24"/>
          <w:lang w:val="es-ES" w:eastAsia="zh-CN" w:bidi="hi-IN"/>
        </w:rPr>
        <w:t xml:space="preserve">es importante mencionar que las diputadas y los diputados firmantes de este informe, no creemos que el endeudamiento interno o el financiamiento a través de organismos internacionales sean la única fórmula para enfrentar el problema fiscal. </w:t>
      </w:r>
      <w:r w:rsidR="007A7AE9">
        <w:rPr>
          <w:rFonts w:ascii="Arial" w:eastAsia="Arial" w:hAnsi="Arial" w:cs="Arial"/>
          <w:color w:val="000000"/>
          <w:sz w:val="24"/>
          <w:szCs w:val="24"/>
          <w:lang w:val="es-ES" w:eastAsia="zh-CN" w:bidi="hi-IN"/>
        </w:rPr>
        <w:t>E</w:t>
      </w:r>
      <w:r w:rsidR="00691C92">
        <w:rPr>
          <w:rFonts w:ascii="Arial" w:eastAsia="Arial" w:hAnsi="Arial" w:cs="Arial"/>
          <w:color w:val="000000"/>
          <w:sz w:val="24"/>
          <w:szCs w:val="24"/>
          <w:lang w:val="es-ES" w:eastAsia="zh-CN" w:bidi="hi-IN"/>
        </w:rPr>
        <w:t xml:space="preserve">l endeudamiento </w:t>
      </w:r>
      <w:r w:rsidR="007A7AE9">
        <w:rPr>
          <w:rFonts w:ascii="Arial" w:eastAsia="Arial" w:hAnsi="Arial" w:cs="Arial"/>
          <w:color w:val="000000"/>
          <w:sz w:val="24"/>
          <w:szCs w:val="24"/>
          <w:lang w:val="es-ES" w:eastAsia="zh-CN" w:bidi="hi-IN"/>
        </w:rPr>
        <w:t>constituye</w:t>
      </w:r>
      <w:r w:rsidR="00691C92">
        <w:rPr>
          <w:rFonts w:ascii="Arial" w:eastAsia="Arial" w:hAnsi="Arial" w:cs="Arial"/>
          <w:color w:val="000000"/>
          <w:sz w:val="24"/>
          <w:szCs w:val="24"/>
          <w:lang w:val="es-ES" w:eastAsia="zh-CN" w:bidi="hi-IN"/>
        </w:rPr>
        <w:t xml:space="preserve"> </w:t>
      </w:r>
      <w:r w:rsidR="007A7AE9">
        <w:rPr>
          <w:rFonts w:ascii="Arial" w:eastAsia="Arial" w:hAnsi="Arial" w:cs="Arial"/>
          <w:color w:val="000000"/>
          <w:sz w:val="24"/>
          <w:szCs w:val="24"/>
          <w:lang w:val="es-ES" w:eastAsia="zh-CN" w:bidi="hi-IN"/>
        </w:rPr>
        <w:t xml:space="preserve">tan solo un </w:t>
      </w:r>
      <w:r>
        <w:rPr>
          <w:rFonts w:ascii="Arial" w:eastAsia="Arial" w:hAnsi="Arial" w:cs="Arial"/>
          <w:color w:val="000000"/>
          <w:sz w:val="24"/>
          <w:szCs w:val="24"/>
          <w:lang w:val="es-ES" w:eastAsia="zh-CN" w:bidi="hi-IN"/>
        </w:rPr>
        <w:t>paliativo</w:t>
      </w:r>
      <w:r w:rsidR="007A7AE9">
        <w:rPr>
          <w:rFonts w:ascii="Arial" w:eastAsia="Arial" w:hAnsi="Arial" w:cs="Arial"/>
          <w:color w:val="000000"/>
          <w:sz w:val="24"/>
          <w:szCs w:val="24"/>
          <w:lang w:val="es-ES" w:eastAsia="zh-CN" w:bidi="hi-IN"/>
        </w:rPr>
        <w:t xml:space="preserve"> </w:t>
      </w:r>
      <w:r w:rsidR="00691C92">
        <w:rPr>
          <w:rFonts w:ascii="Arial" w:eastAsia="Arial" w:hAnsi="Arial" w:cs="Arial"/>
          <w:color w:val="000000"/>
          <w:sz w:val="24"/>
          <w:szCs w:val="24"/>
          <w:lang w:val="es-ES" w:eastAsia="zh-CN" w:bidi="hi-IN"/>
        </w:rPr>
        <w:t xml:space="preserve">que debe </w:t>
      </w:r>
      <w:r>
        <w:rPr>
          <w:rFonts w:ascii="Arial" w:eastAsia="Arial" w:hAnsi="Arial" w:cs="Arial"/>
          <w:color w:val="000000"/>
          <w:sz w:val="24"/>
          <w:szCs w:val="24"/>
          <w:lang w:val="es-ES" w:eastAsia="zh-CN" w:bidi="hi-IN"/>
        </w:rPr>
        <w:t>necesariamente ir acompañado</w:t>
      </w:r>
      <w:r w:rsidR="00691C92">
        <w:rPr>
          <w:rFonts w:ascii="Arial" w:eastAsia="Arial" w:hAnsi="Arial" w:cs="Arial"/>
          <w:color w:val="000000"/>
          <w:sz w:val="24"/>
          <w:szCs w:val="24"/>
          <w:lang w:val="es-ES" w:eastAsia="zh-CN" w:bidi="hi-IN"/>
        </w:rPr>
        <w:t xml:space="preserve"> </w:t>
      </w:r>
      <w:r>
        <w:rPr>
          <w:rFonts w:ascii="Arial" w:eastAsia="Arial" w:hAnsi="Arial" w:cs="Arial"/>
          <w:color w:val="000000"/>
          <w:sz w:val="24"/>
          <w:szCs w:val="24"/>
          <w:lang w:val="es-ES" w:eastAsia="zh-CN" w:bidi="hi-IN"/>
        </w:rPr>
        <w:t xml:space="preserve">de medidas estructurales </w:t>
      </w:r>
      <w:r w:rsidR="004F5320">
        <w:rPr>
          <w:rFonts w:ascii="Arial" w:eastAsia="Arial" w:hAnsi="Arial" w:cs="Arial"/>
          <w:color w:val="000000"/>
          <w:sz w:val="24"/>
          <w:szCs w:val="24"/>
          <w:lang w:val="es-ES" w:eastAsia="zh-CN" w:bidi="hi-IN"/>
        </w:rPr>
        <w:t xml:space="preserve">que </w:t>
      </w:r>
      <w:r>
        <w:rPr>
          <w:rFonts w:ascii="Arial" w:eastAsia="Arial" w:hAnsi="Arial" w:cs="Arial"/>
          <w:color w:val="000000"/>
          <w:sz w:val="24"/>
          <w:szCs w:val="24"/>
          <w:lang w:val="es-ES" w:eastAsia="zh-CN" w:bidi="hi-IN"/>
        </w:rPr>
        <w:t>eleven los índices de empleo</w:t>
      </w:r>
      <w:r w:rsidR="007A7AE9">
        <w:rPr>
          <w:rFonts w:ascii="Arial" w:eastAsia="Arial" w:hAnsi="Arial" w:cs="Arial"/>
          <w:color w:val="000000"/>
          <w:sz w:val="24"/>
          <w:szCs w:val="24"/>
          <w:lang w:val="es-ES" w:eastAsia="zh-CN" w:bidi="hi-IN"/>
        </w:rPr>
        <w:t xml:space="preserve">, reduzcan la informalidad, recuperen terreno en </w:t>
      </w:r>
      <w:r w:rsidR="00AE3EE6">
        <w:rPr>
          <w:rFonts w:ascii="Arial" w:eastAsia="Arial" w:hAnsi="Arial" w:cs="Arial"/>
          <w:color w:val="000000"/>
          <w:sz w:val="24"/>
          <w:szCs w:val="24"/>
          <w:lang w:val="es-ES" w:eastAsia="zh-CN" w:bidi="hi-IN"/>
        </w:rPr>
        <w:t xml:space="preserve">el campo de la </w:t>
      </w:r>
      <w:r w:rsidR="007A7AE9">
        <w:rPr>
          <w:rFonts w:ascii="Arial" w:eastAsia="Arial" w:hAnsi="Arial" w:cs="Arial"/>
          <w:color w:val="000000"/>
          <w:sz w:val="24"/>
          <w:szCs w:val="24"/>
          <w:lang w:val="es-ES" w:eastAsia="zh-CN" w:bidi="hi-IN"/>
        </w:rPr>
        <w:t xml:space="preserve">competitividad </w:t>
      </w:r>
      <w:r>
        <w:rPr>
          <w:rFonts w:ascii="Arial" w:eastAsia="Arial" w:hAnsi="Arial" w:cs="Arial"/>
          <w:color w:val="000000"/>
          <w:sz w:val="24"/>
          <w:szCs w:val="24"/>
          <w:lang w:val="es-ES" w:eastAsia="zh-CN" w:bidi="hi-IN"/>
        </w:rPr>
        <w:t>y garanticen la sostenibilidad fiscal en el tiempo.</w:t>
      </w:r>
    </w:p>
    <w:p w14:paraId="7FC345B2" w14:textId="77777777" w:rsidR="00F57397" w:rsidRDefault="00F57397" w:rsidP="00DC5343">
      <w:pPr>
        <w:pStyle w:val="Sinespaciado"/>
        <w:spacing w:line="276" w:lineRule="auto"/>
        <w:jc w:val="both"/>
        <w:rPr>
          <w:rFonts w:ascii="Arial" w:eastAsia="Arial" w:hAnsi="Arial" w:cs="Arial"/>
          <w:color w:val="000000"/>
          <w:sz w:val="24"/>
          <w:szCs w:val="24"/>
          <w:lang w:val="es-ES" w:eastAsia="zh-CN" w:bidi="hi-IN"/>
        </w:rPr>
      </w:pPr>
    </w:p>
    <w:p w14:paraId="0155B28E" w14:textId="77777777" w:rsidR="00BB1667" w:rsidRDefault="007A7AE9" w:rsidP="00BB1667">
      <w:pPr>
        <w:pStyle w:val="Sinespaciado"/>
        <w:spacing w:line="276" w:lineRule="auto"/>
        <w:jc w:val="both"/>
        <w:rPr>
          <w:rFonts w:ascii="Arial" w:hAnsi="Arial" w:cs="Arial"/>
          <w:sz w:val="24"/>
          <w:szCs w:val="24"/>
        </w:rPr>
      </w:pPr>
      <w:r>
        <w:rPr>
          <w:rFonts w:ascii="Arial" w:hAnsi="Arial" w:cs="Arial"/>
          <w:sz w:val="24"/>
          <w:szCs w:val="24"/>
        </w:rPr>
        <w:t xml:space="preserve">El impacto real y </w:t>
      </w:r>
      <w:r w:rsidR="008911F9">
        <w:rPr>
          <w:rFonts w:ascii="Arial" w:hAnsi="Arial" w:cs="Arial"/>
          <w:sz w:val="24"/>
          <w:szCs w:val="24"/>
        </w:rPr>
        <w:t xml:space="preserve">verificable </w:t>
      </w:r>
      <w:r>
        <w:rPr>
          <w:rFonts w:ascii="Arial" w:hAnsi="Arial" w:cs="Arial"/>
          <w:sz w:val="24"/>
          <w:szCs w:val="24"/>
        </w:rPr>
        <w:t xml:space="preserve">de esos </w:t>
      </w:r>
      <w:r w:rsidR="002E390E" w:rsidRPr="00603006">
        <w:rPr>
          <w:rFonts w:ascii="Arial" w:hAnsi="Arial" w:cs="Arial"/>
          <w:sz w:val="24"/>
          <w:szCs w:val="24"/>
        </w:rPr>
        <w:t>¢824.617,5 millones</w:t>
      </w:r>
      <w:r w:rsidR="002E390E">
        <w:rPr>
          <w:rFonts w:ascii="Arial" w:hAnsi="Arial" w:cs="Arial"/>
          <w:sz w:val="24"/>
          <w:szCs w:val="24"/>
        </w:rPr>
        <w:t xml:space="preserve"> </w:t>
      </w:r>
      <w:r w:rsidR="008911F9">
        <w:rPr>
          <w:rFonts w:ascii="Arial" w:hAnsi="Arial" w:cs="Arial"/>
          <w:sz w:val="24"/>
          <w:szCs w:val="24"/>
        </w:rPr>
        <w:t xml:space="preserve">sobre las finanzas públicas, aún se desconoce. No existe certeza sobre su cuantificación </w:t>
      </w:r>
      <w:r w:rsidR="00F57397">
        <w:rPr>
          <w:rFonts w:ascii="Arial" w:hAnsi="Arial" w:cs="Arial"/>
          <w:sz w:val="24"/>
          <w:szCs w:val="24"/>
        </w:rPr>
        <w:t xml:space="preserve">en términos de ahorro, pago de </w:t>
      </w:r>
      <w:r w:rsidR="00BB2300">
        <w:rPr>
          <w:rFonts w:ascii="Arial" w:hAnsi="Arial" w:cs="Arial"/>
          <w:sz w:val="24"/>
          <w:szCs w:val="24"/>
        </w:rPr>
        <w:t xml:space="preserve">comisiones, </w:t>
      </w:r>
      <w:r w:rsidR="00F57397">
        <w:rPr>
          <w:rFonts w:ascii="Arial" w:hAnsi="Arial" w:cs="Arial"/>
          <w:sz w:val="24"/>
          <w:szCs w:val="24"/>
        </w:rPr>
        <w:t>intereses, amortización y estrategia de canjes de deu</w:t>
      </w:r>
      <w:r w:rsidR="008911F9">
        <w:rPr>
          <w:rFonts w:ascii="Arial" w:hAnsi="Arial" w:cs="Arial"/>
          <w:sz w:val="24"/>
          <w:szCs w:val="24"/>
        </w:rPr>
        <w:t xml:space="preserve">da. A pesar de haber solicitado tales </w:t>
      </w:r>
      <w:r w:rsidR="00F57397">
        <w:rPr>
          <w:rFonts w:ascii="Arial" w:hAnsi="Arial" w:cs="Arial"/>
          <w:sz w:val="24"/>
          <w:szCs w:val="24"/>
        </w:rPr>
        <w:t xml:space="preserve">datos al propio Ministro de Hacienda, no ha sido posible conocer en detalle su contenido. Por ello, </w:t>
      </w:r>
      <w:r w:rsidR="003A737F">
        <w:rPr>
          <w:rFonts w:ascii="Arial" w:hAnsi="Arial" w:cs="Arial"/>
          <w:sz w:val="24"/>
          <w:szCs w:val="24"/>
        </w:rPr>
        <w:t xml:space="preserve">en </w:t>
      </w:r>
      <w:r w:rsidR="00F57397">
        <w:rPr>
          <w:rFonts w:ascii="Arial" w:hAnsi="Arial" w:cs="Arial"/>
          <w:sz w:val="24"/>
          <w:szCs w:val="24"/>
        </w:rPr>
        <w:t xml:space="preserve">la sesión ordinaria N° 13 de la Comisión Permanente Ordinaria de Asuntos Hacendarios, celebrada el 14 de julio de 2021, se aprobó una moción de orden con el objeto de solicitar, una vez más, la información de interés. A la fecha de presentación de este informe, aún no se </w:t>
      </w:r>
      <w:r w:rsidR="00AE3EE6">
        <w:rPr>
          <w:rFonts w:ascii="Arial" w:hAnsi="Arial" w:cs="Arial"/>
          <w:sz w:val="24"/>
          <w:szCs w:val="24"/>
        </w:rPr>
        <w:t xml:space="preserve">obtiene respuesta por parte de ese </w:t>
      </w:r>
      <w:r w:rsidR="00F57397">
        <w:rPr>
          <w:rFonts w:ascii="Arial" w:hAnsi="Arial" w:cs="Arial"/>
          <w:sz w:val="24"/>
          <w:szCs w:val="24"/>
        </w:rPr>
        <w:t>Ministerio.</w:t>
      </w:r>
    </w:p>
    <w:p w14:paraId="4FAFB2D9" w14:textId="77777777" w:rsidR="00F35012" w:rsidRDefault="00F35012" w:rsidP="00BB1667">
      <w:pPr>
        <w:pStyle w:val="Sinespaciado"/>
        <w:spacing w:line="276" w:lineRule="auto"/>
        <w:jc w:val="both"/>
        <w:rPr>
          <w:rFonts w:ascii="Arial" w:hAnsi="Arial" w:cs="Arial"/>
          <w:sz w:val="24"/>
          <w:szCs w:val="24"/>
        </w:rPr>
      </w:pPr>
    </w:p>
    <w:p w14:paraId="226D10B1" w14:textId="77777777" w:rsidR="00F35012" w:rsidRDefault="00F35012" w:rsidP="00F35012">
      <w:pPr>
        <w:pStyle w:val="Sinespaciado"/>
        <w:spacing w:line="276" w:lineRule="auto"/>
        <w:jc w:val="both"/>
        <w:rPr>
          <w:rFonts w:ascii="Arial" w:hAnsi="Arial" w:cs="Arial"/>
          <w:sz w:val="24"/>
          <w:szCs w:val="24"/>
        </w:rPr>
      </w:pPr>
      <w:r>
        <w:rPr>
          <w:rFonts w:ascii="Arial" w:hAnsi="Arial" w:cs="Arial"/>
          <w:sz w:val="24"/>
          <w:szCs w:val="24"/>
        </w:rPr>
        <w:t>Sin embargo, valga la ocasión para citar un dato suministrado por la Dirección de Crédito Público del Minister</w:t>
      </w:r>
      <w:r w:rsidR="003C7721">
        <w:rPr>
          <w:rFonts w:ascii="Arial" w:hAnsi="Arial" w:cs="Arial"/>
          <w:sz w:val="24"/>
          <w:szCs w:val="24"/>
        </w:rPr>
        <w:t xml:space="preserve">io de Hacienda </w:t>
      </w:r>
      <w:r w:rsidR="00AE3EE6">
        <w:rPr>
          <w:rFonts w:ascii="Arial" w:hAnsi="Arial" w:cs="Arial"/>
          <w:sz w:val="24"/>
          <w:szCs w:val="24"/>
        </w:rPr>
        <w:t xml:space="preserve">y que consta </w:t>
      </w:r>
      <w:r>
        <w:rPr>
          <w:rFonts w:ascii="Arial" w:hAnsi="Arial" w:cs="Arial"/>
          <w:sz w:val="24"/>
          <w:szCs w:val="24"/>
        </w:rPr>
        <w:t xml:space="preserve">en el </w:t>
      </w:r>
      <w:r w:rsidRPr="00F35012">
        <w:rPr>
          <w:rFonts w:ascii="Arial" w:hAnsi="Arial" w:cs="Arial"/>
          <w:sz w:val="24"/>
          <w:szCs w:val="24"/>
        </w:rPr>
        <w:t>Informe de Seguimiento del II Semestre 2020 sobre</w:t>
      </w:r>
      <w:r>
        <w:rPr>
          <w:rFonts w:ascii="Arial" w:hAnsi="Arial" w:cs="Arial"/>
          <w:sz w:val="24"/>
          <w:szCs w:val="24"/>
        </w:rPr>
        <w:t xml:space="preserve"> </w:t>
      </w:r>
      <w:r w:rsidRPr="00F35012">
        <w:rPr>
          <w:rFonts w:ascii="Arial" w:hAnsi="Arial" w:cs="Arial"/>
          <w:sz w:val="24"/>
          <w:szCs w:val="24"/>
        </w:rPr>
        <w:t>los Créditos Externos en periodo de ejecución del</w:t>
      </w:r>
      <w:r>
        <w:rPr>
          <w:rFonts w:ascii="Arial" w:hAnsi="Arial" w:cs="Arial"/>
          <w:sz w:val="24"/>
          <w:szCs w:val="24"/>
        </w:rPr>
        <w:t xml:space="preserve"> </w:t>
      </w:r>
      <w:r w:rsidRPr="00F35012">
        <w:rPr>
          <w:rFonts w:ascii="Arial" w:hAnsi="Arial" w:cs="Arial"/>
          <w:sz w:val="24"/>
          <w:szCs w:val="24"/>
        </w:rPr>
        <w:t>Gobierno Central y Resto del Sector Público</w:t>
      </w:r>
      <w:r>
        <w:rPr>
          <w:rFonts w:ascii="Arial" w:hAnsi="Arial" w:cs="Arial"/>
          <w:sz w:val="24"/>
          <w:szCs w:val="24"/>
        </w:rPr>
        <w:t>, en el que indica que “</w:t>
      </w:r>
      <w:r w:rsidRPr="00FD1D60">
        <w:rPr>
          <w:rFonts w:ascii="Arial" w:hAnsi="Arial" w:cs="Arial"/>
          <w:i/>
          <w:sz w:val="24"/>
          <w:szCs w:val="24"/>
        </w:rPr>
        <w:t xml:space="preserve">…considerando las condiciones financieras de los créditos externos aprobados por la Asamblea Legislativa y comparándolas con una referencia en el mercado local para las emisiones en dólares, </w:t>
      </w:r>
      <w:r w:rsidRPr="002A37D4">
        <w:rPr>
          <w:rFonts w:ascii="Arial" w:hAnsi="Arial" w:cs="Arial"/>
          <w:i/>
          <w:sz w:val="24"/>
          <w:szCs w:val="24"/>
          <w:u w:val="single"/>
        </w:rPr>
        <w:t>el Gobierno está ahorrando de forma directa un estimado de USD 70,6 millones anuales en intereses</w:t>
      </w:r>
      <w:r w:rsidRPr="00FD1D60">
        <w:rPr>
          <w:rFonts w:ascii="Arial" w:hAnsi="Arial" w:cs="Arial"/>
          <w:i/>
          <w:sz w:val="24"/>
          <w:szCs w:val="24"/>
        </w:rPr>
        <w:t>, esto hasta el año en que se inicie su amortización, momento en el que el ahorro anual comenzará a reducirse. El ahorro es aún mayor si se considera el efecto indirecto que este financiamiento tiene en el comportamiento de las tasas de interés locales, donde se financia la mayor parte de las necesidades de recursos del Gobierno</w:t>
      </w:r>
      <w:r w:rsidRPr="00F35012">
        <w:rPr>
          <w:rFonts w:ascii="Arial" w:hAnsi="Arial" w:cs="Arial"/>
          <w:sz w:val="24"/>
          <w:szCs w:val="24"/>
        </w:rPr>
        <w:t>.</w:t>
      </w:r>
      <w:r>
        <w:rPr>
          <w:rFonts w:ascii="Arial" w:hAnsi="Arial" w:cs="Arial"/>
          <w:sz w:val="24"/>
          <w:szCs w:val="24"/>
        </w:rPr>
        <w:t>”</w:t>
      </w:r>
      <w:r>
        <w:rPr>
          <w:rStyle w:val="Refdenotaalpie"/>
          <w:rFonts w:ascii="Arial" w:hAnsi="Arial" w:cs="Arial"/>
          <w:sz w:val="24"/>
          <w:szCs w:val="24"/>
        </w:rPr>
        <w:footnoteReference w:id="5"/>
      </w:r>
    </w:p>
    <w:p w14:paraId="4A51666F" w14:textId="77777777" w:rsidR="00F35012" w:rsidRDefault="00F35012" w:rsidP="00E43BAE">
      <w:pPr>
        <w:pStyle w:val="Sinespaciado"/>
        <w:spacing w:line="276" w:lineRule="auto"/>
        <w:jc w:val="both"/>
        <w:rPr>
          <w:rFonts w:ascii="Arial" w:hAnsi="Arial" w:cs="Arial"/>
          <w:sz w:val="24"/>
          <w:szCs w:val="24"/>
        </w:rPr>
      </w:pPr>
    </w:p>
    <w:p w14:paraId="1F800DC7" w14:textId="77777777" w:rsidR="00E33A2F" w:rsidRDefault="00E33A2F">
      <w:pPr>
        <w:rPr>
          <w:rFonts w:ascii="Arial" w:eastAsia="Arial" w:hAnsi="Arial" w:cs="Arial"/>
          <w:b/>
          <w:color w:val="000000"/>
          <w:sz w:val="24"/>
          <w:szCs w:val="24"/>
          <w:lang w:val="es-ES" w:eastAsia="zh-CN" w:bidi="hi-IN"/>
        </w:rPr>
      </w:pPr>
      <w:r>
        <w:br w:type="page"/>
      </w:r>
    </w:p>
    <w:p w14:paraId="2FD395EE" w14:textId="78E23F36" w:rsidR="009B2BCB" w:rsidRDefault="009A028A" w:rsidP="00535111">
      <w:pPr>
        <w:pStyle w:val="Ttulo1"/>
      </w:pPr>
      <w:bookmarkStart w:id="8" w:name="_Toc78277706"/>
      <w:r>
        <w:t xml:space="preserve">SOBRE LA </w:t>
      </w:r>
      <w:r w:rsidR="009B2BCB" w:rsidRPr="009B2BCB">
        <w:t>REGLA FISCAL</w:t>
      </w:r>
      <w:bookmarkEnd w:id="8"/>
    </w:p>
    <w:p w14:paraId="632B8AA0" w14:textId="77777777"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El análisis del cumplimiento de la regla fiscal se realiza en el marco de la Ley N°9635 de Fortalecimiento de las Finanzas Públicas, del 3 de diciembre de 2018 y sus reformas, en su Título IV de Responsabilidad Fiscal de la República, en donde se establecen reglas de gestión de las finanzas públicas que limitan el crecimiento del gasto. Para fijar el límite citado se deben tomar en consideración el promedio del crecimiento del PIB nominal y la proporción deuda/PIB del Gobierno Central.</w:t>
      </w:r>
    </w:p>
    <w:p w14:paraId="1871FAB0" w14:textId="77777777" w:rsidR="00EA4CC5" w:rsidRPr="00EA4CC5" w:rsidRDefault="00EA4CC5" w:rsidP="00E43BAE">
      <w:pPr>
        <w:spacing w:after="0" w:line="276" w:lineRule="auto"/>
        <w:jc w:val="both"/>
        <w:rPr>
          <w:rFonts w:ascii="Arial" w:eastAsia="Calibri" w:hAnsi="Arial" w:cs="Arial"/>
          <w:sz w:val="24"/>
          <w:szCs w:val="24"/>
        </w:rPr>
      </w:pPr>
    </w:p>
    <w:p w14:paraId="67AAEE41" w14:textId="77777777"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El artículo 11 define los rangos de deuda que deben considerarse para determinar el crecimiento del gasto corriente. En el año 2018 la deuda del Gobierno Central cerró en 53,6%, por ende, el escenario de regla fiscal que se debe aplicar es el del inciso c), como se muestra a continuación:</w:t>
      </w:r>
    </w:p>
    <w:p w14:paraId="238315EC" w14:textId="77777777" w:rsidR="00EA4CC5" w:rsidRPr="00EA4CC5" w:rsidRDefault="00EA4CC5" w:rsidP="00E43BAE">
      <w:pPr>
        <w:spacing w:after="0" w:line="276" w:lineRule="auto"/>
        <w:jc w:val="both"/>
        <w:rPr>
          <w:rFonts w:ascii="Arial" w:eastAsia="Calibri" w:hAnsi="Arial" w:cs="Arial"/>
          <w:sz w:val="24"/>
          <w:szCs w:val="24"/>
        </w:rPr>
      </w:pPr>
    </w:p>
    <w:p w14:paraId="76ECBE32" w14:textId="77777777" w:rsidR="00EA4CC5" w:rsidRPr="00EA4CC5" w:rsidRDefault="00EA4CC5" w:rsidP="00E43BAE">
      <w:pPr>
        <w:spacing w:after="0" w:line="276" w:lineRule="auto"/>
        <w:ind w:left="567"/>
        <w:jc w:val="both"/>
        <w:rPr>
          <w:rFonts w:ascii="Arial" w:eastAsia="Calibri" w:hAnsi="Arial" w:cs="Arial"/>
          <w:sz w:val="24"/>
          <w:szCs w:val="24"/>
        </w:rPr>
      </w:pPr>
      <w:r w:rsidRPr="00EA4CC5">
        <w:rPr>
          <w:rFonts w:ascii="Arial" w:eastAsia="Calibri" w:hAnsi="Arial" w:cs="Arial"/>
          <w:sz w:val="24"/>
          <w:szCs w:val="24"/>
        </w:rPr>
        <w:t>“ARTÍCULO 11- Rangos de deuda que deben considerarse para determinar el crecimiento del gasto corriente</w:t>
      </w:r>
    </w:p>
    <w:p w14:paraId="73497E98" w14:textId="77777777" w:rsidR="00EA4CC5" w:rsidRPr="00EA4CC5" w:rsidRDefault="00EA4CC5" w:rsidP="00E43BAE">
      <w:pPr>
        <w:spacing w:after="0" w:line="276" w:lineRule="auto"/>
        <w:ind w:left="567"/>
        <w:jc w:val="both"/>
        <w:rPr>
          <w:rFonts w:ascii="Arial" w:eastAsia="Calibri" w:hAnsi="Arial" w:cs="Arial"/>
          <w:sz w:val="24"/>
          <w:szCs w:val="24"/>
        </w:rPr>
      </w:pPr>
    </w:p>
    <w:p w14:paraId="658A85ED" w14:textId="77777777" w:rsidR="00EA4CC5" w:rsidRPr="00EA4CC5" w:rsidRDefault="00EA4CC5" w:rsidP="00E43BAE">
      <w:pPr>
        <w:spacing w:after="0" w:line="276" w:lineRule="auto"/>
        <w:ind w:left="567"/>
        <w:jc w:val="both"/>
        <w:rPr>
          <w:rFonts w:ascii="Arial" w:eastAsia="Calibri" w:hAnsi="Arial" w:cs="Arial"/>
          <w:sz w:val="24"/>
          <w:szCs w:val="24"/>
        </w:rPr>
      </w:pPr>
      <w:r w:rsidRPr="00EA4CC5">
        <w:rPr>
          <w:rFonts w:ascii="Arial" w:eastAsia="Calibri" w:hAnsi="Arial" w:cs="Arial"/>
          <w:sz w:val="24"/>
          <w:szCs w:val="24"/>
        </w:rPr>
        <w:t>El gasto corriente de los presupuestos de los entes y los órganos del sector público no financiero crecerá según los siguientes parámetros de deuda del Gobierno central:</w:t>
      </w:r>
    </w:p>
    <w:p w14:paraId="0E40C6EB" w14:textId="77777777" w:rsidR="00EA4CC5" w:rsidRPr="00EA4CC5" w:rsidRDefault="00EA4CC5" w:rsidP="00E43BAE">
      <w:pPr>
        <w:spacing w:after="0" w:line="276" w:lineRule="auto"/>
        <w:ind w:left="567"/>
        <w:jc w:val="both"/>
        <w:rPr>
          <w:rFonts w:ascii="Arial" w:eastAsia="Calibri" w:hAnsi="Arial" w:cs="Arial"/>
          <w:sz w:val="24"/>
          <w:szCs w:val="24"/>
        </w:rPr>
      </w:pPr>
    </w:p>
    <w:p w14:paraId="661BD579" w14:textId="77777777" w:rsidR="00EA4CC5" w:rsidRPr="00EA4CC5" w:rsidRDefault="00EA4CC5" w:rsidP="00E43BAE">
      <w:pPr>
        <w:spacing w:after="0" w:line="276" w:lineRule="auto"/>
        <w:ind w:left="567"/>
        <w:jc w:val="both"/>
        <w:rPr>
          <w:rFonts w:ascii="Arial" w:eastAsia="Calibri" w:hAnsi="Arial" w:cs="Arial"/>
          <w:sz w:val="24"/>
          <w:szCs w:val="24"/>
        </w:rPr>
      </w:pPr>
      <w:r w:rsidRPr="00EA4CC5">
        <w:rPr>
          <w:rFonts w:ascii="Arial" w:eastAsia="Calibri" w:hAnsi="Arial" w:cs="Arial"/>
          <w:sz w:val="24"/>
          <w:szCs w:val="24"/>
        </w:rPr>
        <w:t>[…]</w:t>
      </w:r>
    </w:p>
    <w:p w14:paraId="54D97453" w14:textId="77777777" w:rsidR="00EA4CC5" w:rsidRPr="00EA4CC5" w:rsidRDefault="00EA4CC5" w:rsidP="00E43BAE">
      <w:pPr>
        <w:spacing w:after="0" w:line="276" w:lineRule="auto"/>
        <w:ind w:left="567"/>
        <w:jc w:val="both"/>
        <w:rPr>
          <w:rFonts w:ascii="Arial" w:eastAsia="Calibri" w:hAnsi="Arial" w:cs="Arial"/>
          <w:sz w:val="24"/>
          <w:szCs w:val="24"/>
        </w:rPr>
      </w:pPr>
    </w:p>
    <w:p w14:paraId="3550672D" w14:textId="77777777" w:rsidR="00EA4CC5" w:rsidRPr="00EA4CC5" w:rsidRDefault="00EA4CC5" w:rsidP="00E43BAE">
      <w:pPr>
        <w:spacing w:after="0" w:line="276" w:lineRule="auto"/>
        <w:ind w:left="567"/>
        <w:jc w:val="both"/>
        <w:rPr>
          <w:rFonts w:ascii="Arial" w:eastAsia="Calibri" w:hAnsi="Arial" w:cs="Arial"/>
          <w:sz w:val="24"/>
          <w:szCs w:val="24"/>
        </w:rPr>
      </w:pPr>
      <w:r w:rsidRPr="00EA4CC5">
        <w:rPr>
          <w:rFonts w:ascii="Arial" w:eastAsia="Calibri" w:hAnsi="Arial" w:cs="Arial"/>
          <w:sz w:val="24"/>
          <w:szCs w:val="24"/>
        </w:rPr>
        <w:t>c) Cuando la deuda al cierre del ejercicio presupuestario, anterior al año de aplicación de la regla fiscal, sea igual o mayor al cuarenta y cinco por ciento (45%) del PIB, pero inferior al sesenta por ciento (60%) del PIB, el crecimiento interanual del gasto corriente no sobrepasará el setenta y cinco por ciento (75%) del promedio del crecimiento del PIB nominal.</w:t>
      </w:r>
    </w:p>
    <w:p w14:paraId="6892E6B6" w14:textId="77777777" w:rsidR="00EA4CC5" w:rsidRPr="00EA4CC5" w:rsidRDefault="00EA4CC5" w:rsidP="00E43BAE">
      <w:pPr>
        <w:spacing w:after="0" w:line="276" w:lineRule="auto"/>
        <w:ind w:left="567"/>
        <w:jc w:val="both"/>
        <w:rPr>
          <w:rFonts w:ascii="Arial" w:eastAsia="Calibri" w:hAnsi="Arial" w:cs="Arial"/>
          <w:sz w:val="24"/>
          <w:szCs w:val="24"/>
        </w:rPr>
      </w:pPr>
    </w:p>
    <w:p w14:paraId="66A9CB40" w14:textId="77777777" w:rsidR="00EA4CC5" w:rsidRPr="00EA4CC5" w:rsidRDefault="00EA4CC5" w:rsidP="00E43BAE">
      <w:pPr>
        <w:spacing w:after="0" w:line="276" w:lineRule="auto"/>
        <w:ind w:left="567"/>
        <w:jc w:val="both"/>
        <w:rPr>
          <w:rFonts w:ascii="Arial" w:eastAsia="Calibri" w:hAnsi="Arial" w:cs="Arial"/>
          <w:sz w:val="24"/>
          <w:szCs w:val="24"/>
        </w:rPr>
      </w:pPr>
      <w:r w:rsidRPr="00EA4CC5">
        <w:rPr>
          <w:rFonts w:ascii="Arial" w:eastAsia="Calibri" w:hAnsi="Arial" w:cs="Arial"/>
          <w:sz w:val="24"/>
          <w:szCs w:val="24"/>
        </w:rPr>
        <w:t>[…]”</w:t>
      </w:r>
    </w:p>
    <w:p w14:paraId="1AE74F1D" w14:textId="77777777" w:rsidR="00EA4CC5" w:rsidRPr="00EA4CC5" w:rsidRDefault="00EA4CC5" w:rsidP="00E43BAE">
      <w:pPr>
        <w:spacing w:after="0" w:line="276" w:lineRule="auto"/>
        <w:jc w:val="both"/>
        <w:rPr>
          <w:rFonts w:ascii="Arial" w:eastAsia="Calibri" w:hAnsi="Arial" w:cs="Arial"/>
          <w:sz w:val="24"/>
          <w:szCs w:val="24"/>
        </w:rPr>
      </w:pPr>
    </w:p>
    <w:p w14:paraId="36D2BE7D" w14:textId="77777777"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En el artículo 14 se define que el Ministerio de Hacienda debe comunicar la tasa de crecimiento del gasto, dicha responsabilidad se cumple con el oficio DM-0466-2019 del 25 de marzo del 2019. Para ello, el Ministerio de Hacienda calcula que la tasa de crecimiento promedio del PIB entre 2015 y 2018 fue de 6,2%, por lo tanto, en respuesta al inciso c) del artículo 11, la tasa de crecimiento del gasto corriente no puede superar el 75% de la tasa de crecimiento del PIB. Para el año 2020 se fija la regla fiscal con un límite de crecimiento al gasto corriente de 4,67%.</w:t>
      </w:r>
    </w:p>
    <w:p w14:paraId="4DE288AB" w14:textId="77777777" w:rsidR="00EA4CC5" w:rsidRPr="00EA4CC5" w:rsidRDefault="00EA4CC5" w:rsidP="00E43BAE">
      <w:pPr>
        <w:spacing w:after="0" w:line="276" w:lineRule="auto"/>
        <w:jc w:val="both"/>
        <w:rPr>
          <w:rFonts w:ascii="Arial" w:eastAsia="Calibri" w:hAnsi="Arial" w:cs="Arial"/>
          <w:sz w:val="24"/>
          <w:szCs w:val="24"/>
        </w:rPr>
      </w:pPr>
    </w:p>
    <w:p w14:paraId="06A1D800" w14:textId="41111D16"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En el Capítulo IV de Cumplimiento de Regla Fiscal, se establece el artículo 19 que fija las medidas para el cumplimiento de la regla fiscal durante las etapas de formulación y presupuesto, el artículo 20 referido al monitoreo trimestral durante la ejecución del presupuesto y el artículo 21 que establece el procedimiento para verificar el cumplimiento de la regla fiscal.</w:t>
      </w:r>
      <w:r w:rsidR="00444B5B">
        <w:rPr>
          <w:rFonts w:ascii="Arial" w:eastAsia="Calibri" w:hAnsi="Arial" w:cs="Arial"/>
          <w:sz w:val="24"/>
          <w:szCs w:val="24"/>
        </w:rPr>
        <w:t xml:space="preserve"> Este último es el </w:t>
      </w:r>
      <w:r w:rsidR="00AB61A3">
        <w:rPr>
          <w:rFonts w:ascii="Arial" w:eastAsia="Calibri" w:hAnsi="Arial" w:cs="Arial"/>
          <w:sz w:val="24"/>
          <w:szCs w:val="24"/>
        </w:rPr>
        <w:t>verdadero nivel de cumplimiento que las instituciones deben verificar todos los años, y el proceso de formulación y de ejecución son instrumentos previos para logra su cumplimiento al finalizar el ejercicio económico correspondiente.</w:t>
      </w:r>
    </w:p>
    <w:p w14:paraId="43BEBDB7" w14:textId="77777777" w:rsidR="00C02342" w:rsidRDefault="00C02342" w:rsidP="00C02342">
      <w:pPr>
        <w:pStyle w:val="Ttulo2"/>
        <w:numPr>
          <w:ilvl w:val="1"/>
          <w:numId w:val="33"/>
        </w:numPr>
      </w:pPr>
      <w:bookmarkStart w:id="9" w:name="_Toc78277707"/>
      <w:r>
        <w:t>Comentarios metodológicos</w:t>
      </w:r>
      <w:bookmarkEnd w:id="9"/>
    </w:p>
    <w:p w14:paraId="0780E68F" w14:textId="1C0D246E" w:rsidR="00C02342" w:rsidRPr="00EA4CC5" w:rsidRDefault="00607348" w:rsidP="00C02342">
      <w:pPr>
        <w:spacing w:after="0" w:line="276" w:lineRule="auto"/>
        <w:jc w:val="both"/>
        <w:rPr>
          <w:rFonts w:ascii="Arial" w:eastAsia="Calibri" w:hAnsi="Arial" w:cs="Arial"/>
          <w:sz w:val="24"/>
          <w:szCs w:val="24"/>
        </w:rPr>
      </w:pPr>
      <w:r>
        <w:rPr>
          <w:rFonts w:ascii="Arial" w:eastAsia="Calibri" w:hAnsi="Arial" w:cs="Arial"/>
          <w:sz w:val="24"/>
          <w:szCs w:val="24"/>
        </w:rPr>
        <w:t>L</w:t>
      </w:r>
      <w:r w:rsidR="00C02342" w:rsidRPr="00EA4CC5">
        <w:rPr>
          <w:rFonts w:ascii="Arial" w:eastAsia="Calibri" w:hAnsi="Arial" w:cs="Arial"/>
          <w:sz w:val="24"/>
          <w:szCs w:val="24"/>
        </w:rPr>
        <w:t xml:space="preserve">a metodología empleada por el Ministerio de Hacienda para el cálculo de la tasa de crecimiento promedio del PIB nominal para los últimos cuatro años, se centra primero </w:t>
      </w:r>
      <w:r w:rsidR="00C02342">
        <w:rPr>
          <w:rFonts w:ascii="Arial" w:eastAsia="Calibri" w:hAnsi="Arial" w:cs="Arial"/>
          <w:sz w:val="24"/>
          <w:szCs w:val="24"/>
        </w:rPr>
        <w:t xml:space="preserve">en </w:t>
      </w:r>
      <w:r w:rsidR="00C02342" w:rsidRPr="00EA4CC5">
        <w:rPr>
          <w:rFonts w:ascii="Arial" w:eastAsia="Calibri" w:hAnsi="Arial" w:cs="Arial"/>
          <w:sz w:val="24"/>
          <w:szCs w:val="24"/>
        </w:rPr>
        <w:t>calcular el crecimiento interanual del PIB nominal en esos cuatro años, y seguidamente, se realiza un promedio simple de esas cuatro tasas calculadas.</w:t>
      </w:r>
    </w:p>
    <w:p w14:paraId="77199D97" w14:textId="77777777" w:rsidR="00C02342" w:rsidRPr="00EA4CC5" w:rsidRDefault="00C02342" w:rsidP="00C02342">
      <w:pPr>
        <w:spacing w:after="0" w:line="276" w:lineRule="auto"/>
        <w:jc w:val="both"/>
        <w:rPr>
          <w:rFonts w:ascii="Arial" w:eastAsia="Calibri" w:hAnsi="Arial" w:cs="Arial"/>
          <w:sz w:val="24"/>
          <w:szCs w:val="24"/>
        </w:rPr>
      </w:pPr>
    </w:p>
    <w:p w14:paraId="2CBF990D" w14:textId="410697B0" w:rsidR="00C02342" w:rsidRPr="00EA4CC5" w:rsidRDefault="00C02342" w:rsidP="00C02342">
      <w:pPr>
        <w:spacing w:after="0" w:line="276" w:lineRule="auto"/>
        <w:jc w:val="both"/>
        <w:rPr>
          <w:rFonts w:ascii="Arial" w:eastAsia="Calibri" w:hAnsi="Arial" w:cs="Arial"/>
          <w:sz w:val="24"/>
          <w:szCs w:val="24"/>
        </w:rPr>
      </w:pPr>
      <w:r w:rsidRPr="00EA4CC5">
        <w:rPr>
          <w:rFonts w:ascii="Arial" w:eastAsia="Calibri" w:hAnsi="Arial" w:cs="Arial"/>
          <w:sz w:val="24"/>
          <w:szCs w:val="24"/>
        </w:rPr>
        <w:t xml:space="preserve">La metodología empleada por el Ministerio de Hacienda no se valida matemáticamente al aplicar esa tasa de crecimiento promedio del PIB nominal a los últimos tres años, tomando como valor de partida el PIB nominal del primer año de los cuatro en análisis, </w:t>
      </w:r>
      <w:r w:rsidR="00A54543" w:rsidRPr="00EA4CC5">
        <w:rPr>
          <w:rFonts w:ascii="Arial" w:eastAsia="Calibri" w:hAnsi="Arial" w:cs="Arial"/>
          <w:sz w:val="24"/>
          <w:szCs w:val="24"/>
        </w:rPr>
        <w:t>puesto que,</w:t>
      </w:r>
      <w:r w:rsidRPr="00EA4CC5">
        <w:rPr>
          <w:rFonts w:ascii="Arial" w:eastAsia="Calibri" w:hAnsi="Arial" w:cs="Arial"/>
          <w:sz w:val="24"/>
          <w:szCs w:val="24"/>
        </w:rPr>
        <w:t xml:space="preserve"> de ser validada esa tasa de crecimiento promedio</w:t>
      </w:r>
      <w:r>
        <w:rPr>
          <w:rFonts w:ascii="Arial" w:eastAsia="Calibri" w:hAnsi="Arial" w:cs="Arial"/>
          <w:sz w:val="24"/>
          <w:szCs w:val="24"/>
        </w:rPr>
        <w:t>,</w:t>
      </w:r>
      <w:r w:rsidRPr="00EA4CC5">
        <w:rPr>
          <w:rFonts w:ascii="Arial" w:eastAsia="Calibri" w:hAnsi="Arial" w:cs="Arial"/>
          <w:sz w:val="24"/>
          <w:szCs w:val="24"/>
        </w:rPr>
        <w:t xml:space="preserve"> entonces el valor resultante para el año cuarto debería ser igual al valor del PIB nominal para ese mismo año. Esta validación no sucede como se refleja a continuación:</w:t>
      </w:r>
    </w:p>
    <w:p w14:paraId="4D5F507A" w14:textId="77777777" w:rsidR="00C02342" w:rsidRPr="00EA4CC5" w:rsidRDefault="00C02342" w:rsidP="00C02342">
      <w:pPr>
        <w:rPr>
          <w:rFonts w:ascii="Arial" w:eastAsia="Calibri" w:hAnsi="Arial" w:cs="Arial"/>
          <w:sz w:val="24"/>
          <w:szCs w:val="24"/>
        </w:rPr>
      </w:pPr>
    </w:p>
    <w:tbl>
      <w:tblPr>
        <w:tblW w:w="8495" w:type="dxa"/>
        <w:jc w:val="center"/>
        <w:tblCellMar>
          <w:left w:w="70" w:type="dxa"/>
          <w:right w:w="70" w:type="dxa"/>
        </w:tblCellMar>
        <w:tblLook w:val="04A0" w:firstRow="1" w:lastRow="0" w:firstColumn="1" w:lastColumn="0" w:noHBand="0" w:noVBand="1"/>
      </w:tblPr>
      <w:tblGrid>
        <w:gridCol w:w="1975"/>
        <w:gridCol w:w="1231"/>
        <w:gridCol w:w="358"/>
        <w:gridCol w:w="1104"/>
        <w:gridCol w:w="284"/>
        <w:gridCol w:w="1275"/>
        <w:gridCol w:w="426"/>
        <w:gridCol w:w="1842"/>
      </w:tblGrid>
      <w:tr w:rsidR="00C02342" w:rsidRPr="00EA4CC5" w14:paraId="0ABD6C18" w14:textId="77777777" w:rsidTr="00206261">
        <w:trPr>
          <w:trHeight w:val="301"/>
          <w:jc w:val="center"/>
        </w:trPr>
        <w:tc>
          <w:tcPr>
            <w:tcW w:w="1975" w:type="dxa"/>
            <w:tcBorders>
              <w:top w:val="single" w:sz="8" w:space="0" w:color="auto"/>
              <w:left w:val="single" w:sz="8" w:space="0" w:color="auto"/>
              <w:bottom w:val="nil"/>
              <w:right w:val="nil"/>
            </w:tcBorders>
            <w:shd w:val="clear" w:color="000000" w:fill="D9D9D9"/>
            <w:noWrap/>
            <w:vAlign w:val="center"/>
            <w:hideMark/>
          </w:tcPr>
          <w:p w14:paraId="5C9F4078"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Año</w:t>
            </w:r>
          </w:p>
        </w:tc>
        <w:tc>
          <w:tcPr>
            <w:tcW w:w="2977"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47927DD"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Procedimiento del cálculo</w:t>
            </w:r>
          </w:p>
        </w:tc>
        <w:tc>
          <w:tcPr>
            <w:tcW w:w="1275" w:type="dxa"/>
            <w:tcBorders>
              <w:top w:val="single" w:sz="8" w:space="0" w:color="auto"/>
              <w:left w:val="nil"/>
              <w:bottom w:val="single" w:sz="8" w:space="0" w:color="auto"/>
              <w:right w:val="single" w:sz="8" w:space="0" w:color="auto"/>
            </w:tcBorders>
            <w:shd w:val="clear" w:color="000000" w:fill="D9D9D9"/>
            <w:noWrap/>
            <w:vAlign w:val="center"/>
            <w:hideMark/>
          </w:tcPr>
          <w:p w14:paraId="16FB352F"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Resultado</w:t>
            </w:r>
          </w:p>
        </w:tc>
        <w:tc>
          <w:tcPr>
            <w:tcW w:w="426" w:type="dxa"/>
            <w:tcBorders>
              <w:top w:val="nil"/>
              <w:left w:val="nil"/>
              <w:bottom w:val="nil"/>
              <w:right w:val="nil"/>
            </w:tcBorders>
            <w:shd w:val="clear" w:color="auto" w:fill="auto"/>
            <w:noWrap/>
            <w:vAlign w:val="center"/>
            <w:hideMark/>
          </w:tcPr>
          <w:p w14:paraId="3E341521"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nil"/>
              <w:left w:val="nil"/>
              <w:bottom w:val="nil"/>
              <w:right w:val="nil"/>
            </w:tcBorders>
            <w:shd w:val="clear" w:color="auto" w:fill="auto"/>
            <w:noWrap/>
            <w:vAlign w:val="center"/>
            <w:hideMark/>
          </w:tcPr>
          <w:p w14:paraId="6F1B70A5" w14:textId="77777777" w:rsidR="00C02342" w:rsidRPr="00EA4CC5" w:rsidRDefault="00C02342" w:rsidP="00206261">
            <w:pPr>
              <w:spacing w:after="0" w:line="240" w:lineRule="auto"/>
              <w:jc w:val="center"/>
              <w:rPr>
                <w:rFonts w:ascii="Arial" w:eastAsia="Times New Roman" w:hAnsi="Arial" w:cs="Arial"/>
                <w:sz w:val="20"/>
                <w:szCs w:val="20"/>
                <w:lang w:eastAsia="es-CR"/>
              </w:rPr>
            </w:pPr>
          </w:p>
        </w:tc>
      </w:tr>
      <w:tr w:rsidR="00C02342" w:rsidRPr="00EA4CC5" w14:paraId="084B53CA" w14:textId="77777777" w:rsidTr="00206261">
        <w:trPr>
          <w:trHeight w:val="287"/>
          <w:jc w:val="center"/>
        </w:trPr>
        <w:tc>
          <w:tcPr>
            <w:tcW w:w="1975" w:type="dxa"/>
            <w:tcBorders>
              <w:top w:val="single" w:sz="8" w:space="0" w:color="auto"/>
              <w:left w:val="single" w:sz="8" w:space="0" w:color="auto"/>
              <w:bottom w:val="single" w:sz="4" w:space="0" w:color="auto"/>
              <w:right w:val="nil"/>
            </w:tcBorders>
            <w:shd w:val="clear" w:color="auto" w:fill="auto"/>
            <w:noWrap/>
            <w:vAlign w:val="center"/>
            <w:hideMark/>
          </w:tcPr>
          <w:p w14:paraId="1FE89BD4"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2015</w:t>
            </w:r>
          </w:p>
        </w:tc>
        <w:tc>
          <w:tcPr>
            <w:tcW w:w="2977"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9AED5F4"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PIB nominal 2015:</w:t>
            </w:r>
          </w:p>
        </w:tc>
        <w:tc>
          <w:tcPr>
            <w:tcW w:w="1275" w:type="dxa"/>
            <w:tcBorders>
              <w:top w:val="nil"/>
              <w:left w:val="nil"/>
              <w:bottom w:val="single" w:sz="4" w:space="0" w:color="auto"/>
              <w:right w:val="single" w:sz="8" w:space="0" w:color="auto"/>
            </w:tcBorders>
            <w:shd w:val="clear" w:color="auto" w:fill="auto"/>
            <w:noWrap/>
            <w:vAlign w:val="center"/>
            <w:hideMark/>
          </w:tcPr>
          <w:p w14:paraId="0352C57D"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29 281 373</w:t>
            </w:r>
          </w:p>
        </w:tc>
        <w:tc>
          <w:tcPr>
            <w:tcW w:w="426" w:type="dxa"/>
            <w:tcBorders>
              <w:top w:val="nil"/>
              <w:left w:val="nil"/>
              <w:bottom w:val="nil"/>
              <w:right w:val="nil"/>
            </w:tcBorders>
            <w:shd w:val="clear" w:color="auto" w:fill="auto"/>
            <w:noWrap/>
            <w:vAlign w:val="center"/>
            <w:hideMark/>
          </w:tcPr>
          <w:p w14:paraId="196F09B4"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nil"/>
              <w:left w:val="nil"/>
              <w:bottom w:val="nil"/>
              <w:right w:val="nil"/>
            </w:tcBorders>
            <w:shd w:val="clear" w:color="auto" w:fill="auto"/>
            <w:noWrap/>
            <w:vAlign w:val="center"/>
            <w:hideMark/>
          </w:tcPr>
          <w:p w14:paraId="53D40832" w14:textId="77777777" w:rsidR="00C02342" w:rsidRPr="00EA4CC5" w:rsidRDefault="00C02342" w:rsidP="00206261">
            <w:pPr>
              <w:spacing w:after="0" w:line="240" w:lineRule="auto"/>
              <w:jc w:val="center"/>
              <w:rPr>
                <w:rFonts w:ascii="Arial" w:eastAsia="Times New Roman" w:hAnsi="Arial" w:cs="Arial"/>
                <w:sz w:val="20"/>
                <w:szCs w:val="20"/>
                <w:lang w:eastAsia="es-CR"/>
              </w:rPr>
            </w:pPr>
          </w:p>
        </w:tc>
      </w:tr>
      <w:tr w:rsidR="00C02342" w:rsidRPr="00EA4CC5" w14:paraId="63F3E20A" w14:textId="77777777" w:rsidTr="00206261">
        <w:trPr>
          <w:trHeight w:val="301"/>
          <w:jc w:val="center"/>
        </w:trPr>
        <w:tc>
          <w:tcPr>
            <w:tcW w:w="1975" w:type="dxa"/>
            <w:tcBorders>
              <w:top w:val="nil"/>
              <w:left w:val="single" w:sz="8" w:space="0" w:color="auto"/>
              <w:bottom w:val="single" w:sz="4" w:space="0" w:color="auto"/>
              <w:right w:val="nil"/>
            </w:tcBorders>
            <w:shd w:val="clear" w:color="auto" w:fill="auto"/>
            <w:noWrap/>
            <w:vAlign w:val="center"/>
            <w:hideMark/>
          </w:tcPr>
          <w:p w14:paraId="4CDA15E5"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2016</w:t>
            </w:r>
          </w:p>
        </w:tc>
        <w:tc>
          <w:tcPr>
            <w:tcW w:w="1231" w:type="dxa"/>
            <w:tcBorders>
              <w:top w:val="nil"/>
              <w:left w:val="single" w:sz="8" w:space="0" w:color="auto"/>
              <w:bottom w:val="single" w:sz="4" w:space="0" w:color="auto"/>
              <w:right w:val="nil"/>
            </w:tcBorders>
            <w:shd w:val="clear" w:color="auto" w:fill="auto"/>
            <w:noWrap/>
            <w:vAlign w:val="center"/>
            <w:hideMark/>
          </w:tcPr>
          <w:p w14:paraId="6586BDCB"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29 281 373</w:t>
            </w:r>
          </w:p>
        </w:tc>
        <w:tc>
          <w:tcPr>
            <w:tcW w:w="358" w:type="dxa"/>
            <w:tcBorders>
              <w:top w:val="nil"/>
              <w:left w:val="nil"/>
              <w:bottom w:val="single" w:sz="4" w:space="0" w:color="auto"/>
              <w:right w:val="nil"/>
            </w:tcBorders>
            <w:shd w:val="clear" w:color="auto" w:fill="auto"/>
            <w:noWrap/>
            <w:vAlign w:val="center"/>
            <w:hideMark/>
          </w:tcPr>
          <w:p w14:paraId="7D2BF926"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104" w:type="dxa"/>
            <w:tcBorders>
              <w:top w:val="nil"/>
              <w:left w:val="nil"/>
              <w:bottom w:val="single" w:sz="4" w:space="0" w:color="auto"/>
              <w:right w:val="nil"/>
            </w:tcBorders>
            <w:shd w:val="clear" w:color="auto" w:fill="auto"/>
            <w:noWrap/>
            <w:vAlign w:val="center"/>
            <w:hideMark/>
          </w:tcPr>
          <w:p w14:paraId="1B020FEF"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(1+6,25%)</w:t>
            </w:r>
          </w:p>
        </w:tc>
        <w:tc>
          <w:tcPr>
            <w:tcW w:w="284" w:type="dxa"/>
            <w:tcBorders>
              <w:top w:val="nil"/>
              <w:left w:val="nil"/>
              <w:bottom w:val="single" w:sz="4" w:space="0" w:color="auto"/>
              <w:right w:val="single" w:sz="8" w:space="0" w:color="auto"/>
            </w:tcBorders>
            <w:shd w:val="clear" w:color="auto" w:fill="auto"/>
            <w:noWrap/>
            <w:vAlign w:val="center"/>
            <w:hideMark/>
          </w:tcPr>
          <w:p w14:paraId="3929F14E"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275" w:type="dxa"/>
            <w:tcBorders>
              <w:top w:val="nil"/>
              <w:left w:val="nil"/>
              <w:bottom w:val="single" w:sz="4" w:space="0" w:color="auto"/>
              <w:right w:val="single" w:sz="8" w:space="0" w:color="auto"/>
            </w:tcBorders>
            <w:shd w:val="clear" w:color="auto" w:fill="auto"/>
            <w:noWrap/>
            <w:vAlign w:val="center"/>
            <w:hideMark/>
          </w:tcPr>
          <w:p w14:paraId="191B20FE"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31 110 807</w:t>
            </w:r>
          </w:p>
        </w:tc>
        <w:tc>
          <w:tcPr>
            <w:tcW w:w="426" w:type="dxa"/>
            <w:tcBorders>
              <w:top w:val="nil"/>
              <w:left w:val="nil"/>
              <w:bottom w:val="nil"/>
              <w:right w:val="nil"/>
            </w:tcBorders>
            <w:shd w:val="clear" w:color="auto" w:fill="auto"/>
            <w:noWrap/>
            <w:vAlign w:val="center"/>
            <w:hideMark/>
          </w:tcPr>
          <w:p w14:paraId="40CD7A14"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nil"/>
              <w:left w:val="nil"/>
              <w:bottom w:val="nil"/>
              <w:right w:val="nil"/>
            </w:tcBorders>
            <w:shd w:val="clear" w:color="auto" w:fill="auto"/>
            <w:noWrap/>
            <w:vAlign w:val="center"/>
            <w:hideMark/>
          </w:tcPr>
          <w:p w14:paraId="25D127E2" w14:textId="77777777" w:rsidR="00C02342" w:rsidRPr="00EA4CC5" w:rsidRDefault="00C02342" w:rsidP="00206261">
            <w:pPr>
              <w:spacing w:after="0" w:line="240" w:lineRule="auto"/>
              <w:jc w:val="center"/>
              <w:rPr>
                <w:rFonts w:ascii="Arial" w:eastAsia="Times New Roman" w:hAnsi="Arial" w:cs="Arial"/>
                <w:sz w:val="20"/>
                <w:szCs w:val="20"/>
                <w:lang w:eastAsia="es-CR"/>
              </w:rPr>
            </w:pPr>
          </w:p>
        </w:tc>
      </w:tr>
      <w:tr w:rsidR="00C02342" w:rsidRPr="00EA4CC5" w14:paraId="4159470D" w14:textId="77777777" w:rsidTr="00206261">
        <w:trPr>
          <w:trHeight w:val="301"/>
          <w:jc w:val="center"/>
        </w:trPr>
        <w:tc>
          <w:tcPr>
            <w:tcW w:w="1975" w:type="dxa"/>
            <w:tcBorders>
              <w:top w:val="nil"/>
              <w:left w:val="single" w:sz="8" w:space="0" w:color="auto"/>
              <w:bottom w:val="single" w:sz="4" w:space="0" w:color="auto"/>
              <w:right w:val="nil"/>
            </w:tcBorders>
            <w:shd w:val="clear" w:color="auto" w:fill="auto"/>
            <w:noWrap/>
            <w:vAlign w:val="center"/>
            <w:hideMark/>
          </w:tcPr>
          <w:p w14:paraId="1E338AC7"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2017</w:t>
            </w:r>
          </w:p>
        </w:tc>
        <w:tc>
          <w:tcPr>
            <w:tcW w:w="1231" w:type="dxa"/>
            <w:tcBorders>
              <w:top w:val="nil"/>
              <w:left w:val="single" w:sz="8" w:space="0" w:color="auto"/>
              <w:bottom w:val="single" w:sz="4" w:space="0" w:color="auto"/>
              <w:right w:val="nil"/>
            </w:tcBorders>
            <w:shd w:val="clear" w:color="auto" w:fill="auto"/>
            <w:noWrap/>
            <w:vAlign w:val="center"/>
            <w:hideMark/>
          </w:tcPr>
          <w:p w14:paraId="3A5FB269"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31 110 807</w:t>
            </w:r>
          </w:p>
        </w:tc>
        <w:tc>
          <w:tcPr>
            <w:tcW w:w="358" w:type="dxa"/>
            <w:tcBorders>
              <w:top w:val="nil"/>
              <w:left w:val="nil"/>
              <w:bottom w:val="single" w:sz="4" w:space="0" w:color="auto"/>
              <w:right w:val="nil"/>
            </w:tcBorders>
            <w:shd w:val="clear" w:color="auto" w:fill="auto"/>
            <w:noWrap/>
            <w:vAlign w:val="center"/>
            <w:hideMark/>
          </w:tcPr>
          <w:p w14:paraId="044C2FE1"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104" w:type="dxa"/>
            <w:tcBorders>
              <w:top w:val="nil"/>
              <w:left w:val="nil"/>
              <w:bottom w:val="single" w:sz="4" w:space="0" w:color="auto"/>
              <w:right w:val="nil"/>
            </w:tcBorders>
            <w:shd w:val="clear" w:color="auto" w:fill="auto"/>
            <w:noWrap/>
            <w:vAlign w:val="center"/>
            <w:hideMark/>
          </w:tcPr>
          <w:p w14:paraId="79D57405"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(1+6,25%)</w:t>
            </w:r>
          </w:p>
        </w:tc>
        <w:tc>
          <w:tcPr>
            <w:tcW w:w="284" w:type="dxa"/>
            <w:tcBorders>
              <w:top w:val="nil"/>
              <w:left w:val="nil"/>
              <w:bottom w:val="single" w:sz="4" w:space="0" w:color="auto"/>
              <w:right w:val="single" w:sz="8" w:space="0" w:color="auto"/>
            </w:tcBorders>
            <w:shd w:val="clear" w:color="auto" w:fill="auto"/>
            <w:noWrap/>
            <w:vAlign w:val="center"/>
            <w:hideMark/>
          </w:tcPr>
          <w:p w14:paraId="0CD0E73E"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275" w:type="dxa"/>
            <w:tcBorders>
              <w:top w:val="nil"/>
              <w:left w:val="nil"/>
              <w:bottom w:val="single" w:sz="4" w:space="0" w:color="auto"/>
              <w:right w:val="single" w:sz="8" w:space="0" w:color="auto"/>
            </w:tcBorders>
            <w:shd w:val="clear" w:color="auto" w:fill="auto"/>
            <w:noWrap/>
            <w:vAlign w:val="center"/>
            <w:hideMark/>
          </w:tcPr>
          <w:p w14:paraId="45440014"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33 054 539</w:t>
            </w:r>
          </w:p>
        </w:tc>
        <w:tc>
          <w:tcPr>
            <w:tcW w:w="426" w:type="dxa"/>
            <w:tcBorders>
              <w:top w:val="nil"/>
              <w:left w:val="nil"/>
              <w:bottom w:val="nil"/>
              <w:right w:val="nil"/>
            </w:tcBorders>
            <w:shd w:val="clear" w:color="auto" w:fill="auto"/>
            <w:noWrap/>
            <w:vAlign w:val="center"/>
            <w:hideMark/>
          </w:tcPr>
          <w:p w14:paraId="5CC3CED7"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EE2E432"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PIB nominal 2018</w:t>
            </w:r>
          </w:p>
        </w:tc>
      </w:tr>
      <w:tr w:rsidR="00C02342" w:rsidRPr="00EA4CC5" w14:paraId="3787C0CA" w14:textId="77777777" w:rsidTr="00206261">
        <w:trPr>
          <w:trHeight w:val="301"/>
          <w:jc w:val="center"/>
        </w:trPr>
        <w:tc>
          <w:tcPr>
            <w:tcW w:w="1975" w:type="dxa"/>
            <w:tcBorders>
              <w:top w:val="nil"/>
              <w:left w:val="single" w:sz="8" w:space="0" w:color="auto"/>
              <w:bottom w:val="single" w:sz="8" w:space="0" w:color="auto"/>
              <w:right w:val="nil"/>
            </w:tcBorders>
            <w:shd w:val="clear" w:color="auto" w:fill="auto"/>
            <w:noWrap/>
            <w:vAlign w:val="center"/>
            <w:hideMark/>
          </w:tcPr>
          <w:p w14:paraId="1907A55A"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2018</w:t>
            </w:r>
          </w:p>
        </w:tc>
        <w:tc>
          <w:tcPr>
            <w:tcW w:w="1231" w:type="dxa"/>
            <w:tcBorders>
              <w:top w:val="nil"/>
              <w:left w:val="single" w:sz="8" w:space="0" w:color="auto"/>
              <w:bottom w:val="single" w:sz="8" w:space="0" w:color="auto"/>
              <w:right w:val="nil"/>
            </w:tcBorders>
            <w:shd w:val="clear" w:color="auto" w:fill="auto"/>
            <w:noWrap/>
            <w:vAlign w:val="center"/>
            <w:hideMark/>
          </w:tcPr>
          <w:p w14:paraId="555F2930"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33 054 539</w:t>
            </w:r>
          </w:p>
        </w:tc>
        <w:tc>
          <w:tcPr>
            <w:tcW w:w="358" w:type="dxa"/>
            <w:tcBorders>
              <w:top w:val="nil"/>
              <w:left w:val="nil"/>
              <w:bottom w:val="single" w:sz="8" w:space="0" w:color="auto"/>
              <w:right w:val="nil"/>
            </w:tcBorders>
            <w:shd w:val="clear" w:color="auto" w:fill="auto"/>
            <w:noWrap/>
            <w:vAlign w:val="center"/>
            <w:hideMark/>
          </w:tcPr>
          <w:p w14:paraId="3EBBF8D2"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104" w:type="dxa"/>
            <w:tcBorders>
              <w:top w:val="nil"/>
              <w:left w:val="nil"/>
              <w:bottom w:val="single" w:sz="8" w:space="0" w:color="auto"/>
              <w:right w:val="nil"/>
            </w:tcBorders>
            <w:shd w:val="clear" w:color="auto" w:fill="auto"/>
            <w:noWrap/>
            <w:vAlign w:val="center"/>
            <w:hideMark/>
          </w:tcPr>
          <w:p w14:paraId="4C4556B9"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(1+6,25%)</w:t>
            </w:r>
          </w:p>
        </w:tc>
        <w:tc>
          <w:tcPr>
            <w:tcW w:w="284" w:type="dxa"/>
            <w:tcBorders>
              <w:top w:val="nil"/>
              <w:left w:val="nil"/>
              <w:bottom w:val="single" w:sz="8" w:space="0" w:color="auto"/>
              <w:right w:val="single" w:sz="8" w:space="0" w:color="auto"/>
            </w:tcBorders>
            <w:shd w:val="clear" w:color="auto" w:fill="auto"/>
            <w:noWrap/>
            <w:vAlign w:val="center"/>
            <w:hideMark/>
          </w:tcPr>
          <w:p w14:paraId="1B1CC728"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275" w:type="dxa"/>
            <w:tcBorders>
              <w:top w:val="nil"/>
              <w:left w:val="nil"/>
              <w:bottom w:val="single" w:sz="8" w:space="0" w:color="auto"/>
              <w:right w:val="single" w:sz="8" w:space="0" w:color="auto"/>
            </w:tcBorders>
            <w:shd w:val="clear" w:color="auto" w:fill="auto"/>
            <w:noWrap/>
            <w:vAlign w:val="center"/>
            <w:hideMark/>
          </w:tcPr>
          <w:p w14:paraId="3A111C1A"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35 119 712</w:t>
            </w:r>
          </w:p>
        </w:tc>
        <w:tc>
          <w:tcPr>
            <w:tcW w:w="426" w:type="dxa"/>
            <w:tcBorders>
              <w:top w:val="nil"/>
              <w:left w:val="nil"/>
              <w:bottom w:val="nil"/>
              <w:right w:val="nil"/>
            </w:tcBorders>
            <w:shd w:val="clear" w:color="000000" w:fill="FF0000"/>
            <w:noWrap/>
            <w:vAlign w:val="center"/>
            <w:hideMark/>
          </w:tcPr>
          <w:p w14:paraId="3D6FF1BB"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842" w:type="dxa"/>
            <w:tcBorders>
              <w:top w:val="nil"/>
              <w:left w:val="nil"/>
              <w:bottom w:val="nil"/>
              <w:right w:val="nil"/>
            </w:tcBorders>
            <w:shd w:val="clear" w:color="auto" w:fill="auto"/>
            <w:noWrap/>
            <w:vAlign w:val="center"/>
            <w:hideMark/>
          </w:tcPr>
          <w:p w14:paraId="0A995613"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34 691 057</w:t>
            </w:r>
          </w:p>
        </w:tc>
      </w:tr>
    </w:tbl>
    <w:p w14:paraId="6DFBCD76" w14:textId="77777777" w:rsidR="00C02342" w:rsidRPr="00EA4CC5" w:rsidRDefault="00C02342" w:rsidP="00C02342">
      <w:pPr>
        <w:spacing w:after="0" w:line="276" w:lineRule="auto"/>
        <w:jc w:val="both"/>
        <w:rPr>
          <w:rFonts w:ascii="Arial" w:eastAsia="Calibri" w:hAnsi="Arial" w:cs="Arial"/>
          <w:sz w:val="24"/>
          <w:szCs w:val="24"/>
        </w:rPr>
      </w:pPr>
    </w:p>
    <w:p w14:paraId="70061E07" w14:textId="77777777" w:rsidR="00C02342" w:rsidRPr="00EA4CC5" w:rsidRDefault="00C02342" w:rsidP="00C02342">
      <w:pPr>
        <w:spacing w:after="0" w:line="276" w:lineRule="auto"/>
        <w:jc w:val="both"/>
        <w:rPr>
          <w:rFonts w:ascii="Arial" w:eastAsia="Calibri" w:hAnsi="Arial" w:cs="Arial"/>
          <w:sz w:val="24"/>
          <w:szCs w:val="24"/>
        </w:rPr>
      </w:pPr>
      <w:r w:rsidRPr="00EA4CC5">
        <w:rPr>
          <w:rFonts w:ascii="Arial" w:eastAsia="Calibri" w:hAnsi="Arial" w:cs="Arial"/>
          <w:sz w:val="24"/>
          <w:szCs w:val="24"/>
        </w:rPr>
        <w:t xml:space="preserve">Por ende, queda demostrado que la metodología empleada sobreestima la tasa de crecimiento promedio del PIB nominal, y, en consecuencia, también sobreestima el </w:t>
      </w:r>
      <w:bookmarkStart w:id="10" w:name="_Hlk77850624"/>
      <w:r w:rsidRPr="00EA4CC5">
        <w:rPr>
          <w:rFonts w:ascii="Arial" w:eastAsia="Calibri" w:hAnsi="Arial" w:cs="Arial"/>
          <w:sz w:val="24"/>
          <w:szCs w:val="24"/>
        </w:rPr>
        <w:t>límite fijado para crecimiento del gasto corriente, el cual bajo esta metodología se definió en 4,67%</w:t>
      </w:r>
      <w:bookmarkEnd w:id="10"/>
      <w:r>
        <w:rPr>
          <w:rFonts w:ascii="Arial" w:eastAsia="Calibri" w:hAnsi="Arial" w:cs="Arial"/>
          <w:sz w:val="24"/>
          <w:szCs w:val="24"/>
        </w:rPr>
        <w:t xml:space="preserve"> para el 2020</w:t>
      </w:r>
      <w:r w:rsidRPr="00EA4CC5">
        <w:rPr>
          <w:rFonts w:ascii="Arial" w:eastAsia="Calibri" w:hAnsi="Arial" w:cs="Arial"/>
          <w:sz w:val="24"/>
          <w:szCs w:val="24"/>
        </w:rPr>
        <w:t>.</w:t>
      </w:r>
    </w:p>
    <w:p w14:paraId="35BADD9E" w14:textId="77777777" w:rsidR="00C02342" w:rsidRPr="00EA4CC5" w:rsidRDefault="00C02342" w:rsidP="00C02342">
      <w:pPr>
        <w:spacing w:after="0" w:line="276" w:lineRule="auto"/>
        <w:jc w:val="both"/>
        <w:rPr>
          <w:rFonts w:ascii="Arial" w:eastAsia="Calibri" w:hAnsi="Arial" w:cs="Arial"/>
          <w:sz w:val="24"/>
          <w:szCs w:val="24"/>
        </w:rPr>
      </w:pPr>
    </w:p>
    <w:p w14:paraId="5CD4BF9A" w14:textId="77777777" w:rsidR="00C02342" w:rsidRPr="00EA4CC5" w:rsidRDefault="00C02342" w:rsidP="00C02342">
      <w:pPr>
        <w:spacing w:after="0" w:line="276" w:lineRule="auto"/>
        <w:jc w:val="both"/>
        <w:rPr>
          <w:rFonts w:ascii="Arial" w:eastAsia="Calibri" w:hAnsi="Arial" w:cs="Arial"/>
          <w:sz w:val="24"/>
          <w:szCs w:val="24"/>
        </w:rPr>
      </w:pPr>
      <w:r w:rsidRPr="00EA4CC5">
        <w:rPr>
          <w:rFonts w:ascii="Arial" w:eastAsia="Calibri" w:hAnsi="Arial" w:cs="Arial"/>
          <w:sz w:val="24"/>
          <w:szCs w:val="24"/>
        </w:rPr>
        <w:t>En contraposición, se debió haber empleado la siguiente metodología para calcular la tasa de crecimiento promedio del PIB nominal a los últimos cuatro años:</w:t>
      </w:r>
    </w:p>
    <w:p w14:paraId="68C7628A" w14:textId="77777777" w:rsidR="00C02342" w:rsidRPr="00EA4CC5" w:rsidRDefault="00C02342" w:rsidP="00C02342">
      <w:pPr>
        <w:spacing w:after="0" w:line="276" w:lineRule="auto"/>
        <w:jc w:val="both"/>
        <w:rPr>
          <w:rFonts w:ascii="Arial" w:eastAsia="Calibri" w:hAnsi="Arial" w:cs="Arial"/>
          <w:sz w:val="24"/>
          <w:szCs w:val="24"/>
        </w:rPr>
      </w:pPr>
    </w:p>
    <w:p w14:paraId="441C420B" w14:textId="77777777" w:rsidR="00C02342" w:rsidRPr="00EA4CC5" w:rsidRDefault="003C0585" w:rsidP="00C02342">
      <w:pPr>
        <w:spacing w:after="0" w:line="276" w:lineRule="auto"/>
        <w:jc w:val="both"/>
        <w:rPr>
          <w:rFonts w:ascii="Arial" w:eastAsia="Times New Roman" w:hAnsi="Arial" w:cs="Arial"/>
          <w:szCs w:val="24"/>
        </w:rPr>
      </w:pPr>
      <m:oMathPara>
        <m:oMath>
          <m:sSub>
            <m:sSubPr>
              <m:ctrlPr>
                <w:rPr>
                  <w:rFonts w:ascii="Cambria Math" w:eastAsia="Calibri" w:hAnsi="Cambria Math" w:cs="Arial"/>
                  <w:i/>
                  <w:szCs w:val="24"/>
                </w:rPr>
              </m:ctrlPr>
            </m:sSubPr>
            <m:e>
              <m:r>
                <w:rPr>
                  <w:rFonts w:ascii="Cambria Math" w:eastAsia="Calibri" w:hAnsi="Cambria Math" w:cs="Arial"/>
                  <w:szCs w:val="24"/>
                </w:rPr>
                <m:t>tasa de crecimiento promedio del PIB nominal</m:t>
              </m:r>
            </m:e>
            <m:sub>
              <m:r>
                <w:rPr>
                  <w:rFonts w:ascii="Cambria Math" w:eastAsia="Calibri" w:hAnsi="Cambria Math" w:cs="Arial"/>
                  <w:szCs w:val="24"/>
                </w:rPr>
                <m:t>2015-2018</m:t>
              </m:r>
            </m:sub>
          </m:sSub>
          <m:r>
            <w:rPr>
              <w:rFonts w:ascii="Cambria Math" w:eastAsia="Calibri" w:hAnsi="Cambria Math" w:cs="Arial"/>
              <w:szCs w:val="24"/>
            </w:rPr>
            <m:t>=</m:t>
          </m:r>
          <m:rad>
            <m:radPr>
              <m:ctrlPr>
                <w:rPr>
                  <w:rFonts w:ascii="Cambria Math" w:eastAsia="Calibri" w:hAnsi="Cambria Math" w:cs="Arial"/>
                  <w:i/>
                  <w:szCs w:val="24"/>
                </w:rPr>
              </m:ctrlPr>
            </m:radPr>
            <m:deg>
              <m:r>
                <w:rPr>
                  <w:rFonts w:ascii="Cambria Math" w:eastAsia="Calibri" w:hAnsi="Cambria Math" w:cs="Arial"/>
                  <w:szCs w:val="24"/>
                </w:rPr>
                <m:t>3</m:t>
              </m:r>
            </m:deg>
            <m:e>
              <m:f>
                <m:fPr>
                  <m:ctrlPr>
                    <w:rPr>
                      <w:rFonts w:ascii="Cambria Math" w:eastAsia="Calibri" w:hAnsi="Cambria Math" w:cs="Arial"/>
                      <w:i/>
                      <w:szCs w:val="24"/>
                    </w:rPr>
                  </m:ctrlPr>
                </m:fPr>
                <m:num>
                  <m:sSub>
                    <m:sSubPr>
                      <m:ctrlPr>
                        <w:rPr>
                          <w:rFonts w:ascii="Cambria Math" w:eastAsia="Calibri" w:hAnsi="Cambria Math" w:cs="Arial"/>
                          <w:i/>
                          <w:szCs w:val="24"/>
                        </w:rPr>
                      </m:ctrlPr>
                    </m:sSubPr>
                    <m:e>
                      <m:r>
                        <w:rPr>
                          <w:rFonts w:ascii="Cambria Math" w:eastAsia="Calibri" w:hAnsi="Cambria Math" w:cs="Arial"/>
                          <w:szCs w:val="24"/>
                        </w:rPr>
                        <m:t>PIB nominal</m:t>
                      </m:r>
                    </m:e>
                    <m:sub>
                      <m:r>
                        <w:rPr>
                          <w:rFonts w:ascii="Cambria Math" w:eastAsia="Calibri" w:hAnsi="Cambria Math" w:cs="Arial"/>
                          <w:szCs w:val="24"/>
                        </w:rPr>
                        <m:t>2018</m:t>
                      </m:r>
                    </m:sub>
                  </m:sSub>
                </m:num>
                <m:den>
                  <m:sSub>
                    <m:sSubPr>
                      <m:ctrlPr>
                        <w:rPr>
                          <w:rFonts w:ascii="Cambria Math" w:eastAsia="Calibri" w:hAnsi="Cambria Math" w:cs="Arial"/>
                          <w:i/>
                          <w:szCs w:val="24"/>
                        </w:rPr>
                      </m:ctrlPr>
                    </m:sSubPr>
                    <m:e>
                      <m:r>
                        <w:rPr>
                          <w:rFonts w:ascii="Cambria Math" w:eastAsia="Calibri" w:hAnsi="Cambria Math" w:cs="Arial"/>
                          <w:szCs w:val="24"/>
                        </w:rPr>
                        <m:t>PIB nominal</m:t>
                      </m:r>
                    </m:e>
                    <m:sub>
                      <m:r>
                        <w:rPr>
                          <w:rFonts w:ascii="Cambria Math" w:eastAsia="Calibri" w:hAnsi="Cambria Math" w:cs="Arial"/>
                          <w:szCs w:val="24"/>
                        </w:rPr>
                        <m:t>2015</m:t>
                      </m:r>
                    </m:sub>
                  </m:sSub>
                </m:den>
              </m:f>
            </m:e>
          </m:rad>
          <m:r>
            <w:rPr>
              <w:rFonts w:ascii="Cambria Math" w:eastAsia="Calibri" w:hAnsi="Cambria Math" w:cs="Arial"/>
              <w:szCs w:val="24"/>
            </w:rPr>
            <m:t>-1</m:t>
          </m:r>
        </m:oMath>
      </m:oMathPara>
    </w:p>
    <w:p w14:paraId="0B1E67C8" w14:textId="77777777" w:rsidR="00C02342" w:rsidRPr="00EA4CC5" w:rsidRDefault="00C02342" w:rsidP="00C02342">
      <w:pPr>
        <w:spacing w:after="0" w:line="276" w:lineRule="auto"/>
        <w:jc w:val="both"/>
        <w:rPr>
          <w:rFonts w:ascii="Arial" w:eastAsia="Times New Roman" w:hAnsi="Arial" w:cs="Arial"/>
          <w:szCs w:val="24"/>
        </w:rPr>
      </w:pPr>
    </w:p>
    <w:p w14:paraId="28801795" w14:textId="77777777" w:rsidR="00C02342" w:rsidRPr="00EA4CC5" w:rsidRDefault="00C02342" w:rsidP="00C02342">
      <w:pPr>
        <w:spacing w:after="0" w:line="276" w:lineRule="auto"/>
        <w:jc w:val="both"/>
        <w:rPr>
          <w:rFonts w:ascii="Arial" w:eastAsia="Calibri" w:hAnsi="Arial" w:cs="Arial"/>
          <w:sz w:val="24"/>
          <w:szCs w:val="24"/>
        </w:rPr>
      </w:pPr>
      <w:r w:rsidRPr="00EA4CC5">
        <w:rPr>
          <w:rFonts w:ascii="Arial" w:eastAsia="Calibri" w:hAnsi="Arial" w:cs="Arial"/>
          <w:sz w:val="24"/>
          <w:szCs w:val="24"/>
        </w:rPr>
        <w:t>Al sustituir los valores se obtiene:</w:t>
      </w:r>
    </w:p>
    <w:p w14:paraId="5515843F" w14:textId="77777777" w:rsidR="00C02342" w:rsidRPr="00EA4CC5" w:rsidRDefault="00C02342" w:rsidP="00C02342">
      <w:pPr>
        <w:spacing w:after="0" w:line="276" w:lineRule="auto"/>
        <w:jc w:val="both"/>
        <w:rPr>
          <w:rFonts w:ascii="Arial" w:eastAsia="Calibri" w:hAnsi="Arial" w:cs="Arial"/>
          <w:szCs w:val="24"/>
        </w:rPr>
      </w:pPr>
    </w:p>
    <w:p w14:paraId="357F4BEA" w14:textId="77777777" w:rsidR="00C02342" w:rsidRPr="00EA4CC5" w:rsidRDefault="003C0585" w:rsidP="00C02342">
      <w:pPr>
        <w:spacing w:after="0" w:line="276" w:lineRule="auto"/>
        <w:jc w:val="both"/>
        <w:rPr>
          <w:rFonts w:ascii="Arial" w:eastAsia="Calibri" w:hAnsi="Arial" w:cs="Arial"/>
          <w:szCs w:val="24"/>
        </w:rPr>
      </w:pPr>
      <m:oMathPara>
        <m:oMath>
          <m:rad>
            <m:radPr>
              <m:ctrlPr>
                <w:rPr>
                  <w:rFonts w:ascii="Cambria Math" w:eastAsia="Calibri" w:hAnsi="Cambria Math" w:cs="Arial"/>
                  <w:i/>
                  <w:szCs w:val="24"/>
                </w:rPr>
              </m:ctrlPr>
            </m:radPr>
            <m:deg>
              <m:r>
                <w:rPr>
                  <w:rFonts w:ascii="Cambria Math" w:eastAsia="Calibri" w:hAnsi="Cambria Math" w:cs="Arial"/>
                  <w:szCs w:val="24"/>
                </w:rPr>
                <m:t>3</m:t>
              </m:r>
            </m:deg>
            <m:e>
              <m:f>
                <m:fPr>
                  <m:ctrlPr>
                    <w:rPr>
                      <w:rFonts w:ascii="Cambria Math" w:eastAsia="Calibri" w:hAnsi="Cambria Math" w:cs="Arial"/>
                      <w:i/>
                      <w:szCs w:val="24"/>
                    </w:rPr>
                  </m:ctrlPr>
                </m:fPr>
                <m:num>
                  <m:r>
                    <w:rPr>
                      <w:rFonts w:ascii="Cambria Math" w:eastAsia="Calibri" w:hAnsi="Cambria Math" w:cs="Arial"/>
                      <w:szCs w:val="24"/>
                    </w:rPr>
                    <m:t>34 691 057</m:t>
                  </m:r>
                </m:num>
                <m:den>
                  <m:r>
                    <w:rPr>
                      <w:rFonts w:ascii="Cambria Math" w:eastAsia="Calibri" w:hAnsi="Cambria Math" w:cs="Arial"/>
                      <w:szCs w:val="24"/>
                    </w:rPr>
                    <m:t>29 281 373</m:t>
                  </m:r>
                </m:den>
              </m:f>
            </m:e>
          </m:rad>
          <m:r>
            <w:rPr>
              <w:rFonts w:ascii="Cambria Math" w:eastAsia="Calibri" w:hAnsi="Cambria Math" w:cs="Arial"/>
              <w:szCs w:val="24"/>
            </w:rPr>
            <m:t>-1=</m:t>
          </m:r>
          <m:r>
            <w:rPr>
              <w:rFonts w:ascii="Cambria Math" w:eastAsia="Times New Roman" w:hAnsi="Cambria Math" w:cs="Arial"/>
              <w:szCs w:val="24"/>
            </w:rPr>
            <m:t>5,81%</m:t>
          </m:r>
        </m:oMath>
      </m:oMathPara>
    </w:p>
    <w:p w14:paraId="6F90207A" w14:textId="77777777" w:rsidR="00C02342" w:rsidRPr="00EA4CC5" w:rsidRDefault="00C02342" w:rsidP="00C02342">
      <w:pPr>
        <w:spacing w:after="0" w:line="276" w:lineRule="auto"/>
        <w:jc w:val="both"/>
        <w:rPr>
          <w:rFonts w:ascii="Arial" w:eastAsia="Calibri" w:hAnsi="Arial" w:cs="Arial"/>
          <w:sz w:val="24"/>
          <w:szCs w:val="24"/>
        </w:rPr>
      </w:pPr>
    </w:p>
    <w:p w14:paraId="073AEBAC" w14:textId="77777777" w:rsidR="00C02342" w:rsidRPr="00EA4CC5" w:rsidRDefault="00C02342" w:rsidP="00C02342">
      <w:pPr>
        <w:spacing w:after="0" w:line="276" w:lineRule="auto"/>
        <w:jc w:val="both"/>
        <w:rPr>
          <w:rFonts w:ascii="Arial" w:eastAsia="Calibri" w:hAnsi="Arial" w:cs="Arial"/>
          <w:sz w:val="24"/>
          <w:szCs w:val="24"/>
        </w:rPr>
      </w:pPr>
      <w:r w:rsidRPr="00EA4CC5">
        <w:rPr>
          <w:rFonts w:ascii="Arial" w:eastAsia="Calibri" w:hAnsi="Arial" w:cs="Arial"/>
          <w:sz w:val="24"/>
          <w:szCs w:val="24"/>
        </w:rPr>
        <w:t>En cuanto a la validación de esta metodología se demuestra:</w:t>
      </w:r>
    </w:p>
    <w:p w14:paraId="7A6FE8FE" w14:textId="77777777" w:rsidR="00C02342" w:rsidRPr="00EA4CC5" w:rsidRDefault="00C02342" w:rsidP="00C02342">
      <w:pPr>
        <w:spacing w:after="0" w:line="276" w:lineRule="auto"/>
        <w:jc w:val="both"/>
        <w:rPr>
          <w:rFonts w:ascii="Arial" w:eastAsia="Calibri" w:hAnsi="Arial" w:cs="Arial"/>
          <w:sz w:val="24"/>
          <w:szCs w:val="24"/>
        </w:rPr>
      </w:pPr>
    </w:p>
    <w:tbl>
      <w:tblPr>
        <w:tblW w:w="8495" w:type="dxa"/>
        <w:jc w:val="center"/>
        <w:tblCellMar>
          <w:left w:w="70" w:type="dxa"/>
          <w:right w:w="70" w:type="dxa"/>
        </w:tblCellMar>
        <w:tblLook w:val="04A0" w:firstRow="1" w:lastRow="0" w:firstColumn="1" w:lastColumn="0" w:noHBand="0" w:noVBand="1"/>
      </w:tblPr>
      <w:tblGrid>
        <w:gridCol w:w="1975"/>
        <w:gridCol w:w="1231"/>
        <w:gridCol w:w="358"/>
        <w:gridCol w:w="1104"/>
        <w:gridCol w:w="284"/>
        <w:gridCol w:w="1275"/>
        <w:gridCol w:w="426"/>
        <w:gridCol w:w="1842"/>
      </w:tblGrid>
      <w:tr w:rsidR="00C02342" w:rsidRPr="00EA4CC5" w14:paraId="242DB953" w14:textId="77777777" w:rsidTr="00206261">
        <w:trPr>
          <w:trHeight w:val="301"/>
          <w:jc w:val="center"/>
        </w:trPr>
        <w:tc>
          <w:tcPr>
            <w:tcW w:w="1975" w:type="dxa"/>
            <w:tcBorders>
              <w:top w:val="single" w:sz="8" w:space="0" w:color="auto"/>
              <w:left w:val="single" w:sz="8" w:space="0" w:color="auto"/>
              <w:bottom w:val="nil"/>
              <w:right w:val="nil"/>
            </w:tcBorders>
            <w:shd w:val="clear" w:color="000000" w:fill="D9D9D9"/>
            <w:noWrap/>
            <w:vAlign w:val="center"/>
            <w:hideMark/>
          </w:tcPr>
          <w:p w14:paraId="324A4B5D"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Año</w:t>
            </w:r>
          </w:p>
        </w:tc>
        <w:tc>
          <w:tcPr>
            <w:tcW w:w="2977"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73A089F"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Procedimiento del cálculo</w:t>
            </w:r>
          </w:p>
        </w:tc>
        <w:tc>
          <w:tcPr>
            <w:tcW w:w="1275" w:type="dxa"/>
            <w:tcBorders>
              <w:top w:val="single" w:sz="8" w:space="0" w:color="auto"/>
              <w:left w:val="nil"/>
              <w:bottom w:val="single" w:sz="8" w:space="0" w:color="auto"/>
              <w:right w:val="single" w:sz="8" w:space="0" w:color="auto"/>
            </w:tcBorders>
            <w:shd w:val="clear" w:color="000000" w:fill="D9D9D9"/>
            <w:noWrap/>
            <w:vAlign w:val="center"/>
            <w:hideMark/>
          </w:tcPr>
          <w:p w14:paraId="3869B3CC"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Resultado</w:t>
            </w:r>
          </w:p>
        </w:tc>
        <w:tc>
          <w:tcPr>
            <w:tcW w:w="426" w:type="dxa"/>
            <w:tcBorders>
              <w:top w:val="nil"/>
              <w:left w:val="nil"/>
              <w:bottom w:val="nil"/>
              <w:right w:val="nil"/>
            </w:tcBorders>
            <w:shd w:val="clear" w:color="auto" w:fill="auto"/>
            <w:noWrap/>
            <w:vAlign w:val="center"/>
            <w:hideMark/>
          </w:tcPr>
          <w:p w14:paraId="4A237280"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nil"/>
              <w:left w:val="nil"/>
              <w:bottom w:val="nil"/>
              <w:right w:val="nil"/>
            </w:tcBorders>
            <w:shd w:val="clear" w:color="auto" w:fill="auto"/>
            <w:noWrap/>
            <w:vAlign w:val="center"/>
            <w:hideMark/>
          </w:tcPr>
          <w:p w14:paraId="4CEC66BA" w14:textId="77777777" w:rsidR="00C02342" w:rsidRPr="00EA4CC5" w:rsidRDefault="00C02342" w:rsidP="00206261">
            <w:pPr>
              <w:spacing w:after="0" w:line="240" w:lineRule="auto"/>
              <w:jc w:val="center"/>
              <w:rPr>
                <w:rFonts w:ascii="Arial" w:eastAsia="Times New Roman" w:hAnsi="Arial" w:cs="Arial"/>
                <w:sz w:val="20"/>
                <w:szCs w:val="20"/>
                <w:lang w:eastAsia="es-CR"/>
              </w:rPr>
            </w:pPr>
          </w:p>
        </w:tc>
      </w:tr>
      <w:tr w:rsidR="00C02342" w:rsidRPr="00EA4CC5" w14:paraId="48A0B476" w14:textId="77777777" w:rsidTr="00206261">
        <w:trPr>
          <w:trHeight w:val="287"/>
          <w:jc w:val="center"/>
        </w:trPr>
        <w:tc>
          <w:tcPr>
            <w:tcW w:w="1975" w:type="dxa"/>
            <w:tcBorders>
              <w:top w:val="single" w:sz="8" w:space="0" w:color="auto"/>
              <w:left w:val="single" w:sz="8" w:space="0" w:color="auto"/>
              <w:bottom w:val="single" w:sz="4" w:space="0" w:color="auto"/>
              <w:right w:val="nil"/>
            </w:tcBorders>
            <w:shd w:val="clear" w:color="auto" w:fill="auto"/>
            <w:noWrap/>
            <w:vAlign w:val="center"/>
            <w:hideMark/>
          </w:tcPr>
          <w:p w14:paraId="092B7122"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2015</w:t>
            </w:r>
          </w:p>
        </w:tc>
        <w:tc>
          <w:tcPr>
            <w:tcW w:w="2977"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29FDFDE"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PIB nominal 2015:</w:t>
            </w:r>
          </w:p>
        </w:tc>
        <w:tc>
          <w:tcPr>
            <w:tcW w:w="1275" w:type="dxa"/>
            <w:tcBorders>
              <w:top w:val="nil"/>
              <w:left w:val="nil"/>
              <w:bottom w:val="single" w:sz="4" w:space="0" w:color="auto"/>
              <w:right w:val="single" w:sz="8" w:space="0" w:color="auto"/>
            </w:tcBorders>
            <w:shd w:val="clear" w:color="auto" w:fill="auto"/>
            <w:noWrap/>
            <w:vAlign w:val="center"/>
          </w:tcPr>
          <w:p w14:paraId="2A5C4288"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29 281 373</w:t>
            </w:r>
          </w:p>
        </w:tc>
        <w:tc>
          <w:tcPr>
            <w:tcW w:w="426" w:type="dxa"/>
            <w:tcBorders>
              <w:top w:val="nil"/>
              <w:left w:val="nil"/>
              <w:bottom w:val="nil"/>
              <w:right w:val="nil"/>
            </w:tcBorders>
            <w:shd w:val="clear" w:color="auto" w:fill="auto"/>
            <w:noWrap/>
            <w:vAlign w:val="center"/>
            <w:hideMark/>
          </w:tcPr>
          <w:p w14:paraId="3071310D"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nil"/>
              <w:left w:val="nil"/>
              <w:bottom w:val="nil"/>
              <w:right w:val="nil"/>
            </w:tcBorders>
            <w:shd w:val="clear" w:color="auto" w:fill="auto"/>
            <w:noWrap/>
            <w:vAlign w:val="center"/>
            <w:hideMark/>
          </w:tcPr>
          <w:p w14:paraId="01738ACE" w14:textId="77777777" w:rsidR="00C02342" w:rsidRPr="00EA4CC5" w:rsidRDefault="00C02342" w:rsidP="00206261">
            <w:pPr>
              <w:spacing w:after="0" w:line="240" w:lineRule="auto"/>
              <w:jc w:val="center"/>
              <w:rPr>
                <w:rFonts w:ascii="Arial" w:eastAsia="Times New Roman" w:hAnsi="Arial" w:cs="Arial"/>
                <w:sz w:val="20"/>
                <w:szCs w:val="20"/>
                <w:lang w:eastAsia="es-CR"/>
              </w:rPr>
            </w:pPr>
          </w:p>
        </w:tc>
      </w:tr>
      <w:tr w:rsidR="00C02342" w:rsidRPr="00EA4CC5" w14:paraId="479214D5" w14:textId="77777777" w:rsidTr="00206261">
        <w:trPr>
          <w:trHeight w:val="301"/>
          <w:jc w:val="center"/>
        </w:trPr>
        <w:tc>
          <w:tcPr>
            <w:tcW w:w="1975" w:type="dxa"/>
            <w:tcBorders>
              <w:top w:val="nil"/>
              <w:left w:val="single" w:sz="8" w:space="0" w:color="auto"/>
              <w:bottom w:val="single" w:sz="4" w:space="0" w:color="auto"/>
              <w:right w:val="nil"/>
            </w:tcBorders>
            <w:shd w:val="clear" w:color="auto" w:fill="auto"/>
            <w:noWrap/>
            <w:vAlign w:val="center"/>
            <w:hideMark/>
          </w:tcPr>
          <w:p w14:paraId="5837F27A"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2016</w:t>
            </w:r>
          </w:p>
        </w:tc>
        <w:tc>
          <w:tcPr>
            <w:tcW w:w="1231" w:type="dxa"/>
            <w:tcBorders>
              <w:top w:val="nil"/>
              <w:left w:val="single" w:sz="8" w:space="0" w:color="auto"/>
              <w:bottom w:val="single" w:sz="4" w:space="0" w:color="auto"/>
              <w:right w:val="nil"/>
            </w:tcBorders>
            <w:shd w:val="clear" w:color="auto" w:fill="auto"/>
            <w:noWrap/>
            <w:vAlign w:val="center"/>
            <w:hideMark/>
          </w:tcPr>
          <w:p w14:paraId="755E0EEE"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Calibri" w:hAnsi="Arial" w:cs="Arial"/>
                <w:sz w:val="20"/>
                <w:szCs w:val="20"/>
                <w:lang w:val="es-ES"/>
              </w:rPr>
              <w:t>29 281 373</w:t>
            </w:r>
          </w:p>
        </w:tc>
        <w:tc>
          <w:tcPr>
            <w:tcW w:w="358" w:type="dxa"/>
            <w:tcBorders>
              <w:top w:val="nil"/>
              <w:left w:val="nil"/>
              <w:bottom w:val="single" w:sz="4" w:space="0" w:color="auto"/>
              <w:right w:val="nil"/>
            </w:tcBorders>
            <w:shd w:val="clear" w:color="auto" w:fill="auto"/>
            <w:noWrap/>
            <w:vAlign w:val="center"/>
            <w:hideMark/>
          </w:tcPr>
          <w:p w14:paraId="346FADC8"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104" w:type="dxa"/>
            <w:tcBorders>
              <w:top w:val="nil"/>
              <w:left w:val="nil"/>
              <w:bottom w:val="single" w:sz="4" w:space="0" w:color="auto"/>
              <w:right w:val="nil"/>
            </w:tcBorders>
            <w:shd w:val="clear" w:color="auto" w:fill="auto"/>
            <w:noWrap/>
            <w:vAlign w:val="center"/>
            <w:hideMark/>
          </w:tcPr>
          <w:p w14:paraId="3B6AAC18"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(1+5,81%)</w:t>
            </w:r>
          </w:p>
        </w:tc>
        <w:tc>
          <w:tcPr>
            <w:tcW w:w="284" w:type="dxa"/>
            <w:tcBorders>
              <w:top w:val="nil"/>
              <w:left w:val="nil"/>
              <w:bottom w:val="single" w:sz="4" w:space="0" w:color="auto"/>
              <w:right w:val="single" w:sz="8" w:space="0" w:color="auto"/>
            </w:tcBorders>
            <w:shd w:val="clear" w:color="auto" w:fill="auto"/>
            <w:noWrap/>
            <w:vAlign w:val="center"/>
            <w:hideMark/>
          </w:tcPr>
          <w:p w14:paraId="0658F7C7"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275" w:type="dxa"/>
            <w:tcBorders>
              <w:top w:val="nil"/>
              <w:left w:val="nil"/>
              <w:bottom w:val="single" w:sz="4" w:space="0" w:color="auto"/>
              <w:right w:val="single" w:sz="8" w:space="0" w:color="auto"/>
            </w:tcBorders>
            <w:shd w:val="clear" w:color="auto" w:fill="auto"/>
            <w:noWrap/>
            <w:vAlign w:val="center"/>
          </w:tcPr>
          <w:p w14:paraId="1E2645B7"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30 983 714</w:t>
            </w:r>
          </w:p>
        </w:tc>
        <w:tc>
          <w:tcPr>
            <w:tcW w:w="426" w:type="dxa"/>
            <w:tcBorders>
              <w:top w:val="nil"/>
              <w:left w:val="nil"/>
              <w:bottom w:val="nil"/>
              <w:right w:val="nil"/>
            </w:tcBorders>
            <w:shd w:val="clear" w:color="auto" w:fill="auto"/>
            <w:noWrap/>
            <w:vAlign w:val="center"/>
            <w:hideMark/>
          </w:tcPr>
          <w:p w14:paraId="3D4D4EB4"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nil"/>
              <w:left w:val="nil"/>
              <w:bottom w:val="nil"/>
              <w:right w:val="nil"/>
            </w:tcBorders>
            <w:shd w:val="clear" w:color="auto" w:fill="auto"/>
            <w:noWrap/>
            <w:vAlign w:val="center"/>
            <w:hideMark/>
          </w:tcPr>
          <w:p w14:paraId="59D12555" w14:textId="77777777" w:rsidR="00C02342" w:rsidRPr="00EA4CC5" w:rsidRDefault="00C02342" w:rsidP="00206261">
            <w:pPr>
              <w:spacing w:after="0" w:line="240" w:lineRule="auto"/>
              <w:jc w:val="center"/>
              <w:rPr>
                <w:rFonts w:ascii="Arial" w:eastAsia="Times New Roman" w:hAnsi="Arial" w:cs="Arial"/>
                <w:sz w:val="20"/>
                <w:szCs w:val="20"/>
                <w:lang w:eastAsia="es-CR"/>
              </w:rPr>
            </w:pPr>
          </w:p>
        </w:tc>
      </w:tr>
      <w:tr w:rsidR="00C02342" w:rsidRPr="00EA4CC5" w14:paraId="6F2A20DD" w14:textId="77777777" w:rsidTr="00206261">
        <w:trPr>
          <w:trHeight w:val="301"/>
          <w:jc w:val="center"/>
        </w:trPr>
        <w:tc>
          <w:tcPr>
            <w:tcW w:w="1975" w:type="dxa"/>
            <w:tcBorders>
              <w:top w:val="nil"/>
              <w:left w:val="single" w:sz="8" w:space="0" w:color="auto"/>
              <w:bottom w:val="single" w:sz="4" w:space="0" w:color="auto"/>
              <w:right w:val="nil"/>
            </w:tcBorders>
            <w:shd w:val="clear" w:color="auto" w:fill="auto"/>
            <w:noWrap/>
            <w:vAlign w:val="center"/>
            <w:hideMark/>
          </w:tcPr>
          <w:p w14:paraId="4A35F8E2"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2017</w:t>
            </w:r>
          </w:p>
        </w:tc>
        <w:tc>
          <w:tcPr>
            <w:tcW w:w="1231" w:type="dxa"/>
            <w:tcBorders>
              <w:top w:val="nil"/>
              <w:left w:val="single" w:sz="8" w:space="0" w:color="auto"/>
              <w:bottom w:val="single" w:sz="4" w:space="0" w:color="auto"/>
              <w:right w:val="nil"/>
            </w:tcBorders>
            <w:shd w:val="clear" w:color="auto" w:fill="auto"/>
            <w:noWrap/>
            <w:vAlign w:val="center"/>
            <w:hideMark/>
          </w:tcPr>
          <w:p w14:paraId="1399D736"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Calibri" w:hAnsi="Arial" w:cs="Arial"/>
                <w:sz w:val="20"/>
                <w:szCs w:val="20"/>
                <w:lang w:val="es-ES"/>
              </w:rPr>
              <w:t>30 983 714</w:t>
            </w:r>
          </w:p>
        </w:tc>
        <w:tc>
          <w:tcPr>
            <w:tcW w:w="358" w:type="dxa"/>
            <w:tcBorders>
              <w:top w:val="nil"/>
              <w:left w:val="nil"/>
              <w:bottom w:val="single" w:sz="4" w:space="0" w:color="auto"/>
              <w:right w:val="nil"/>
            </w:tcBorders>
            <w:shd w:val="clear" w:color="auto" w:fill="auto"/>
            <w:noWrap/>
            <w:vAlign w:val="center"/>
            <w:hideMark/>
          </w:tcPr>
          <w:p w14:paraId="0FE1F5AE"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104" w:type="dxa"/>
            <w:tcBorders>
              <w:top w:val="nil"/>
              <w:left w:val="nil"/>
              <w:bottom w:val="single" w:sz="4" w:space="0" w:color="auto"/>
              <w:right w:val="nil"/>
            </w:tcBorders>
            <w:shd w:val="clear" w:color="auto" w:fill="auto"/>
            <w:noWrap/>
            <w:vAlign w:val="center"/>
            <w:hideMark/>
          </w:tcPr>
          <w:p w14:paraId="6A9ADD7D"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(1+5,81%)</w:t>
            </w:r>
          </w:p>
        </w:tc>
        <w:tc>
          <w:tcPr>
            <w:tcW w:w="284" w:type="dxa"/>
            <w:tcBorders>
              <w:top w:val="nil"/>
              <w:left w:val="nil"/>
              <w:bottom w:val="single" w:sz="4" w:space="0" w:color="auto"/>
              <w:right w:val="single" w:sz="8" w:space="0" w:color="auto"/>
            </w:tcBorders>
            <w:shd w:val="clear" w:color="auto" w:fill="auto"/>
            <w:noWrap/>
            <w:vAlign w:val="center"/>
            <w:hideMark/>
          </w:tcPr>
          <w:p w14:paraId="522FF6FA"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275" w:type="dxa"/>
            <w:tcBorders>
              <w:top w:val="nil"/>
              <w:left w:val="nil"/>
              <w:bottom w:val="single" w:sz="4" w:space="0" w:color="auto"/>
              <w:right w:val="single" w:sz="8" w:space="0" w:color="auto"/>
            </w:tcBorders>
            <w:shd w:val="clear" w:color="auto" w:fill="auto"/>
            <w:noWrap/>
            <w:vAlign w:val="center"/>
          </w:tcPr>
          <w:p w14:paraId="1522A43F"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32 785 024</w:t>
            </w:r>
          </w:p>
        </w:tc>
        <w:tc>
          <w:tcPr>
            <w:tcW w:w="426" w:type="dxa"/>
            <w:tcBorders>
              <w:top w:val="nil"/>
              <w:left w:val="nil"/>
              <w:bottom w:val="nil"/>
              <w:right w:val="nil"/>
            </w:tcBorders>
            <w:shd w:val="clear" w:color="auto" w:fill="auto"/>
            <w:noWrap/>
            <w:vAlign w:val="center"/>
            <w:hideMark/>
          </w:tcPr>
          <w:p w14:paraId="6D03CD0A"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p>
        </w:tc>
        <w:tc>
          <w:tcPr>
            <w:tcW w:w="184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5DDF5C3"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PIB nominal 2018</w:t>
            </w:r>
          </w:p>
        </w:tc>
      </w:tr>
      <w:tr w:rsidR="00C02342" w:rsidRPr="00EA4CC5" w14:paraId="078F2E29" w14:textId="77777777" w:rsidTr="00206261">
        <w:trPr>
          <w:trHeight w:val="301"/>
          <w:jc w:val="center"/>
        </w:trPr>
        <w:tc>
          <w:tcPr>
            <w:tcW w:w="1975" w:type="dxa"/>
            <w:tcBorders>
              <w:top w:val="nil"/>
              <w:left w:val="single" w:sz="8" w:space="0" w:color="auto"/>
              <w:bottom w:val="single" w:sz="8" w:space="0" w:color="auto"/>
              <w:right w:val="nil"/>
            </w:tcBorders>
            <w:shd w:val="clear" w:color="auto" w:fill="auto"/>
            <w:noWrap/>
            <w:vAlign w:val="center"/>
            <w:hideMark/>
          </w:tcPr>
          <w:p w14:paraId="3E3BB51F"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2018</w:t>
            </w:r>
          </w:p>
        </w:tc>
        <w:tc>
          <w:tcPr>
            <w:tcW w:w="1231" w:type="dxa"/>
            <w:tcBorders>
              <w:top w:val="nil"/>
              <w:left w:val="single" w:sz="8" w:space="0" w:color="auto"/>
              <w:bottom w:val="single" w:sz="8" w:space="0" w:color="auto"/>
              <w:right w:val="nil"/>
            </w:tcBorders>
            <w:shd w:val="clear" w:color="auto" w:fill="auto"/>
            <w:noWrap/>
            <w:vAlign w:val="center"/>
            <w:hideMark/>
          </w:tcPr>
          <w:p w14:paraId="13A04367"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Calibri" w:hAnsi="Arial" w:cs="Arial"/>
                <w:sz w:val="20"/>
                <w:szCs w:val="20"/>
                <w:lang w:val="es-ES"/>
              </w:rPr>
              <w:t>32 785 024</w:t>
            </w:r>
          </w:p>
        </w:tc>
        <w:tc>
          <w:tcPr>
            <w:tcW w:w="358" w:type="dxa"/>
            <w:tcBorders>
              <w:top w:val="nil"/>
              <w:left w:val="nil"/>
              <w:bottom w:val="single" w:sz="8" w:space="0" w:color="auto"/>
              <w:right w:val="nil"/>
            </w:tcBorders>
            <w:shd w:val="clear" w:color="auto" w:fill="auto"/>
            <w:noWrap/>
            <w:vAlign w:val="center"/>
            <w:hideMark/>
          </w:tcPr>
          <w:p w14:paraId="0646716E"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104" w:type="dxa"/>
            <w:tcBorders>
              <w:top w:val="nil"/>
              <w:left w:val="nil"/>
              <w:bottom w:val="single" w:sz="8" w:space="0" w:color="auto"/>
              <w:right w:val="nil"/>
            </w:tcBorders>
            <w:shd w:val="clear" w:color="auto" w:fill="auto"/>
            <w:noWrap/>
            <w:vAlign w:val="center"/>
            <w:hideMark/>
          </w:tcPr>
          <w:p w14:paraId="577A467A"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(1+5,81%)</w:t>
            </w:r>
          </w:p>
        </w:tc>
        <w:tc>
          <w:tcPr>
            <w:tcW w:w="284" w:type="dxa"/>
            <w:tcBorders>
              <w:top w:val="nil"/>
              <w:left w:val="nil"/>
              <w:bottom w:val="single" w:sz="8" w:space="0" w:color="auto"/>
              <w:right w:val="single" w:sz="8" w:space="0" w:color="auto"/>
            </w:tcBorders>
            <w:shd w:val="clear" w:color="auto" w:fill="auto"/>
            <w:noWrap/>
            <w:vAlign w:val="center"/>
            <w:hideMark/>
          </w:tcPr>
          <w:p w14:paraId="08EE9509"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275" w:type="dxa"/>
            <w:tcBorders>
              <w:top w:val="nil"/>
              <w:left w:val="nil"/>
              <w:bottom w:val="single" w:sz="8" w:space="0" w:color="auto"/>
              <w:right w:val="single" w:sz="8" w:space="0" w:color="auto"/>
            </w:tcBorders>
            <w:shd w:val="clear" w:color="auto" w:fill="auto"/>
            <w:noWrap/>
            <w:vAlign w:val="center"/>
          </w:tcPr>
          <w:p w14:paraId="43D81E29"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34 691 057</w:t>
            </w:r>
          </w:p>
        </w:tc>
        <w:tc>
          <w:tcPr>
            <w:tcW w:w="426" w:type="dxa"/>
            <w:tcBorders>
              <w:top w:val="nil"/>
              <w:left w:val="nil"/>
              <w:bottom w:val="nil"/>
              <w:right w:val="nil"/>
            </w:tcBorders>
            <w:shd w:val="clear" w:color="auto" w:fill="92D050"/>
            <w:noWrap/>
            <w:vAlign w:val="center"/>
            <w:hideMark/>
          </w:tcPr>
          <w:p w14:paraId="5509E4F5"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w:t>
            </w:r>
          </w:p>
        </w:tc>
        <w:tc>
          <w:tcPr>
            <w:tcW w:w="1842" w:type="dxa"/>
            <w:tcBorders>
              <w:top w:val="nil"/>
              <w:left w:val="nil"/>
              <w:bottom w:val="nil"/>
              <w:right w:val="nil"/>
            </w:tcBorders>
            <w:shd w:val="clear" w:color="auto" w:fill="auto"/>
            <w:noWrap/>
            <w:vAlign w:val="center"/>
            <w:hideMark/>
          </w:tcPr>
          <w:p w14:paraId="77A17194" w14:textId="77777777" w:rsidR="00C02342" w:rsidRPr="00EA4CC5" w:rsidRDefault="00C02342" w:rsidP="00206261">
            <w:pPr>
              <w:spacing w:after="0" w:line="240" w:lineRule="auto"/>
              <w:jc w:val="center"/>
              <w:rPr>
                <w:rFonts w:ascii="Arial" w:eastAsia="Times New Roman" w:hAnsi="Arial" w:cs="Arial"/>
                <w:color w:val="000000"/>
                <w:sz w:val="20"/>
                <w:szCs w:val="20"/>
                <w:lang w:eastAsia="es-CR"/>
              </w:rPr>
            </w:pPr>
            <w:r w:rsidRPr="00EA4CC5">
              <w:rPr>
                <w:rFonts w:ascii="Arial" w:eastAsia="Times New Roman" w:hAnsi="Arial" w:cs="Arial"/>
                <w:color w:val="000000"/>
                <w:sz w:val="20"/>
                <w:szCs w:val="20"/>
                <w:lang w:eastAsia="es-CR"/>
              </w:rPr>
              <w:t>34 691 057</w:t>
            </w:r>
          </w:p>
        </w:tc>
      </w:tr>
    </w:tbl>
    <w:p w14:paraId="1AEA83E2" w14:textId="77777777" w:rsidR="00C02342" w:rsidRPr="00EA4CC5" w:rsidRDefault="00C02342" w:rsidP="00C02342">
      <w:pPr>
        <w:spacing w:after="0" w:line="276" w:lineRule="auto"/>
        <w:jc w:val="both"/>
        <w:rPr>
          <w:rFonts w:ascii="Arial" w:eastAsia="Calibri" w:hAnsi="Arial" w:cs="Arial"/>
          <w:sz w:val="24"/>
          <w:szCs w:val="24"/>
        </w:rPr>
      </w:pPr>
    </w:p>
    <w:p w14:paraId="31D2364A" w14:textId="77777777" w:rsidR="00C02342" w:rsidRPr="00EA4CC5" w:rsidRDefault="00C02342" w:rsidP="00C02342">
      <w:pPr>
        <w:spacing w:after="0" w:line="276" w:lineRule="auto"/>
        <w:jc w:val="both"/>
        <w:rPr>
          <w:rFonts w:ascii="Arial" w:eastAsia="Calibri" w:hAnsi="Arial" w:cs="Arial"/>
          <w:sz w:val="24"/>
          <w:szCs w:val="24"/>
        </w:rPr>
      </w:pPr>
      <w:r w:rsidRPr="00EA4CC5">
        <w:rPr>
          <w:rFonts w:ascii="Arial" w:eastAsia="Calibri" w:hAnsi="Arial" w:cs="Arial"/>
          <w:sz w:val="24"/>
          <w:szCs w:val="24"/>
        </w:rPr>
        <w:t>Bajo esta metodología, el límite fijado para crecimiento del gasto corriente sería de 4,36%, es decir, 0,31 puntos porcentuales menor.</w:t>
      </w:r>
    </w:p>
    <w:p w14:paraId="261B76E7" w14:textId="691A4FB9" w:rsidR="0057604A" w:rsidRDefault="0057604A" w:rsidP="00254A08">
      <w:pPr>
        <w:pStyle w:val="Ttulo2"/>
        <w:numPr>
          <w:ilvl w:val="1"/>
          <w:numId w:val="33"/>
        </w:numPr>
      </w:pPr>
      <w:bookmarkStart w:id="11" w:name="_Toc78277708"/>
      <w:r>
        <w:t>Sobre el cumplimiento y sus efectos</w:t>
      </w:r>
      <w:bookmarkEnd w:id="11"/>
    </w:p>
    <w:p w14:paraId="42134CE8" w14:textId="77777777" w:rsidR="0057604A" w:rsidRDefault="0057604A" w:rsidP="00E43BAE">
      <w:pPr>
        <w:spacing w:after="0" w:line="276" w:lineRule="auto"/>
        <w:jc w:val="both"/>
        <w:rPr>
          <w:rFonts w:ascii="Arial" w:eastAsia="Calibri" w:hAnsi="Arial" w:cs="Arial"/>
          <w:sz w:val="24"/>
          <w:szCs w:val="24"/>
        </w:rPr>
      </w:pPr>
    </w:p>
    <w:p w14:paraId="28B69191" w14:textId="06AD5144"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Según el Informe de auditoría de carácter especial sobre el cumplimiento de la regla fiscal para el ejercicio económico 2020, N° DFOE-SAF-IF-00009-2021 de la Contraloría General de la República, dentro de esta liquidación presupuestaria se determina que 113 entidades del sector público no financiero que cumplen la regla fiscal, es decir, sus respectivas tasas de crecimiento del gasto son inferiores al límite fijado por la regla fiscal.</w:t>
      </w:r>
    </w:p>
    <w:p w14:paraId="7EFB2A6F" w14:textId="77777777" w:rsidR="00EA4CC5" w:rsidRPr="00EA4CC5" w:rsidRDefault="00EA4CC5" w:rsidP="00E43BAE">
      <w:pPr>
        <w:spacing w:after="0" w:line="276" w:lineRule="auto"/>
        <w:jc w:val="both"/>
        <w:rPr>
          <w:rFonts w:ascii="Arial" w:eastAsia="Calibri" w:hAnsi="Arial" w:cs="Arial"/>
          <w:sz w:val="24"/>
          <w:szCs w:val="24"/>
        </w:rPr>
      </w:pPr>
    </w:p>
    <w:p w14:paraId="0497DE76" w14:textId="6C129501"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 xml:space="preserve">Si se verifica el cumplimiento a la regla fiscal de parte del Gobierno Central en forma agregada, este cumple debido a que su gasto </w:t>
      </w:r>
      <w:r w:rsidR="00E861E9">
        <w:rPr>
          <w:rFonts w:ascii="Arial" w:eastAsia="Calibri" w:hAnsi="Arial" w:cs="Arial"/>
          <w:sz w:val="24"/>
          <w:szCs w:val="24"/>
        </w:rPr>
        <w:t xml:space="preserve">corriente </w:t>
      </w:r>
      <w:r w:rsidRPr="0020558F">
        <w:rPr>
          <w:rFonts w:ascii="Arial" w:eastAsia="Calibri" w:hAnsi="Arial" w:cs="Arial"/>
          <w:sz w:val="24"/>
          <w:szCs w:val="24"/>
        </w:rPr>
        <w:t xml:space="preserve">decrece </w:t>
      </w:r>
      <w:r w:rsidR="00644294" w:rsidRPr="0020558F">
        <w:rPr>
          <w:rFonts w:ascii="Arial" w:eastAsia="Calibri" w:hAnsi="Arial" w:cs="Arial"/>
          <w:sz w:val="24"/>
          <w:szCs w:val="24"/>
        </w:rPr>
        <w:t>-</w:t>
      </w:r>
      <w:r w:rsidRPr="0020558F">
        <w:rPr>
          <w:rFonts w:ascii="Arial" w:eastAsia="Calibri" w:hAnsi="Arial" w:cs="Arial"/>
          <w:sz w:val="24"/>
          <w:szCs w:val="24"/>
        </w:rPr>
        <w:t>2,35%</w:t>
      </w:r>
      <w:r w:rsidR="0078195A" w:rsidRPr="0020558F">
        <w:rPr>
          <w:rFonts w:ascii="Arial" w:eastAsia="Calibri" w:hAnsi="Arial" w:cs="Arial"/>
          <w:sz w:val="24"/>
          <w:szCs w:val="24"/>
        </w:rPr>
        <w:t xml:space="preserve"> una vez excluidas las instituciones </w:t>
      </w:r>
      <w:r w:rsidR="00DE6454" w:rsidRPr="0020558F">
        <w:rPr>
          <w:rFonts w:ascii="Arial" w:eastAsia="Calibri" w:hAnsi="Arial" w:cs="Arial"/>
          <w:sz w:val="24"/>
          <w:szCs w:val="24"/>
        </w:rPr>
        <w:t xml:space="preserve">y programas a las </w:t>
      </w:r>
      <w:r w:rsidR="0078195A" w:rsidRPr="0020558F">
        <w:rPr>
          <w:rFonts w:ascii="Arial" w:eastAsia="Calibri" w:hAnsi="Arial" w:cs="Arial"/>
          <w:sz w:val="24"/>
          <w:szCs w:val="24"/>
        </w:rPr>
        <w:t xml:space="preserve">que el Poder Ejecutivo </w:t>
      </w:r>
      <w:r w:rsidR="00DE6454" w:rsidRPr="0020558F">
        <w:rPr>
          <w:rFonts w:ascii="Arial" w:eastAsia="Calibri" w:hAnsi="Arial" w:cs="Arial"/>
          <w:sz w:val="24"/>
          <w:szCs w:val="24"/>
        </w:rPr>
        <w:t xml:space="preserve">aplicó la exclusión del </w:t>
      </w:r>
      <w:r w:rsidR="00A54543" w:rsidRPr="0020558F">
        <w:rPr>
          <w:rFonts w:ascii="Arial" w:eastAsia="Calibri" w:hAnsi="Arial" w:cs="Arial"/>
          <w:sz w:val="24"/>
          <w:szCs w:val="24"/>
        </w:rPr>
        <w:t>inciso</w:t>
      </w:r>
      <w:r w:rsidR="00DE6454" w:rsidRPr="0020558F">
        <w:rPr>
          <w:rFonts w:ascii="Arial" w:eastAsia="Calibri" w:hAnsi="Arial" w:cs="Arial"/>
          <w:sz w:val="24"/>
          <w:szCs w:val="24"/>
        </w:rPr>
        <w:t xml:space="preserve"> </w:t>
      </w:r>
      <w:r w:rsidR="00055FC3" w:rsidRPr="0020558F">
        <w:rPr>
          <w:rFonts w:ascii="Arial" w:eastAsia="Calibri" w:hAnsi="Arial" w:cs="Arial"/>
          <w:sz w:val="24"/>
          <w:szCs w:val="24"/>
        </w:rPr>
        <w:t>a</w:t>
      </w:r>
      <w:r w:rsidR="00DE6454" w:rsidRPr="0020558F">
        <w:rPr>
          <w:rFonts w:ascii="Arial" w:eastAsia="Calibri" w:hAnsi="Arial" w:cs="Arial"/>
          <w:sz w:val="24"/>
          <w:szCs w:val="24"/>
        </w:rPr>
        <w:t xml:space="preserve">) del artículo </w:t>
      </w:r>
      <w:r w:rsidR="00055FC3" w:rsidRPr="0020558F">
        <w:rPr>
          <w:rFonts w:ascii="Arial" w:eastAsia="Calibri" w:hAnsi="Arial" w:cs="Arial"/>
          <w:sz w:val="24"/>
          <w:szCs w:val="24"/>
        </w:rPr>
        <w:t xml:space="preserve">16 </w:t>
      </w:r>
      <w:r w:rsidR="00DE6454" w:rsidRPr="0020558F">
        <w:rPr>
          <w:rFonts w:ascii="Arial" w:eastAsia="Calibri" w:hAnsi="Arial" w:cs="Arial"/>
          <w:sz w:val="24"/>
          <w:szCs w:val="24"/>
        </w:rPr>
        <w:t>de la Ley 9635</w:t>
      </w:r>
      <w:r w:rsidR="00366C38" w:rsidRPr="0020558F">
        <w:rPr>
          <w:rFonts w:ascii="Arial" w:eastAsia="Calibri" w:hAnsi="Arial" w:cs="Arial"/>
          <w:sz w:val="24"/>
          <w:szCs w:val="24"/>
        </w:rPr>
        <w:t xml:space="preserve"> y las exclusiones</w:t>
      </w:r>
      <w:r w:rsidRPr="0020558F">
        <w:rPr>
          <w:rFonts w:ascii="Arial" w:eastAsia="Calibri" w:hAnsi="Arial" w:cs="Arial"/>
          <w:sz w:val="24"/>
          <w:szCs w:val="24"/>
        </w:rPr>
        <w:t>, por lo que, al considerar que podría haber crecido hasta 4,67%, entonces se concluye que este cumplimiento se da con un margen de 7,02%.</w:t>
      </w:r>
    </w:p>
    <w:p w14:paraId="513E0B57" w14:textId="77777777" w:rsidR="00EA4CC5" w:rsidRPr="00EA4CC5" w:rsidRDefault="00EA4CC5" w:rsidP="00E43BAE">
      <w:pPr>
        <w:spacing w:after="0" w:line="276" w:lineRule="auto"/>
        <w:jc w:val="both"/>
        <w:rPr>
          <w:rFonts w:ascii="Arial" w:eastAsia="Calibri" w:hAnsi="Arial" w:cs="Arial"/>
          <w:sz w:val="24"/>
          <w:szCs w:val="24"/>
        </w:rPr>
      </w:pPr>
    </w:p>
    <w:p w14:paraId="5445E477" w14:textId="36F9F15D" w:rsidR="00EA4CC5" w:rsidRDefault="00EA4CC5" w:rsidP="00E43BAE">
      <w:pPr>
        <w:spacing w:after="0" w:line="276" w:lineRule="auto"/>
        <w:jc w:val="both"/>
        <w:rPr>
          <w:rFonts w:ascii="Arial" w:eastAsia="Calibri" w:hAnsi="Arial" w:cs="Arial"/>
          <w:sz w:val="24"/>
          <w:szCs w:val="24"/>
        </w:rPr>
      </w:pPr>
      <w:r w:rsidRPr="00B43528">
        <w:rPr>
          <w:rFonts w:ascii="Arial" w:eastAsia="Calibri" w:hAnsi="Arial" w:cs="Arial"/>
          <w:sz w:val="24"/>
          <w:szCs w:val="24"/>
        </w:rPr>
        <w:t>No obstante, las transferencias corrientes del Gobierno Central otorgadas a Municipalidades y Concejos Municipales incumplen con la regla fiscal debido a que crecieron 24,83%. Es criterio del ente Contralor al ejecutar su auditoría que el artículo 4 del Reglamento al Título IV de la Ley N°9635 establece que la verificación del cumplimiento de la regla fiscal debe realizarse a nivel agregado.</w:t>
      </w:r>
      <w:r w:rsidR="00AF3D93" w:rsidRPr="00B43528">
        <w:rPr>
          <w:rFonts w:ascii="Arial" w:eastAsia="Calibri" w:hAnsi="Arial" w:cs="Arial"/>
          <w:sz w:val="24"/>
          <w:szCs w:val="24"/>
        </w:rPr>
        <w:t xml:space="preserve"> Sin embargo, este artículo no tiene su correlato en la Ley vigente, más allá de la forma en que el Gobierno Central elabora, aprueba, financia y liquida su propio presupuesto.</w:t>
      </w:r>
    </w:p>
    <w:p w14:paraId="2DAD49E3" w14:textId="6BF85FC8" w:rsidR="002B24FD" w:rsidRDefault="002B24FD" w:rsidP="00E43BAE">
      <w:pPr>
        <w:spacing w:after="0" w:line="276" w:lineRule="auto"/>
        <w:jc w:val="both"/>
        <w:rPr>
          <w:rFonts w:ascii="Arial" w:eastAsia="Calibri" w:hAnsi="Arial" w:cs="Arial"/>
          <w:sz w:val="24"/>
          <w:szCs w:val="24"/>
        </w:rPr>
      </w:pPr>
    </w:p>
    <w:p w14:paraId="3D89F76B" w14:textId="5C099F53" w:rsidR="001E67CF" w:rsidRPr="001E67CF" w:rsidRDefault="002B24FD" w:rsidP="001E67CF">
      <w:pPr>
        <w:spacing w:after="0" w:line="276" w:lineRule="auto"/>
        <w:jc w:val="both"/>
        <w:rPr>
          <w:rFonts w:ascii="Arial" w:eastAsia="Calibri" w:hAnsi="Arial" w:cs="Arial"/>
          <w:sz w:val="24"/>
          <w:szCs w:val="24"/>
        </w:rPr>
      </w:pPr>
      <w:r>
        <w:rPr>
          <w:rFonts w:ascii="Arial" w:eastAsia="Calibri" w:hAnsi="Arial" w:cs="Arial"/>
          <w:sz w:val="24"/>
          <w:szCs w:val="24"/>
        </w:rPr>
        <w:t xml:space="preserve">El otro elemento de relevancia es que la </w:t>
      </w:r>
      <w:r w:rsidRPr="00E843EA">
        <w:rPr>
          <w:rFonts w:ascii="Arial" w:eastAsia="Calibri" w:hAnsi="Arial" w:cs="Arial"/>
          <w:b/>
          <w:bCs/>
          <w:i/>
          <w:iCs/>
          <w:sz w:val="24"/>
          <w:szCs w:val="24"/>
        </w:rPr>
        <w:t>Ley</w:t>
      </w:r>
      <w:r w:rsidR="00E843EA" w:rsidRPr="00E843EA">
        <w:rPr>
          <w:rFonts w:ascii="Arial" w:eastAsia="Calibri" w:hAnsi="Arial" w:cs="Arial"/>
          <w:b/>
          <w:bCs/>
          <w:i/>
          <w:iCs/>
          <w:sz w:val="24"/>
          <w:szCs w:val="24"/>
        </w:rPr>
        <w:t xml:space="preserve"> para apoyar al contribuyente local, y reforzar la gestión financiera de las municipalidades, ante la emergencia nacional por la pandemia del covid-19</w:t>
      </w:r>
      <w:r w:rsidR="008A6836">
        <w:rPr>
          <w:rFonts w:ascii="Arial" w:eastAsia="Calibri" w:hAnsi="Arial" w:cs="Arial"/>
          <w:b/>
          <w:bCs/>
          <w:i/>
          <w:iCs/>
          <w:sz w:val="24"/>
          <w:szCs w:val="24"/>
        </w:rPr>
        <w:t xml:space="preserve">, </w:t>
      </w:r>
      <w:r w:rsidR="00E843EA" w:rsidRPr="006A1A4C">
        <w:rPr>
          <w:rFonts w:ascii="Arial" w:eastAsia="Calibri" w:hAnsi="Arial" w:cs="Arial"/>
          <w:b/>
          <w:bCs/>
          <w:i/>
          <w:iCs/>
          <w:sz w:val="24"/>
          <w:szCs w:val="24"/>
        </w:rPr>
        <w:t>N° 9848</w:t>
      </w:r>
      <w:r w:rsidR="008A6836">
        <w:rPr>
          <w:rFonts w:ascii="Arial" w:eastAsia="Calibri" w:hAnsi="Arial" w:cs="Arial"/>
          <w:sz w:val="24"/>
          <w:szCs w:val="24"/>
        </w:rPr>
        <w:t xml:space="preserve">, que modificó el </w:t>
      </w:r>
      <w:r w:rsidR="001E67CF">
        <w:rPr>
          <w:rFonts w:ascii="Arial" w:eastAsia="Calibri" w:hAnsi="Arial" w:cs="Arial"/>
          <w:sz w:val="24"/>
          <w:szCs w:val="24"/>
        </w:rPr>
        <w:t>artículo</w:t>
      </w:r>
      <w:r w:rsidR="008A6836">
        <w:rPr>
          <w:rFonts w:ascii="Arial" w:eastAsia="Calibri" w:hAnsi="Arial" w:cs="Arial"/>
          <w:sz w:val="24"/>
          <w:szCs w:val="24"/>
        </w:rPr>
        <w:t xml:space="preserve"> </w:t>
      </w:r>
      <w:r w:rsidR="001E67CF">
        <w:rPr>
          <w:rFonts w:ascii="Arial" w:eastAsia="Calibri" w:hAnsi="Arial" w:cs="Arial"/>
          <w:sz w:val="24"/>
          <w:szCs w:val="24"/>
        </w:rPr>
        <w:t>6 de la Ley 9635, para incluir dos exclusiones adicionales l</w:t>
      </w:r>
      <w:r w:rsidR="001E67CF" w:rsidRPr="001E67CF">
        <w:rPr>
          <w:rFonts w:ascii="Arial" w:eastAsia="Calibri" w:hAnsi="Arial" w:cs="Arial"/>
          <w:sz w:val="24"/>
          <w:szCs w:val="24"/>
        </w:rPr>
        <w:t>as municipalidades y los concejos municipales de distrito del país</w:t>
      </w:r>
      <w:r w:rsidR="001E67CF">
        <w:rPr>
          <w:rFonts w:ascii="Arial" w:eastAsia="Calibri" w:hAnsi="Arial" w:cs="Arial"/>
          <w:sz w:val="24"/>
          <w:szCs w:val="24"/>
        </w:rPr>
        <w:t xml:space="preserve"> y a los comités </w:t>
      </w:r>
      <w:r w:rsidR="001E67CF" w:rsidRPr="001E67CF">
        <w:rPr>
          <w:rFonts w:ascii="Arial" w:eastAsia="Calibri" w:hAnsi="Arial" w:cs="Arial"/>
          <w:sz w:val="24"/>
          <w:szCs w:val="24"/>
        </w:rPr>
        <w:t>cantonales de deportes</w:t>
      </w:r>
      <w:r w:rsidR="006A1A4C">
        <w:rPr>
          <w:rFonts w:ascii="Arial" w:eastAsia="Calibri" w:hAnsi="Arial" w:cs="Arial"/>
          <w:sz w:val="24"/>
          <w:szCs w:val="24"/>
        </w:rPr>
        <w:t>;</w:t>
      </w:r>
      <w:r w:rsidR="001E67CF">
        <w:rPr>
          <w:rFonts w:ascii="Arial" w:eastAsia="Calibri" w:hAnsi="Arial" w:cs="Arial"/>
          <w:sz w:val="24"/>
          <w:szCs w:val="24"/>
        </w:rPr>
        <w:t xml:space="preserve"> dispuso que para el caso de los primeros, la exclusión no se aplica </w:t>
      </w:r>
      <w:r w:rsidR="001E67CF" w:rsidRPr="001E67CF">
        <w:rPr>
          <w:rFonts w:ascii="Arial" w:eastAsia="Calibri" w:hAnsi="Arial" w:cs="Arial"/>
          <w:i/>
          <w:iCs/>
          <w:sz w:val="24"/>
          <w:szCs w:val="24"/>
        </w:rPr>
        <w:t>“a aquellos recursos de los presupuestos de las municipalidades y concejos municipales de distrito, provenientes de transferencias realizadas por el Gobierno Central”</w:t>
      </w:r>
      <w:r w:rsidR="006A1A4C">
        <w:rPr>
          <w:rFonts w:ascii="Arial" w:eastAsia="Calibri" w:hAnsi="Arial" w:cs="Arial"/>
          <w:sz w:val="24"/>
          <w:szCs w:val="24"/>
        </w:rPr>
        <w:t xml:space="preserve">; lo que implica que el límite es sobre los gastos efectuados por </w:t>
      </w:r>
      <w:r w:rsidR="00BE633A">
        <w:rPr>
          <w:rFonts w:ascii="Arial" w:eastAsia="Calibri" w:hAnsi="Arial" w:cs="Arial"/>
          <w:sz w:val="24"/>
          <w:szCs w:val="24"/>
        </w:rPr>
        <w:t xml:space="preserve">estas instituciones, y </w:t>
      </w:r>
      <w:r w:rsidR="0042037D">
        <w:rPr>
          <w:rFonts w:ascii="Arial" w:eastAsia="Calibri" w:hAnsi="Arial" w:cs="Arial"/>
          <w:sz w:val="24"/>
          <w:szCs w:val="24"/>
        </w:rPr>
        <w:t>no solo sobre las transferencias realizadas por el Ministerio de Hacienda.</w:t>
      </w:r>
    </w:p>
    <w:p w14:paraId="70E58AFA" w14:textId="77777777" w:rsidR="001E67CF" w:rsidRPr="001E67CF" w:rsidRDefault="001E67CF" w:rsidP="001E67CF">
      <w:pPr>
        <w:spacing w:after="0" w:line="276" w:lineRule="auto"/>
        <w:jc w:val="both"/>
        <w:rPr>
          <w:rFonts w:ascii="Arial" w:eastAsia="Calibri" w:hAnsi="Arial" w:cs="Arial"/>
          <w:sz w:val="24"/>
          <w:szCs w:val="24"/>
        </w:rPr>
      </w:pPr>
    </w:p>
    <w:p w14:paraId="6CC3048D" w14:textId="1F6BF1A5"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 xml:space="preserve">Por otro lado, también </w:t>
      </w:r>
      <w:r w:rsidRPr="000F1E86">
        <w:rPr>
          <w:rFonts w:ascii="Arial" w:eastAsia="Calibri" w:hAnsi="Arial" w:cs="Arial"/>
          <w:sz w:val="24"/>
          <w:szCs w:val="24"/>
          <w:u w:val="single"/>
        </w:rPr>
        <w:t>incumplen con la regla fiscal 12 entidades del sector público no financiero</w:t>
      </w:r>
      <w:r w:rsidRPr="00EA4CC5">
        <w:rPr>
          <w:rFonts w:ascii="Arial" w:eastAsia="Calibri" w:hAnsi="Arial" w:cs="Arial"/>
          <w:sz w:val="24"/>
          <w:szCs w:val="24"/>
        </w:rPr>
        <w:t xml:space="preserve"> que deben ser analizadas por la Contralora General de la República a raíz del Artículo 26 ya citado, las cuales son: </w:t>
      </w:r>
    </w:p>
    <w:p w14:paraId="10927762" w14:textId="77777777" w:rsidR="00EA4CC5" w:rsidRPr="00EA4CC5" w:rsidRDefault="00EA4CC5" w:rsidP="00E43BAE">
      <w:pPr>
        <w:spacing w:after="0" w:line="276" w:lineRule="auto"/>
        <w:jc w:val="both"/>
        <w:rPr>
          <w:rFonts w:ascii="Arial" w:eastAsia="Calibri" w:hAnsi="Arial" w:cs="Arial"/>
          <w:sz w:val="24"/>
          <w:szCs w:val="24"/>
        </w:rPr>
      </w:pPr>
    </w:p>
    <w:p w14:paraId="5DFA9C47"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Promotora de Comercio Exterior De Costa Rica.</w:t>
      </w:r>
    </w:p>
    <w:p w14:paraId="724A3A0A"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Consejo de Seguridad Vial.</w:t>
      </w:r>
    </w:p>
    <w:p w14:paraId="24A18134"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Consejo Nacional de la Persona Adulta Mayor.</w:t>
      </w:r>
    </w:p>
    <w:p w14:paraId="62E66D33"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Sistema de Emergencias 911.</w:t>
      </w:r>
    </w:p>
    <w:p w14:paraId="3CF8180B"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Colegio de Enfermeras y Enfermeros de Costa Rica.</w:t>
      </w:r>
    </w:p>
    <w:p w14:paraId="14BF21A9"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Dirección Nacional de Notariado.</w:t>
      </w:r>
    </w:p>
    <w:p w14:paraId="037B04B3"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Agencia de Protección de Datos de los Habitantes.</w:t>
      </w:r>
    </w:p>
    <w:p w14:paraId="216FF243"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Consejo Nacional de Cooperativas.</w:t>
      </w:r>
    </w:p>
    <w:p w14:paraId="5EADC6C2"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Consejo de Salud Ocupacional.</w:t>
      </w:r>
    </w:p>
    <w:p w14:paraId="4BAEF930"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Colegio San Luis Gonzaga.</w:t>
      </w:r>
    </w:p>
    <w:p w14:paraId="129A71D2"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Consejo Nacional de Clubes 4-S.</w:t>
      </w:r>
    </w:p>
    <w:p w14:paraId="4A0D2E6D" w14:textId="77777777" w:rsidR="00EA4CC5" w:rsidRPr="00EA4CC5" w:rsidRDefault="00EA4CC5" w:rsidP="00E43BAE">
      <w:pPr>
        <w:numPr>
          <w:ilvl w:val="0"/>
          <w:numId w:val="5"/>
        </w:numPr>
        <w:spacing w:after="0" w:line="276" w:lineRule="auto"/>
        <w:ind w:left="993" w:hanging="426"/>
        <w:contextualSpacing/>
        <w:jc w:val="both"/>
        <w:rPr>
          <w:rFonts w:ascii="Arial" w:eastAsia="Calibri" w:hAnsi="Arial" w:cs="Arial"/>
          <w:sz w:val="24"/>
          <w:szCs w:val="24"/>
        </w:rPr>
      </w:pPr>
      <w:r w:rsidRPr="00EA4CC5">
        <w:rPr>
          <w:rFonts w:ascii="Arial" w:eastAsia="Calibri" w:hAnsi="Arial" w:cs="Arial"/>
          <w:sz w:val="24"/>
          <w:szCs w:val="24"/>
        </w:rPr>
        <w:t>Fondo Especial del Servicio Nacional de Guardacostas.</w:t>
      </w:r>
    </w:p>
    <w:p w14:paraId="76BADAB8" w14:textId="77777777" w:rsidR="00EA4CC5" w:rsidRPr="00EA4CC5" w:rsidRDefault="00EA4CC5" w:rsidP="00E43BAE">
      <w:pPr>
        <w:spacing w:after="0" w:line="276" w:lineRule="auto"/>
        <w:jc w:val="both"/>
        <w:rPr>
          <w:rFonts w:ascii="Arial" w:eastAsia="Calibri" w:hAnsi="Arial" w:cs="Arial"/>
          <w:sz w:val="24"/>
          <w:szCs w:val="24"/>
        </w:rPr>
      </w:pPr>
    </w:p>
    <w:p w14:paraId="7965BDDA" w14:textId="77777777"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Adicionalmente, debido al estado de incumplimiento de estas entidades para con la regla fiscal, entonces aquellas que cuentan con garantía o aval estatal quedan sujetas a la aplicación de lo establecido en el Artículo 7, en donde literalmente se establece que no podrán contar con la garantía o aval del Estado para nuevas obligaciones que contraigan.</w:t>
      </w:r>
    </w:p>
    <w:p w14:paraId="4F313B85" w14:textId="77777777" w:rsidR="00EA4CC5" w:rsidRPr="00EA4CC5" w:rsidRDefault="00EA4CC5" w:rsidP="00E43BAE">
      <w:pPr>
        <w:spacing w:after="0" w:line="276" w:lineRule="auto"/>
        <w:jc w:val="both"/>
        <w:rPr>
          <w:rFonts w:ascii="Arial" w:eastAsia="Calibri" w:hAnsi="Arial" w:cs="Arial"/>
          <w:sz w:val="24"/>
          <w:szCs w:val="24"/>
        </w:rPr>
      </w:pPr>
    </w:p>
    <w:p w14:paraId="2EC549BD" w14:textId="77777777" w:rsidR="00EA4CC5" w:rsidRPr="00DA2849" w:rsidRDefault="00EA4CC5" w:rsidP="00E43BAE">
      <w:pPr>
        <w:spacing w:after="0" w:line="276" w:lineRule="auto"/>
        <w:ind w:left="567"/>
        <w:jc w:val="both"/>
        <w:rPr>
          <w:rFonts w:ascii="Arial" w:eastAsia="Calibri" w:hAnsi="Arial" w:cs="Arial"/>
          <w:i/>
          <w:iCs/>
          <w:sz w:val="24"/>
          <w:szCs w:val="24"/>
        </w:rPr>
      </w:pPr>
      <w:r w:rsidRPr="00DA2849">
        <w:rPr>
          <w:rFonts w:ascii="Arial" w:eastAsia="Calibri" w:hAnsi="Arial" w:cs="Arial"/>
          <w:i/>
          <w:iCs/>
          <w:sz w:val="24"/>
          <w:szCs w:val="24"/>
        </w:rPr>
        <w:t>“ARTÍCULO 7- Avales estatales. Los entes y los órganos del sector público no financiero que se encuentran dentro del ámbito de este título, conforme a lo normado en el artículo 5, podrán adquirir nuevas obligaciones con garantía o aval del Estado, en tanto cumplan con la regla fiscal que establece el presente título.</w:t>
      </w:r>
    </w:p>
    <w:p w14:paraId="61AAAB21" w14:textId="77777777" w:rsidR="00EA4CC5" w:rsidRPr="00DA2849" w:rsidRDefault="00EA4CC5" w:rsidP="00E43BAE">
      <w:pPr>
        <w:spacing w:after="0" w:line="276" w:lineRule="auto"/>
        <w:ind w:left="567"/>
        <w:jc w:val="both"/>
        <w:rPr>
          <w:rFonts w:ascii="Arial" w:eastAsia="Calibri" w:hAnsi="Arial" w:cs="Arial"/>
          <w:i/>
          <w:iCs/>
          <w:sz w:val="24"/>
          <w:szCs w:val="24"/>
        </w:rPr>
      </w:pPr>
    </w:p>
    <w:p w14:paraId="6B73F82A" w14:textId="77777777" w:rsidR="00EA4CC5" w:rsidRPr="00DA2849" w:rsidRDefault="00EA4CC5" w:rsidP="00E43BAE">
      <w:pPr>
        <w:spacing w:after="0" w:line="276" w:lineRule="auto"/>
        <w:ind w:left="567"/>
        <w:jc w:val="both"/>
        <w:rPr>
          <w:rFonts w:ascii="Arial" w:eastAsia="Calibri" w:hAnsi="Arial" w:cs="Arial"/>
          <w:i/>
          <w:iCs/>
          <w:sz w:val="24"/>
          <w:szCs w:val="24"/>
        </w:rPr>
      </w:pPr>
      <w:r w:rsidRPr="00DA2849">
        <w:rPr>
          <w:rFonts w:ascii="Arial" w:eastAsia="Calibri" w:hAnsi="Arial" w:cs="Arial"/>
          <w:i/>
          <w:iCs/>
          <w:sz w:val="24"/>
          <w:szCs w:val="24"/>
        </w:rPr>
        <w:t>En caso de que se declare su estado de incumplimiento de la regla fiscal, las nuevas obligaciones que contraigan no podrán contar con la garantía o aval del Estado.”</w:t>
      </w:r>
    </w:p>
    <w:p w14:paraId="5B0441AB" w14:textId="77777777" w:rsidR="00EA4CC5" w:rsidRPr="00EA4CC5" w:rsidRDefault="00EA4CC5" w:rsidP="00E43BAE">
      <w:pPr>
        <w:spacing w:after="0" w:line="276" w:lineRule="auto"/>
        <w:jc w:val="both"/>
        <w:rPr>
          <w:rFonts w:ascii="Arial" w:eastAsia="Calibri" w:hAnsi="Arial" w:cs="Arial"/>
          <w:sz w:val="24"/>
          <w:szCs w:val="24"/>
        </w:rPr>
      </w:pPr>
    </w:p>
    <w:p w14:paraId="4D5811DD" w14:textId="77777777" w:rsidR="00EA4CC5" w:rsidRPr="00EA4CC5" w:rsidRDefault="00EA4CC5" w:rsidP="00E43BAE">
      <w:pPr>
        <w:spacing w:after="0" w:line="276" w:lineRule="auto"/>
        <w:jc w:val="both"/>
        <w:rPr>
          <w:rFonts w:ascii="Arial" w:eastAsia="Calibri" w:hAnsi="Arial" w:cs="Arial"/>
          <w:sz w:val="24"/>
          <w:szCs w:val="24"/>
        </w:rPr>
      </w:pPr>
      <w:r w:rsidRPr="00EA4CC5">
        <w:rPr>
          <w:rFonts w:ascii="Arial" w:eastAsia="Calibri" w:hAnsi="Arial" w:cs="Arial"/>
          <w:sz w:val="24"/>
          <w:szCs w:val="24"/>
        </w:rPr>
        <w:t>En el marco del análisis de la aplicación del artículo 7 citado anteriormente, según el párrafo final del artículo 95 de la Ley de Asociaciones Cooperativas, N°4179 del 22 de agosto de 1968 y sus reformas, el Consejo Nacional de Cooperativas encuentra aval y garantías por parte de las entidades estatales que le financian, por ende, su incumplimiento con la regla fiscal le expone a perderla para las nuevas obligaciones que contraigan.</w:t>
      </w:r>
    </w:p>
    <w:p w14:paraId="46B235D5" w14:textId="77777777" w:rsidR="00EA4CC5" w:rsidRPr="00EA4CC5" w:rsidRDefault="00EA4CC5" w:rsidP="00E43BAE">
      <w:pPr>
        <w:spacing w:after="0" w:line="276" w:lineRule="auto"/>
        <w:jc w:val="both"/>
        <w:rPr>
          <w:rFonts w:ascii="Arial" w:eastAsia="Calibri" w:hAnsi="Arial" w:cs="Arial"/>
          <w:sz w:val="24"/>
          <w:szCs w:val="24"/>
        </w:rPr>
      </w:pPr>
    </w:p>
    <w:p w14:paraId="3DC81175" w14:textId="77777777" w:rsidR="00EA4CC5" w:rsidRPr="00DA2849" w:rsidRDefault="00EA4CC5" w:rsidP="00E43BAE">
      <w:pPr>
        <w:spacing w:after="0" w:line="276" w:lineRule="auto"/>
        <w:ind w:left="567"/>
        <w:jc w:val="both"/>
        <w:rPr>
          <w:rFonts w:ascii="Arial" w:eastAsia="Calibri" w:hAnsi="Arial" w:cs="Arial"/>
          <w:i/>
          <w:iCs/>
          <w:sz w:val="24"/>
          <w:szCs w:val="24"/>
        </w:rPr>
      </w:pPr>
      <w:r w:rsidRPr="00DA2849">
        <w:rPr>
          <w:rFonts w:ascii="Arial" w:eastAsia="Calibri" w:hAnsi="Arial" w:cs="Arial"/>
          <w:i/>
          <w:iCs/>
          <w:sz w:val="24"/>
          <w:szCs w:val="24"/>
        </w:rPr>
        <w:t>“Artículo 95. - Las uniones, federaciones y confederaciones tendrán como finalidad:</w:t>
      </w:r>
    </w:p>
    <w:p w14:paraId="3F52909E" w14:textId="77777777" w:rsidR="00EA4CC5" w:rsidRPr="00DA2849" w:rsidRDefault="00EA4CC5" w:rsidP="00E43BAE">
      <w:pPr>
        <w:spacing w:after="0" w:line="276" w:lineRule="auto"/>
        <w:ind w:left="567"/>
        <w:jc w:val="both"/>
        <w:rPr>
          <w:rFonts w:ascii="Arial" w:eastAsia="Calibri" w:hAnsi="Arial" w:cs="Arial"/>
          <w:i/>
          <w:iCs/>
          <w:sz w:val="24"/>
          <w:szCs w:val="24"/>
        </w:rPr>
      </w:pPr>
    </w:p>
    <w:p w14:paraId="5D82D271" w14:textId="77777777" w:rsidR="00EA4CC5" w:rsidRPr="00DA2849" w:rsidRDefault="00EA4CC5" w:rsidP="00E43BAE">
      <w:pPr>
        <w:spacing w:after="0" w:line="276" w:lineRule="auto"/>
        <w:ind w:left="567"/>
        <w:jc w:val="both"/>
        <w:rPr>
          <w:rFonts w:ascii="Arial" w:eastAsia="Calibri" w:hAnsi="Arial" w:cs="Arial"/>
          <w:i/>
          <w:iCs/>
          <w:sz w:val="24"/>
          <w:szCs w:val="24"/>
        </w:rPr>
      </w:pPr>
      <w:r w:rsidRPr="00DA2849">
        <w:rPr>
          <w:rFonts w:ascii="Arial" w:eastAsia="Calibri" w:hAnsi="Arial" w:cs="Arial"/>
          <w:i/>
          <w:iCs/>
          <w:sz w:val="24"/>
          <w:szCs w:val="24"/>
        </w:rPr>
        <w:t>[…]</w:t>
      </w:r>
    </w:p>
    <w:p w14:paraId="7ED0191B" w14:textId="77777777" w:rsidR="00EA4CC5" w:rsidRPr="00DA2849" w:rsidRDefault="00EA4CC5" w:rsidP="00E43BAE">
      <w:pPr>
        <w:spacing w:after="0" w:line="276" w:lineRule="auto"/>
        <w:ind w:left="567"/>
        <w:jc w:val="both"/>
        <w:rPr>
          <w:rFonts w:ascii="Arial" w:eastAsia="Calibri" w:hAnsi="Arial" w:cs="Arial"/>
          <w:i/>
          <w:iCs/>
          <w:sz w:val="24"/>
          <w:szCs w:val="24"/>
        </w:rPr>
      </w:pPr>
    </w:p>
    <w:p w14:paraId="10601BC5" w14:textId="77777777" w:rsidR="00EA4CC5" w:rsidRPr="00DA2849" w:rsidRDefault="00EA4CC5" w:rsidP="00E43BAE">
      <w:pPr>
        <w:spacing w:after="0" w:line="276" w:lineRule="auto"/>
        <w:ind w:left="567"/>
        <w:jc w:val="both"/>
        <w:rPr>
          <w:rFonts w:ascii="Arial" w:eastAsia="Calibri" w:hAnsi="Arial" w:cs="Arial"/>
          <w:i/>
          <w:iCs/>
          <w:sz w:val="24"/>
          <w:szCs w:val="24"/>
        </w:rPr>
      </w:pPr>
      <w:r w:rsidRPr="00DA2849">
        <w:rPr>
          <w:rFonts w:ascii="Arial" w:eastAsia="Calibri" w:hAnsi="Arial" w:cs="Arial"/>
          <w:i/>
          <w:iCs/>
          <w:sz w:val="24"/>
          <w:szCs w:val="24"/>
        </w:rPr>
        <w:t>Para todos los efectos, los organismos auxiliares del cooperativismo podrán ser sujetos de crédito, avales y garantías por parte de las entidades estatales que financian estos organismos.”</w:t>
      </w:r>
    </w:p>
    <w:p w14:paraId="71259098" w14:textId="33A9813C" w:rsidR="009B2BCB" w:rsidRDefault="009B2BCB" w:rsidP="00535111">
      <w:pPr>
        <w:pStyle w:val="Ttulo1"/>
      </w:pPr>
      <w:bookmarkStart w:id="12" w:name="_Toc78277709"/>
      <w:r w:rsidRPr="009B2BCB">
        <w:t xml:space="preserve">RAZONES PUNTUALES POR LAS CUALES </w:t>
      </w:r>
      <w:r>
        <w:t xml:space="preserve">LA CONTRALORÍA GENERAL DE LA REPÚBLICA </w:t>
      </w:r>
      <w:r w:rsidRPr="009B2BCB">
        <w:t>NO AVALA LA LIQUIDACIÓN DE INGRESOS</w:t>
      </w:r>
      <w:bookmarkEnd w:id="12"/>
    </w:p>
    <w:p w14:paraId="4928FE3F" w14:textId="5CF1788F" w:rsidR="00E43BAE" w:rsidRPr="00E43BAE" w:rsidRDefault="00F15E45" w:rsidP="00E43BAE">
      <w:pPr>
        <w:spacing w:after="0" w:line="276" w:lineRule="auto"/>
        <w:jc w:val="both"/>
        <w:rPr>
          <w:rFonts w:ascii="Arial" w:eastAsia="Calibri" w:hAnsi="Arial" w:cs="Arial"/>
          <w:sz w:val="24"/>
          <w:szCs w:val="24"/>
        </w:rPr>
      </w:pPr>
      <w:r>
        <w:rPr>
          <w:rFonts w:ascii="Arial" w:eastAsia="Calibri" w:hAnsi="Arial" w:cs="Arial"/>
          <w:sz w:val="24"/>
          <w:szCs w:val="24"/>
        </w:rPr>
        <w:t>Como vimos en el punto A), s</w:t>
      </w:r>
      <w:r w:rsidR="00E43BAE" w:rsidRPr="00E43BAE">
        <w:rPr>
          <w:rFonts w:ascii="Arial" w:eastAsia="Calibri" w:hAnsi="Arial" w:cs="Arial"/>
          <w:sz w:val="24"/>
          <w:szCs w:val="24"/>
        </w:rPr>
        <w:t>e presentaron inconvenientes en los ingresos percibidos durante el año, principalmente de registro. Se evidencian errores en la contabilización de subpartidas entre los componentes de Ingresos Tributarios y no Tributarios, los cuales se generan por la fragilidad en las plataformas tecnológicas que utiliza el Ministerio de Hacienda para la contabilización de los ingresos según su fuente. Lo anterior permite que ciertas subpartidas estén sobrevaloradas y otras subvaloradas, con lo cual se pierde trazabilidad en dichas cuentas y promueven una distorsión, aunque ambas pertenezcan a la partida generalizada de Ingresos Corrientes. Los principales comentarios se refieren a los siguientes renglones de ingreso:</w:t>
      </w:r>
    </w:p>
    <w:p w14:paraId="44AE876F" w14:textId="77777777" w:rsidR="00E43BAE" w:rsidRPr="00E43BAE" w:rsidRDefault="00E43BAE" w:rsidP="00E43BAE">
      <w:pPr>
        <w:spacing w:after="0" w:line="276" w:lineRule="auto"/>
        <w:jc w:val="both"/>
        <w:rPr>
          <w:rFonts w:ascii="Arial" w:eastAsia="Calibri" w:hAnsi="Arial" w:cs="Arial"/>
          <w:sz w:val="24"/>
          <w:szCs w:val="24"/>
        </w:rPr>
      </w:pPr>
    </w:p>
    <w:p w14:paraId="768E9147" w14:textId="77777777" w:rsidR="00E43BAE" w:rsidRPr="00E43BAE" w:rsidRDefault="00E43BAE" w:rsidP="00E43BAE">
      <w:pPr>
        <w:numPr>
          <w:ilvl w:val="0"/>
          <w:numId w:val="18"/>
        </w:numPr>
        <w:spacing w:after="0" w:line="276" w:lineRule="auto"/>
        <w:contextualSpacing/>
        <w:jc w:val="both"/>
        <w:rPr>
          <w:rFonts w:ascii="Arial" w:eastAsia="Calibri" w:hAnsi="Arial" w:cs="Arial"/>
          <w:sz w:val="24"/>
          <w:szCs w:val="24"/>
        </w:rPr>
      </w:pPr>
      <w:r w:rsidRPr="00E43BAE">
        <w:rPr>
          <w:rFonts w:ascii="Arial" w:eastAsia="Calibri" w:hAnsi="Arial" w:cs="Arial"/>
          <w:sz w:val="24"/>
          <w:szCs w:val="24"/>
        </w:rPr>
        <w:t>¢12.418,0 millones, suma que es percibida por concepto de intereses moratorios, fue registrada en las subpartidas de ingresos de los impuestos que los originaron, es decir dentro de los “Ingresos Tributarios” por ¢12.157,0 millones y ¢262,0 millones en Ingresos no tributarios en la partida de Sanciones, señala que estas se encuentran inadecuadamente clasificados conforme al Clasificador de los Ingresos del Sector Público.</w:t>
      </w:r>
    </w:p>
    <w:p w14:paraId="56683678" w14:textId="77777777" w:rsidR="00E43BAE" w:rsidRPr="00E43BAE" w:rsidRDefault="00E43BAE" w:rsidP="00E43BAE">
      <w:pPr>
        <w:spacing w:after="0" w:line="276" w:lineRule="auto"/>
        <w:ind w:left="720"/>
        <w:contextualSpacing/>
        <w:jc w:val="both"/>
        <w:rPr>
          <w:rFonts w:ascii="Arial" w:eastAsia="Calibri" w:hAnsi="Arial" w:cs="Arial"/>
          <w:sz w:val="24"/>
          <w:szCs w:val="24"/>
        </w:rPr>
      </w:pPr>
    </w:p>
    <w:p w14:paraId="76FE8629" w14:textId="77777777" w:rsidR="00E43BAE" w:rsidRPr="00E43BAE" w:rsidRDefault="00E43BAE" w:rsidP="00E43BAE">
      <w:pPr>
        <w:numPr>
          <w:ilvl w:val="0"/>
          <w:numId w:val="18"/>
        </w:numPr>
        <w:spacing w:after="0" w:line="276" w:lineRule="auto"/>
        <w:contextualSpacing/>
        <w:jc w:val="both"/>
        <w:rPr>
          <w:rFonts w:ascii="Arial" w:eastAsia="Calibri" w:hAnsi="Arial" w:cs="Arial"/>
          <w:sz w:val="24"/>
          <w:szCs w:val="24"/>
        </w:rPr>
      </w:pPr>
      <w:r w:rsidRPr="00E43BAE">
        <w:rPr>
          <w:rFonts w:ascii="Arial" w:eastAsia="Calibri" w:hAnsi="Arial" w:cs="Arial"/>
          <w:sz w:val="24"/>
          <w:szCs w:val="24"/>
        </w:rPr>
        <w:t>En la partida “Derechos arancelarios a la importación (DAI)” se registra un saldo total de ¢4.905,0 millones sin certeza sobre si el ingreso corresponde al impuesto del DAI u otro impuesto, lo anterior ocurre porque la persona usuaria realiza el depósito en la entidad recaudadora, por talones de oficio o mediante pago con tarjeta, sin identificar a cuáles impuestos corresponden dicho pago.</w:t>
      </w:r>
    </w:p>
    <w:p w14:paraId="1D6DDAAB" w14:textId="77777777" w:rsidR="00E43BAE" w:rsidRPr="00E43BAE" w:rsidRDefault="00E43BAE" w:rsidP="00E43BAE">
      <w:pPr>
        <w:spacing w:after="0" w:line="276" w:lineRule="auto"/>
        <w:ind w:left="720"/>
        <w:contextualSpacing/>
        <w:jc w:val="both"/>
        <w:rPr>
          <w:rFonts w:ascii="Arial" w:eastAsia="Calibri" w:hAnsi="Arial" w:cs="Arial"/>
          <w:sz w:val="24"/>
          <w:szCs w:val="24"/>
        </w:rPr>
      </w:pPr>
    </w:p>
    <w:p w14:paraId="1A6A8AB2" w14:textId="77777777" w:rsidR="00E43BAE" w:rsidRPr="00E43BAE" w:rsidRDefault="00E43BAE" w:rsidP="00E43BAE">
      <w:pPr>
        <w:numPr>
          <w:ilvl w:val="0"/>
          <w:numId w:val="18"/>
        </w:numPr>
        <w:spacing w:after="0" w:line="276" w:lineRule="auto"/>
        <w:contextualSpacing/>
        <w:jc w:val="both"/>
        <w:rPr>
          <w:rFonts w:ascii="Arial" w:eastAsia="Calibri" w:hAnsi="Arial" w:cs="Arial"/>
          <w:sz w:val="24"/>
          <w:szCs w:val="24"/>
        </w:rPr>
      </w:pPr>
      <w:r w:rsidRPr="00E43BAE">
        <w:rPr>
          <w:rFonts w:ascii="Arial" w:eastAsia="Calibri" w:hAnsi="Arial" w:cs="Arial"/>
          <w:sz w:val="24"/>
          <w:szCs w:val="24"/>
        </w:rPr>
        <w:t>Al 31 de diciembre de 2020, se registró de menos ¢57.209,0 millones en el Impuesto de la Propiedad, originado en los depósitos reconocidos en el año 2019, pero transferidos en los primeros días del mes de enero 2020, por parte del INS al Ministerio de Hacienda. De haberse registrado estos ingresos en el periodo que corresponde, bajo el método de efectivo, el cálculo del déficit financiero del Gobierno Central habría disminuido en un 0,2% del PIB.</w:t>
      </w:r>
    </w:p>
    <w:p w14:paraId="04578777" w14:textId="77777777" w:rsidR="00E43BAE" w:rsidRPr="00E43BAE" w:rsidRDefault="00E43BAE" w:rsidP="00E43BAE">
      <w:pPr>
        <w:spacing w:after="0" w:line="276" w:lineRule="auto"/>
        <w:ind w:left="720"/>
        <w:contextualSpacing/>
        <w:jc w:val="both"/>
        <w:rPr>
          <w:rFonts w:ascii="Arial" w:eastAsia="Calibri" w:hAnsi="Arial" w:cs="Arial"/>
          <w:sz w:val="24"/>
          <w:szCs w:val="24"/>
        </w:rPr>
      </w:pPr>
    </w:p>
    <w:p w14:paraId="2CF48792" w14:textId="77777777" w:rsidR="00E43BAE" w:rsidRPr="00E43BAE" w:rsidRDefault="00E43BAE" w:rsidP="00E43BAE">
      <w:pPr>
        <w:numPr>
          <w:ilvl w:val="0"/>
          <w:numId w:val="18"/>
        </w:numPr>
        <w:spacing w:after="0" w:line="276" w:lineRule="auto"/>
        <w:contextualSpacing/>
        <w:jc w:val="both"/>
        <w:rPr>
          <w:rFonts w:ascii="Arial" w:eastAsia="Calibri" w:hAnsi="Arial" w:cs="Arial"/>
          <w:sz w:val="24"/>
          <w:szCs w:val="24"/>
        </w:rPr>
      </w:pPr>
      <w:r w:rsidRPr="00E43BAE">
        <w:rPr>
          <w:rFonts w:ascii="Arial" w:eastAsia="Calibri" w:hAnsi="Arial" w:cs="Arial"/>
          <w:sz w:val="24"/>
          <w:szCs w:val="24"/>
        </w:rPr>
        <w:t>El principio de universalidad e integridad no se cumple, al presentar ingresos y gastos originados en la actividad financiera, producto del cobro de comisión que cobra el INS, por la suma de ¢329,0 millones por el servicio que brinda como ente recaudador del Impuesto sobre la Propiedad y al Impuesto sobre el Valor Agregado, mismo que fue compensado con el registro del Impuesto sobre la Propiedad y de la partida de multas, reflejando de menos un ingreso.</w:t>
      </w:r>
    </w:p>
    <w:p w14:paraId="3C01AD61" w14:textId="77777777" w:rsidR="00E43BAE" w:rsidRPr="00E43BAE" w:rsidRDefault="00E43BAE" w:rsidP="00E43BAE">
      <w:pPr>
        <w:spacing w:line="276" w:lineRule="auto"/>
        <w:ind w:left="720"/>
        <w:contextualSpacing/>
        <w:rPr>
          <w:rFonts w:ascii="Arial" w:eastAsia="Calibri" w:hAnsi="Arial" w:cs="Arial"/>
          <w:sz w:val="24"/>
          <w:szCs w:val="24"/>
        </w:rPr>
      </w:pPr>
    </w:p>
    <w:p w14:paraId="276524B4" w14:textId="77777777" w:rsidR="00E43BAE" w:rsidRPr="00E43BAE" w:rsidRDefault="00E43BAE" w:rsidP="00E43BAE">
      <w:pPr>
        <w:numPr>
          <w:ilvl w:val="0"/>
          <w:numId w:val="18"/>
        </w:numPr>
        <w:spacing w:after="0" w:line="276" w:lineRule="auto"/>
        <w:contextualSpacing/>
        <w:jc w:val="both"/>
        <w:rPr>
          <w:rFonts w:ascii="Arial" w:eastAsia="Calibri" w:hAnsi="Arial" w:cs="Arial"/>
          <w:sz w:val="24"/>
          <w:szCs w:val="24"/>
        </w:rPr>
      </w:pPr>
      <w:r w:rsidRPr="00E43BAE">
        <w:rPr>
          <w:rFonts w:ascii="Arial" w:eastAsia="Calibri" w:hAnsi="Arial" w:cs="Arial"/>
          <w:sz w:val="24"/>
          <w:szCs w:val="24"/>
        </w:rPr>
        <w:t>En los ingresos por Transferencias Corrientes, se omitió registrar la suma de ¢3.437,0 millones ($5,7 millones), correspondiente a la devolución de recursos realizados por las Universidades Estatales, sobre los remanentes no ejecutados en el Proyecto de Mejoramiento de la Educación Superior, financiado mediante Contrato de Préstamo BIRF 8194-CR; así como, el gasto en el título 230 - “Servicio de la Deuda” por el pago al Banco Internacional de Reconstrucción y Fomento (BIRF), derivado de la devolución de dichos remanentes, promoviendo que tanto el ingreso como el gasto quedarán subvaluados por el mismo monto; por lo que se incumple el principio de anualidad y el de transparencia.</w:t>
      </w:r>
    </w:p>
    <w:p w14:paraId="6E3DC549" w14:textId="77777777" w:rsidR="00EA4CC5" w:rsidRDefault="00EA4CC5" w:rsidP="00E43BAE">
      <w:pPr>
        <w:pStyle w:val="Sinespaciado"/>
        <w:spacing w:line="276" w:lineRule="auto"/>
        <w:jc w:val="both"/>
        <w:rPr>
          <w:rFonts w:ascii="Arial" w:hAnsi="Arial" w:cs="Arial"/>
          <w:b/>
          <w:sz w:val="24"/>
          <w:szCs w:val="24"/>
        </w:rPr>
      </w:pPr>
    </w:p>
    <w:p w14:paraId="52C66EB0" w14:textId="77777777" w:rsidR="009B2BCB" w:rsidRPr="00E33C3A" w:rsidRDefault="009B2BCB" w:rsidP="00535111">
      <w:pPr>
        <w:pStyle w:val="Ttulo1"/>
      </w:pPr>
      <w:bookmarkStart w:id="13" w:name="_Toc78277710"/>
      <w:r w:rsidRPr="00E33C3A">
        <w:t>RAZONES PUNTUALES POR LAS CUALES LA CONTRALORÍA GENERAL DE LA REPÚBLICA NO AVALA LA LIQUIDACIÓN DE EGRESOS</w:t>
      </w:r>
      <w:bookmarkEnd w:id="13"/>
    </w:p>
    <w:p w14:paraId="219148CE" w14:textId="77777777" w:rsidR="00EA4CC5" w:rsidRDefault="00EA4CC5" w:rsidP="00E43BAE">
      <w:pPr>
        <w:pStyle w:val="Sinespaciado"/>
        <w:spacing w:line="276" w:lineRule="auto"/>
        <w:jc w:val="both"/>
        <w:rPr>
          <w:rFonts w:ascii="Arial" w:hAnsi="Arial" w:cs="Arial"/>
          <w:sz w:val="24"/>
          <w:szCs w:val="24"/>
        </w:rPr>
      </w:pPr>
      <w:r w:rsidRPr="00E43BAE">
        <w:rPr>
          <w:rFonts w:ascii="Arial" w:hAnsi="Arial" w:cs="Arial"/>
          <w:sz w:val="24"/>
          <w:szCs w:val="24"/>
        </w:rPr>
        <w:t>Durante el ejercicio económico 2020, el monto ejecutado del Presupuesto de la República en materia de egresos fue por la suma de ¢9.415.498 millones.</w:t>
      </w:r>
      <w:r w:rsidR="00E43BAE">
        <w:rPr>
          <w:rFonts w:ascii="Arial" w:hAnsi="Arial" w:cs="Arial"/>
          <w:sz w:val="24"/>
          <w:szCs w:val="24"/>
        </w:rPr>
        <w:t xml:space="preserve"> </w:t>
      </w:r>
      <w:r w:rsidRPr="00E43BAE">
        <w:rPr>
          <w:rFonts w:ascii="Arial" w:hAnsi="Arial" w:cs="Arial"/>
          <w:sz w:val="24"/>
          <w:szCs w:val="24"/>
        </w:rPr>
        <w:t>Conforme lo señalado por la Contraloría General de la República, en su “INFORME DE AUDITORÍA FINANCIERA SOBRE LA LIQUIDACIÓN DE INGRESOS Y EGRESOS DEL PRESUPUESTO DE LA REPÚBLICA CORRESPONDIENTE AL EJERCICIO ECONÓMICO 2020”</w:t>
      </w:r>
      <w:r w:rsidRPr="00E43BAE">
        <w:rPr>
          <w:rFonts w:ascii="Arial" w:hAnsi="Arial" w:cs="Arial"/>
          <w:sz w:val="24"/>
          <w:szCs w:val="24"/>
          <w:vertAlign w:val="superscript"/>
        </w:rPr>
        <w:footnoteReference w:id="6"/>
      </w:r>
      <w:r w:rsidRPr="00E43BAE">
        <w:rPr>
          <w:rFonts w:ascii="Arial" w:hAnsi="Arial" w:cs="Arial"/>
          <w:sz w:val="24"/>
          <w:szCs w:val="24"/>
        </w:rPr>
        <w:t>, existen una serie de inconsistencias en la información presupuestaria de distintos saldos de partidas y, algunos que llaman la atención por la incertidumbre asociada en términos de exactitud, integridad y valuación de esos saldos. A continuación, se hará referencia a esos casos en los títulos presupuestarios que presentan mayor alarma:</w:t>
      </w:r>
    </w:p>
    <w:p w14:paraId="4970229A" w14:textId="77777777" w:rsidR="00E43BAE" w:rsidRPr="00E43BAE" w:rsidRDefault="00E43BAE" w:rsidP="00E43BAE">
      <w:pPr>
        <w:pStyle w:val="Sinespaciado"/>
        <w:spacing w:line="276" w:lineRule="auto"/>
        <w:jc w:val="both"/>
        <w:rPr>
          <w:rFonts w:ascii="Arial" w:hAnsi="Arial" w:cs="Arial"/>
          <w:sz w:val="24"/>
          <w:szCs w:val="24"/>
        </w:rPr>
      </w:pPr>
    </w:p>
    <w:tbl>
      <w:tblPr>
        <w:tblStyle w:val="Tabladecuadrcula5oscura-nfasis2"/>
        <w:tblW w:w="0" w:type="auto"/>
        <w:tblLook w:val="04A0" w:firstRow="1" w:lastRow="0" w:firstColumn="1" w:lastColumn="0" w:noHBand="0" w:noVBand="1"/>
      </w:tblPr>
      <w:tblGrid>
        <w:gridCol w:w="8828"/>
      </w:tblGrid>
      <w:tr w:rsidR="00EA4CC5" w:rsidRPr="00EA4CC5" w14:paraId="1C4E5E69" w14:textId="77777777" w:rsidTr="00E4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DEC4635" w14:textId="77777777" w:rsidR="00EA4CC5" w:rsidRPr="00EA4CC5" w:rsidRDefault="00EA4CC5" w:rsidP="00EA4CC5">
            <w:pPr>
              <w:spacing w:line="360" w:lineRule="auto"/>
              <w:jc w:val="center"/>
              <w:rPr>
                <w:rFonts w:ascii="Arial" w:hAnsi="Arial" w:cs="Arial"/>
                <w:sz w:val="24"/>
              </w:rPr>
            </w:pPr>
            <w:r w:rsidRPr="00EA4CC5">
              <w:rPr>
                <w:rFonts w:ascii="Arial" w:hAnsi="Arial" w:cs="Arial"/>
                <w:sz w:val="24"/>
              </w:rPr>
              <w:t>Ministerio de Educación Pública (MEP)</w:t>
            </w:r>
          </w:p>
        </w:tc>
      </w:tr>
    </w:tbl>
    <w:tbl>
      <w:tblPr>
        <w:tblStyle w:val="Tablaconcuadrcula"/>
        <w:tblW w:w="0" w:type="auto"/>
        <w:tblLook w:val="04A0" w:firstRow="1" w:lastRow="0" w:firstColumn="1" w:lastColumn="0" w:noHBand="0" w:noVBand="1"/>
      </w:tblPr>
      <w:tblGrid>
        <w:gridCol w:w="2472"/>
        <w:gridCol w:w="6356"/>
      </w:tblGrid>
      <w:tr w:rsidR="00EA4CC5" w:rsidRPr="00EA4CC5" w14:paraId="47936F00" w14:textId="77777777" w:rsidTr="001D2BC2">
        <w:tc>
          <w:tcPr>
            <w:tcW w:w="2472" w:type="dxa"/>
            <w:vAlign w:val="center"/>
          </w:tcPr>
          <w:p w14:paraId="654AF623" w14:textId="77777777" w:rsidR="00EA4CC5" w:rsidRPr="00EA4CC5" w:rsidRDefault="00EA4CC5" w:rsidP="001D2BC2">
            <w:pPr>
              <w:jc w:val="center"/>
              <w:rPr>
                <w:rFonts w:ascii="Arial" w:hAnsi="Arial" w:cs="Arial"/>
                <w:b/>
                <w:sz w:val="20"/>
              </w:rPr>
            </w:pPr>
            <w:r w:rsidRPr="00EA4CC5">
              <w:rPr>
                <w:rFonts w:ascii="Arial" w:hAnsi="Arial" w:cs="Arial"/>
                <w:b/>
                <w:sz w:val="20"/>
              </w:rPr>
              <w:t>PARTIDA/SUBPARTIDA</w:t>
            </w:r>
          </w:p>
          <w:p w14:paraId="07D187F1" w14:textId="77777777" w:rsidR="00EA4CC5" w:rsidRPr="00EA4CC5" w:rsidRDefault="00EA4CC5" w:rsidP="001D2BC2">
            <w:pPr>
              <w:jc w:val="center"/>
              <w:rPr>
                <w:rFonts w:ascii="Arial" w:hAnsi="Arial" w:cs="Arial"/>
                <w:b/>
                <w:sz w:val="20"/>
              </w:rPr>
            </w:pPr>
            <w:r w:rsidRPr="00EA4CC5">
              <w:rPr>
                <w:rFonts w:ascii="Arial" w:hAnsi="Arial" w:cs="Arial"/>
                <w:b/>
                <w:sz w:val="20"/>
              </w:rPr>
              <w:t>COMPONENTE</w:t>
            </w:r>
          </w:p>
        </w:tc>
        <w:tc>
          <w:tcPr>
            <w:tcW w:w="6356" w:type="dxa"/>
            <w:vAlign w:val="center"/>
          </w:tcPr>
          <w:p w14:paraId="0C58D942" w14:textId="77777777" w:rsidR="00EA4CC5" w:rsidRPr="00EA4CC5" w:rsidRDefault="00EA4CC5" w:rsidP="001D2BC2">
            <w:pPr>
              <w:jc w:val="center"/>
              <w:rPr>
                <w:rFonts w:ascii="Arial" w:hAnsi="Arial" w:cs="Arial"/>
                <w:b/>
                <w:sz w:val="20"/>
              </w:rPr>
            </w:pPr>
            <w:r w:rsidRPr="00EA4CC5">
              <w:rPr>
                <w:rFonts w:ascii="Arial" w:hAnsi="Arial" w:cs="Arial"/>
                <w:b/>
                <w:sz w:val="20"/>
              </w:rPr>
              <w:t>SITUACIÓN PRESENTADA</w:t>
            </w:r>
          </w:p>
        </w:tc>
      </w:tr>
      <w:tr w:rsidR="00EA4CC5" w:rsidRPr="00EA4CC5" w14:paraId="20810EB4" w14:textId="77777777" w:rsidTr="001D2BC2">
        <w:tc>
          <w:tcPr>
            <w:tcW w:w="2472" w:type="dxa"/>
            <w:vAlign w:val="center"/>
          </w:tcPr>
          <w:p w14:paraId="1B2FD91C" w14:textId="77777777" w:rsidR="00EA4CC5" w:rsidRPr="00EA4CC5" w:rsidRDefault="00EA4CC5" w:rsidP="001D2BC2">
            <w:pPr>
              <w:rPr>
                <w:rFonts w:ascii="Arial" w:hAnsi="Arial" w:cs="Arial"/>
                <w:b/>
                <w:sz w:val="20"/>
              </w:rPr>
            </w:pPr>
            <w:r w:rsidRPr="00EA4CC5">
              <w:rPr>
                <w:rFonts w:ascii="Arial" w:hAnsi="Arial" w:cs="Arial"/>
                <w:b/>
                <w:sz w:val="20"/>
              </w:rPr>
              <w:t>CARRERA PROFESIONAL</w:t>
            </w:r>
          </w:p>
        </w:tc>
        <w:tc>
          <w:tcPr>
            <w:tcW w:w="6356" w:type="dxa"/>
            <w:vAlign w:val="center"/>
          </w:tcPr>
          <w:p w14:paraId="15A8B508" w14:textId="77777777" w:rsidR="00EA4CC5" w:rsidRPr="00EA4CC5" w:rsidRDefault="00EA4CC5" w:rsidP="001D2BC2">
            <w:pPr>
              <w:numPr>
                <w:ilvl w:val="0"/>
                <w:numId w:val="6"/>
              </w:numPr>
              <w:contextualSpacing/>
              <w:rPr>
                <w:rFonts w:ascii="Arial" w:hAnsi="Arial" w:cs="Arial"/>
                <w:sz w:val="20"/>
              </w:rPr>
            </w:pPr>
            <w:r w:rsidRPr="00EA4CC5">
              <w:rPr>
                <w:rFonts w:ascii="Arial" w:hAnsi="Arial" w:cs="Arial"/>
                <w:sz w:val="20"/>
              </w:rPr>
              <w:t>Existe incertidumbre sobre el saldo devengado.</w:t>
            </w:r>
          </w:p>
          <w:p w14:paraId="0435ADAE" w14:textId="77777777" w:rsidR="00EA4CC5" w:rsidRPr="00EA4CC5" w:rsidRDefault="00EA4CC5" w:rsidP="001D2BC2">
            <w:pPr>
              <w:numPr>
                <w:ilvl w:val="0"/>
                <w:numId w:val="6"/>
              </w:numPr>
              <w:contextualSpacing/>
              <w:rPr>
                <w:rFonts w:ascii="Arial" w:hAnsi="Arial" w:cs="Arial"/>
                <w:b/>
                <w:sz w:val="20"/>
              </w:rPr>
            </w:pPr>
            <w:r w:rsidRPr="00EA4CC5">
              <w:rPr>
                <w:rFonts w:ascii="Arial" w:hAnsi="Arial" w:cs="Arial"/>
                <w:sz w:val="20"/>
              </w:rPr>
              <w:t>Existen aproximadamente 104.000 reclamos administrativos de funcionarios y funcionarias que aducen pagos erróneos en sus salarios. De ellos, el 64% corresponden a este componente salarial.</w:t>
            </w:r>
          </w:p>
          <w:p w14:paraId="1A54A16A" w14:textId="77777777" w:rsidR="00EA4CC5" w:rsidRPr="00EA4CC5" w:rsidRDefault="00EA4CC5" w:rsidP="001D2BC2">
            <w:pPr>
              <w:numPr>
                <w:ilvl w:val="0"/>
                <w:numId w:val="6"/>
              </w:numPr>
              <w:contextualSpacing/>
              <w:rPr>
                <w:rFonts w:ascii="Arial" w:hAnsi="Arial" w:cs="Arial"/>
                <w:b/>
                <w:sz w:val="20"/>
              </w:rPr>
            </w:pPr>
            <w:r w:rsidRPr="00EA4CC5">
              <w:rPr>
                <w:rFonts w:ascii="Arial" w:hAnsi="Arial" w:cs="Arial"/>
                <w:sz w:val="20"/>
              </w:rPr>
              <w:t>La situación descrita genera reclamos en vía judicial, donde eventualmente, deben realizarse pagos retroactivos en componentes asociados, más intereses y costas del proceso.</w:t>
            </w:r>
          </w:p>
          <w:p w14:paraId="3BC111A3" w14:textId="77777777" w:rsidR="00EA4CC5" w:rsidRPr="00EA4CC5" w:rsidRDefault="00EA4CC5" w:rsidP="001D2BC2">
            <w:pPr>
              <w:numPr>
                <w:ilvl w:val="0"/>
                <w:numId w:val="6"/>
              </w:numPr>
              <w:contextualSpacing/>
              <w:rPr>
                <w:rFonts w:ascii="Arial" w:hAnsi="Arial" w:cs="Arial"/>
                <w:b/>
                <w:sz w:val="20"/>
              </w:rPr>
            </w:pPr>
            <w:r w:rsidRPr="00EA4CC5">
              <w:rPr>
                <w:rFonts w:ascii="Arial" w:hAnsi="Arial" w:cs="Arial"/>
                <w:sz w:val="20"/>
              </w:rPr>
              <w:t xml:space="preserve">La partida está subestimada. </w:t>
            </w:r>
          </w:p>
          <w:p w14:paraId="78CE618B" w14:textId="77777777" w:rsidR="00EA4CC5" w:rsidRPr="00EA4CC5" w:rsidRDefault="00EA4CC5" w:rsidP="001D2BC2">
            <w:pPr>
              <w:numPr>
                <w:ilvl w:val="0"/>
                <w:numId w:val="6"/>
              </w:numPr>
              <w:contextualSpacing/>
              <w:rPr>
                <w:rFonts w:ascii="Arial" w:hAnsi="Arial" w:cs="Arial"/>
                <w:b/>
                <w:sz w:val="20"/>
              </w:rPr>
            </w:pPr>
            <w:r w:rsidRPr="00EA4CC5">
              <w:rPr>
                <w:rFonts w:ascii="Arial" w:hAnsi="Arial" w:cs="Arial"/>
                <w:sz w:val="20"/>
              </w:rPr>
              <w:t>El sistema actual de salario base + pluses hace más difícil identificar los pagos correctamente a nivel tecnológico y del recurso humano, lo que pone en riesgo los procesos.</w:t>
            </w:r>
          </w:p>
        </w:tc>
      </w:tr>
      <w:tr w:rsidR="00EA4CC5" w:rsidRPr="00EA4CC5" w14:paraId="33694DE1" w14:textId="77777777" w:rsidTr="001D2BC2">
        <w:tc>
          <w:tcPr>
            <w:tcW w:w="2472" w:type="dxa"/>
            <w:vAlign w:val="center"/>
          </w:tcPr>
          <w:p w14:paraId="121DD6F3" w14:textId="77777777" w:rsidR="00EA4CC5" w:rsidRPr="00EA4CC5" w:rsidRDefault="00EA4CC5" w:rsidP="001D2BC2">
            <w:pPr>
              <w:rPr>
                <w:rFonts w:ascii="Arial" w:hAnsi="Arial" w:cs="Arial"/>
                <w:b/>
                <w:sz w:val="20"/>
              </w:rPr>
            </w:pPr>
            <w:r w:rsidRPr="00EA4CC5">
              <w:rPr>
                <w:rFonts w:ascii="Arial" w:hAnsi="Arial" w:cs="Arial"/>
                <w:b/>
                <w:sz w:val="20"/>
              </w:rPr>
              <w:t>INCENTIVOS SALARIALES</w:t>
            </w:r>
          </w:p>
        </w:tc>
        <w:tc>
          <w:tcPr>
            <w:tcW w:w="6356" w:type="dxa"/>
            <w:vAlign w:val="center"/>
          </w:tcPr>
          <w:p w14:paraId="1DCBEDAA" w14:textId="77777777" w:rsidR="00EA4CC5" w:rsidRPr="00EA4CC5" w:rsidRDefault="00EA4CC5" w:rsidP="001D2BC2">
            <w:pPr>
              <w:numPr>
                <w:ilvl w:val="0"/>
                <w:numId w:val="7"/>
              </w:numPr>
              <w:contextualSpacing/>
              <w:rPr>
                <w:rFonts w:ascii="Arial" w:hAnsi="Arial" w:cs="Arial"/>
                <w:sz w:val="20"/>
              </w:rPr>
            </w:pPr>
            <w:r w:rsidRPr="00EA4CC5">
              <w:rPr>
                <w:rFonts w:ascii="Arial" w:hAnsi="Arial" w:cs="Arial"/>
                <w:sz w:val="20"/>
              </w:rPr>
              <w:t>Existen 81 incentivos salariales, de los cuales 79 están nominalizados y 2 en porcentajes (desarrollo de la docencia y el de Índice de Desarrollo Social), lo que genera un incumplimiento de la Ley N.°9635.</w:t>
            </w:r>
          </w:p>
        </w:tc>
      </w:tr>
      <w:tr w:rsidR="00EA4CC5" w:rsidRPr="00EA4CC5" w14:paraId="3716FAE4" w14:textId="77777777" w:rsidTr="001D2BC2">
        <w:tc>
          <w:tcPr>
            <w:tcW w:w="2472" w:type="dxa"/>
            <w:vAlign w:val="center"/>
          </w:tcPr>
          <w:p w14:paraId="19F66F75" w14:textId="77777777" w:rsidR="00EA4CC5" w:rsidRPr="00EA4CC5" w:rsidRDefault="00EA4CC5" w:rsidP="001D2BC2">
            <w:pPr>
              <w:rPr>
                <w:rFonts w:ascii="Arial" w:hAnsi="Arial" w:cs="Arial"/>
                <w:b/>
                <w:sz w:val="20"/>
              </w:rPr>
            </w:pPr>
            <w:r w:rsidRPr="00EA4CC5">
              <w:rPr>
                <w:rFonts w:ascii="Arial" w:hAnsi="Arial" w:cs="Arial"/>
                <w:b/>
                <w:sz w:val="20"/>
              </w:rPr>
              <w:t>REMUNERACIONES</w:t>
            </w:r>
          </w:p>
        </w:tc>
        <w:tc>
          <w:tcPr>
            <w:tcW w:w="6356" w:type="dxa"/>
            <w:vAlign w:val="center"/>
          </w:tcPr>
          <w:p w14:paraId="1E1E9979" w14:textId="77777777" w:rsidR="00EA4CC5" w:rsidRPr="00EA4CC5" w:rsidRDefault="00EA4CC5" w:rsidP="001D2BC2">
            <w:pPr>
              <w:numPr>
                <w:ilvl w:val="0"/>
                <w:numId w:val="8"/>
              </w:numPr>
              <w:contextualSpacing/>
              <w:rPr>
                <w:rFonts w:ascii="Arial" w:hAnsi="Arial" w:cs="Arial"/>
                <w:sz w:val="20"/>
              </w:rPr>
            </w:pPr>
            <w:r w:rsidRPr="00EA4CC5">
              <w:rPr>
                <w:rFonts w:ascii="Arial" w:hAnsi="Arial" w:cs="Arial"/>
                <w:sz w:val="20"/>
              </w:rPr>
              <w:t>Desde 2011 y hasta 2020, se han venido generando pagos por posibles sumas giradas de más, que ascienden a los ¢53.132 millones.</w:t>
            </w:r>
          </w:p>
          <w:p w14:paraId="16F272C1" w14:textId="77777777" w:rsidR="00EA4CC5" w:rsidRPr="00EA4CC5" w:rsidRDefault="00EA4CC5" w:rsidP="001D2BC2">
            <w:pPr>
              <w:numPr>
                <w:ilvl w:val="0"/>
                <w:numId w:val="8"/>
              </w:numPr>
              <w:contextualSpacing/>
              <w:rPr>
                <w:rFonts w:ascii="Arial" w:hAnsi="Arial" w:cs="Arial"/>
                <w:sz w:val="20"/>
              </w:rPr>
            </w:pPr>
            <w:r w:rsidRPr="00EA4CC5">
              <w:rPr>
                <w:rFonts w:ascii="Arial" w:hAnsi="Arial" w:cs="Arial"/>
                <w:sz w:val="20"/>
              </w:rPr>
              <w:t>Del monto señalado en el punto anterior y, al 31 de diciembre de 2020, el 24% (¢9.412 millones) se encuentra pendiente de recuperar.</w:t>
            </w:r>
          </w:p>
          <w:p w14:paraId="6E2907A3" w14:textId="77777777" w:rsidR="00EA4CC5" w:rsidRPr="00EA4CC5" w:rsidRDefault="00EA4CC5" w:rsidP="001D2BC2">
            <w:pPr>
              <w:numPr>
                <w:ilvl w:val="0"/>
                <w:numId w:val="8"/>
              </w:numPr>
              <w:contextualSpacing/>
              <w:rPr>
                <w:rFonts w:ascii="Arial" w:hAnsi="Arial" w:cs="Arial"/>
                <w:sz w:val="20"/>
              </w:rPr>
            </w:pPr>
            <w:r w:rsidRPr="00EA4CC5">
              <w:rPr>
                <w:rFonts w:ascii="Arial" w:hAnsi="Arial" w:cs="Arial"/>
                <w:sz w:val="20"/>
              </w:rPr>
              <w:t>Las principales razones de que existan sumas giradas de más son los reportes de matrícula proyectada, que se solicitan meses antes del ciclo lectivo; la concentración de registros de movimientos en oficinas centrales, en vez de direcciones regionales y, el registro erróneo de movimientos de personal.</w:t>
            </w:r>
          </w:p>
        </w:tc>
      </w:tr>
    </w:tbl>
    <w:p w14:paraId="07A3CE47" w14:textId="77777777" w:rsidR="00EA4CC5" w:rsidRPr="00EA4CC5" w:rsidRDefault="00EA4CC5" w:rsidP="00EA4CC5">
      <w:pPr>
        <w:spacing w:line="360" w:lineRule="auto"/>
        <w:jc w:val="both"/>
        <w:rPr>
          <w:rFonts w:ascii="Arial" w:hAnsi="Arial" w:cs="Arial"/>
          <w:sz w:val="24"/>
        </w:rPr>
      </w:pPr>
    </w:p>
    <w:p w14:paraId="322D3E47" w14:textId="77777777" w:rsidR="00EA4CC5" w:rsidRPr="00EA4CC5" w:rsidRDefault="00EA4CC5" w:rsidP="00EA4CC5">
      <w:pPr>
        <w:spacing w:line="360" w:lineRule="auto"/>
        <w:jc w:val="both"/>
        <w:rPr>
          <w:rFonts w:ascii="Arial" w:hAnsi="Arial" w:cs="Arial"/>
          <w:sz w:val="24"/>
        </w:rPr>
      </w:pPr>
      <w:r w:rsidRPr="00EA4CC5">
        <w:rPr>
          <w:rFonts w:ascii="Arial" w:hAnsi="Arial" w:cs="Arial"/>
          <w:sz w:val="24"/>
        </w:rPr>
        <w:t>Respecto de las sumas giradas de más y, en relación con el año 2020, se tienen los siguientes datos:</w:t>
      </w:r>
    </w:p>
    <w:tbl>
      <w:tblPr>
        <w:tblStyle w:val="Tabladecuadrcula5oscura-nfasis2"/>
        <w:tblW w:w="0" w:type="auto"/>
        <w:tblLook w:val="04A0" w:firstRow="1" w:lastRow="0" w:firstColumn="1" w:lastColumn="0" w:noHBand="0" w:noVBand="1"/>
      </w:tblPr>
      <w:tblGrid>
        <w:gridCol w:w="1471"/>
        <w:gridCol w:w="1471"/>
        <w:gridCol w:w="1471"/>
        <w:gridCol w:w="1471"/>
        <w:gridCol w:w="1472"/>
        <w:gridCol w:w="1472"/>
      </w:tblGrid>
      <w:tr w:rsidR="00EA4CC5" w:rsidRPr="001D2BC2" w14:paraId="2A4FD4E4" w14:textId="77777777" w:rsidTr="001D2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vAlign w:val="center"/>
          </w:tcPr>
          <w:p w14:paraId="0CBB0462" w14:textId="77777777" w:rsidR="00EA4CC5" w:rsidRPr="001D2BC2" w:rsidRDefault="00EA4CC5" w:rsidP="001D2BC2">
            <w:pPr>
              <w:jc w:val="center"/>
              <w:rPr>
                <w:rFonts w:ascii="Arial" w:hAnsi="Arial" w:cs="Arial"/>
                <w:bCs w:val="0"/>
                <w:sz w:val="18"/>
              </w:rPr>
            </w:pPr>
            <w:r w:rsidRPr="001D2BC2">
              <w:rPr>
                <w:rFonts w:ascii="Arial" w:hAnsi="Arial" w:cs="Arial"/>
                <w:bCs w:val="0"/>
                <w:sz w:val="18"/>
              </w:rPr>
              <w:t>Ejercicio económico</w:t>
            </w:r>
          </w:p>
        </w:tc>
        <w:tc>
          <w:tcPr>
            <w:tcW w:w="1471" w:type="dxa"/>
            <w:vAlign w:val="center"/>
          </w:tcPr>
          <w:p w14:paraId="7DA3EE3A" w14:textId="77777777" w:rsidR="00EA4CC5" w:rsidRPr="001D2BC2" w:rsidRDefault="00EA4CC5" w:rsidP="001D2BC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rPr>
            </w:pPr>
            <w:r w:rsidRPr="001D2BC2">
              <w:rPr>
                <w:rFonts w:ascii="Arial" w:hAnsi="Arial" w:cs="Arial"/>
                <w:bCs w:val="0"/>
                <w:sz w:val="18"/>
              </w:rPr>
              <w:t>Monto acumulado</w:t>
            </w:r>
          </w:p>
        </w:tc>
        <w:tc>
          <w:tcPr>
            <w:tcW w:w="1471" w:type="dxa"/>
            <w:vAlign w:val="center"/>
          </w:tcPr>
          <w:p w14:paraId="14F723FB" w14:textId="77777777" w:rsidR="00EA4CC5" w:rsidRPr="001D2BC2" w:rsidRDefault="00EA4CC5" w:rsidP="001D2BC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rPr>
            </w:pPr>
            <w:r w:rsidRPr="001D2BC2">
              <w:rPr>
                <w:rFonts w:ascii="Arial" w:hAnsi="Arial" w:cs="Arial"/>
                <w:bCs w:val="0"/>
                <w:sz w:val="18"/>
              </w:rPr>
              <w:t>Incremento anual nominal</w:t>
            </w:r>
          </w:p>
        </w:tc>
        <w:tc>
          <w:tcPr>
            <w:tcW w:w="1471" w:type="dxa"/>
            <w:vAlign w:val="center"/>
          </w:tcPr>
          <w:p w14:paraId="682BFFDD" w14:textId="77777777" w:rsidR="00EA4CC5" w:rsidRPr="001D2BC2" w:rsidRDefault="00EA4CC5" w:rsidP="001D2BC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rPr>
            </w:pPr>
            <w:r w:rsidRPr="001D2BC2">
              <w:rPr>
                <w:rFonts w:ascii="Arial" w:hAnsi="Arial" w:cs="Arial"/>
                <w:bCs w:val="0"/>
                <w:sz w:val="18"/>
              </w:rPr>
              <w:t>Incremento anual porcentual</w:t>
            </w:r>
          </w:p>
        </w:tc>
        <w:tc>
          <w:tcPr>
            <w:tcW w:w="1472" w:type="dxa"/>
            <w:vAlign w:val="center"/>
          </w:tcPr>
          <w:p w14:paraId="7B03BD83" w14:textId="77777777" w:rsidR="00EA4CC5" w:rsidRPr="001D2BC2" w:rsidRDefault="00EA4CC5" w:rsidP="001D2BC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rPr>
            </w:pPr>
            <w:r w:rsidRPr="001D2BC2">
              <w:rPr>
                <w:rFonts w:ascii="Arial" w:hAnsi="Arial" w:cs="Arial"/>
                <w:bCs w:val="0"/>
                <w:sz w:val="18"/>
              </w:rPr>
              <w:t>Monto acumulado de sumas giradas de más</w:t>
            </w:r>
          </w:p>
        </w:tc>
        <w:tc>
          <w:tcPr>
            <w:tcW w:w="1472" w:type="dxa"/>
            <w:vAlign w:val="center"/>
          </w:tcPr>
          <w:p w14:paraId="598A50EF" w14:textId="77777777" w:rsidR="00EA4CC5" w:rsidRPr="001D2BC2" w:rsidRDefault="00EA4CC5" w:rsidP="001D2BC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rPr>
            </w:pPr>
            <w:r w:rsidRPr="001D2BC2">
              <w:rPr>
                <w:rFonts w:ascii="Arial" w:hAnsi="Arial" w:cs="Arial"/>
                <w:bCs w:val="0"/>
                <w:sz w:val="18"/>
              </w:rPr>
              <w:t>Saldo pendiente de analizar</w:t>
            </w:r>
          </w:p>
        </w:tc>
      </w:tr>
      <w:tr w:rsidR="00EA4CC5" w:rsidRPr="00EA4CC5" w14:paraId="1B835E71" w14:textId="77777777" w:rsidTr="001D2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vAlign w:val="center"/>
          </w:tcPr>
          <w:p w14:paraId="53A6F02A" w14:textId="77777777" w:rsidR="00EA4CC5" w:rsidRPr="00EA4CC5" w:rsidRDefault="00EA4CC5" w:rsidP="001D2BC2">
            <w:pPr>
              <w:jc w:val="center"/>
              <w:rPr>
                <w:rFonts w:ascii="Arial" w:hAnsi="Arial" w:cs="Arial"/>
                <w:b w:val="0"/>
                <w:sz w:val="20"/>
              </w:rPr>
            </w:pPr>
            <w:r w:rsidRPr="00EA4CC5">
              <w:rPr>
                <w:rFonts w:ascii="Arial" w:hAnsi="Arial" w:cs="Arial"/>
                <w:b w:val="0"/>
                <w:sz w:val="20"/>
              </w:rPr>
              <w:t>2020</w:t>
            </w:r>
          </w:p>
        </w:tc>
        <w:tc>
          <w:tcPr>
            <w:tcW w:w="1471" w:type="dxa"/>
            <w:vAlign w:val="center"/>
          </w:tcPr>
          <w:p w14:paraId="46586415" w14:textId="77777777" w:rsidR="00EA4CC5" w:rsidRPr="00EA4CC5" w:rsidRDefault="00EA4CC5" w:rsidP="001D2BC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4CC5">
              <w:rPr>
                <w:rFonts w:ascii="Arial" w:hAnsi="Arial" w:cs="Arial"/>
                <w:sz w:val="20"/>
              </w:rPr>
              <w:t>53.132</w:t>
            </w:r>
          </w:p>
        </w:tc>
        <w:tc>
          <w:tcPr>
            <w:tcW w:w="1471" w:type="dxa"/>
            <w:vAlign w:val="center"/>
          </w:tcPr>
          <w:p w14:paraId="480457E3" w14:textId="77777777" w:rsidR="00EA4CC5" w:rsidRPr="00EA4CC5" w:rsidRDefault="00EA4CC5" w:rsidP="001D2BC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4CC5">
              <w:rPr>
                <w:rFonts w:ascii="Arial" w:hAnsi="Arial" w:cs="Arial"/>
                <w:sz w:val="20"/>
              </w:rPr>
              <w:t>2.552</w:t>
            </w:r>
          </w:p>
        </w:tc>
        <w:tc>
          <w:tcPr>
            <w:tcW w:w="1471" w:type="dxa"/>
            <w:vAlign w:val="center"/>
          </w:tcPr>
          <w:p w14:paraId="69AC8CA2" w14:textId="77777777" w:rsidR="00EA4CC5" w:rsidRPr="00EA4CC5" w:rsidRDefault="00EA4CC5" w:rsidP="001D2BC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4CC5">
              <w:rPr>
                <w:rFonts w:ascii="Arial" w:hAnsi="Arial" w:cs="Arial"/>
                <w:sz w:val="20"/>
              </w:rPr>
              <w:t>5%</w:t>
            </w:r>
          </w:p>
        </w:tc>
        <w:tc>
          <w:tcPr>
            <w:tcW w:w="1472" w:type="dxa"/>
            <w:vAlign w:val="center"/>
          </w:tcPr>
          <w:p w14:paraId="1B9C15A5" w14:textId="77777777" w:rsidR="00EA4CC5" w:rsidRPr="00EA4CC5" w:rsidRDefault="00EA4CC5" w:rsidP="001D2BC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4CC5">
              <w:rPr>
                <w:rFonts w:ascii="Arial" w:hAnsi="Arial" w:cs="Arial"/>
                <w:sz w:val="20"/>
              </w:rPr>
              <w:t>38.461</w:t>
            </w:r>
          </w:p>
        </w:tc>
        <w:tc>
          <w:tcPr>
            <w:tcW w:w="1472" w:type="dxa"/>
            <w:vAlign w:val="center"/>
          </w:tcPr>
          <w:p w14:paraId="4DF718E8" w14:textId="77777777" w:rsidR="00EA4CC5" w:rsidRPr="00EA4CC5" w:rsidRDefault="00EA4CC5" w:rsidP="001D2BC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4CC5">
              <w:rPr>
                <w:rFonts w:ascii="Arial" w:hAnsi="Arial" w:cs="Arial"/>
                <w:sz w:val="20"/>
              </w:rPr>
              <w:t>14.671</w:t>
            </w:r>
          </w:p>
        </w:tc>
      </w:tr>
    </w:tbl>
    <w:p w14:paraId="19CAC695" w14:textId="77777777" w:rsidR="00EA4CC5" w:rsidRPr="00EA4CC5" w:rsidRDefault="00EA4CC5" w:rsidP="00EA4CC5">
      <w:pPr>
        <w:spacing w:line="360" w:lineRule="auto"/>
        <w:jc w:val="both"/>
        <w:rPr>
          <w:rFonts w:ascii="Arial" w:hAnsi="Arial" w:cs="Arial"/>
          <w:sz w:val="16"/>
        </w:rPr>
      </w:pPr>
      <w:r w:rsidRPr="00EA4CC5">
        <w:rPr>
          <w:rFonts w:ascii="Arial" w:hAnsi="Arial" w:cs="Arial"/>
          <w:sz w:val="16"/>
        </w:rPr>
        <w:t>Fuente: Contraloría General de la República con base en información suministrada por la Dirección de Recursos Humanos del MEP.</w:t>
      </w:r>
    </w:p>
    <w:tbl>
      <w:tblPr>
        <w:tblStyle w:val="Tabladecuadrcula5oscura-nfasis5"/>
        <w:tblW w:w="0" w:type="auto"/>
        <w:tblLook w:val="04A0" w:firstRow="1" w:lastRow="0" w:firstColumn="1" w:lastColumn="0" w:noHBand="0" w:noVBand="1"/>
      </w:tblPr>
      <w:tblGrid>
        <w:gridCol w:w="8828"/>
      </w:tblGrid>
      <w:tr w:rsidR="00EA4CC5" w:rsidRPr="00EA4CC5" w14:paraId="58A9E8B6" w14:textId="77777777" w:rsidTr="00E4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330F815" w14:textId="77777777" w:rsidR="00EA4CC5" w:rsidRPr="00EA4CC5" w:rsidRDefault="00EA4CC5" w:rsidP="00EA4CC5">
            <w:pPr>
              <w:spacing w:line="360" w:lineRule="auto"/>
              <w:jc w:val="center"/>
              <w:rPr>
                <w:rFonts w:ascii="Arial" w:hAnsi="Arial" w:cs="Arial"/>
                <w:sz w:val="24"/>
              </w:rPr>
            </w:pPr>
            <w:r w:rsidRPr="00EA4CC5">
              <w:rPr>
                <w:rFonts w:ascii="Arial" w:hAnsi="Arial" w:cs="Arial"/>
                <w:sz w:val="24"/>
              </w:rPr>
              <w:t>Ministerio de Trabajo y Seguridad Social (MTSS)</w:t>
            </w:r>
          </w:p>
        </w:tc>
      </w:tr>
    </w:tbl>
    <w:tbl>
      <w:tblPr>
        <w:tblStyle w:val="Tablaconcuadrcula"/>
        <w:tblW w:w="0" w:type="auto"/>
        <w:tblLook w:val="04A0" w:firstRow="1" w:lastRow="0" w:firstColumn="1" w:lastColumn="0" w:noHBand="0" w:noVBand="1"/>
      </w:tblPr>
      <w:tblGrid>
        <w:gridCol w:w="2472"/>
        <w:gridCol w:w="6356"/>
      </w:tblGrid>
      <w:tr w:rsidR="00EA4CC5" w:rsidRPr="00EA4CC5" w14:paraId="3595C96A" w14:textId="77777777" w:rsidTr="00E43BAE">
        <w:tc>
          <w:tcPr>
            <w:tcW w:w="2472" w:type="dxa"/>
          </w:tcPr>
          <w:p w14:paraId="159A7652" w14:textId="77777777" w:rsidR="00EA4CC5" w:rsidRPr="00EA4CC5" w:rsidRDefault="00EA4CC5" w:rsidP="001D2BC2">
            <w:pPr>
              <w:jc w:val="center"/>
              <w:rPr>
                <w:rFonts w:ascii="Arial" w:hAnsi="Arial" w:cs="Arial"/>
                <w:b/>
                <w:sz w:val="20"/>
              </w:rPr>
            </w:pPr>
            <w:r w:rsidRPr="00EA4CC5">
              <w:rPr>
                <w:rFonts w:ascii="Arial" w:hAnsi="Arial" w:cs="Arial"/>
                <w:b/>
                <w:sz w:val="20"/>
              </w:rPr>
              <w:t>PARTIDA/SUBPARTIDA</w:t>
            </w:r>
          </w:p>
        </w:tc>
        <w:tc>
          <w:tcPr>
            <w:tcW w:w="6356" w:type="dxa"/>
          </w:tcPr>
          <w:p w14:paraId="61B9F26A" w14:textId="77777777" w:rsidR="00EA4CC5" w:rsidRPr="00EA4CC5" w:rsidRDefault="00EA4CC5" w:rsidP="001D2BC2">
            <w:pPr>
              <w:jc w:val="center"/>
              <w:rPr>
                <w:rFonts w:ascii="Arial" w:hAnsi="Arial" w:cs="Arial"/>
                <w:b/>
                <w:sz w:val="20"/>
              </w:rPr>
            </w:pPr>
            <w:r w:rsidRPr="00EA4CC5">
              <w:rPr>
                <w:rFonts w:ascii="Arial" w:hAnsi="Arial" w:cs="Arial"/>
                <w:b/>
                <w:sz w:val="20"/>
              </w:rPr>
              <w:t>SITUACIÓN PRESENTADA</w:t>
            </w:r>
          </w:p>
        </w:tc>
      </w:tr>
      <w:tr w:rsidR="00EA4CC5" w:rsidRPr="00EA4CC5" w14:paraId="5A43D60D" w14:textId="77777777" w:rsidTr="001D2BC2">
        <w:tc>
          <w:tcPr>
            <w:tcW w:w="2472" w:type="dxa"/>
            <w:vAlign w:val="center"/>
          </w:tcPr>
          <w:p w14:paraId="58C4DF39" w14:textId="77777777" w:rsidR="00EA4CC5" w:rsidRPr="00EA4CC5" w:rsidRDefault="00EA4CC5" w:rsidP="001D2BC2">
            <w:pPr>
              <w:rPr>
                <w:rFonts w:ascii="Arial" w:hAnsi="Arial" w:cs="Arial"/>
                <w:b/>
                <w:sz w:val="20"/>
              </w:rPr>
            </w:pPr>
            <w:r w:rsidRPr="00EA4CC5">
              <w:rPr>
                <w:rFonts w:ascii="Arial" w:hAnsi="Arial" w:cs="Arial"/>
                <w:b/>
                <w:sz w:val="20"/>
              </w:rPr>
              <w:t>TRANSFERENCIAS CORRIENTES</w:t>
            </w:r>
          </w:p>
          <w:p w14:paraId="13B480BA" w14:textId="77777777" w:rsidR="00EA4CC5" w:rsidRPr="00EA4CC5" w:rsidRDefault="00EA4CC5" w:rsidP="001D2BC2">
            <w:pPr>
              <w:rPr>
                <w:rFonts w:ascii="Arial" w:hAnsi="Arial" w:cs="Arial"/>
                <w:b/>
                <w:sz w:val="20"/>
              </w:rPr>
            </w:pPr>
            <w:r w:rsidRPr="00EA4CC5">
              <w:rPr>
                <w:rFonts w:ascii="Arial" w:hAnsi="Arial" w:cs="Arial"/>
                <w:b/>
                <w:sz w:val="20"/>
              </w:rPr>
              <w:t>(Regímenes especiales de pensiones administrados por la Dirección Nacional de Pensiones y JUPEMA)</w:t>
            </w:r>
          </w:p>
        </w:tc>
        <w:tc>
          <w:tcPr>
            <w:tcW w:w="6356" w:type="dxa"/>
            <w:vAlign w:val="center"/>
          </w:tcPr>
          <w:p w14:paraId="0EBB0C15" w14:textId="77777777" w:rsidR="00EA4CC5" w:rsidRPr="00EA4CC5" w:rsidRDefault="00EA4CC5" w:rsidP="001D2BC2">
            <w:pPr>
              <w:numPr>
                <w:ilvl w:val="0"/>
                <w:numId w:val="9"/>
              </w:numPr>
              <w:contextualSpacing/>
              <w:rPr>
                <w:rFonts w:ascii="Arial" w:hAnsi="Arial" w:cs="Arial"/>
                <w:b/>
                <w:sz w:val="20"/>
              </w:rPr>
            </w:pPr>
            <w:r w:rsidRPr="00EA4CC5">
              <w:rPr>
                <w:rFonts w:ascii="Arial" w:hAnsi="Arial" w:cs="Arial"/>
                <w:sz w:val="20"/>
              </w:rPr>
              <w:t>No existe certeza acerca de la razonabilidad del monto pagado en pensiones de regímenes especiales definidas en la legislación aplicable a: Comunicaciones, Hacienda y Poder Legislativo, Obras Públicas y del Registro Nacional, pues fueron actualizadas con base en la inflación, por lo que se han tenido que hacer estudios individualizados.</w:t>
            </w:r>
          </w:p>
          <w:p w14:paraId="38CB310F" w14:textId="77777777" w:rsidR="00EA4CC5" w:rsidRPr="00EA4CC5" w:rsidRDefault="00EA4CC5" w:rsidP="001D2BC2">
            <w:pPr>
              <w:numPr>
                <w:ilvl w:val="0"/>
                <w:numId w:val="9"/>
              </w:numPr>
              <w:contextualSpacing/>
              <w:rPr>
                <w:rFonts w:ascii="Arial" w:hAnsi="Arial" w:cs="Arial"/>
                <w:sz w:val="20"/>
              </w:rPr>
            </w:pPr>
            <w:r w:rsidRPr="00EA4CC5">
              <w:rPr>
                <w:rFonts w:ascii="Arial" w:hAnsi="Arial" w:cs="Arial"/>
                <w:sz w:val="20"/>
              </w:rPr>
              <w:t>Se giraron sumas de más en las pensiones, pues existe falta de oportunidad a la hora de identificar casos donde la persona ha fallecido o se extinguió el derecho.</w:t>
            </w:r>
          </w:p>
          <w:p w14:paraId="6625E576" w14:textId="77777777" w:rsidR="00EA4CC5" w:rsidRPr="00EA4CC5" w:rsidRDefault="00EA4CC5" w:rsidP="001D2BC2">
            <w:pPr>
              <w:numPr>
                <w:ilvl w:val="0"/>
                <w:numId w:val="9"/>
              </w:numPr>
              <w:contextualSpacing/>
              <w:rPr>
                <w:rFonts w:ascii="Arial" w:hAnsi="Arial" w:cs="Arial"/>
                <w:b/>
                <w:sz w:val="20"/>
              </w:rPr>
            </w:pPr>
            <w:r w:rsidRPr="00EA4CC5">
              <w:rPr>
                <w:rFonts w:ascii="Arial" w:hAnsi="Arial" w:cs="Arial"/>
                <w:sz w:val="20"/>
              </w:rPr>
              <w:t>Existen problemas para la recuperación de los sobrepagos.</w:t>
            </w:r>
          </w:p>
          <w:p w14:paraId="56E0D7FA" w14:textId="77777777" w:rsidR="00EA4CC5" w:rsidRPr="00EA4CC5" w:rsidRDefault="00EA4CC5" w:rsidP="001D2BC2">
            <w:pPr>
              <w:numPr>
                <w:ilvl w:val="0"/>
                <w:numId w:val="9"/>
              </w:numPr>
              <w:contextualSpacing/>
              <w:rPr>
                <w:rFonts w:ascii="Arial" w:hAnsi="Arial" w:cs="Arial"/>
                <w:sz w:val="20"/>
              </w:rPr>
            </w:pPr>
            <w:r w:rsidRPr="00EA4CC5">
              <w:rPr>
                <w:rFonts w:ascii="Arial" w:hAnsi="Arial" w:cs="Arial"/>
                <w:sz w:val="20"/>
              </w:rPr>
              <w:t>Al 31 de diciembre de 2020, el monto acumulado por sumas giradas de más ascendió a ¢3.917 millones, de los cuales, el 67% corresponde a personas cuyo derecho se extinguió y, el restante 33% a personas fallecidas.</w:t>
            </w:r>
          </w:p>
          <w:p w14:paraId="0ACA722F" w14:textId="77777777" w:rsidR="00EA4CC5" w:rsidRPr="00EA4CC5" w:rsidRDefault="00EA4CC5" w:rsidP="001D2BC2">
            <w:pPr>
              <w:numPr>
                <w:ilvl w:val="0"/>
                <w:numId w:val="9"/>
              </w:numPr>
              <w:contextualSpacing/>
              <w:rPr>
                <w:rFonts w:ascii="Arial" w:hAnsi="Arial" w:cs="Arial"/>
                <w:sz w:val="20"/>
              </w:rPr>
            </w:pPr>
            <w:r w:rsidRPr="00EA4CC5">
              <w:rPr>
                <w:rFonts w:ascii="Arial" w:hAnsi="Arial" w:cs="Arial"/>
                <w:sz w:val="20"/>
              </w:rPr>
              <w:t>Los controles para detectar sumas giradas de más no están siendo oportunos ni efectivos.</w:t>
            </w:r>
          </w:p>
          <w:p w14:paraId="138B18D1" w14:textId="77777777" w:rsidR="00EA4CC5" w:rsidRPr="00EA4CC5" w:rsidRDefault="00EA4CC5" w:rsidP="001D2BC2">
            <w:pPr>
              <w:numPr>
                <w:ilvl w:val="0"/>
                <w:numId w:val="9"/>
              </w:numPr>
              <w:contextualSpacing/>
              <w:rPr>
                <w:rFonts w:ascii="Arial" w:hAnsi="Arial" w:cs="Arial"/>
                <w:b/>
                <w:sz w:val="20"/>
              </w:rPr>
            </w:pPr>
            <w:r w:rsidRPr="00EA4CC5">
              <w:rPr>
                <w:rFonts w:ascii="Arial" w:hAnsi="Arial" w:cs="Arial"/>
                <w:sz w:val="20"/>
              </w:rPr>
              <w:t>En el Régimen Transitorio de Reparto, que administra JUPEMA, se giraron de más ¢312 millones, de los cuales, el 95% fue a personas fallecidas.</w:t>
            </w:r>
          </w:p>
        </w:tc>
      </w:tr>
    </w:tbl>
    <w:p w14:paraId="77779F8A" w14:textId="77777777" w:rsidR="00EA4CC5" w:rsidRPr="00EA4CC5" w:rsidRDefault="00EA4CC5" w:rsidP="00EA4CC5">
      <w:pPr>
        <w:spacing w:line="360" w:lineRule="auto"/>
        <w:jc w:val="both"/>
        <w:rPr>
          <w:rFonts w:ascii="Arial" w:hAnsi="Arial" w:cs="Arial"/>
          <w:sz w:val="16"/>
        </w:rPr>
      </w:pPr>
    </w:p>
    <w:tbl>
      <w:tblPr>
        <w:tblStyle w:val="Tabladecuadrcula5oscura-nfasis6"/>
        <w:tblW w:w="0" w:type="auto"/>
        <w:tblLook w:val="04A0" w:firstRow="1" w:lastRow="0" w:firstColumn="1" w:lastColumn="0" w:noHBand="0" w:noVBand="1"/>
      </w:tblPr>
      <w:tblGrid>
        <w:gridCol w:w="8828"/>
      </w:tblGrid>
      <w:tr w:rsidR="00EA4CC5" w:rsidRPr="00EA4CC5" w14:paraId="32707979" w14:textId="77777777" w:rsidTr="00E4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33063C6" w14:textId="77777777" w:rsidR="00EA4CC5" w:rsidRPr="00EA4CC5" w:rsidRDefault="00EA4CC5" w:rsidP="00EA4CC5">
            <w:pPr>
              <w:spacing w:line="360" w:lineRule="auto"/>
              <w:jc w:val="center"/>
              <w:rPr>
                <w:rFonts w:ascii="Arial" w:hAnsi="Arial" w:cs="Arial"/>
                <w:sz w:val="24"/>
              </w:rPr>
            </w:pPr>
            <w:r w:rsidRPr="00EA4CC5">
              <w:rPr>
                <w:rFonts w:ascii="Arial" w:hAnsi="Arial" w:cs="Arial"/>
                <w:sz w:val="24"/>
              </w:rPr>
              <w:t>Ministerio de Salud</w:t>
            </w:r>
          </w:p>
        </w:tc>
      </w:tr>
    </w:tbl>
    <w:tbl>
      <w:tblPr>
        <w:tblStyle w:val="Tablaconcuadrcula"/>
        <w:tblW w:w="0" w:type="auto"/>
        <w:tblLook w:val="04A0" w:firstRow="1" w:lastRow="0" w:firstColumn="1" w:lastColumn="0" w:noHBand="0" w:noVBand="1"/>
      </w:tblPr>
      <w:tblGrid>
        <w:gridCol w:w="2472"/>
        <w:gridCol w:w="6356"/>
      </w:tblGrid>
      <w:tr w:rsidR="00EA4CC5" w:rsidRPr="00EA4CC5" w14:paraId="5FD86A4B" w14:textId="77777777" w:rsidTr="00E43BAE">
        <w:tc>
          <w:tcPr>
            <w:tcW w:w="2472" w:type="dxa"/>
          </w:tcPr>
          <w:p w14:paraId="7824C15B" w14:textId="77777777" w:rsidR="00EA4CC5" w:rsidRPr="00EA4CC5" w:rsidRDefault="00EA4CC5" w:rsidP="00EA4CC5">
            <w:pPr>
              <w:spacing w:line="360" w:lineRule="auto"/>
              <w:jc w:val="center"/>
              <w:rPr>
                <w:rFonts w:ascii="Arial" w:hAnsi="Arial" w:cs="Arial"/>
                <w:b/>
                <w:sz w:val="20"/>
              </w:rPr>
            </w:pPr>
            <w:r w:rsidRPr="00EA4CC5">
              <w:rPr>
                <w:rFonts w:ascii="Arial" w:hAnsi="Arial" w:cs="Arial"/>
                <w:b/>
                <w:sz w:val="20"/>
              </w:rPr>
              <w:t>PARTIDA/SUBPARTIDA</w:t>
            </w:r>
          </w:p>
        </w:tc>
        <w:tc>
          <w:tcPr>
            <w:tcW w:w="6356" w:type="dxa"/>
          </w:tcPr>
          <w:p w14:paraId="351ACA87" w14:textId="77777777" w:rsidR="00EA4CC5" w:rsidRPr="00EA4CC5" w:rsidRDefault="00EA4CC5" w:rsidP="00EA4CC5">
            <w:pPr>
              <w:spacing w:line="360" w:lineRule="auto"/>
              <w:jc w:val="center"/>
              <w:rPr>
                <w:rFonts w:ascii="Arial" w:hAnsi="Arial" w:cs="Arial"/>
                <w:b/>
                <w:sz w:val="20"/>
              </w:rPr>
            </w:pPr>
            <w:r w:rsidRPr="00EA4CC5">
              <w:rPr>
                <w:rFonts w:ascii="Arial" w:hAnsi="Arial" w:cs="Arial"/>
                <w:b/>
                <w:sz w:val="20"/>
              </w:rPr>
              <w:t>SITUACIÓN PRESENTADA</w:t>
            </w:r>
          </w:p>
        </w:tc>
      </w:tr>
      <w:tr w:rsidR="00EA4CC5" w:rsidRPr="00EA4CC5" w14:paraId="0F176A86" w14:textId="77777777" w:rsidTr="001D2BC2">
        <w:tc>
          <w:tcPr>
            <w:tcW w:w="2472" w:type="dxa"/>
            <w:vAlign w:val="center"/>
          </w:tcPr>
          <w:p w14:paraId="1B94F538" w14:textId="494014A4" w:rsidR="00EA4CC5" w:rsidRPr="00EA4CC5" w:rsidRDefault="00EA4CC5" w:rsidP="001D2BC2">
            <w:pPr>
              <w:rPr>
                <w:rFonts w:ascii="Arial" w:hAnsi="Arial" w:cs="Arial"/>
                <w:b/>
                <w:sz w:val="20"/>
              </w:rPr>
            </w:pPr>
            <w:r w:rsidRPr="00EA4CC5">
              <w:rPr>
                <w:rFonts w:ascii="Arial" w:hAnsi="Arial" w:cs="Arial"/>
                <w:b/>
                <w:sz w:val="20"/>
              </w:rPr>
              <w:t>TRANSFERENCIAS CORRIENTES</w:t>
            </w:r>
          </w:p>
        </w:tc>
        <w:tc>
          <w:tcPr>
            <w:tcW w:w="6356" w:type="dxa"/>
            <w:vAlign w:val="center"/>
          </w:tcPr>
          <w:p w14:paraId="3C9013F3" w14:textId="77777777" w:rsidR="00EA4CC5" w:rsidRPr="00EA4CC5" w:rsidRDefault="00EA4CC5" w:rsidP="001D2BC2">
            <w:pPr>
              <w:numPr>
                <w:ilvl w:val="0"/>
                <w:numId w:val="10"/>
              </w:numPr>
              <w:contextualSpacing/>
              <w:rPr>
                <w:rFonts w:ascii="Arial" w:hAnsi="Arial" w:cs="Arial"/>
                <w:sz w:val="20"/>
              </w:rPr>
            </w:pPr>
            <w:r w:rsidRPr="00EA4CC5">
              <w:rPr>
                <w:rFonts w:ascii="Arial" w:hAnsi="Arial" w:cs="Arial"/>
                <w:sz w:val="20"/>
              </w:rPr>
              <w:t>El saldo de la partida, por ¢197.866 millones no presenta gastos por montos de ¢61.789 millones derivado de facturas que no fueron registradas al 31 de diciembre de 2020. Los registros fueron anulados.</w:t>
            </w:r>
          </w:p>
          <w:p w14:paraId="7E5A2A5D" w14:textId="77777777" w:rsidR="00EA4CC5" w:rsidRPr="00EA4CC5" w:rsidRDefault="00EA4CC5" w:rsidP="001D2BC2">
            <w:pPr>
              <w:numPr>
                <w:ilvl w:val="0"/>
                <w:numId w:val="10"/>
              </w:numPr>
              <w:contextualSpacing/>
              <w:rPr>
                <w:rFonts w:ascii="Arial" w:hAnsi="Arial" w:cs="Arial"/>
                <w:sz w:val="20"/>
              </w:rPr>
            </w:pPr>
            <w:r w:rsidRPr="00EA4CC5">
              <w:rPr>
                <w:rFonts w:ascii="Arial" w:hAnsi="Arial" w:cs="Arial"/>
                <w:sz w:val="20"/>
              </w:rPr>
              <w:t>Se contravienen los principios presupuestarios de universalidad e integridad.</w:t>
            </w:r>
          </w:p>
          <w:p w14:paraId="641830DD" w14:textId="77777777" w:rsidR="00EA4CC5" w:rsidRPr="00EA4CC5" w:rsidRDefault="00EA4CC5" w:rsidP="001D2BC2">
            <w:pPr>
              <w:numPr>
                <w:ilvl w:val="0"/>
                <w:numId w:val="10"/>
              </w:numPr>
              <w:contextualSpacing/>
              <w:rPr>
                <w:rFonts w:ascii="Arial" w:hAnsi="Arial" w:cs="Arial"/>
                <w:b/>
                <w:sz w:val="20"/>
              </w:rPr>
            </w:pPr>
            <w:r w:rsidRPr="00EA4CC5">
              <w:rPr>
                <w:rFonts w:ascii="Arial" w:hAnsi="Arial" w:cs="Arial"/>
                <w:sz w:val="20"/>
              </w:rPr>
              <w:t>Esta situación podría haber incidido en el cálculo del déficit financiero del Gobierno Central.</w:t>
            </w:r>
          </w:p>
        </w:tc>
      </w:tr>
    </w:tbl>
    <w:p w14:paraId="105E6129" w14:textId="77777777" w:rsidR="00EA4CC5" w:rsidRPr="00EA4CC5" w:rsidRDefault="00EA4CC5" w:rsidP="00E43BAE">
      <w:pPr>
        <w:spacing w:line="276" w:lineRule="auto"/>
        <w:jc w:val="both"/>
        <w:rPr>
          <w:rFonts w:ascii="Arial" w:hAnsi="Arial" w:cs="Arial"/>
          <w:sz w:val="24"/>
        </w:rPr>
      </w:pPr>
    </w:p>
    <w:p w14:paraId="0FC22A81" w14:textId="77777777" w:rsidR="00EA4CC5" w:rsidRPr="00EA4CC5" w:rsidRDefault="00EA4CC5" w:rsidP="00E43BAE">
      <w:pPr>
        <w:spacing w:line="276" w:lineRule="auto"/>
        <w:jc w:val="both"/>
        <w:rPr>
          <w:rFonts w:ascii="Arial" w:hAnsi="Arial" w:cs="Arial"/>
          <w:sz w:val="24"/>
        </w:rPr>
      </w:pPr>
      <w:r w:rsidRPr="00EA4CC5">
        <w:rPr>
          <w:rFonts w:ascii="Arial" w:hAnsi="Arial" w:cs="Arial"/>
          <w:sz w:val="24"/>
        </w:rPr>
        <w:t>Sobre este punto, en respuesta dada por el Ministerio de Hacienda a la Contraloría General de la República, ante consulta sobre el fundamento utilizado para solicitar la anulación de los gastos correspondientes al periodo 2020, que derivaron en la omisión del registro de estos gastos, a nivel de la liquidación presupuestaria de ese periodo, en la columna del devengado; se informó:</w:t>
      </w:r>
    </w:p>
    <w:p w14:paraId="26E54AB7" w14:textId="77777777" w:rsidR="00EA4CC5" w:rsidRPr="001D2BC2" w:rsidRDefault="00EA4CC5" w:rsidP="001D2BC2">
      <w:pPr>
        <w:spacing w:line="276" w:lineRule="auto"/>
        <w:ind w:left="708" w:right="616"/>
        <w:jc w:val="both"/>
        <w:rPr>
          <w:rFonts w:ascii="Arial" w:hAnsi="Arial" w:cs="Arial"/>
          <w:i/>
          <w:iCs/>
          <w:sz w:val="24"/>
          <w:szCs w:val="28"/>
        </w:rPr>
      </w:pPr>
      <w:r w:rsidRPr="001D2BC2">
        <w:rPr>
          <w:rFonts w:ascii="Arial" w:hAnsi="Arial" w:cs="Arial"/>
          <w:i/>
          <w:iCs/>
          <w:sz w:val="24"/>
          <w:szCs w:val="28"/>
        </w:rPr>
        <w:t xml:space="preserve">“El Ministerio de Hacienda no tuvo conocimiento del retraso en el envío de facturas por parte de la CCSS al Ministerio de Trabajo y Seguridad Social (MTSS) y el Ministerio de Salud. Las Direcciones Financieras de ambos Ministerios (entes concedentes) comunicaron vía correo electrónico, el 23 y 28 de diciembre de 2020 respectivamente, las gestiones de pago referentes a las facturas pendientes que debía ser presentadas por parte de la CCSS. Este Ministerio conoció, a través de dicha comunicación, que las facturas se presentaron con retraso por parte de la CCSS, debido a que esa entidad aplicó mejoras en sus procesos de generación de información. </w:t>
      </w:r>
      <w:r w:rsidRPr="001D2BC2">
        <w:rPr>
          <w:rFonts w:ascii="Arial" w:hAnsi="Arial" w:cs="Arial"/>
          <w:b/>
          <w:i/>
          <w:iCs/>
          <w:sz w:val="24"/>
          <w:szCs w:val="28"/>
          <w:u w:val="single"/>
        </w:rPr>
        <w:t>Como es evidente, ese trámite se realizó de último momento para el ejercicio económico 2020.</w:t>
      </w:r>
    </w:p>
    <w:p w14:paraId="45701CA1" w14:textId="77777777" w:rsidR="00EA4CC5" w:rsidRPr="001D2BC2" w:rsidRDefault="00EA4CC5" w:rsidP="001D2BC2">
      <w:pPr>
        <w:spacing w:line="276" w:lineRule="auto"/>
        <w:ind w:left="708" w:right="616"/>
        <w:jc w:val="both"/>
        <w:rPr>
          <w:rFonts w:ascii="Arial" w:hAnsi="Arial" w:cs="Arial"/>
          <w:i/>
          <w:iCs/>
          <w:sz w:val="24"/>
          <w:szCs w:val="28"/>
        </w:rPr>
      </w:pPr>
      <w:r w:rsidRPr="001D2BC2">
        <w:rPr>
          <w:rFonts w:ascii="Arial" w:hAnsi="Arial" w:cs="Arial"/>
          <w:i/>
          <w:iCs/>
          <w:sz w:val="24"/>
          <w:szCs w:val="28"/>
        </w:rPr>
        <w:t>(…)</w:t>
      </w:r>
    </w:p>
    <w:p w14:paraId="790737A2" w14:textId="77777777" w:rsidR="00EA4CC5" w:rsidRPr="001D2BC2" w:rsidRDefault="00EA4CC5" w:rsidP="001D2BC2">
      <w:pPr>
        <w:spacing w:line="276" w:lineRule="auto"/>
        <w:ind w:left="708" w:right="616"/>
        <w:jc w:val="both"/>
        <w:rPr>
          <w:rFonts w:ascii="Arial" w:hAnsi="Arial" w:cs="Arial"/>
          <w:i/>
          <w:iCs/>
          <w:sz w:val="24"/>
          <w:szCs w:val="28"/>
        </w:rPr>
      </w:pPr>
      <w:r w:rsidRPr="001D2BC2">
        <w:rPr>
          <w:rFonts w:ascii="Arial" w:hAnsi="Arial" w:cs="Arial"/>
          <w:i/>
          <w:iCs/>
          <w:sz w:val="24"/>
          <w:szCs w:val="28"/>
        </w:rPr>
        <w:t>Por tanto, dado que la comunicación se realizó en la última semana laboral, se procedió a depositar los recursos de ambos Ministerios, en la cuenta de Caja Única de la CCSS. No obstante, el riesgo que generaba la salida de recursos líquidos por el monto que representaban, por parte de esa entidad, obliga a dar una contraorden para devolverlos a su estado original y evitar emitir pagos sin la liquidez necesaria en el Tesoro Público. Siendo que este Ministerio cerró el año pasado con un flujo de caja de ¢₡23.990,9 millones, con lo cual le era imposible girar los montos solicitados. Al existir un tiempo muy corto entre el giro el giro de recursos y el cierre del año, impidió que este Ministerio pudiese contar con la disponibilidad de los recursos para proceder con el respectivo giro. Esta es la principal razón para la no autorización del giro con recursos contemplados en el presupuesto ordinario 2020.</w:t>
      </w:r>
    </w:p>
    <w:p w14:paraId="24EE3851" w14:textId="77777777" w:rsidR="00EA4CC5" w:rsidRPr="001D2BC2" w:rsidRDefault="00EA4CC5" w:rsidP="001D2BC2">
      <w:pPr>
        <w:spacing w:line="276" w:lineRule="auto"/>
        <w:ind w:left="708" w:right="616"/>
        <w:jc w:val="both"/>
        <w:rPr>
          <w:rFonts w:ascii="Arial" w:hAnsi="Arial" w:cs="Arial"/>
          <w:i/>
          <w:iCs/>
          <w:sz w:val="24"/>
          <w:szCs w:val="28"/>
        </w:rPr>
      </w:pPr>
      <w:r w:rsidRPr="001D2BC2">
        <w:rPr>
          <w:rFonts w:ascii="Arial" w:hAnsi="Arial" w:cs="Arial"/>
          <w:i/>
          <w:iCs/>
          <w:sz w:val="24"/>
          <w:szCs w:val="28"/>
        </w:rPr>
        <w:t xml:space="preserve">Téngase presente </w:t>
      </w:r>
      <w:r w:rsidR="004C532B" w:rsidRPr="001D2BC2">
        <w:rPr>
          <w:rFonts w:ascii="Arial" w:hAnsi="Arial" w:cs="Arial"/>
          <w:i/>
          <w:iCs/>
          <w:sz w:val="24"/>
          <w:szCs w:val="28"/>
        </w:rPr>
        <w:t>que,</w:t>
      </w:r>
      <w:r w:rsidRPr="001D2BC2">
        <w:rPr>
          <w:rFonts w:ascii="Arial" w:hAnsi="Arial" w:cs="Arial"/>
          <w:i/>
          <w:iCs/>
          <w:sz w:val="24"/>
          <w:szCs w:val="28"/>
        </w:rPr>
        <w:t xml:space="preserve"> si esta situación se hubiese presentado en cualquier otro mes del año, el pago simplemente se habría trasladado a un mes en que se pudiera programar y contar con los recursos del caso. Es importante resaltar que este Ministerio no puede asumir los riesgos operativos presentados por parte de la CCSS ante la implementación de las mejoras en sus procesos de generación de información ante MTSS y el Ministerio de Salud, dando tramité de último momento cuando se tenía cerrada la programación del flujo de caja del Gobierno Central.”</w:t>
      </w:r>
      <w:r w:rsidRPr="001D2BC2">
        <w:rPr>
          <w:rFonts w:ascii="Arial" w:hAnsi="Arial" w:cs="Arial"/>
          <w:i/>
          <w:iCs/>
          <w:sz w:val="24"/>
          <w:szCs w:val="28"/>
          <w:vertAlign w:val="superscript"/>
        </w:rPr>
        <w:footnoteReference w:id="7"/>
      </w:r>
    </w:p>
    <w:p w14:paraId="4A5DD9F3" w14:textId="77777777" w:rsidR="00EA4CC5" w:rsidRPr="00EA4CC5" w:rsidRDefault="00EA4CC5" w:rsidP="00E43BAE">
      <w:pPr>
        <w:spacing w:line="276" w:lineRule="auto"/>
        <w:ind w:left="2124"/>
        <w:jc w:val="both"/>
        <w:rPr>
          <w:rFonts w:ascii="Arial" w:hAnsi="Arial" w:cs="Arial"/>
          <w:sz w:val="20"/>
        </w:rPr>
      </w:pPr>
    </w:p>
    <w:tbl>
      <w:tblPr>
        <w:tblStyle w:val="Tabladecuadrcula5oscura-nfasis6"/>
        <w:tblW w:w="0" w:type="auto"/>
        <w:shd w:val="clear" w:color="auto" w:fill="7030A0"/>
        <w:tblLook w:val="04A0" w:firstRow="1" w:lastRow="0" w:firstColumn="1" w:lastColumn="0" w:noHBand="0" w:noVBand="1"/>
      </w:tblPr>
      <w:tblGrid>
        <w:gridCol w:w="8828"/>
      </w:tblGrid>
      <w:tr w:rsidR="00EA4CC5" w:rsidRPr="00EA4CC5" w14:paraId="3CA8417F" w14:textId="77777777" w:rsidTr="00E4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7030A0"/>
          </w:tcPr>
          <w:p w14:paraId="0D7F2568" w14:textId="77777777" w:rsidR="00EA4CC5" w:rsidRPr="00EA4CC5" w:rsidRDefault="00EA4CC5" w:rsidP="00EA4CC5">
            <w:pPr>
              <w:spacing w:line="360" w:lineRule="auto"/>
              <w:jc w:val="center"/>
              <w:rPr>
                <w:rFonts w:ascii="Arial" w:hAnsi="Arial" w:cs="Arial"/>
                <w:sz w:val="24"/>
              </w:rPr>
            </w:pPr>
            <w:r w:rsidRPr="00EA4CC5">
              <w:rPr>
                <w:rFonts w:ascii="Arial" w:hAnsi="Arial" w:cs="Arial"/>
                <w:sz w:val="24"/>
              </w:rPr>
              <w:t>Ministerio de Seguridad Pública</w:t>
            </w:r>
          </w:p>
          <w:p w14:paraId="61CAD05C" w14:textId="77777777" w:rsidR="00EA4CC5" w:rsidRPr="00EA4CC5" w:rsidRDefault="00EA4CC5" w:rsidP="00EA4CC5">
            <w:pPr>
              <w:spacing w:line="360" w:lineRule="auto"/>
              <w:jc w:val="center"/>
              <w:rPr>
                <w:rFonts w:ascii="Arial" w:hAnsi="Arial" w:cs="Arial"/>
                <w:sz w:val="24"/>
              </w:rPr>
            </w:pPr>
            <w:r w:rsidRPr="00EA4CC5">
              <w:rPr>
                <w:rFonts w:ascii="Arial" w:hAnsi="Arial" w:cs="Arial"/>
                <w:sz w:val="24"/>
              </w:rPr>
              <w:t>Ministerio de Justicia y Paz</w:t>
            </w:r>
          </w:p>
        </w:tc>
      </w:tr>
    </w:tbl>
    <w:tbl>
      <w:tblPr>
        <w:tblStyle w:val="Tablaconcuadrcula"/>
        <w:tblW w:w="0" w:type="auto"/>
        <w:tblLook w:val="04A0" w:firstRow="1" w:lastRow="0" w:firstColumn="1" w:lastColumn="0" w:noHBand="0" w:noVBand="1"/>
      </w:tblPr>
      <w:tblGrid>
        <w:gridCol w:w="2472"/>
        <w:gridCol w:w="6356"/>
      </w:tblGrid>
      <w:tr w:rsidR="00EA4CC5" w:rsidRPr="00EA4CC5" w14:paraId="0F85F582" w14:textId="77777777" w:rsidTr="00E43BAE">
        <w:tc>
          <w:tcPr>
            <w:tcW w:w="2472" w:type="dxa"/>
          </w:tcPr>
          <w:p w14:paraId="09FCDAB5" w14:textId="77777777" w:rsidR="00EA4CC5" w:rsidRPr="00EA4CC5" w:rsidRDefault="00EA4CC5" w:rsidP="00EA4CC5">
            <w:pPr>
              <w:spacing w:line="360" w:lineRule="auto"/>
              <w:jc w:val="center"/>
              <w:rPr>
                <w:rFonts w:ascii="Arial" w:hAnsi="Arial" w:cs="Arial"/>
                <w:b/>
                <w:sz w:val="20"/>
              </w:rPr>
            </w:pPr>
            <w:r w:rsidRPr="00EA4CC5">
              <w:rPr>
                <w:rFonts w:ascii="Arial" w:hAnsi="Arial" w:cs="Arial"/>
                <w:b/>
                <w:sz w:val="20"/>
              </w:rPr>
              <w:t>PARTIDA/SUBPARTIDA</w:t>
            </w:r>
          </w:p>
        </w:tc>
        <w:tc>
          <w:tcPr>
            <w:tcW w:w="6356" w:type="dxa"/>
          </w:tcPr>
          <w:p w14:paraId="445F1A6F" w14:textId="77777777" w:rsidR="00EA4CC5" w:rsidRPr="00EA4CC5" w:rsidRDefault="00EA4CC5" w:rsidP="00EA4CC5">
            <w:pPr>
              <w:spacing w:line="360" w:lineRule="auto"/>
              <w:jc w:val="center"/>
              <w:rPr>
                <w:rFonts w:ascii="Arial" w:hAnsi="Arial" w:cs="Arial"/>
                <w:b/>
                <w:sz w:val="20"/>
              </w:rPr>
            </w:pPr>
            <w:r w:rsidRPr="00EA4CC5">
              <w:rPr>
                <w:rFonts w:ascii="Arial" w:hAnsi="Arial" w:cs="Arial"/>
                <w:b/>
                <w:sz w:val="20"/>
              </w:rPr>
              <w:t>SITUACIÓN PRESENTADA</w:t>
            </w:r>
          </w:p>
        </w:tc>
      </w:tr>
      <w:tr w:rsidR="00EA4CC5" w:rsidRPr="00EA4CC5" w14:paraId="6BD56D52" w14:textId="77777777" w:rsidTr="00375D49">
        <w:tc>
          <w:tcPr>
            <w:tcW w:w="2472" w:type="dxa"/>
            <w:vAlign w:val="center"/>
          </w:tcPr>
          <w:p w14:paraId="58F1E6B8" w14:textId="77777777" w:rsidR="00EA4CC5" w:rsidRPr="00EA4CC5" w:rsidRDefault="00EA4CC5" w:rsidP="00375D49">
            <w:pPr>
              <w:spacing w:line="360" w:lineRule="auto"/>
              <w:rPr>
                <w:rFonts w:ascii="Arial" w:hAnsi="Arial" w:cs="Arial"/>
                <w:b/>
                <w:sz w:val="20"/>
              </w:rPr>
            </w:pPr>
            <w:r w:rsidRPr="00EA4CC5">
              <w:rPr>
                <w:rFonts w:ascii="Arial" w:hAnsi="Arial" w:cs="Arial"/>
                <w:b/>
                <w:sz w:val="20"/>
              </w:rPr>
              <w:t>SERVICIOS</w:t>
            </w:r>
          </w:p>
        </w:tc>
        <w:tc>
          <w:tcPr>
            <w:tcW w:w="6356" w:type="dxa"/>
            <w:vAlign w:val="center"/>
          </w:tcPr>
          <w:p w14:paraId="532CF97C" w14:textId="77777777" w:rsidR="00EA4CC5" w:rsidRPr="00EA4CC5" w:rsidRDefault="00EA4CC5" w:rsidP="00375D49">
            <w:pPr>
              <w:numPr>
                <w:ilvl w:val="0"/>
                <w:numId w:val="11"/>
              </w:numPr>
              <w:spacing w:line="360" w:lineRule="auto"/>
              <w:contextualSpacing/>
              <w:rPr>
                <w:rFonts w:ascii="Arial" w:hAnsi="Arial" w:cs="Arial"/>
                <w:sz w:val="20"/>
              </w:rPr>
            </w:pPr>
            <w:r w:rsidRPr="00EA4CC5">
              <w:rPr>
                <w:rFonts w:ascii="Arial" w:hAnsi="Arial" w:cs="Arial"/>
                <w:sz w:val="20"/>
              </w:rPr>
              <w:t>Ninguno de los dos ministerios incorporó en la liquidación presupuestaria servicios por la suma de (¢1.266 millones MSP y ¢1.158 millones 37 en el MJP), dado que no se disponía de contenido presupuestario. Estos son gastos devengados al 31 de diciembre ¢883 millones para MSP y por ¢840 millones para MJP; además de compromisos no devengados por ¢383 millones y por ¢318 41 millones, respectivamente.</w:t>
            </w:r>
          </w:p>
          <w:p w14:paraId="7F6BF651" w14:textId="77777777" w:rsidR="00EA4CC5" w:rsidRPr="00EA4CC5" w:rsidRDefault="00EA4CC5" w:rsidP="00375D49">
            <w:pPr>
              <w:numPr>
                <w:ilvl w:val="0"/>
                <w:numId w:val="11"/>
              </w:numPr>
              <w:spacing w:line="360" w:lineRule="auto"/>
              <w:contextualSpacing/>
              <w:rPr>
                <w:rFonts w:ascii="Arial" w:hAnsi="Arial" w:cs="Arial"/>
                <w:b/>
                <w:sz w:val="20"/>
              </w:rPr>
            </w:pPr>
            <w:r w:rsidRPr="00EA4CC5">
              <w:rPr>
                <w:rFonts w:ascii="Arial" w:hAnsi="Arial" w:cs="Arial"/>
                <w:sz w:val="20"/>
              </w:rPr>
              <w:t>La situación descrita afecta la calidad de la información financiera, y limita la transparencia, la rendición de cuentas y la toma de decisiones por parte de las personas usuarias.</w:t>
            </w:r>
          </w:p>
        </w:tc>
      </w:tr>
    </w:tbl>
    <w:p w14:paraId="75CFD234" w14:textId="45694842" w:rsidR="00375D49" w:rsidRDefault="00375D49" w:rsidP="00EA4CC5">
      <w:pPr>
        <w:spacing w:line="360" w:lineRule="auto"/>
        <w:jc w:val="both"/>
        <w:rPr>
          <w:rFonts w:ascii="Arial" w:hAnsi="Arial" w:cs="Arial"/>
          <w:sz w:val="24"/>
        </w:rPr>
      </w:pPr>
    </w:p>
    <w:tbl>
      <w:tblPr>
        <w:tblStyle w:val="Tabladecuadrcula5oscura-nfasis4"/>
        <w:tblW w:w="0" w:type="auto"/>
        <w:tblLook w:val="04A0" w:firstRow="1" w:lastRow="0" w:firstColumn="1" w:lastColumn="0" w:noHBand="0" w:noVBand="1"/>
      </w:tblPr>
      <w:tblGrid>
        <w:gridCol w:w="8828"/>
      </w:tblGrid>
      <w:tr w:rsidR="00EA4CC5" w:rsidRPr="00EA4CC5" w14:paraId="248B84BE" w14:textId="77777777" w:rsidTr="00E4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0C018FD" w14:textId="77777777" w:rsidR="00EA4CC5" w:rsidRPr="00EA4CC5" w:rsidRDefault="00EA4CC5" w:rsidP="00EA4CC5">
            <w:pPr>
              <w:spacing w:line="360" w:lineRule="auto"/>
              <w:jc w:val="center"/>
              <w:rPr>
                <w:rFonts w:ascii="Arial" w:hAnsi="Arial" w:cs="Arial"/>
                <w:sz w:val="24"/>
              </w:rPr>
            </w:pPr>
            <w:r w:rsidRPr="00EA4CC5">
              <w:rPr>
                <w:rFonts w:ascii="Arial" w:hAnsi="Arial" w:cs="Arial"/>
                <w:sz w:val="24"/>
              </w:rPr>
              <w:t>Ministerio de Hacienda</w:t>
            </w:r>
          </w:p>
        </w:tc>
      </w:tr>
    </w:tbl>
    <w:tbl>
      <w:tblPr>
        <w:tblStyle w:val="Tablaconcuadrcula"/>
        <w:tblW w:w="0" w:type="auto"/>
        <w:tblLook w:val="04A0" w:firstRow="1" w:lastRow="0" w:firstColumn="1" w:lastColumn="0" w:noHBand="0" w:noVBand="1"/>
      </w:tblPr>
      <w:tblGrid>
        <w:gridCol w:w="2472"/>
        <w:gridCol w:w="6356"/>
      </w:tblGrid>
      <w:tr w:rsidR="00EA4CC5" w:rsidRPr="00EA4CC5" w14:paraId="08638ABB" w14:textId="77777777" w:rsidTr="00E43BAE">
        <w:tc>
          <w:tcPr>
            <w:tcW w:w="2472" w:type="dxa"/>
          </w:tcPr>
          <w:p w14:paraId="46F71981" w14:textId="77777777" w:rsidR="00EA4CC5" w:rsidRPr="00EA4CC5" w:rsidRDefault="00EA4CC5" w:rsidP="00EA4CC5">
            <w:pPr>
              <w:spacing w:line="360" w:lineRule="auto"/>
              <w:jc w:val="center"/>
              <w:rPr>
                <w:rFonts w:ascii="Arial" w:hAnsi="Arial" w:cs="Arial"/>
                <w:b/>
                <w:sz w:val="20"/>
              </w:rPr>
            </w:pPr>
            <w:r w:rsidRPr="00EA4CC5">
              <w:rPr>
                <w:rFonts w:ascii="Arial" w:hAnsi="Arial" w:cs="Arial"/>
                <w:b/>
                <w:sz w:val="20"/>
              </w:rPr>
              <w:t>PARTIDA/SUBPARTIDA</w:t>
            </w:r>
          </w:p>
        </w:tc>
        <w:tc>
          <w:tcPr>
            <w:tcW w:w="6356" w:type="dxa"/>
          </w:tcPr>
          <w:p w14:paraId="109A3EAF" w14:textId="77777777" w:rsidR="00EA4CC5" w:rsidRPr="00EA4CC5" w:rsidRDefault="00EA4CC5" w:rsidP="00EA4CC5">
            <w:pPr>
              <w:spacing w:line="360" w:lineRule="auto"/>
              <w:jc w:val="center"/>
              <w:rPr>
                <w:rFonts w:ascii="Arial" w:hAnsi="Arial" w:cs="Arial"/>
                <w:b/>
                <w:sz w:val="20"/>
              </w:rPr>
            </w:pPr>
            <w:r w:rsidRPr="00EA4CC5">
              <w:rPr>
                <w:rFonts w:ascii="Arial" w:hAnsi="Arial" w:cs="Arial"/>
                <w:b/>
                <w:sz w:val="20"/>
              </w:rPr>
              <w:t>SITUACIÓN PRESENTADA</w:t>
            </w:r>
          </w:p>
        </w:tc>
      </w:tr>
      <w:tr w:rsidR="00EA4CC5" w:rsidRPr="00EA4CC5" w14:paraId="3E47030E" w14:textId="77777777" w:rsidTr="00375D49">
        <w:tc>
          <w:tcPr>
            <w:tcW w:w="2472" w:type="dxa"/>
            <w:vAlign w:val="center"/>
          </w:tcPr>
          <w:p w14:paraId="0B45C25E" w14:textId="77777777" w:rsidR="00EA4CC5" w:rsidRPr="00EA4CC5" w:rsidRDefault="00EA4CC5" w:rsidP="00375D49">
            <w:pPr>
              <w:spacing w:line="360" w:lineRule="auto"/>
              <w:rPr>
                <w:rFonts w:ascii="Arial" w:hAnsi="Arial" w:cs="Arial"/>
                <w:b/>
                <w:sz w:val="20"/>
              </w:rPr>
            </w:pPr>
            <w:r w:rsidRPr="00EA4CC5">
              <w:rPr>
                <w:rFonts w:ascii="Arial" w:hAnsi="Arial" w:cs="Arial"/>
                <w:b/>
                <w:sz w:val="20"/>
              </w:rPr>
              <w:t>SERVICIOS</w:t>
            </w:r>
          </w:p>
          <w:p w14:paraId="0E3E3431" w14:textId="77777777" w:rsidR="00EA4CC5" w:rsidRPr="00EA4CC5" w:rsidRDefault="00EA4CC5" w:rsidP="00375D49">
            <w:pPr>
              <w:spacing w:line="360" w:lineRule="auto"/>
              <w:rPr>
                <w:rFonts w:ascii="Arial" w:hAnsi="Arial" w:cs="Arial"/>
                <w:b/>
                <w:sz w:val="20"/>
              </w:rPr>
            </w:pPr>
            <w:r w:rsidRPr="00EA4CC5">
              <w:rPr>
                <w:rFonts w:ascii="Arial" w:hAnsi="Arial" w:cs="Arial"/>
                <w:b/>
                <w:sz w:val="20"/>
              </w:rPr>
              <w:t>Otros Alquileres</w:t>
            </w:r>
          </w:p>
        </w:tc>
        <w:tc>
          <w:tcPr>
            <w:tcW w:w="6356" w:type="dxa"/>
            <w:vAlign w:val="center"/>
          </w:tcPr>
          <w:p w14:paraId="0364FD71" w14:textId="77777777" w:rsidR="00EA4CC5" w:rsidRPr="00EA4CC5" w:rsidRDefault="00EA4CC5" w:rsidP="00375D49">
            <w:pPr>
              <w:numPr>
                <w:ilvl w:val="0"/>
                <w:numId w:val="12"/>
              </w:numPr>
              <w:spacing w:line="360" w:lineRule="auto"/>
              <w:contextualSpacing/>
              <w:rPr>
                <w:rFonts w:ascii="Arial" w:hAnsi="Arial" w:cs="Arial"/>
                <w:b/>
                <w:sz w:val="20"/>
              </w:rPr>
            </w:pPr>
            <w:r w:rsidRPr="00EA4CC5">
              <w:rPr>
                <w:rFonts w:ascii="Arial" w:hAnsi="Arial" w:cs="Arial"/>
                <w:sz w:val="20"/>
              </w:rPr>
              <w:t>Existen resoluciones administrativas no devengadas y servicios contratados que no se reflejan en la liquidación por el “Arrendamiento de un 42 Centro de Procesamiento de Datos Secundario" no incorporados en la subpartida 43 10199 “Otros Alquileres” por un monto total de ¢597 millones.</w:t>
            </w:r>
          </w:p>
          <w:p w14:paraId="545B9005" w14:textId="77777777" w:rsidR="00EA4CC5" w:rsidRPr="00EA4CC5" w:rsidRDefault="00EA4CC5" w:rsidP="00375D49">
            <w:pPr>
              <w:numPr>
                <w:ilvl w:val="0"/>
                <w:numId w:val="12"/>
              </w:numPr>
              <w:spacing w:line="360" w:lineRule="auto"/>
              <w:contextualSpacing/>
              <w:rPr>
                <w:rFonts w:ascii="Arial" w:hAnsi="Arial" w:cs="Arial"/>
                <w:b/>
                <w:sz w:val="20"/>
              </w:rPr>
            </w:pPr>
            <w:r w:rsidRPr="00EA4CC5">
              <w:rPr>
                <w:rFonts w:ascii="Arial" w:hAnsi="Arial" w:cs="Arial"/>
                <w:sz w:val="20"/>
              </w:rPr>
              <w:t>Se incumple con los principios de universalidad, integridad y de especialidad cuantitativa y cualitativa.</w:t>
            </w:r>
          </w:p>
          <w:p w14:paraId="57B103F4" w14:textId="77777777" w:rsidR="00EA4CC5" w:rsidRPr="00EA4CC5" w:rsidRDefault="00EA4CC5" w:rsidP="00375D49">
            <w:pPr>
              <w:numPr>
                <w:ilvl w:val="0"/>
                <w:numId w:val="12"/>
              </w:numPr>
              <w:spacing w:line="360" w:lineRule="auto"/>
              <w:contextualSpacing/>
              <w:rPr>
                <w:rFonts w:ascii="Arial" w:hAnsi="Arial" w:cs="Arial"/>
                <w:b/>
                <w:sz w:val="20"/>
              </w:rPr>
            </w:pPr>
            <w:r w:rsidRPr="00EA4CC5">
              <w:rPr>
                <w:rFonts w:ascii="Arial" w:hAnsi="Arial" w:cs="Arial"/>
                <w:sz w:val="20"/>
              </w:rPr>
              <w:t>No se registraron resoluciones administrativas por traslado y devolución de cuotas, así como diferencias salariales; lo cual impide contar con información íntegra y genera posibles riesgos para el Estado.</w:t>
            </w:r>
          </w:p>
          <w:p w14:paraId="3CF1964F" w14:textId="77777777" w:rsidR="00EA4CC5" w:rsidRPr="00EA4CC5" w:rsidRDefault="00EA4CC5" w:rsidP="00375D49">
            <w:pPr>
              <w:numPr>
                <w:ilvl w:val="0"/>
                <w:numId w:val="12"/>
              </w:numPr>
              <w:spacing w:line="360" w:lineRule="auto"/>
              <w:contextualSpacing/>
              <w:rPr>
                <w:rFonts w:ascii="Arial" w:hAnsi="Arial" w:cs="Arial"/>
                <w:b/>
                <w:sz w:val="20"/>
              </w:rPr>
            </w:pPr>
            <w:r w:rsidRPr="00EA4CC5">
              <w:rPr>
                <w:rFonts w:ascii="Arial" w:hAnsi="Arial" w:cs="Arial"/>
                <w:sz w:val="20"/>
              </w:rPr>
              <w:t>En relación con el traslado de cuotas a la CCSS, se están omitiendo las patronales y estatales por un monto aproximado de ¢301 millones.</w:t>
            </w:r>
            <w:r w:rsidRPr="00EA4CC5">
              <w:t xml:space="preserve"> </w:t>
            </w:r>
          </w:p>
          <w:p w14:paraId="1B203968" w14:textId="77777777" w:rsidR="00EA4CC5" w:rsidRPr="00EA4CC5" w:rsidRDefault="00EA4CC5" w:rsidP="00375D49">
            <w:pPr>
              <w:numPr>
                <w:ilvl w:val="0"/>
                <w:numId w:val="12"/>
              </w:numPr>
              <w:spacing w:line="360" w:lineRule="auto"/>
              <w:contextualSpacing/>
              <w:rPr>
                <w:rFonts w:ascii="Arial" w:hAnsi="Arial" w:cs="Arial"/>
                <w:b/>
                <w:sz w:val="20"/>
              </w:rPr>
            </w:pPr>
            <w:r w:rsidRPr="00EA4CC5">
              <w:rPr>
                <w:rFonts w:ascii="Arial" w:hAnsi="Arial" w:cs="Arial"/>
                <w:sz w:val="20"/>
              </w:rPr>
              <w:t>En relación con los servicios recibidos y las resoluciones administrativas que no fueron incluidas, la información no fue revelada en el análisis de la liquidación, lo que genera opacidad en la rendición de cuentas y la transparencia.</w:t>
            </w:r>
          </w:p>
        </w:tc>
      </w:tr>
    </w:tbl>
    <w:p w14:paraId="454CF35F" w14:textId="441B3E49" w:rsidR="00375D49" w:rsidRDefault="00375D49" w:rsidP="00EA4CC5">
      <w:pPr>
        <w:spacing w:line="360" w:lineRule="auto"/>
        <w:jc w:val="both"/>
        <w:rPr>
          <w:rFonts w:ascii="Arial" w:hAnsi="Arial" w:cs="Arial"/>
          <w:sz w:val="24"/>
        </w:rPr>
      </w:pPr>
    </w:p>
    <w:p w14:paraId="643158C0" w14:textId="77777777" w:rsidR="00375D49" w:rsidRDefault="00375D49">
      <w:pPr>
        <w:rPr>
          <w:rFonts w:ascii="Arial" w:hAnsi="Arial" w:cs="Arial"/>
          <w:sz w:val="24"/>
        </w:rPr>
      </w:pPr>
      <w:r>
        <w:rPr>
          <w:rFonts w:ascii="Arial" w:hAnsi="Arial" w:cs="Arial"/>
          <w:sz w:val="24"/>
        </w:rPr>
        <w:br w:type="page"/>
      </w:r>
    </w:p>
    <w:p w14:paraId="50E38968" w14:textId="77777777" w:rsidR="00EA4CC5" w:rsidRPr="00EA4CC5" w:rsidRDefault="00EA4CC5" w:rsidP="00EA4CC5">
      <w:pPr>
        <w:spacing w:line="360" w:lineRule="auto"/>
        <w:jc w:val="both"/>
        <w:rPr>
          <w:rFonts w:ascii="Arial" w:hAnsi="Arial" w:cs="Arial"/>
          <w:sz w:val="24"/>
        </w:rPr>
      </w:pPr>
    </w:p>
    <w:tbl>
      <w:tblPr>
        <w:tblStyle w:val="Tabladecuadrcula5oscura-nfasis3"/>
        <w:tblW w:w="0" w:type="auto"/>
        <w:tblLook w:val="04A0" w:firstRow="1" w:lastRow="0" w:firstColumn="1" w:lastColumn="0" w:noHBand="0" w:noVBand="1"/>
      </w:tblPr>
      <w:tblGrid>
        <w:gridCol w:w="8828"/>
      </w:tblGrid>
      <w:tr w:rsidR="00EA4CC5" w:rsidRPr="00EA4CC5" w14:paraId="7FADCFDD" w14:textId="77777777" w:rsidTr="00E4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42161B3" w14:textId="77777777" w:rsidR="00EA4CC5" w:rsidRPr="00EA4CC5" w:rsidRDefault="00EA4CC5" w:rsidP="00EA4CC5">
            <w:pPr>
              <w:spacing w:line="360" w:lineRule="auto"/>
              <w:jc w:val="center"/>
              <w:rPr>
                <w:rFonts w:ascii="Arial" w:hAnsi="Arial" w:cs="Arial"/>
                <w:sz w:val="24"/>
              </w:rPr>
            </w:pPr>
            <w:r w:rsidRPr="00EA4CC5">
              <w:rPr>
                <w:rFonts w:ascii="Arial" w:hAnsi="Arial" w:cs="Arial"/>
                <w:sz w:val="24"/>
              </w:rPr>
              <w:t>Servicio de la Deuda Pública</w:t>
            </w:r>
          </w:p>
        </w:tc>
      </w:tr>
    </w:tbl>
    <w:tbl>
      <w:tblPr>
        <w:tblStyle w:val="Tablaconcuadrcula"/>
        <w:tblW w:w="0" w:type="auto"/>
        <w:tblLook w:val="04A0" w:firstRow="1" w:lastRow="0" w:firstColumn="1" w:lastColumn="0" w:noHBand="0" w:noVBand="1"/>
      </w:tblPr>
      <w:tblGrid>
        <w:gridCol w:w="2472"/>
        <w:gridCol w:w="6356"/>
      </w:tblGrid>
      <w:tr w:rsidR="00EA4CC5" w:rsidRPr="00EA4CC5" w14:paraId="436B0BCA" w14:textId="77777777" w:rsidTr="00375D49">
        <w:tc>
          <w:tcPr>
            <w:tcW w:w="2472" w:type="dxa"/>
            <w:vAlign w:val="center"/>
          </w:tcPr>
          <w:p w14:paraId="543A8A31" w14:textId="77777777" w:rsidR="00EA4CC5" w:rsidRPr="00EA4CC5" w:rsidRDefault="00EA4CC5" w:rsidP="00375D49">
            <w:pPr>
              <w:spacing w:line="360" w:lineRule="auto"/>
              <w:jc w:val="center"/>
              <w:rPr>
                <w:rFonts w:ascii="Arial" w:hAnsi="Arial" w:cs="Arial"/>
                <w:b/>
                <w:sz w:val="20"/>
              </w:rPr>
            </w:pPr>
            <w:r w:rsidRPr="00EA4CC5">
              <w:rPr>
                <w:rFonts w:ascii="Arial" w:hAnsi="Arial" w:cs="Arial"/>
                <w:b/>
                <w:sz w:val="20"/>
              </w:rPr>
              <w:t>PARTIDA/SUBPARTIDA</w:t>
            </w:r>
          </w:p>
        </w:tc>
        <w:tc>
          <w:tcPr>
            <w:tcW w:w="6356" w:type="dxa"/>
            <w:vAlign w:val="center"/>
          </w:tcPr>
          <w:p w14:paraId="64D46672" w14:textId="77777777" w:rsidR="00EA4CC5" w:rsidRPr="00EA4CC5" w:rsidRDefault="00EA4CC5" w:rsidP="00375D49">
            <w:pPr>
              <w:spacing w:line="360" w:lineRule="auto"/>
              <w:jc w:val="center"/>
              <w:rPr>
                <w:rFonts w:ascii="Arial" w:hAnsi="Arial" w:cs="Arial"/>
                <w:b/>
                <w:sz w:val="20"/>
              </w:rPr>
            </w:pPr>
            <w:r w:rsidRPr="00EA4CC5">
              <w:rPr>
                <w:rFonts w:ascii="Arial" w:hAnsi="Arial" w:cs="Arial"/>
                <w:b/>
                <w:sz w:val="20"/>
              </w:rPr>
              <w:t>SITUACIÓN PRESENTADA</w:t>
            </w:r>
          </w:p>
        </w:tc>
      </w:tr>
      <w:tr w:rsidR="00EA4CC5" w:rsidRPr="00EA4CC5" w14:paraId="44247A7C" w14:textId="77777777" w:rsidTr="00375D49">
        <w:tc>
          <w:tcPr>
            <w:tcW w:w="2472" w:type="dxa"/>
            <w:tcBorders>
              <w:bottom w:val="nil"/>
            </w:tcBorders>
            <w:vAlign w:val="center"/>
          </w:tcPr>
          <w:p w14:paraId="677AFD9C" w14:textId="07DE8A77" w:rsidR="00EA4CC5" w:rsidRPr="00EA4CC5" w:rsidRDefault="00EA4CC5" w:rsidP="00375D49">
            <w:pPr>
              <w:spacing w:line="360" w:lineRule="auto"/>
              <w:rPr>
                <w:rFonts w:ascii="Arial" w:hAnsi="Arial" w:cs="Arial"/>
                <w:b/>
                <w:sz w:val="20"/>
              </w:rPr>
            </w:pPr>
            <w:r w:rsidRPr="00EA4CC5">
              <w:rPr>
                <w:rFonts w:ascii="Arial" w:hAnsi="Arial" w:cs="Arial"/>
                <w:b/>
                <w:sz w:val="20"/>
              </w:rPr>
              <w:t>Amortización de otras obligaciones</w:t>
            </w:r>
          </w:p>
        </w:tc>
        <w:tc>
          <w:tcPr>
            <w:tcW w:w="6356" w:type="dxa"/>
            <w:tcBorders>
              <w:bottom w:val="nil"/>
            </w:tcBorders>
            <w:vAlign w:val="center"/>
          </w:tcPr>
          <w:p w14:paraId="74603617" w14:textId="77777777" w:rsidR="00EA4CC5" w:rsidRPr="00EA4CC5" w:rsidRDefault="00EA4CC5" w:rsidP="00375D49">
            <w:pPr>
              <w:numPr>
                <w:ilvl w:val="0"/>
                <w:numId w:val="13"/>
              </w:numPr>
              <w:spacing w:line="360" w:lineRule="auto"/>
              <w:contextualSpacing/>
              <w:rPr>
                <w:rFonts w:ascii="Arial" w:hAnsi="Arial" w:cs="Arial"/>
                <w:sz w:val="20"/>
              </w:rPr>
            </w:pPr>
            <w:r w:rsidRPr="00EA4CC5">
              <w:rPr>
                <w:rFonts w:ascii="Arial" w:hAnsi="Arial" w:cs="Arial"/>
                <w:sz w:val="20"/>
              </w:rPr>
              <w:t>Se registraron erróneamente ¢7.657 millones, correspondientes a la amortización de nueve contratos de arrendamiento financiero del Contrato de Fideicomiso de Infraestructura Educativa, siendo lo correcto registrarlos como parte de la partida de Bienes Duraderos.</w:t>
            </w:r>
          </w:p>
          <w:p w14:paraId="135878F1" w14:textId="74919980" w:rsidR="00EA4CC5" w:rsidRPr="00EA4CC5" w:rsidRDefault="00EA4CC5" w:rsidP="00375D49">
            <w:pPr>
              <w:numPr>
                <w:ilvl w:val="0"/>
                <w:numId w:val="13"/>
              </w:numPr>
              <w:spacing w:line="360" w:lineRule="auto"/>
              <w:contextualSpacing/>
              <w:rPr>
                <w:rFonts w:ascii="Arial" w:hAnsi="Arial" w:cs="Arial"/>
                <w:b/>
                <w:sz w:val="20"/>
              </w:rPr>
            </w:pPr>
            <w:r w:rsidRPr="00375D49">
              <w:rPr>
                <w:rFonts w:ascii="Arial" w:hAnsi="Arial" w:cs="Arial"/>
                <w:sz w:val="20"/>
              </w:rPr>
              <w:t>Se registraron ¢60.790 millones de adeudos con la CCSS como “amortización de otras 53 obligaciones”, siendo lo correcto imputarlos a Transferencias Corrientes.</w:t>
            </w:r>
          </w:p>
        </w:tc>
      </w:tr>
      <w:tr w:rsidR="00375D49" w:rsidRPr="00EA4CC5" w14:paraId="69E2BDA5" w14:textId="77777777" w:rsidTr="00375D49">
        <w:tc>
          <w:tcPr>
            <w:tcW w:w="2472" w:type="dxa"/>
            <w:tcBorders>
              <w:top w:val="nil"/>
            </w:tcBorders>
            <w:vAlign w:val="center"/>
          </w:tcPr>
          <w:p w14:paraId="2A808F31" w14:textId="54E3A0F6" w:rsidR="00375D49" w:rsidRPr="00EA4CC5" w:rsidRDefault="00375D49" w:rsidP="00375D49">
            <w:pPr>
              <w:spacing w:line="360" w:lineRule="auto"/>
              <w:rPr>
                <w:rFonts w:ascii="Arial" w:hAnsi="Arial" w:cs="Arial"/>
                <w:b/>
                <w:sz w:val="20"/>
              </w:rPr>
            </w:pPr>
            <w:r w:rsidRPr="00EA4CC5">
              <w:rPr>
                <w:rFonts w:ascii="Arial" w:hAnsi="Arial" w:cs="Arial"/>
                <w:b/>
                <w:sz w:val="20"/>
              </w:rPr>
              <w:t>Intereses sobre otras obligaciones</w:t>
            </w:r>
          </w:p>
        </w:tc>
        <w:tc>
          <w:tcPr>
            <w:tcW w:w="6356" w:type="dxa"/>
            <w:tcBorders>
              <w:top w:val="nil"/>
            </w:tcBorders>
            <w:vAlign w:val="center"/>
          </w:tcPr>
          <w:p w14:paraId="21022218" w14:textId="5A853AF9" w:rsidR="00375D49" w:rsidRPr="00EA4CC5" w:rsidRDefault="00375D49" w:rsidP="00375D49">
            <w:pPr>
              <w:numPr>
                <w:ilvl w:val="0"/>
                <w:numId w:val="13"/>
              </w:numPr>
              <w:spacing w:line="360" w:lineRule="auto"/>
              <w:contextualSpacing/>
              <w:rPr>
                <w:rFonts w:ascii="Arial" w:hAnsi="Arial" w:cs="Arial"/>
                <w:sz w:val="20"/>
              </w:rPr>
            </w:pPr>
            <w:r w:rsidRPr="00EA4CC5">
              <w:rPr>
                <w:rFonts w:ascii="Arial" w:hAnsi="Arial" w:cs="Arial"/>
                <w:sz w:val="20"/>
              </w:rPr>
              <w:t>Se ¢7.185 millones intereses por los contratos de arrendamiento financiero y ¢3.457 millones (¢8.082 millones en el 2019) por intereses pagados a la CCSS, producto de convenios de pago. El reconocimiento de estos pagos en la partida presupuestaria de amortización, no permite, una adecuada trazabilidad e identificación de los gastos en que incurre el Estado por concepto de las contribuciones, e impide identificar los gastos ejecutados relacionados con los pagos de cuotas atrasadas a la CCSS y la adquisición de bienes a plazos determinados.</w:t>
            </w:r>
          </w:p>
        </w:tc>
      </w:tr>
    </w:tbl>
    <w:p w14:paraId="467BC515" w14:textId="77777777" w:rsidR="00EA4CC5" w:rsidRPr="00EA4CC5" w:rsidRDefault="00EA4CC5" w:rsidP="00CA18C3">
      <w:pPr>
        <w:spacing w:line="276" w:lineRule="auto"/>
        <w:jc w:val="both"/>
        <w:rPr>
          <w:b/>
          <w:i/>
        </w:rPr>
      </w:pPr>
    </w:p>
    <w:p w14:paraId="15448EE6" w14:textId="77777777" w:rsidR="00EA4CC5" w:rsidRPr="00EA4CC5" w:rsidRDefault="00EA4CC5" w:rsidP="00CA18C3">
      <w:pPr>
        <w:spacing w:line="276" w:lineRule="auto"/>
        <w:jc w:val="both"/>
        <w:rPr>
          <w:rFonts w:ascii="Arial" w:hAnsi="Arial" w:cs="Arial"/>
          <w:sz w:val="24"/>
        </w:rPr>
      </w:pPr>
      <w:r w:rsidRPr="00EA4CC5">
        <w:rPr>
          <w:rFonts w:ascii="Arial" w:hAnsi="Arial" w:cs="Arial"/>
          <w:sz w:val="24"/>
        </w:rPr>
        <w:t>Conforme se desprende de la anterior información, el órgano contralor detectó una serie de inconsistencias en el registro, integridad, transparencia, razonabilidad y cumplimiento de principios presupuestarios que impidieron otorgar un aval a la liquidación de los egresos.</w:t>
      </w:r>
    </w:p>
    <w:p w14:paraId="022ABFFC" w14:textId="77777777" w:rsidR="00EA4CC5" w:rsidRPr="00EA4CC5" w:rsidRDefault="00EA4CC5" w:rsidP="00CA18C3">
      <w:pPr>
        <w:spacing w:line="276" w:lineRule="auto"/>
        <w:jc w:val="both"/>
        <w:rPr>
          <w:rFonts w:ascii="Arial" w:hAnsi="Arial" w:cs="Arial"/>
          <w:sz w:val="24"/>
        </w:rPr>
      </w:pPr>
      <w:r w:rsidRPr="00EA4CC5">
        <w:rPr>
          <w:rFonts w:ascii="Arial" w:hAnsi="Arial" w:cs="Arial"/>
          <w:sz w:val="24"/>
        </w:rPr>
        <w:t xml:space="preserve">Al respecto, llama la atención una situación persistente que evidenció la auditoría realizada sobre la práctica inadecuada que han tenido algunos ministerios en relación con los egresos no devengados que no se reflejan en la liquidación y, cuyo motivo radica en la falta de contenido presupuestario. </w:t>
      </w:r>
    </w:p>
    <w:p w14:paraId="3D13E364" w14:textId="77777777" w:rsidR="00EA4CC5" w:rsidRPr="00EA4CC5" w:rsidRDefault="00EA4CC5" w:rsidP="00CA18C3">
      <w:pPr>
        <w:spacing w:line="276" w:lineRule="auto"/>
        <w:jc w:val="both"/>
        <w:rPr>
          <w:rFonts w:ascii="Arial" w:hAnsi="Arial" w:cs="Arial"/>
          <w:sz w:val="24"/>
        </w:rPr>
      </w:pPr>
      <w:r w:rsidRPr="00EA4CC5">
        <w:rPr>
          <w:rFonts w:ascii="Arial" w:hAnsi="Arial" w:cs="Arial"/>
          <w:sz w:val="24"/>
        </w:rPr>
        <w:t>De la misma manera, preocupan las sumas pagadas de más en pensiones y remuneraciones dentro de diferentes instituciones, pues se está ante escenarios de personas fallecidas, otros a quienes se les ha extinguido su derecho, con el proceso de desgaste institucional y de recurso humano que implican las recuperaciones de sumas. Por otro lado, llaman a una alerta necesaria de atender los más de cien mil casos de reclamos administrativos que, eventualmente se convierten en judiciales dentro de la cartera más significativa dentro del presupuesto nacional: MEP.</w:t>
      </w:r>
    </w:p>
    <w:p w14:paraId="3F0739B0" w14:textId="77777777" w:rsidR="00EA4CC5" w:rsidRPr="00EA4CC5" w:rsidRDefault="00EA4CC5" w:rsidP="00CA18C3">
      <w:pPr>
        <w:spacing w:line="276" w:lineRule="auto"/>
        <w:jc w:val="both"/>
        <w:rPr>
          <w:rFonts w:ascii="Arial" w:hAnsi="Arial" w:cs="Arial"/>
          <w:sz w:val="24"/>
        </w:rPr>
      </w:pPr>
      <w:r w:rsidRPr="00EA4CC5">
        <w:rPr>
          <w:rFonts w:ascii="Arial" w:hAnsi="Arial" w:cs="Arial"/>
          <w:sz w:val="24"/>
        </w:rPr>
        <w:t xml:space="preserve">Como conclusión de lo anterior, la Contraloría ha afirmado que: </w:t>
      </w:r>
      <w:r w:rsidRPr="00552FD4">
        <w:rPr>
          <w:rFonts w:ascii="Arial" w:hAnsi="Arial" w:cs="Arial"/>
          <w:i/>
          <w:iCs/>
          <w:sz w:val="24"/>
        </w:rPr>
        <w:t>“persisten errores de clasificación, recursos no registrados e incertidumbre sobre algunas cifras, lo que dificulta la correcta gestión financiera y la fiscalización de los recursos públicos”</w:t>
      </w:r>
      <w:r w:rsidRPr="00EA4CC5">
        <w:rPr>
          <w:rFonts w:ascii="Arial" w:hAnsi="Arial" w:cs="Arial"/>
          <w:sz w:val="24"/>
        </w:rPr>
        <w:t>.</w:t>
      </w:r>
    </w:p>
    <w:p w14:paraId="248CCF5D" w14:textId="333EA987" w:rsidR="009B2BCB" w:rsidRDefault="009B2BCB" w:rsidP="00535111">
      <w:pPr>
        <w:pStyle w:val="Ttulo1"/>
      </w:pPr>
      <w:bookmarkStart w:id="14" w:name="_Toc78277711"/>
      <w:r w:rsidRPr="009B2BCB">
        <w:t xml:space="preserve">RAZONES PUNTUALES POR LAS CUALES </w:t>
      </w:r>
      <w:r>
        <w:t xml:space="preserve">LA CONTRALORÍA GENERAL DE LA REPÚBLICA </w:t>
      </w:r>
      <w:r w:rsidRPr="009B2BCB">
        <w:t>NO AVALA LOS RESULTADOS FÍSICOS</w:t>
      </w:r>
      <w:bookmarkEnd w:id="14"/>
    </w:p>
    <w:p w14:paraId="48FBDD27" w14:textId="2CE4EACB" w:rsidR="00EA4CC5" w:rsidRPr="00EA4CC5" w:rsidRDefault="00EA4CC5" w:rsidP="00CA18C3">
      <w:pPr>
        <w:spacing w:line="276" w:lineRule="auto"/>
        <w:jc w:val="both"/>
        <w:rPr>
          <w:rFonts w:ascii="Arial" w:hAnsi="Arial" w:cs="Arial"/>
          <w:sz w:val="24"/>
        </w:rPr>
      </w:pPr>
      <w:r w:rsidRPr="00EA4CC5">
        <w:rPr>
          <w:rFonts w:ascii="Arial" w:hAnsi="Arial" w:cs="Arial"/>
          <w:sz w:val="24"/>
        </w:rPr>
        <w:t>Tal y como señala el Departamento de Análisis Presupuestario en su informe AL-DAPR-INF-007-2021, el artículo 52 de la Ley 8131 “Ley de Administración Financiera de la República y Presupuestos Públicos</w:t>
      </w:r>
      <w:r w:rsidR="00397798">
        <w:rPr>
          <w:rFonts w:ascii="Arial" w:hAnsi="Arial" w:cs="Arial"/>
          <w:sz w:val="24"/>
        </w:rPr>
        <w:t>”</w:t>
      </w:r>
      <w:r w:rsidRPr="00EA4CC5">
        <w:rPr>
          <w:rFonts w:ascii="Arial" w:hAnsi="Arial" w:cs="Arial"/>
          <w:sz w:val="24"/>
        </w:rPr>
        <w:t>, señala que el Ministerio de Hacienda debe remitir a la Contraloría General de la República el informe de resultados físicos de los programas ejecutados durante el ejercicio económico respectivo, con la finalidad de evaluar el cumplimiento de metas (logros), a partir de la ejecución de los recursos incorporados en los distintos títulos y programas presupuestarios que contempla el Presupuesto de la República.</w:t>
      </w:r>
    </w:p>
    <w:p w14:paraId="01600E1E" w14:textId="77777777" w:rsidR="00EA4CC5" w:rsidRPr="00EA4CC5" w:rsidRDefault="00EA4CC5" w:rsidP="00CA18C3">
      <w:pPr>
        <w:spacing w:line="276" w:lineRule="auto"/>
        <w:jc w:val="both"/>
        <w:rPr>
          <w:rFonts w:ascii="Arial" w:hAnsi="Arial" w:cs="Arial"/>
          <w:sz w:val="24"/>
        </w:rPr>
      </w:pPr>
      <w:r w:rsidRPr="00EA4CC5">
        <w:rPr>
          <w:rFonts w:ascii="Arial" w:hAnsi="Arial" w:cs="Arial"/>
          <w:sz w:val="24"/>
        </w:rPr>
        <w:t>El informe fue emitido por el órgano contralor en el documento denominado: “INFORME DE AUDITORÍA DE CARÁCTER ESPECIAL SOBRE EL CUMPLIMIENTO DEL MARCO NORMATIVO, CONTENIDO, RENDICIÓN DE CUENTAS Y LA CALIDAD DE LA INFORMACIÓN REPORTADA EN EL INFORME DE RESULTADOS FÍSICOS DEL PRESUPUESTO DE LA REPÚBLICA DEL PERÍODO 2020” que concluye, en relación con los resultados físicos lo siguiente:</w:t>
      </w:r>
    </w:p>
    <w:p w14:paraId="5D0A4C6B" w14:textId="77777777" w:rsidR="00EA4CC5" w:rsidRPr="00397798" w:rsidRDefault="00EA4CC5" w:rsidP="00397798">
      <w:pPr>
        <w:spacing w:line="276" w:lineRule="auto"/>
        <w:ind w:left="708" w:right="900"/>
        <w:jc w:val="both"/>
        <w:rPr>
          <w:rFonts w:ascii="Arial" w:hAnsi="Arial" w:cs="Arial"/>
          <w:i/>
          <w:sz w:val="32"/>
          <w:szCs w:val="28"/>
        </w:rPr>
      </w:pPr>
      <w:r w:rsidRPr="00397798">
        <w:rPr>
          <w:rFonts w:ascii="Arial" w:hAnsi="Arial" w:cs="Arial"/>
          <w:i/>
          <w:sz w:val="24"/>
          <w:szCs w:val="28"/>
        </w:rPr>
        <w:t xml:space="preserve">“En opinión de la Contraloría General, debido a los asuntos expuestos en la sección “Fundamento para la opinión adversa”, </w:t>
      </w:r>
      <w:r w:rsidRPr="00397798">
        <w:rPr>
          <w:rFonts w:ascii="Arial" w:hAnsi="Arial" w:cs="Arial"/>
          <w:b/>
          <w:i/>
          <w:sz w:val="24"/>
          <w:szCs w:val="28"/>
          <w:u w:val="single"/>
        </w:rPr>
        <w:t>el Informe de Resultados Físicos de los Programas Ejecutados durante el ejercicio económico 2020, remitido por el Ministerio de Hacienda, no cumple razonablemente con los criterios de auditoría</w:t>
      </w:r>
      <w:r w:rsidRPr="00397798">
        <w:rPr>
          <w:rFonts w:ascii="Arial" w:hAnsi="Arial" w:cs="Arial"/>
          <w:i/>
          <w:sz w:val="24"/>
          <w:szCs w:val="28"/>
        </w:rPr>
        <w:t xml:space="preserve"> descritos en el acápite 1.1. sobre el alcance de la revisión efectuada.”</w:t>
      </w:r>
    </w:p>
    <w:p w14:paraId="3CE3CD5E" w14:textId="77777777" w:rsidR="00397798" w:rsidRDefault="00397798" w:rsidP="00CA18C3">
      <w:pPr>
        <w:spacing w:line="276" w:lineRule="auto"/>
        <w:jc w:val="both"/>
        <w:rPr>
          <w:rFonts w:ascii="Arial" w:hAnsi="Arial" w:cs="Arial"/>
          <w:sz w:val="24"/>
        </w:rPr>
      </w:pPr>
    </w:p>
    <w:p w14:paraId="6F229590" w14:textId="0A4A6D56" w:rsidR="00EA4CC5" w:rsidRDefault="00EA4CC5" w:rsidP="00CA18C3">
      <w:pPr>
        <w:spacing w:line="276" w:lineRule="auto"/>
        <w:jc w:val="both"/>
        <w:rPr>
          <w:rFonts w:ascii="Arial" w:hAnsi="Arial" w:cs="Arial"/>
          <w:sz w:val="24"/>
        </w:rPr>
      </w:pPr>
      <w:r w:rsidRPr="00EA4CC5">
        <w:rPr>
          <w:rFonts w:ascii="Arial" w:hAnsi="Arial" w:cs="Arial"/>
          <w:sz w:val="24"/>
        </w:rPr>
        <w:t>Al respecto, se exponen a continuación las razones más relevantes que llevaron a la Contraloría a emitir dicha opinión adversa:</w:t>
      </w:r>
    </w:p>
    <w:p w14:paraId="64513C14" w14:textId="0ECDCB4F" w:rsidR="0070494B" w:rsidRDefault="0070494B">
      <w:pPr>
        <w:rPr>
          <w:rFonts w:ascii="Arial" w:hAnsi="Arial" w:cs="Arial"/>
          <w:sz w:val="24"/>
        </w:rPr>
      </w:pPr>
      <w:r>
        <w:rPr>
          <w:rFonts w:ascii="Arial" w:hAnsi="Arial" w:cs="Arial"/>
          <w:sz w:val="24"/>
        </w:rPr>
        <w:br w:type="page"/>
      </w:r>
    </w:p>
    <w:p w14:paraId="07FD5F0F" w14:textId="77777777" w:rsidR="00397798" w:rsidRPr="00EA4CC5" w:rsidRDefault="00397798" w:rsidP="00CA18C3">
      <w:pPr>
        <w:spacing w:line="276" w:lineRule="auto"/>
        <w:jc w:val="both"/>
        <w:rPr>
          <w:rFonts w:ascii="Arial" w:hAnsi="Arial" w:cs="Arial"/>
          <w:sz w:val="24"/>
        </w:rPr>
      </w:pPr>
    </w:p>
    <w:tbl>
      <w:tblPr>
        <w:tblStyle w:val="Tabladecuadrcula4-nfasis1"/>
        <w:tblW w:w="0" w:type="auto"/>
        <w:tblLayout w:type="fixed"/>
        <w:tblLook w:val="04A0" w:firstRow="1" w:lastRow="0" w:firstColumn="1" w:lastColumn="0" w:noHBand="0" w:noVBand="1"/>
      </w:tblPr>
      <w:tblGrid>
        <w:gridCol w:w="1768"/>
        <w:gridCol w:w="1771"/>
        <w:gridCol w:w="5289"/>
      </w:tblGrid>
      <w:tr w:rsidR="00EA4CC5" w:rsidRPr="00871D25" w14:paraId="5C7581D9" w14:textId="77777777" w:rsidTr="00871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14:paraId="1CD0A1D0" w14:textId="4C0C9041" w:rsidR="00EA4CC5" w:rsidRPr="00871D25" w:rsidRDefault="00871D25" w:rsidP="00397798">
            <w:pPr>
              <w:jc w:val="center"/>
              <w:rPr>
                <w:rFonts w:ascii="Arial" w:hAnsi="Arial" w:cs="Arial"/>
                <w:sz w:val="20"/>
                <w:szCs w:val="20"/>
              </w:rPr>
            </w:pPr>
            <w:r w:rsidRPr="00871D25">
              <w:rPr>
                <w:rFonts w:ascii="Arial" w:hAnsi="Arial" w:cs="Arial"/>
                <w:sz w:val="20"/>
                <w:szCs w:val="20"/>
              </w:rPr>
              <w:t>ASPECTO POR VALORAR</w:t>
            </w:r>
          </w:p>
        </w:tc>
        <w:tc>
          <w:tcPr>
            <w:tcW w:w="1771" w:type="dxa"/>
          </w:tcPr>
          <w:p w14:paraId="0ADC5CA4" w14:textId="77777777" w:rsidR="00EA4CC5" w:rsidRPr="00871D25" w:rsidRDefault="00EA4CC5" w:rsidP="0039779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71D25">
              <w:rPr>
                <w:rFonts w:ascii="Arial" w:hAnsi="Arial" w:cs="Arial"/>
                <w:sz w:val="20"/>
                <w:szCs w:val="20"/>
              </w:rPr>
              <w:t>% DE CUMPLIMIENTO</w:t>
            </w:r>
          </w:p>
        </w:tc>
        <w:tc>
          <w:tcPr>
            <w:tcW w:w="5289" w:type="dxa"/>
          </w:tcPr>
          <w:p w14:paraId="42DABC45" w14:textId="77777777" w:rsidR="00EA4CC5" w:rsidRPr="00871D25" w:rsidRDefault="00EA4CC5" w:rsidP="0039779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71D25">
              <w:rPr>
                <w:rFonts w:ascii="Arial" w:hAnsi="Arial" w:cs="Arial"/>
                <w:sz w:val="20"/>
                <w:szCs w:val="20"/>
              </w:rPr>
              <w:t>OPINIÓN DEL ÓRGANO CONTRALOR</w:t>
            </w:r>
          </w:p>
        </w:tc>
      </w:tr>
      <w:tr w:rsidR="00EA4CC5" w:rsidRPr="00871D25" w14:paraId="67F82675" w14:textId="77777777" w:rsidTr="00871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14:paraId="2303596B" w14:textId="77777777" w:rsidR="00EA4CC5" w:rsidRPr="00871D25" w:rsidRDefault="00EA4CC5" w:rsidP="00397798">
            <w:pPr>
              <w:jc w:val="center"/>
              <w:rPr>
                <w:rFonts w:ascii="Arial" w:hAnsi="Arial" w:cs="Arial"/>
                <w:b w:val="0"/>
                <w:bCs w:val="0"/>
                <w:sz w:val="20"/>
                <w:szCs w:val="20"/>
              </w:rPr>
            </w:pPr>
            <w:r w:rsidRPr="00871D25">
              <w:rPr>
                <w:rFonts w:ascii="Arial" w:hAnsi="Arial" w:cs="Arial"/>
                <w:b w:val="0"/>
                <w:bCs w:val="0"/>
                <w:sz w:val="20"/>
                <w:szCs w:val="20"/>
              </w:rPr>
              <w:t>Cumplimiento del marco normativo</w:t>
            </w:r>
          </w:p>
        </w:tc>
        <w:tc>
          <w:tcPr>
            <w:tcW w:w="1771" w:type="dxa"/>
          </w:tcPr>
          <w:p w14:paraId="528A33D0" w14:textId="77777777" w:rsidR="00EA4CC5" w:rsidRPr="00871D25" w:rsidRDefault="00EA4CC5" w:rsidP="003977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71D25">
              <w:rPr>
                <w:rFonts w:ascii="Arial" w:hAnsi="Arial" w:cs="Arial"/>
                <w:sz w:val="20"/>
                <w:szCs w:val="20"/>
              </w:rPr>
              <w:t>NA</w:t>
            </w:r>
          </w:p>
        </w:tc>
        <w:tc>
          <w:tcPr>
            <w:tcW w:w="5289" w:type="dxa"/>
          </w:tcPr>
          <w:p w14:paraId="1AF29984" w14:textId="77777777" w:rsidR="00EA4CC5" w:rsidRPr="00871D25" w:rsidRDefault="00EA4CC5" w:rsidP="003977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71D25">
              <w:rPr>
                <w:rFonts w:ascii="Arial" w:hAnsi="Arial" w:cs="Arial"/>
                <w:sz w:val="20"/>
                <w:szCs w:val="20"/>
              </w:rPr>
              <w:t>El informe presentado por la DGPN no contiene los elementos explicativos para medir la eficiencia en el uso de los recursos públicos y los costos de los servicios que establece el artículo 52 de la Ley N°8131.</w:t>
            </w:r>
          </w:p>
        </w:tc>
      </w:tr>
      <w:tr w:rsidR="00EA4CC5" w:rsidRPr="00871D25" w14:paraId="01ED50FE" w14:textId="77777777" w:rsidTr="00871D25">
        <w:tc>
          <w:tcPr>
            <w:cnfStyle w:val="001000000000" w:firstRow="0" w:lastRow="0" w:firstColumn="1" w:lastColumn="0" w:oddVBand="0" w:evenVBand="0" w:oddHBand="0" w:evenHBand="0" w:firstRowFirstColumn="0" w:firstRowLastColumn="0" w:lastRowFirstColumn="0" w:lastRowLastColumn="0"/>
            <w:tcW w:w="1768" w:type="dxa"/>
          </w:tcPr>
          <w:p w14:paraId="35E8379D" w14:textId="77777777" w:rsidR="00EA4CC5" w:rsidRPr="00871D25" w:rsidRDefault="00EA4CC5" w:rsidP="00397798">
            <w:pPr>
              <w:jc w:val="center"/>
              <w:rPr>
                <w:rFonts w:ascii="Arial" w:hAnsi="Arial" w:cs="Arial"/>
                <w:b w:val="0"/>
                <w:bCs w:val="0"/>
                <w:sz w:val="20"/>
                <w:szCs w:val="20"/>
              </w:rPr>
            </w:pPr>
            <w:r w:rsidRPr="00871D25">
              <w:rPr>
                <w:rFonts w:ascii="Arial" w:hAnsi="Arial" w:cs="Arial"/>
                <w:b w:val="0"/>
                <w:bCs w:val="0"/>
                <w:sz w:val="20"/>
                <w:szCs w:val="20"/>
              </w:rPr>
              <w:t>Fichas técnicas de los indicadores</w:t>
            </w:r>
          </w:p>
        </w:tc>
        <w:tc>
          <w:tcPr>
            <w:tcW w:w="1771" w:type="dxa"/>
          </w:tcPr>
          <w:p w14:paraId="28AA4519" w14:textId="77777777" w:rsidR="00EA4CC5" w:rsidRPr="00871D25" w:rsidRDefault="00EA4CC5" w:rsidP="003977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71D25">
              <w:rPr>
                <w:rFonts w:ascii="Arial" w:hAnsi="Arial" w:cs="Arial"/>
                <w:sz w:val="20"/>
                <w:szCs w:val="20"/>
              </w:rPr>
              <w:t>89,4%</w:t>
            </w:r>
          </w:p>
        </w:tc>
        <w:tc>
          <w:tcPr>
            <w:tcW w:w="5289" w:type="dxa"/>
          </w:tcPr>
          <w:p w14:paraId="2729995D" w14:textId="77777777" w:rsidR="00EA4CC5" w:rsidRPr="00871D25" w:rsidRDefault="00EA4CC5" w:rsidP="003977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71D25">
              <w:rPr>
                <w:rFonts w:ascii="Arial" w:hAnsi="Arial" w:cs="Arial"/>
                <w:sz w:val="20"/>
                <w:szCs w:val="20"/>
              </w:rPr>
              <w:t>Existen fichas con insuficiencia de información, incongruencias entre sus componentes e inconsistencias en las líneas base de los indicadores.</w:t>
            </w:r>
          </w:p>
        </w:tc>
      </w:tr>
      <w:tr w:rsidR="00EA4CC5" w:rsidRPr="00871D25" w14:paraId="2549EE87" w14:textId="77777777" w:rsidTr="00871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14:paraId="0848C956" w14:textId="77777777" w:rsidR="00EA4CC5" w:rsidRPr="00871D25" w:rsidRDefault="00EA4CC5" w:rsidP="00397798">
            <w:pPr>
              <w:jc w:val="center"/>
              <w:rPr>
                <w:rFonts w:ascii="Arial" w:hAnsi="Arial" w:cs="Arial"/>
                <w:b w:val="0"/>
                <w:bCs w:val="0"/>
                <w:sz w:val="20"/>
                <w:szCs w:val="20"/>
              </w:rPr>
            </w:pPr>
            <w:r w:rsidRPr="00871D25">
              <w:rPr>
                <w:rFonts w:ascii="Arial" w:hAnsi="Arial" w:cs="Arial"/>
                <w:b w:val="0"/>
                <w:bCs w:val="0"/>
                <w:sz w:val="20"/>
                <w:szCs w:val="20"/>
              </w:rPr>
              <w:t>Confiabilidad de la información</w:t>
            </w:r>
          </w:p>
        </w:tc>
        <w:tc>
          <w:tcPr>
            <w:tcW w:w="1771" w:type="dxa"/>
          </w:tcPr>
          <w:p w14:paraId="6B60B066" w14:textId="77777777" w:rsidR="00EA4CC5" w:rsidRPr="00871D25" w:rsidRDefault="00EA4CC5" w:rsidP="003977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71D25">
              <w:rPr>
                <w:rFonts w:ascii="Arial" w:hAnsi="Arial" w:cs="Arial"/>
                <w:sz w:val="20"/>
                <w:szCs w:val="20"/>
              </w:rPr>
              <w:t>79,6%</w:t>
            </w:r>
          </w:p>
        </w:tc>
        <w:tc>
          <w:tcPr>
            <w:tcW w:w="5289" w:type="dxa"/>
          </w:tcPr>
          <w:p w14:paraId="775C26D0" w14:textId="77777777" w:rsidR="00EA4CC5" w:rsidRPr="00871D25" w:rsidRDefault="00EA4CC5" w:rsidP="003977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71D25">
              <w:rPr>
                <w:rFonts w:ascii="Arial" w:hAnsi="Arial" w:cs="Arial"/>
                <w:sz w:val="20"/>
                <w:szCs w:val="20"/>
              </w:rPr>
              <w:t>7 de 12 metas no están documentados los supuestos bajo los cuales se establecieron las metas</w:t>
            </w:r>
          </w:p>
        </w:tc>
      </w:tr>
      <w:tr w:rsidR="00EA4CC5" w:rsidRPr="00871D25" w14:paraId="70C53290" w14:textId="77777777" w:rsidTr="00871D25">
        <w:tc>
          <w:tcPr>
            <w:cnfStyle w:val="001000000000" w:firstRow="0" w:lastRow="0" w:firstColumn="1" w:lastColumn="0" w:oddVBand="0" w:evenVBand="0" w:oddHBand="0" w:evenHBand="0" w:firstRowFirstColumn="0" w:firstRowLastColumn="0" w:lastRowFirstColumn="0" w:lastRowLastColumn="0"/>
            <w:tcW w:w="1768" w:type="dxa"/>
          </w:tcPr>
          <w:p w14:paraId="2050795A" w14:textId="77777777" w:rsidR="00EA4CC5" w:rsidRPr="00871D25" w:rsidRDefault="00EA4CC5" w:rsidP="00397798">
            <w:pPr>
              <w:jc w:val="center"/>
              <w:rPr>
                <w:rFonts w:ascii="Arial" w:hAnsi="Arial" w:cs="Arial"/>
                <w:b w:val="0"/>
                <w:bCs w:val="0"/>
                <w:sz w:val="20"/>
                <w:szCs w:val="20"/>
              </w:rPr>
            </w:pPr>
            <w:r w:rsidRPr="00871D25">
              <w:rPr>
                <w:rFonts w:ascii="Arial" w:hAnsi="Arial" w:cs="Arial"/>
                <w:b w:val="0"/>
                <w:bCs w:val="0"/>
                <w:sz w:val="20"/>
                <w:szCs w:val="20"/>
              </w:rPr>
              <w:t>Oportunidad de la información</w:t>
            </w:r>
          </w:p>
        </w:tc>
        <w:tc>
          <w:tcPr>
            <w:tcW w:w="1771" w:type="dxa"/>
          </w:tcPr>
          <w:p w14:paraId="4A4C3009" w14:textId="77777777" w:rsidR="00EA4CC5" w:rsidRPr="00871D25" w:rsidRDefault="00EA4CC5" w:rsidP="003977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71D25">
              <w:rPr>
                <w:rFonts w:ascii="Arial" w:hAnsi="Arial" w:cs="Arial"/>
                <w:sz w:val="20"/>
                <w:szCs w:val="20"/>
              </w:rPr>
              <w:t>78,8%</w:t>
            </w:r>
          </w:p>
        </w:tc>
        <w:tc>
          <w:tcPr>
            <w:tcW w:w="5289" w:type="dxa"/>
          </w:tcPr>
          <w:p w14:paraId="67DBA7E7" w14:textId="77777777" w:rsidR="00EA4CC5" w:rsidRPr="00871D25" w:rsidRDefault="00EA4CC5" w:rsidP="003977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71D25">
              <w:rPr>
                <w:rFonts w:ascii="Arial" w:hAnsi="Arial" w:cs="Arial"/>
                <w:sz w:val="20"/>
                <w:szCs w:val="20"/>
              </w:rPr>
              <w:t>La metodología de elaboración de los informes es omisa en la valoración de riesgos asociados a las metas de la Ley de Presupuesto</w:t>
            </w:r>
          </w:p>
        </w:tc>
      </w:tr>
      <w:tr w:rsidR="00EA4CC5" w:rsidRPr="00871D25" w14:paraId="1AD51013" w14:textId="77777777" w:rsidTr="00871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14:paraId="5831C2DC" w14:textId="77777777" w:rsidR="00EA4CC5" w:rsidRPr="00871D25" w:rsidRDefault="00EA4CC5" w:rsidP="00397798">
            <w:pPr>
              <w:jc w:val="center"/>
              <w:rPr>
                <w:rFonts w:ascii="Arial" w:hAnsi="Arial" w:cs="Arial"/>
                <w:b w:val="0"/>
                <w:bCs w:val="0"/>
                <w:sz w:val="20"/>
                <w:szCs w:val="20"/>
              </w:rPr>
            </w:pPr>
            <w:r w:rsidRPr="00871D25">
              <w:rPr>
                <w:rFonts w:ascii="Arial" w:hAnsi="Arial" w:cs="Arial"/>
                <w:b w:val="0"/>
                <w:bCs w:val="0"/>
                <w:sz w:val="20"/>
                <w:szCs w:val="20"/>
              </w:rPr>
              <w:t>Utilidad de la información</w:t>
            </w:r>
          </w:p>
        </w:tc>
        <w:tc>
          <w:tcPr>
            <w:tcW w:w="1771" w:type="dxa"/>
          </w:tcPr>
          <w:p w14:paraId="080D5834" w14:textId="77777777" w:rsidR="00EA4CC5" w:rsidRPr="00871D25" w:rsidRDefault="00EA4CC5" w:rsidP="003977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71D25">
              <w:rPr>
                <w:rFonts w:ascii="Arial" w:hAnsi="Arial" w:cs="Arial"/>
                <w:sz w:val="20"/>
                <w:szCs w:val="20"/>
              </w:rPr>
              <w:t>56,8%</w:t>
            </w:r>
          </w:p>
        </w:tc>
        <w:tc>
          <w:tcPr>
            <w:tcW w:w="5289" w:type="dxa"/>
          </w:tcPr>
          <w:p w14:paraId="5059A9D4" w14:textId="0F4A56EF" w:rsidR="00EA4CC5" w:rsidRPr="00871D25" w:rsidRDefault="00EA4CC5" w:rsidP="003977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71D25">
              <w:rPr>
                <w:rFonts w:ascii="Arial" w:hAnsi="Arial" w:cs="Arial"/>
                <w:sz w:val="20"/>
                <w:szCs w:val="20"/>
              </w:rPr>
              <w:t>No se ha emitido normativa que regule la participación ciudadana en la</w:t>
            </w:r>
            <w:r w:rsidR="00397798" w:rsidRPr="00871D25">
              <w:rPr>
                <w:rFonts w:ascii="Arial" w:hAnsi="Arial" w:cs="Arial"/>
                <w:sz w:val="20"/>
                <w:szCs w:val="20"/>
              </w:rPr>
              <w:t xml:space="preserve"> </w:t>
            </w:r>
            <w:r w:rsidRPr="00871D25">
              <w:rPr>
                <w:rFonts w:ascii="Arial" w:hAnsi="Arial" w:cs="Arial"/>
                <w:sz w:val="20"/>
                <w:szCs w:val="20"/>
              </w:rPr>
              <w:t>formulación de los presupuestos institucionales</w:t>
            </w:r>
          </w:p>
        </w:tc>
      </w:tr>
    </w:tbl>
    <w:p w14:paraId="7AD65C26" w14:textId="77777777" w:rsidR="00EA4CC5" w:rsidRPr="00EA4CC5" w:rsidRDefault="00EA4CC5" w:rsidP="00CA18C3">
      <w:pPr>
        <w:autoSpaceDE w:val="0"/>
        <w:autoSpaceDN w:val="0"/>
        <w:adjustRightInd w:val="0"/>
        <w:spacing w:after="0" w:line="276" w:lineRule="auto"/>
        <w:jc w:val="both"/>
        <w:rPr>
          <w:rFonts w:ascii="Arial" w:hAnsi="Arial" w:cs="Arial"/>
          <w:sz w:val="24"/>
          <w:szCs w:val="24"/>
        </w:rPr>
      </w:pPr>
    </w:p>
    <w:p w14:paraId="0C9A274D" w14:textId="77777777" w:rsidR="00EA4CC5" w:rsidRPr="00EA4CC5" w:rsidRDefault="00EA4CC5" w:rsidP="00CA18C3">
      <w:pPr>
        <w:autoSpaceDE w:val="0"/>
        <w:autoSpaceDN w:val="0"/>
        <w:adjustRightInd w:val="0"/>
        <w:spacing w:after="0" w:line="276" w:lineRule="auto"/>
        <w:jc w:val="both"/>
        <w:rPr>
          <w:rFonts w:ascii="Arial" w:hAnsi="Arial" w:cs="Arial"/>
          <w:sz w:val="24"/>
          <w:szCs w:val="24"/>
        </w:rPr>
      </w:pPr>
      <w:r w:rsidRPr="00EA4CC5">
        <w:rPr>
          <w:rFonts w:ascii="Arial" w:hAnsi="Arial" w:cs="Arial"/>
          <w:sz w:val="24"/>
          <w:szCs w:val="24"/>
        </w:rPr>
        <w:t>Adicional a lo anterior y, en materia de divulgación de los resultados de las metas, la Contraloría señala que continúa vigente el reto de promover el uso de bases de datos en formato abierto, dado que 5 de 12 metas no aplicaron estas prácticas.</w:t>
      </w:r>
    </w:p>
    <w:p w14:paraId="10E27471" w14:textId="77777777" w:rsidR="00EA4CC5" w:rsidRPr="00EA4CC5" w:rsidRDefault="00EA4CC5" w:rsidP="00CA18C3">
      <w:pPr>
        <w:autoSpaceDE w:val="0"/>
        <w:autoSpaceDN w:val="0"/>
        <w:adjustRightInd w:val="0"/>
        <w:spacing w:after="0" w:line="276" w:lineRule="auto"/>
        <w:jc w:val="both"/>
        <w:rPr>
          <w:rFonts w:ascii="Arial" w:hAnsi="Arial" w:cs="Arial"/>
          <w:sz w:val="24"/>
          <w:szCs w:val="24"/>
        </w:rPr>
      </w:pPr>
    </w:p>
    <w:p w14:paraId="5A99C0C1" w14:textId="77777777" w:rsidR="00EA4CC5" w:rsidRPr="00EA4CC5" w:rsidRDefault="00EA4CC5" w:rsidP="00CA18C3">
      <w:pPr>
        <w:autoSpaceDE w:val="0"/>
        <w:autoSpaceDN w:val="0"/>
        <w:adjustRightInd w:val="0"/>
        <w:spacing w:after="0" w:line="276" w:lineRule="auto"/>
        <w:jc w:val="both"/>
        <w:rPr>
          <w:rFonts w:ascii="Arial" w:hAnsi="Arial" w:cs="Arial"/>
          <w:sz w:val="24"/>
          <w:szCs w:val="24"/>
        </w:rPr>
      </w:pPr>
      <w:r w:rsidRPr="00EA4CC5">
        <w:rPr>
          <w:rFonts w:ascii="Arial" w:hAnsi="Arial" w:cs="Arial"/>
          <w:sz w:val="24"/>
          <w:szCs w:val="24"/>
        </w:rPr>
        <w:t xml:space="preserve">Asimismo, en la auditoría efectuada, se determinó que: </w:t>
      </w:r>
    </w:p>
    <w:p w14:paraId="5784A4AC" w14:textId="77777777" w:rsidR="00EA4CC5" w:rsidRPr="00EA4CC5" w:rsidRDefault="00EA4CC5" w:rsidP="00CA18C3">
      <w:pPr>
        <w:numPr>
          <w:ilvl w:val="0"/>
          <w:numId w:val="14"/>
        </w:numPr>
        <w:autoSpaceDE w:val="0"/>
        <w:autoSpaceDN w:val="0"/>
        <w:adjustRightInd w:val="0"/>
        <w:spacing w:after="0" w:line="276" w:lineRule="auto"/>
        <w:contextualSpacing/>
        <w:jc w:val="both"/>
        <w:rPr>
          <w:rFonts w:ascii="Arial" w:hAnsi="Arial" w:cs="Arial"/>
          <w:sz w:val="24"/>
          <w:szCs w:val="24"/>
        </w:rPr>
      </w:pPr>
      <w:r w:rsidRPr="00EA4CC5">
        <w:rPr>
          <w:rFonts w:ascii="Arial" w:hAnsi="Arial" w:cs="Arial"/>
          <w:sz w:val="24"/>
          <w:szCs w:val="24"/>
        </w:rPr>
        <w:t xml:space="preserve">1 de 12 metas, la información reportada sobre su resultado, no coincidió o coincidió en forma parcial con los datos recabados. </w:t>
      </w:r>
    </w:p>
    <w:p w14:paraId="16AE3E4B" w14:textId="77777777" w:rsidR="00EA4CC5" w:rsidRPr="00EA4CC5" w:rsidRDefault="00EA4CC5" w:rsidP="00CA18C3">
      <w:pPr>
        <w:numPr>
          <w:ilvl w:val="0"/>
          <w:numId w:val="14"/>
        </w:numPr>
        <w:autoSpaceDE w:val="0"/>
        <w:autoSpaceDN w:val="0"/>
        <w:adjustRightInd w:val="0"/>
        <w:spacing w:after="0" w:line="276" w:lineRule="auto"/>
        <w:contextualSpacing/>
        <w:jc w:val="both"/>
        <w:rPr>
          <w:rFonts w:ascii="Arial" w:hAnsi="Arial" w:cs="Arial"/>
          <w:sz w:val="24"/>
          <w:szCs w:val="24"/>
        </w:rPr>
      </w:pPr>
      <w:r w:rsidRPr="00EA4CC5">
        <w:rPr>
          <w:rFonts w:ascii="Arial" w:hAnsi="Arial" w:cs="Arial"/>
          <w:sz w:val="24"/>
          <w:szCs w:val="24"/>
        </w:rPr>
        <w:t>En cuanto a la ejecución presupuestaria, en 3 de 12 metas, la información reportada sobre los recursos ejecutados, no coincidió o coincidió en forma parcial con la información recabada.</w:t>
      </w:r>
    </w:p>
    <w:p w14:paraId="359874A0" w14:textId="77777777" w:rsidR="00EA4CC5" w:rsidRPr="00EA4CC5" w:rsidRDefault="00EA4CC5" w:rsidP="00CA18C3">
      <w:pPr>
        <w:numPr>
          <w:ilvl w:val="0"/>
          <w:numId w:val="14"/>
        </w:numPr>
        <w:autoSpaceDE w:val="0"/>
        <w:autoSpaceDN w:val="0"/>
        <w:adjustRightInd w:val="0"/>
        <w:spacing w:after="0" w:line="276" w:lineRule="auto"/>
        <w:contextualSpacing/>
        <w:jc w:val="both"/>
        <w:rPr>
          <w:rFonts w:ascii="Arial" w:hAnsi="Arial" w:cs="Arial"/>
          <w:sz w:val="24"/>
          <w:szCs w:val="24"/>
        </w:rPr>
      </w:pPr>
      <w:r w:rsidRPr="00EA4CC5">
        <w:rPr>
          <w:rFonts w:ascii="Arial" w:hAnsi="Arial" w:cs="Arial"/>
          <w:sz w:val="24"/>
          <w:szCs w:val="24"/>
        </w:rPr>
        <w:t>En 5 de las 12 metas auditadas, no se pudo obtener información suficiente para opinar sobre la calidad de la información reportada. Esta situación ocurrió en el MEP, donde se hallaron importantes limitaciones en la calidad y la oportunidad de los datos de respaldo.</w:t>
      </w:r>
    </w:p>
    <w:p w14:paraId="34BEEC80" w14:textId="77777777" w:rsidR="00EA4CC5" w:rsidRDefault="00EA4CC5" w:rsidP="00CA18C3">
      <w:pPr>
        <w:pStyle w:val="Sinespaciado"/>
        <w:spacing w:line="276" w:lineRule="auto"/>
        <w:jc w:val="both"/>
        <w:rPr>
          <w:rFonts w:ascii="Arial" w:hAnsi="Arial" w:cs="Arial"/>
          <w:b/>
          <w:sz w:val="24"/>
          <w:szCs w:val="24"/>
        </w:rPr>
      </w:pPr>
    </w:p>
    <w:p w14:paraId="290A4F8A" w14:textId="225F68A4" w:rsidR="009B2BCB" w:rsidRPr="00E33C3A" w:rsidRDefault="009B2BCB" w:rsidP="00535111">
      <w:pPr>
        <w:pStyle w:val="Ttulo1"/>
      </w:pPr>
      <w:bookmarkStart w:id="15" w:name="_Toc78277712"/>
      <w:r w:rsidRPr="00E33C3A">
        <w:t>RAZONES PUNTUALES POR LAS CUALES LA CONTRALORÍA GENERAL DE LA REPÚBLICA AVALA PARCIALMENTE EL CUMPLIMIENTO DE METAS Y OBJETIVOS DEL PLAN NACIONAL DE DESARROLLO E INVERSIÓN PÚBLICA</w:t>
      </w:r>
      <w:bookmarkEnd w:id="15"/>
    </w:p>
    <w:p w14:paraId="0B9A1C68" w14:textId="0B764326" w:rsidR="00B46381" w:rsidRDefault="00B46381" w:rsidP="00CA18C3">
      <w:pPr>
        <w:spacing w:after="0" w:line="276" w:lineRule="auto"/>
        <w:jc w:val="both"/>
        <w:rPr>
          <w:rFonts w:ascii="Arial" w:eastAsia="Calibri" w:hAnsi="Arial" w:cs="Arial"/>
          <w:iCs/>
          <w:sz w:val="24"/>
          <w:szCs w:val="24"/>
        </w:rPr>
      </w:pPr>
      <w:r w:rsidRPr="00B46381">
        <w:rPr>
          <w:rFonts w:ascii="Arial" w:eastAsia="Calibri" w:hAnsi="Arial" w:cs="Arial"/>
          <w:iCs/>
          <w:sz w:val="24"/>
          <w:szCs w:val="24"/>
        </w:rPr>
        <w:t>Para el 2020, la Contraloría General considera que la evidencia de auditoría que ha obtenido es suficiente y apropiada para ofrecer una base para una opinión sobre el Informe Anual 2020 Balance de Resultados del PNDIP del Bicentenario 2019-2022.</w:t>
      </w:r>
    </w:p>
    <w:p w14:paraId="2443EEE3" w14:textId="77777777" w:rsidR="00475E85" w:rsidRPr="00B46381" w:rsidRDefault="00475E85" w:rsidP="00CA18C3">
      <w:pPr>
        <w:spacing w:after="0" w:line="276" w:lineRule="auto"/>
        <w:jc w:val="both"/>
        <w:rPr>
          <w:rFonts w:ascii="Arial" w:eastAsia="Calibri" w:hAnsi="Arial" w:cs="Arial"/>
          <w:iCs/>
          <w:sz w:val="24"/>
          <w:szCs w:val="24"/>
        </w:rPr>
      </w:pPr>
    </w:p>
    <w:p w14:paraId="324068E5" w14:textId="260877A1" w:rsidR="00B46381" w:rsidRPr="00B46381" w:rsidRDefault="00475E85" w:rsidP="00CA18C3">
      <w:pPr>
        <w:spacing w:after="0" w:line="276" w:lineRule="auto"/>
        <w:jc w:val="both"/>
        <w:rPr>
          <w:rFonts w:ascii="Arial" w:eastAsia="Calibri" w:hAnsi="Arial" w:cs="Arial"/>
          <w:iCs/>
          <w:sz w:val="24"/>
          <w:szCs w:val="24"/>
        </w:rPr>
      </w:pPr>
      <w:r>
        <w:rPr>
          <w:rFonts w:ascii="Arial" w:eastAsia="Calibri" w:hAnsi="Arial" w:cs="Arial"/>
          <w:iCs/>
          <w:sz w:val="24"/>
          <w:szCs w:val="24"/>
        </w:rPr>
        <w:t xml:space="preserve">El informe </w:t>
      </w:r>
      <w:r w:rsidR="00B46381" w:rsidRPr="00B46381">
        <w:rPr>
          <w:rFonts w:ascii="Arial" w:eastAsia="Calibri" w:hAnsi="Arial" w:cs="Arial"/>
          <w:iCs/>
          <w:sz w:val="24"/>
          <w:szCs w:val="24"/>
        </w:rPr>
        <w:t>concluye indicando que</w:t>
      </w:r>
      <w:r w:rsidR="00FD238D">
        <w:rPr>
          <w:rFonts w:ascii="Arial" w:eastAsia="Calibri" w:hAnsi="Arial" w:cs="Arial"/>
          <w:iCs/>
          <w:sz w:val="24"/>
          <w:szCs w:val="24"/>
        </w:rPr>
        <w:t>,</w:t>
      </w:r>
      <w:r w:rsidR="00B46381" w:rsidRPr="00B46381">
        <w:rPr>
          <w:rFonts w:ascii="Arial" w:eastAsia="Calibri" w:hAnsi="Arial" w:cs="Arial"/>
          <w:iCs/>
          <w:sz w:val="24"/>
          <w:szCs w:val="24"/>
        </w:rPr>
        <w:t xml:space="preserve"> sin tomar en cuenta los asuntos expuestos en la sección “Fundamento para la opinión con reservas”, la Contraloría General avala parcialmente el Informe 2020 de Balance de Resultados del PNDIP del Bicentenario 2019-2022, elaborado y remitido por MIDEPLAN, dado que cumple razonablemente con los criterios de auditoría descritos en el acápite 1.1. sobre el alcance de la revisión efectuada.</w:t>
      </w:r>
    </w:p>
    <w:p w14:paraId="13DE17BD" w14:textId="77777777" w:rsidR="00B46381" w:rsidRPr="00FD238D" w:rsidRDefault="00B46381" w:rsidP="007F36BB">
      <w:pPr>
        <w:pStyle w:val="Ttulo2"/>
        <w:numPr>
          <w:ilvl w:val="1"/>
          <w:numId w:val="27"/>
        </w:numPr>
      </w:pPr>
      <w:bookmarkStart w:id="16" w:name="_Toc78277713"/>
      <w:r w:rsidRPr="00FD238D">
        <w:t>Aspectos destacables de la medición de la efectividad de los programas</w:t>
      </w:r>
      <w:bookmarkEnd w:id="16"/>
    </w:p>
    <w:p w14:paraId="4A41646F" w14:textId="4C87CBBA" w:rsidR="00B46381" w:rsidRDefault="00B46381" w:rsidP="00CA18C3">
      <w:pPr>
        <w:pBdr>
          <w:top w:val="nil"/>
          <w:left w:val="nil"/>
          <w:bottom w:val="nil"/>
          <w:right w:val="nil"/>
          <w:between w:val="nil"/>
          <w:bar w:val="nil"/>
        </w:pBdr>
        <w:spacing w:after="0" w:line="276" w:lineRule="auto"/>
        <w:jc w:val="both"/>
        <w:rPr>
          <w:rFonts w:ascii="Arial" w:eastAsia="Arial" w:hAnsi="Arial" w:cs="Arial"/>
          <w:sz w:val="24"/>
          <w:szCs w:val="24"/>
        </w:rPr>
      </w:pPr>
      <w:r w:rsidRPr="00B46381">
        <w:rPr>
          <w:rFonts w:ascii="Arial" w:eastAsia="Arial" w:hAnsi="Arial" w:cs="Arial"/>
          <w:sz w:val="24"/>
          <w:szCs w:val="24"/>
        </w:rPr>
        <w:t>La Contraloría destaca los siguientes puntos</w:t>
      </w:r>
      <w:r w:rsidR="00FD238D">
        <w:rPr>
          <w:rFonts w:ascii="Arial" w:eastAsia="Arial" w:hAnsi="Arial" w:cs="Arial"/>
          <w:sz w:val="24"/>
          <w:szCs w:val="24"/>
        </w:rPr>
        <w:t>:</w:t>
      </w:r>
    </w:p>
    <w:p w14:paraId="109F7CD5" w14:textId="77777777" w:rsidR="00FD238D" w:rsidRPr="00B46381" w:rsidRDefault="00FD238D" w:rsidP="00CA18C3">
      <w:pPr>
        <w:pBdr>
          <w:top w:val="nil"/>
          <w:left w:val="nil"/>
          <w:bottom w:val="nil"/>
          <w:right w:val="nil"/>
          <w:between w:val="nil"/>
          <w:bar w:val="nil"/>
        </w:pBdr>
        <w:spacing w:after="0" w:line="276" w:lineRule="auto"/>
        <w:jc w:val="both"/>
        <w:rPr>
          <w:rFonts w:ascii="Arial" w:eastAsia="Arial" w:hAnsi="Arial" w:cs="Arial"/>
          <w:sz w:val="24"/>
          <w:szCs w:val="24"/>
        </w:rPr>
      </w:pPr>
    </w:p>
    <w:p w14:paraId="49B6C7B2" w14:textId="77777777" w:rsidR="00B46381" w:rsidRPr="00B46381" w:rsidRDefault="00B46381" w:rsidP="00FD238D">
      <w:pPr>
        <w:numPr>
          <w:ilvl w:val="0"/>
          <w:numId w:val="17"/>
        </w:numPr>
        <w:pBdr>
          <w:top w:val="nil"/>
          <w:left w:val="nil"/>
          <w:bottom w:val="nil"/>
          <w:right w:val="nil"/>
          <w:between w:val="nil"/>
          <w:bar w:val="nil"/>
        </w:pBdr>
        <w:spacing w:before="240" w:after="240" w:line="276" w:lineRule="auto"/>
        <w:ind w:left="714" w:hanging="357"/>
        <w:jc w:val="both"/>
        <w:rPr>
          <w:rFonts w:ascii="Arial" w:eastAsia="Calibri" w:hAnsi="Arial" w:cs="Arial"/>
          <w:iCs/>
          <w:sz w:val="24"/>
          <w:szCs w:val="24"/>
        </w:rPr>
      </w:pPr>
      <w:r w:rsidRPr="00B46381">
        <w:rPr>
          <w:rFonts w:ascii="Arial" w:eastAsia="Calibri" w:hAnsi="Arial" w:cs="Arial"/>
          <w:iCs/>
          <w:sz w:val="24"/>
          <w:szCs w:val="24"/>
        </w:rPr>
        <w:t>Sobre el análisis hecho por MIDEPLAN de la ejecución de las 16 evaluaciones a realizarse en el marco de la Agenda Nacional de Evaluación (ANE), establecida en el PNDIP 2019-2022, se tuvo un cumplimiento medio del 56,2%.</w:t>
      </w:r>
    </w:p>
    <w:p w14:paraId="0417DB8C" w14:textId="77777777" w:rsidR="00B46381" w:rsidRPr="00B46381" w:rsidRDefault="00B46381" w:rsidP="00FD238D">
      <w:pPr>
        <w:numPr>
          <w:ilvl w:val="0"/>
          <w:numId w:val="17"/>
        </w:numPr>
        <w:pBdr>
          <w:top w:val="nil"/>
          <w:left w:val="nil"/>
          <w:bottom w:val="nil"/>
          <w:right w:val="nil"/>
          <w:between w:val="nil"/>
          <w:bar w:val="nil"/>
        </w:pBdr>
        <w:spacing w:before="240" w:after="240" w:line="276" w:lineRule="auto"/>
        <w:ind w:left="714" w:hanging="357"/>
        <w:jc w:val="both"/>
        <w:rPr>
          <w:rFonts w:ascii="Arial" w:eastAsia="Calibri" w:hAnsi="Arial" w:cs="Arial"/>
          <w:iCs/>
          <w:sz w:val="24"/>
          <w:szCs w:val="24"/>
        </w:rPr>
      </w:pPr>
      <w:r w:rsidRPr="00B46381">
        <w:rPr>
          <w:rFonts w:ascii="Arial" w:eastAsia="Calibri" w:hAnsi="Arial" w:cs="Arial"/>
          <w:iCs/>
          <w:sz w:val="24"/>
          <w:szCs w:val="24"/>
        </w:rPr>
        <w:t>No se realizó la evaluación del “Programa Gestión Hacienda Pública: Carga Tributaria”.</w:t>
      </w:r>
    </w:p>
    <w:p w14:paraId="224E4235" w14:textId="77777777" w:rsidR="00B46381" w:rsidRPr="00B46381" w:rsidRDefault="00B46381" w:rsidP="00FD238D">
      <w:pPr>
        <w:numPr>
          <w:ilvl w:val="0"/>
          <w:numId w:val="17"/>
        </w:numPr>
        <w:pBdr>
          <w:top w:val="nil"/>
          <w:left w:val="nil"/>
          <w:bottom w:val="nil"/>
          <w:right w:val="nil"/>
          <w:between w:val="nil"/>
          <w:bar w:val="nil"/>
        </w:pBdr>
        <w:spacing w:before="240" w:after="240" w:line="276" w:lineRule="auto"/>
        <w:ind w:left="714" w:hanging="357"/>
        <w:jc w:val="both"/>
        <w:rPr>
          <w:rFonts w:ascii="Arial" w:eastAsia="Calibri" w:hAnsi="Arial" w:cs="Arial"/>
          <w:iCs/>
          <w:sz w:val="24"/>
          <w:szCs w:val="24"/>
        </w:rPr>
      </w:pPr>
      <w:r w:rsidRPr="00B46381">
        <w:rPr>
          <w:rFonts w:ascii="Arial" w:eastAsia="Calibri" w:hAnsi="Arial" w:cs="Arial"/>
          <w:iCs/>
          <w:sz w:val="24"/>
          <w:szCs w:val="24"/>
        </w:rPr>
        <w:t>Según el avance acumulado para las 16 evaluaciones, el 25% se encuentra en la etapa de Preparación, el 31,25% de las evaluaciones se están diseñando y el 43,75% de las evaluaciones está en su etapa de uso.</w:t>
      </w:r>
    </w:p>
    <w:p w14:paraId="2F4EB582" w14:textId="77777777" w:rsidR="00B46381" w:rsidRPr="00B46381" w:rsidRDefault="00B46381" w:rsidP="00FD238D">
      <w:pPr>
        <w:numPr>
          <w:ilvl w:val="0"/>
          <w:numId w:val="17"/>
        </w:numPr>
        <w:pBdr>
          <w:top w:val="nil"/>
          <w:left w:val="nil"/>
          <w:bottom w:val="nil"/>
          <w:right w:val="nil"/>
          <w:between w:val="nil"/>
          <w:bar w:val="nil"/>
        </w:pBdr>
        <w:spacing w:before="240" w:after="240" w:line="276" w:lineRule="auto"/>
        <w:ind w:left="714" w:hanging="357"/>
        <w:jc w:val="both"/>
        <w:rPr>
          <w:rFonts w:ascii="Arial" w:eastAsia="Calibri" w:hAnsi="Arial" w:cs="Arial"/>
          <w:iCs/>
          <w:sz w:val="24"/>
          <w:szCs w:val="24"/>
        </w:rPr>
      </w:pPr>
      <w:r w:rsidRPr="00B46381">
        <w:rPr>
          <w:rFonts w:ascii="Arial" w:eastAsia="Calibri" w:hAnsi="Arial" w:cs="Arial"/>
          <w:iCs/>
          <w:sz w:val="24"/>
          <w:szCs w:val="24"/>
        </w:rPr>
        <w:t>La CGR constató que los resultados de las evaluaciones han sido publicados mediante fichas resúmenes e informes en la página web de MIDEPLAN.</w:t>
      </w:r>
      <w:r w:rsidRPr="00B46381">
        <w:rPr>
          <w:rFonts w:ascii="Arial" w:eastAsia="Calibri" w:hAnsi="Arial" w:cs="Arial"/>
          <w:iCs/>
          <w:sz w:val="24"/>
          <w:szCs w:val="24"/>
          <w:vertAlign w:val="superscript"/>
        </w:rPr>
        <w:footnoteReference w:id="8"/>
      </w:r>
      <w:r w:rsidRPr="00B46381">
        <w:rPr>
          <w:rFonts w:ascii="Arial" w:eastAsia="Calibri" w:hAnsi="Arial" w:cs="Arial"/>
          <w:iCs/>
          <w:sz w:val="24"/>
          <w:szCs w:val="24"/>
        </w:rPr>
        <w:t xml:space="preserve"> Además, en el periodo 2020 se avanzó en cuanto a la trazabilidad de los resultados.</w:t>
      </w:r>
    </w:p>
    <w:p w14:paraId="0DE1FB77" w14:textId="77777777" w:rsidR="00B46381" w:rsidRPr="00B46381" w:rsidRDefault="00B46381" w:rsidP="00FD238D">
      <w:pPr>
        <w:numPr>
          <w:ilvl w:val="0"/>
          <w:numId w:val="17"/>
        </w:numPr>
        <w:pBdr>
          <w:top w:val="nil"/>
          <w:left w:val="nil"/>
          <w:bottom w:val="nil"/>
          <w:right w:val="nil"/>
          <w:between w:val="nil"/>
          <w:bar w:val="nil"/>
        </w:pBdr>
        <w:spacing w:before="240" w:after="240" w:line="276" w:lineRule="auto"/>
        <w:ind w:left="714" w:hanging="357"/>
        <w:jc w:val="both"/>
        <w:rPr>
          <w:rFonts w:ascii="Arial" w:eastAsia="Calibri" w:hAnsi="Arial" w:cs="Arial"/>
          <w:iCs/>
          <w:sz w:val="24"/>
          <w:szCs w:val="24"/>
        </w:rPr>
      </w:pPr>
      <w:r w:rsidRPr="00B46381">
        <w:rPr>
          <w:rFonts w:ascii="Arial" w:eastAsia="Calibri" w:hAnsi="Arial" w:cs="Arial"/>
          <w:iCs/>
          <w:sz w:val="24"/>
          <w:szCs w:val="24"/>
        </w:rPr>
        <w:t>Se registran otras acciones en el desarrollo de capacidades para la evaluación en el Sector Público mediante la ejecución de los cuatro ejes de la Política Nacional de Evaluación 2018-2030 (PNE)</w:t>
      </w:r>
    </w:p>
    <w:p w14:paraId="3178AAF8" w14:textId="77777777" w:rsidR="00B46381" w:rsidRPr="00B46381" w:rsidRDefault="00B46381" w:rsidP="00FD238D">
      <w:pPr>
        <w:numPr>
          <w:ilvl w:val="0"/>
          <w:numId w:val="17"/>
        </w:numPr>
        <w:pBdr>
          <w:top w:val="nil"/>
          <w:left w:val="nil"/>
          <w:bottom w:val="nil"/>
          <w:right w:val="nil"/>
          <w:between w:val="nil"/>
          <w:bar w:val="nil"/>
        </w:pBdr>
        <w:spacing w:before="240" w:after="240" w:line="276" w:lineRule="auto"/>
        <w:ind w:left="714" w:hanging="357"/>
        <w:jc w:val="both"/>
        <w:rPr>
          <w:rFonts w:ascii="Arial" w:eastAsia="Calibri" w:hAnsi="Arial" w:cs="Arial"/>
          <w:iCs/>
          <w:sz w:val="24"/>
          <w:szCs w:val="24"/>
        </w:rPr>
      </w:pPr>
      <w:r w:rsidRPr="00B46381">
        <w:rPr>
          <w:rFonts w:ascii="Arial" w:eastAsia="Calibri" w:hAnsi="Arial" w:cs="Arial"/>
          <w:iCs/>
          <w:sz w:val="24"/>
          <w:szCs w:val="24"/>
        </w:rPr>
        <w:t>Entre los avances de 2020, se destaca la finalización de las actividades 1.3.1. y 1.3.2, referidas a acciones coordinadas entre MIDEPLAN y el MH, para alinear la evaluación de las intervenciones públicas y de los recursos presupuestarios.</w:t>
      </w:r>
    </w:p>
    <w:p w14:paraId="14AD4EA6" w14:textId="77777777" w:rsidR="0070494B" w:rsidRDefault="0070494B">
      <w:pPr>
        <w:rPr>
          <w:rFonts w:ascii="Arial" w:eastAsia="Arial" w:hAnsi="Arial" w:cs="Arial"/>
          <w:b/>
          <w:color w:val="000000"/>
          <w:sz w:val="24"/>
          <w:szCs w:val="24"/>
          <w:u w:val="single"/>
          <w:lang w:val="es-ES" w:eastAsia="zh-CN" w:bidi="hi-IN"/>
        </w:rPr>
      </w:pPr>
      <w:r>
        <w:br w:type="page"/>
      </w:r>
    </w:p>
    <w:p w14:paraId="2B861993" w14:textId="030FEABF" w:rsidR="00B46381" w:rsidRPr="00B46381" w:rsidRDefault="00B46381" w:rsidP="007F36BB">
      <w:pPr>
        <w:pStyle w:val="Ttulo2"/>
      </w:pPr>
      <w:bookmarkStart w:id="17" w:name="_Toc78277714"/>
      <w:r w:rsidRPr="00B46381">
        <w:t xml:space="preserve">Costo unitario de los </w:t>
      </w:r>
      <w:r w:rsidRPr="00FD238D">
        <w:t>servicios</w:t>
      </w:r>
      <w:r w:rsidRPr="00B46381">
        <w:t xml:space="preserve"> públicos</w:t>
      </w:r>
      <w:bookmarkEnd w:id="17"/>
    </w:p>
    <w:p w14:paraId="528FF7BD" w14:textId="4588AD97" w:rsidR="00B46381" w:rsidRPr="00B46381" w:rsidRDefault="00B46381" w:rsidP="004F0C5F">
      <w:pPr>
        <w:spacing w:before="240" w:line="276" w:lineRule="auto"/>
        <w:jc w:val="both"/>
        <w:rPr>
          <w:rFonts w:ascii="Arial" w:eastAsia="Calibri" w:hAnsi="Arial" w:cs="Arial"/>
          <w:iCs/>
          <w:sz w:val="24"/>
          <w:szCs w:val="24"/>
        </w:rPr>
      </w:pPr>
      <w:r w:rsidRPr="00B46381">
        <w:rPr>
          <w:rFonts w:ascii="Arial" w:eastAsia="Calibri" w:hAnsi="Arial" w:cs="Arial"/>
          <w:iCs/>
          <w:sz w:val="24"/>
          <w:szCs w:val="24"/>
        </w:rPr>
        <w:t xml:space="preserve">Este tema ha sido abordado en los últimos años por la </w:t>
      </w:r>
      <w:r w:rsidRPr="00B46381">
        <w:rPr>
          <w:rFonts w:ascii="Arial" w:eastAsia="Calibri" w:hAnsi="Arial" w:cs="Arial"/>
          <w:sz w:val="24"/>
          <w:szCs w:val="24"/>
        </w:rPr>
        <w:t>Comisión de Coordinación Técnica Interinstitucional de Planificación, Programación y Evaluación de la Gestión Institucional y Sectorial del Poder Ejecutivo</w:t>
      </w:r>
      <w:r w:rsidR="00990396">
        <w:rPr>
          <w:rFonts w:ascii="Arial" w:eastAsia="Calibri" w:hAnsi="Arial" w:cs="Arial"/>
          <w:sz w:val="24"/>
          <w:szCs w:val="24"/>
        </w:rPr>
        <w:t>; c</w:t>
      </w:r>
      <w:r w:rsidRPr="00B46381">
        <w:rPr>
          <w:rFonts w:ascii="Arial" w:eastAsia="Calibri" w:hAnsi="Arial" w:cs="Arial"/>
          <w:sz w:val="24"/>
          <w:szCs w:val="24"/>
        </w:rPr>
        <w:t xml:space="preserve">reada por Decreto N° 36901-PLAN-H del 15/11/2011. Esta instancia posee una subcomisión, con representación tanto del Ministerio de Hacienda como por MIDEPLAN, la cual ha llevado a cabo experiencias piloto sobre el tema. </w:t>
      </w:r>
    </w:p>
    <w:p w14:paraId="781FF79B" w14:textId="1D2EE89C" w:rsidR="00B46381" w:rsidRPr="00B46381" w:rsidRDefault="00B46381" w:rsidP="004F0C5F">
      <w:pPr>
        <w:spacing w:before="240" w:line="276" w:lineRule="auto"/>
        <w:jc w:val="both"/>
        <w:rPr>
          <w:rFonts w:ascii="Arial" w:eastAsia="Calibri" w:hAnsi="Arial" w:cs="Arial"/>
          <w:sz w:val="24"/>
          <w:szCs w:val="24"/>
        </w:rPr>
      </w:pPr>
      <w:r w:rsidRPr="00B46381">
        <w:rPr>
          <w:rFonts w:ascii="Arial" w:eastAsia="Calibri" w:hAnsi="Arial" w:cs="Arial"/>
          <w:iCs/>
          <w:sz w:val="24"/>
          <w:szCs w:val="24"/>
        </w:rPr>
        <w:t>En el “</w:t>
      </w:r>
      <w:r w:rsidRPr="00B46381">
        <w:rPr>
          <w:rFonts w:ascii="Arial" w:eastAsia="Calibri" w:hAnsi="Arial" w:cs="Arial"/>
          <w:sz w:val="24"/>
          <w:szCs w:val="24"/>
        </w:rPr>
        <w:t>INFORME DE AUDITORÍA DE CARÁCTER ESPECIAL SOBRE EL CUMPLIMIENTO DEL MARCO NORMATIVO, CONTENIDO, RENDICIÓN DE CUENTAS Y LA CALIDAD DE LA INFORMACIÓN REPORTADA EN EL INFORME FINAL SOBRE EL CUMPLIMIENTO DE LAS METAS, LOS OBJETIVOS, LAS PRIORIDADES Y ACCIONES ESTRATÉGICAS DEL PLAN NACIONAL DE DESARROLLO Y SU APORTE AL DESARROLLO ECONÓMICO-SOCIAL DEL PAÍS, CORRESPONDIENTE AL PERIODO 2020”</w:t>
      </w:r>
      <w:r w:rsidRPr="00B46381">
        <w:rPr>
          <w:rFonts w:ascii="Arial" w:eastAsia="Calibri" w:hAnsi="Arial" w:cs="Arial"/>
          <w:sz w:val="24"/>
          <w:szCs w:val="24"/>
          <w:vertAlign w:val="superscript"/>
        </w:rPr>
        <w:footnoteReference w:id="9"/>
      </w:r>
      <w:r w:rsidRPr="00B46381">
        <w:rPr>
          <w:rFonts w:ascii="Arial" w:eastAsia="Calibri" w:hAnsi="Arial" w:cs="Arial"/>
          <w:sz w:val="24"/>
          <w:szCs w:val="24"/>
        </w:rPr>
        <w:t>, se determinó</w:t>
      </w:r>
      <w:r w:rsidR="004F0C5F">
        <w:rPr>
          <w:rFonts w:ascii="Arial" w:eastAsia="Calibri" w:hAnsi="Arial" w:cs="Arial"/>
          <w:sz w:val="24"/>
          <w:szCs w:val="24"/>
        </w:rPr>
        <w:t>:</w:t>
      </w:r>
      <w:r w:rsidRPr="00B46381">
        <w:rPr>
          <w:rFonts w:ascii="Arial" w:eastAsia="Calibri" w:hAnsi="Arial" w:cs="Arial"/>
          <w:sz w:val="24"/>
          <w:szCs w:val="24"/>
        </w:rPr>
        <w:t xml:space="preserve"> </w:t>
      </w:r>
    </w:p>
    <w:p w14:paraId="2F42FCA4" w14:textId="2D76EDD2" w:rsidR="00B46381" w:rsidRPr="00D409A4" w:rsidRDefault="00B46381" w:rsidP="004F0C5F">
      <w:pPr>
        <w:numPr>
          <w:ilvl w:val="0"/>
          <w:numId w:val="16"/>
        </w:numPr>
        <w:spacing w:before="240" w:line="276" w:lineRule="auto"/>
        <w:ind w:left="708"/>
        <w:contextualSpacing/>
        <w:jc w:val="both"/>
        <w:rPr>
          <w:rFonts w:ascii="Arial" w:eastAsia="Calibri" w:hAnsi="Arial" w:cs="Arial"/>
          <w:sz w:val="24"/>
          <w:szCs w:val="24"/>
        </w:rPr>
      </w:pPr>
      <w:r w:rsidRPr="00D409A4">
        <w:rPr>
          <w:rFonts w:ascii="Arial" w:eastAsia="Calibri" w:hAnsi="Arial" w:cs="Arial"/>
          <w:sz w:val="24"/>
          <w:szCs w:val="24"/>
        </w:rPr>
        <w:t xml:space="preserve">Para el momento de la elaboración de este informe, es decir al mes </w:t>
      </w:r>
      <w:r w:rsidR="004C532B" w:rsidRPr="00D409A4">
        <w:rPr>
          <w:rFonts w:ascii="Arial" w:eastAsia="Calibri" w:hAnsi="Arial" w:cs="Arial"/>
          <w:sz w:val="24"/>
          <w:szCs w:val="24"/>
        </w:rPr>
        <w:t>de</w:t>
      </w:r>
      <w:r w:rsidRPr="00D409A4">
        <w:rPr>
          <w:rFonts w:ascii="Arial" w:eastAsia="Calibri" w:hAnsi="Arial" w:cs="Arial"/>
          <w:sz w:val="24"/>
          <w:szCs w:val="24"/>
        </w:rPr>
        <w:t xml:space="preserve"> abril del año en curso, MIDEPLAN mediante Oficio DM-OF-0275-2021, p.3. informó que, para la elaboración de una guía de cálculo de costos, participó de diversas reuniones para conocer la propuesta elaborada por la Dirección</w:t>
      </w:r>
      <w:r w:rsidR="00D409A4" w:rsidRPr="00D409A4">
        <w:rPr>
          <w:rFonts w:ascii="Arial" w:eastAsia="Calibri" w:hAnsi="Arial" w:cs="Arial"/>
          <w:sz w:val="24"/>
          <w:szCs w:val="24"/>
        </w:rPr>
        <w:t xml:space="preserve"> </w:t>
      </w:r>
      <w:r w:rsidRPr="00D409A4">
        <w:rPr>
          <w:rFonts w:ascii="Arial" w:eastAsia="Calibri" w:hAnsi="Arial" w:cs="Arial"/>
          <w:sz w:val="24"/>
          <w:szCs w:val="24"/>
        </w:rPr>
        <w:t xml:space="preserve">General de Contabilidad Nacional (DGCN), y de las observaciones se determinó que era necesario elaborar un nuevo documento, y actualmente se espera a que el Ministerio de Hacienda comparta el cronograma de trabajo. </w:t>
      </w:r>
    </w:p>
    <w:p w14:paraId="37E2F84B" w14:textId="77777777" w:rsidR="00B46381" w:rsidRPr="00B46381" w:rsidRDefault="00B46381" w:rsidP="004F0C5F">
      <w:pPr>
        <w:spacing w:before="240" w:line="276" w:lineRule="auto"/>
        <w:ind w:left="708"/>
        <w:jc w:val="both"/>
        <w:rPr>
          <w:rFonts w:ascii="Arial" w:eastAsia="Calibri" w:hAnsi="Arial" w:cs="Arial"/>
          <w:sz w:val="24"/>
          <w:szCs w:val="24"/>
        </w:rPr>
      </w:pPr>
      <w:r w:rsidRPr="00B46381">
        <w:rPr>
          <w:rFonts w:ascii="Arial" w:eastAsia="Calibri" w:hAnsi="Arial" w:cs="Arial"/>
          <w:sz w:val="24"/>
          <w:szCs w:val="24"/>
        </w:rPr>
        <w:t xml:space="preserve">En el mismo informe MIDEPLAN informa a la Contraloría General de la Republica que; el seguimiento a la temática de costos es una función del Ministerio de Hacienda como rector de la materia. </w:t>
      </w:r>
    </w:p>
    <w:p w14:paraId="195C317C" w14:textId="77777777" w:rsidR="00B46381" w:rsidRPr="00B46381" w:rsidRDefault="00B46381" w:rsidP="004F0C5F">
      <w:pPr>
        <w:spacing w:before="240" w:line="276" w:lineRule="auto"/>
        <w:ind w:left="708"/>
        <w:jc w:val="both"/>
        <w:rPr>
          <w:rFonts w:ascii="Arial" w:eastAsia="Calibri" w:hAnsi="Arial" w:cs="Arial"/>
          <w:sz w:val="24"/>
          <w:szCs w:val="24"/>
        </w:rPr>
      </w:pPr>
      <w:r w:rsidRPr="00B46381">
        <w:rPr>
          <w:rFonts w:ascii="Arial" w:eastAsia="Calibri" w:hAnsi="Arial" w:cs="Arial"/>
          <w:sz w:val="24"/>
          <w:szCs w:val="24"/>
        </w:rPr>
        <w:t xml:space="preserve">El Ministerio de Hacienda manifestó que; </w:t>
      </w:r>
      <w:r w:rsidRPr="00B46381">
        <w:rPr>
          <w:rFonts w:ascii="Arial" w:eastAsia="Calibri" w:hAnsi="Arial" w:cs="Arial"/>
          <w:i/>
          <w:iCs/>
          <w:sz w:val="24"/>
          <w:szCs w:val="24"/>
        </w:rPr>
        <w:t xml:space="preserve">“por parte del Ministerio nos encontramos realizando las acciones necesarias para brindarles un avance de los resultados con la información pertinente y de forma oportuna”, </w:t>
      </w:r>
      <w:r w:rsidRPr="00B46381">
        <w:rPr>
          <w:rFonts w:ascii="Arial" w:eastAsia="Calibri" w:hAnsi="Arial" w:cs="Arial"/>
          <w:sz w:val="24"/>
          <w:szCs w:val="24"/>
        </w:rPr>
        <w:t>mediante Oficio DVME-0173-2021 del 23 de marzo de 2021, p. 2.</w:t>
      </w:r>
    </w:p>
    <w:p w14:paraId="00E32C88" w14:textId="77777777" w:rsidR="00B46381" w:rsidRPr="00B46381" w:rsidRDefault="00B46381" w:rsidP="004F0C5F">
      <w:pPr>
        <w:numPr>
          <w:ilvl w:val="0"/>
          <w:numId w:val="16"/>
        </w:numPr>
        <w:spacing w:before="240" w:line="276" w:lineRule="auto"/>
        <w:contextualSpacing/>
        <w:jc w:val="both"/>
        <w:rPr>
          <w:rFonts w:ascii="Arial" w:eastAsia="Calibri" w:hAnsi="Arial" w:cs="Arial"/>
          <w:sz w:val="24"/>
          <w:szCs w:val="24"/>
        </w:rPr>
      </w:pPr>
      <w:r w:rsidRPr="00B46381">
        <w:rPr>
          <w:rFonts w:ascii="Arial" w:eastAsia="Calibri" w:hAnsi="Arial" w:cs="Arial"/>
          <w:sz w:val="24"/>
          <w:szCs w:val="24"/>
        </w:rPr>
        <w:t>Según lo indicado por MIDEPLAN</w:t>
      </w:r>
      <w:r w:rsidRPr="00B46381">
        <w:rPr>
          <w:rFonts w:ascii="Arial" w:eastAsia="Calibri" w:hAnsi="Arial" w:cs="Arial"/>
          <w:sz w:val="24"/>
          <w:szCs w:val="24"/>
          <w:vertAlign w:val="superscript"/>
        </w:rPr>
        <w:footnoteReference w:id="10"/>
      </w:r>
      <w:r w:rsidRPr="00B46381">
        <w:rPr>
          <w:rFonts w:ascii="Arial" w:eastAsia="Calibri" w:hAnsi="Arial" w:cs="Arial"/>
          <w:sz w:val="24"/>
          <w:szCs w:val="24"/>
        </w:rPr>
        <w:t>, respecto a la revisión de la guía para realizar ajustes en las estructuras programáticas de los presupuestos públicos, indicaron haber coordinado con el Ministerio de Hacienda, generando observaciones que fueron comunicadas al equipo de consultores responsables de la redacción de la guía. El Ministerio de Hacienda agregó que esperará a concluir el proceso para publicar la versión definitiva de la guía</w:t>
      </w:r>
      <w:r w:rsidRPr="00B46381">
        <w:rPr>
          <w:rFonts w:ascii="Arial" w:eastAsia="Calibri" w:hAnsi="Arial" w:cs="Arial"/>
          <w:sz w:val="24"/>
          <w:szCs w:val="24"/>
          <w:vertAlign w:val="superscript"/>
        </w:rPr>
        <w:footnoteReference w:id="11"/>
      </w:r>
      <w:r w:rsidRPr="00B46381">
        <w:rPr>
          <w:rFonts w:ascii="Arial" w:eastAsia="Calibri" w:hAnsi="Arial" w:cs="Arial"/>
          <w:sz w:val="24"/>
          <w:szCs w:val="24"/>
        </w:rPr>
        <w:t xml:space="preserve">. </w:t>
      </w:r>
    </w:p>
    <w:p w14:paraId="3D6390F8" w14:textId="77777777" w:rsidR="00B46381" w:rsidRPr="00B46381" w:rsidRDefault="00B46381" w:rsidP="004F0C5F">
      <w:pPr>
        <w:numPr>
          <w:ilvl w:val="0"/>
          <w:numId w:val="16"/>
        </w:numPr>
        <w:spacing w:before="240" w:line="276" w:lineRule="auto"/>
        <w:contextualSpacing/>
        <w:jc w:val="both"/>
        <w:rPr>
          <w:rFonts w:ascii="Arial" w:eastAsia="Calibri" w:hAnsi="Arial" w:cs="Arial"/>
          <w:sz w:val="24"/>
          <w:szCs w:val="24"/>
        </w:rPr>
      </w:pPr>
      <w:r w:rsidRPr="00B46381">
        <w:rPr>
          <w:rFonts w:ascii="Arial" w:eastAsia="Calibri" w:hAnsi="Arial" w:cs="Arial"/>
          <w:sz w:val="24"/>
          <w:szCs w:val="24"/>
        </w:rPr>
        <w:t xml:space="preserve">Por otra parte, el Ministerio de Hacienda mediante oficio DVME-0173-2021 del 23 de marzo de 2021, p. 3-4, señaló que se cumplieron las acciones definidas para la implementación del Presupuesto por Programas Orientado a Resultados (PpPOR) en el marco de la Gestión para Resultados en el Desarrollo (GpRD), liderado por un Equipo técnico Hacienda (DGPN-STAP)-MIDEPLAN, en coordinación con consultores contratados por el Banco Interamericano de Desarrollo (BID). </w:t>
      </w:r>
    </w:p>
    <w:p w14:paraId="2FBD4D87" w14:textId="77777777" w:rsidR="00B46381" w:rsidRPr="00B46381" w:rsidRDefault="00B46381" w:rsidP="004F0C5F">
      <w:pPr>
        <w:spacing w:before="240" w:line="276" w:lineRule="auto"/>
        <w:ind w:left="708"/>
        <w:jc w:val="both"/>
        <w:rPr>
          <w:rFonts w:ascii="Arial" w:eastAsia="Calibri" w:hAnsi="Arial" w:cs="Arial"/>
          <w:sz w:val="24"/>
          <w:szCs w:val="24"/>
        </w:rPr>
      </w:pPr>
      <w:r w:rsidRPr="00B46381">
        <w:rPr>
          <w:rFonts w:ascii="Arial" w:eastAsia="Calibri" w:hAnsi="Arial" w:cs="Arial"/>
          <w:sz w:val="24"/>
          <w:szCs w:val="24"/>
        </w:rPr>
        <w:t xml:space="preserve">La participación de MIDEPLAN en ambos procesos, liderados por el Ministerio de Hacienda, acompañó técnicamente a los equipos de las instituciones participantes, a fin de aclarar dudas y revisar el trabajo avanzado, con la posibilidad de plantear observaciones pertinentes a la labor de MIDEPLAN en relación con la planificación estratégica. </w:t>
      </w:r>
    </w:p>
    <w:p w14:paraId="0C540485" w14:textId="1C91EB1E" w:rsidR="00B46381" w:rsidRPr="00B46381" w:rsidRDefault="00B46381" w:rsidP="004F0C5F">
      <w:pPr>
        <w:spacing w:before="240" w:line="276" w:lineRule="auto"/>
        <w:ind w:left="708"/>
        <w:jc w:val="both"/>
        <w:rPr>
          <w:rFonts w:ascii="Arial" w:eastAsia="Calibri" w:hAnsi="Arial" w:cs="Arial"/>
          <w:sz w:val="24"/>
          <w:szCs w:val="24"/>
        </w:rPr>
      </w:pPr>
      <w:r w:rsidRPr="00B46381">
        <w:rPr>
          <w:rFonts w:ascii="Arial" w:eastAsia="Calibri" w:hAnsi="Arial" w:cs="Arial"/>
          <w:sz w:val="24"/>
          <w:szCs w:val="24"/>
        </w:rPr>
        <w:t xml:space="preserve">En síntesis, la Contraloría General de la Republica considera se continúa observando un lento avance en esta materia, por lo </w:t>
      </w:r>
      <w:r w:rsidR="004C532B" w:rsidRPr="00B46381">
        <w:rPr>
          <w:rFonts w:ascii="Arial" w:eastAsia="Calibri" w:hAnsi="Arial" w:cs="Arial"/>
          <w:sz w:val="24"/>
          <w:szCs w:val="24"/>
        </w:rPr>
        <w:t>que,</w:t>
      </w:r>
      <w:r w:rsidRPr="00B46381">
        <w:rPr>
          <w:rFonts w:ascii="Arial" w:eastAsia="Calibri" w:hAnsi="Arial" w:cs="Arial"/>
          <w:sz w:val="24"/>
          <w:szCs w:val="24"/>
        </w:rPr>
        <w:t xml:space="preserve"> para la CGR, es crucial fortalecer la coordinación entre ambos órganos rectores, de forma tal que estos esfuerzos finalmente se concreten, y que el </w:t>
      </w:r>
      <w:r w:rsidR="00A54543" w:rsidRPr="00B46381">
        <w:rPr>
          <w:rFonts w:ascii="Arial" w:eastAsia="Calibri" w:hAnsi="Arial" w:cs="Arial"/>
          <w:sz w:val="24"/>
          <w:szCs w:val="24"/>
        </w:rPr>
        <w:t>costo</w:t>
      </w:r>
      <w:r w:rsidRPr="00B46381">
        <w:rPr>
          <w:rFonts w:ascii="Arial" w:eastAsia="Calibri" w:hAnsi="Arial" w:cs="Arial"/>
          <w:sz w:val="24"/>
          <w:szCs w:val="24"/>
        </w:rPr>
        <w:t xml:space="preserve"> de los servicios públicos sirva para la toma de decisiones de la Administración y por ende en la mejora de la eficiencia en el uso de los recursos públicos.</w:t>
      </w:r>
    </w:p>
    <w:p w14:paraId="7F4F98FC" w14:textId="77777777" w:rsidR="00B46381" w:rsidRPr="00B46381" w:rsidRDefault="00B46381" w:rsidP="007F36BB">
      <w:pPr>
        <w:pStyle w:val="Ttulo2"/>
      </w:pPr>
      <w:bookmarkStart w:id="18" w:name="_Toc78277715"/>
      <w:r w:rsidRPr="00B46381">
        <w:t>Sobre la metodología de MIDEPLAN para el seguimiento del PNDIP.</w:t>
      </w:r>
      <w:bookmarkEnd w:id="18"/>
    </w:p>
    <w:p w14:paraId="2BACE7AC" w14:textId="77777777" w:rsidR="00B46381" w:rsidRPr="00B46381" w:rsidRDefault="00B46381" w:rsidP="004F0C5F">
      <w:pPr>
        <w:spacing w:before="240" w:line="276" w:lineRule="auto"/>
        <w:jc w:val="both"/>
        <w:rPr>
          <w:rFonts w:ascii="Arial" w:eastAsia="Calibri" w:hAnsi="Arial" w:cs="Arial"/>
          <w:sz w:val="24"/>
          <w:szCs w:val="24"/>
        </w:rPr>
      </w:pPr>
      <w:r w:rsidRPr="00B46381">
        <w:rPr>
          <w:rFonts w:ascii="Arial" w:eastAsia="Calibri" w:hAnsi="Arial" w:cs="Arial"/>
          <w:sz w:val="24"/>
          <w:szCs w:val="24"/>
        </w:rPr>
        <w:t>Entre las mejoras observadas en el informe, se destaca que MIDEPLAN agregó los avances acumulados de las metas en los periodos 2019 y 2020. Además, por segundo año consecutivo, se aplicó un procedimiento de verificación sobre los resultados reportados, en conjunto para metas del PNDIP y del Presupuesto de la República, y del cual se elabora un informe conjunto entre ambos rectores.</w:t>
      </w:r>
    </w:p>
    <w:p w14:paraId="23406928" w14:textId="77777777" w:rsidR="00B46381" w:rsidRPr="00B46381" w:rsidRDefault="00B46381" w:rsidP="004F0C5F">
      <w:pPr>
        <w:spacing w:before="240" w:line="276" w:lineRule="auto"/>
        <w:jc w:val="both"/>
        <w:rPr>
          <w:rFonts w:ascii="Arial" w:eastAsia="Calibri" w:hAnsi="Arial" w:cs="Arial"/>
          <w:sz w:val="24"/>
          <w:szCs w:val="24"/>
        </w:rPr>
      </w:pPr>
      <w:r w:rsidRPr="00B46381">
        <w:rPr>
          <w:rFonts w:ascii="Arial" w:eastAsia="Calibri" w:hAnsi="Arial" w:cs="Arial"/>
          <w:sz w:val="24"/>
          <w:szCs w:val="24"/>
        </w:rPr>
        <w:t>Como aspectos de mejora, se reitera la situación expresada el año anterior, de que al modificarse el PNDIP, MIDEPLAN insta a las instituciones a que actualicen la información en el Sistema Delphos.Net y en su respectiva ficha técnica, pero los ajustes no se han integrado en ningún otro documento posterior a la publicación del PNDIP. Por esta razón, a la fecha, no están disponibles al público todas las fichas técnicas actualizadas.</w:t>
      </w:r>
    </w:p>
    <w:p w14:paraId="790EFBCB" w14:textId="77777777" w:rsidR="00B46381" w:rsidRPr="00B46381" w:rsidRDefault="00B46381" w:rsidP="004F0C5F">
      <w:pPr>
        <w:spacing w:before="240" w:line="276" w:lineRule="auto"/>
        <w:jc w:val="both"/>
        <w:rPr>
          <w:rFonts w:ascii="Arial" w:eastAsia="Calibri" w:hAnsi="Arial" w:cs="Arial"/>
          <w:sz w:val="24"/>
          <w:szCs w:val="24"/>
        </w:rPr>
      </w:pPr>
      <w:r w:rsidRPr="00B46381">
        <w:rPr>
          <w:rFonts w:ascii="Arial" w:eastAsia="Calibri" w:hAnsi="Arial" w:cs="Arial"/>
          <w:sz w:val="24"/>
          <w:szCs w:val="24"/>
        </w:rPr>
        <w:t>Lo anterior reviste de importancia considerando que la situación de emergencia nacional ocasionada por la COVID-19, generó que un total de 73 metas disminuyeran su programación prevista para 2020, mientras que 54 metas fueron eliminadas de la ejecución del periodo 2020. Cabe aclarar que el artículo 6 del Decreto Ejecutivo Nº 39021-PLAN, permite realizar supresiones, disminuciones o sustituciones de los diferentes componentes del PNDIP, en situaciones de imposibilidad de cumplimiento ocasionadas por crisis internacionales, desastres naturales, guerra, conmoción interna, calamidad pública o estados de emergencia.</w:t>
      </w:r>
    </w:p>
    <w:p w14:paraId="4EDE99E6" w14:textId="77777777" w:rsidR="00B46381" w:rsidRPr="004F0C5F" w:rsidRDefault="00B46381" w:rsidP="007F36BB">
      <w:pPr>
        <w:pStyle w:val="Ttulo2"/>
      </w:pPr>
      <w:bookmarkStart w:id="19" w:name="_Toc78277716"/>
      <w:r w:rsidRPr="004F0C5F">
        <w:t>Sobre la calidad de la información suministrada por MIDEPLAN.</w:t>
      </w:r>
      <w:bookmarkEnd w:id="19"/>
    </w:p>
    <w:p w14:paraId="4CC2EFD6" w14:textId="77777777" w:rsidR="00B46381" w:rsidRPr="00B46381" w:rsidRDefault="00B46381" w:rsidP="004F0C5F">
      <w:pPr>
        <w:spacing w:before="240" w:line="276" w:lineRule="auto"/>
        <w:jc w:val="both"/>
        <w:rPr>
          <w:rFonts w:ascii="Arial" w:eastAsia="Calibri" w:hAnsi="Arial" w:cs="Arial"/>
          <w:sz w:val="24"/>
          <w:szCs w:val="24"/>
        </w:rPr>
      </w:pPr>
      <w:r w:rsidRPr="00B46381">
        <w:rPr>
          <w:rFonts w:ascii="Arial" w:eastAsia="Calibri" w:hAnsi="Arial" w:cs="Arial"/>
          <w:sz w:val="24"/>
          <w:szCs w:val="24"/>
        </w:rPr>
        <w:t>La CGR ejecutó la auditoría de cumplimiento sobre 31 metas de intervenciones estratégicas del PNDIP 2019-2022, seleccionadas según criterios de materialidad, tales como su presupuesto estimado, su relevancia estratégica, y la fase de ejecución en la que se encuentran según la programación establecida para el cuatrienio. 4.30. Dicha auditoría incluyó verificaciones de campo sobre los resultados correspondientes al periodo 2020. La estimación presupuestaria de las 31 metas auditadas es de ¢1,9 billones para el cuatrienio, con lo cual la CGR ha acumulado una cobertura de fiscalización del 52,5% del total de los recursos estimados en el PNDIP 2019-2022 (¢11,8 billones). Los resultados de estas auditorías fueron comunicados a cada una de las rectorías sectoriales, según se resume en el siguiente cuadro.</w:t>
      </w:r>
    </w:p>
    <w:p w14:paraId="6D77B211" w14:textId="77777777" w:rsidR="00B46381" w:rsidRPr="00B46381" w:rsidRDefault="00B46381" w:rsidP="004F0C5F">
      <w:pPr>
        <w:spacing w:before="240" w:line="276" w:lineRule="auto"/>
        <w:jc w:val="both"/>
        <w:rPr>
          <w:rFonts w:ascii="Arial" w:eastAsia="Calibri" w:hAnsi="Arial" w:cs="Arial"/>
          <w:sz w:val="24"/>
          <w:szCs w:val="24"/>
        </w:rPr>
      </w:pPr>
      <w:r w:rsidRPr="00B46381">
        <w:rPr>
          <w:rFonts w:ascii="Arial" w:eastAsia="Calibri" w:hAnsi="Arial" w:cs="Arial"/>
          <w:sz w:val="24"/>
          <w:szCs w:val="24"/>
        </w:rPr>
        <w:t xml:space="preserve">El órgano contralor analizó distintos aspectos de la calidad de la información reportada, otorgando la siguiente valoración: </w:t>
      </w:r>
    </w:p>
    <w:p w14:paraId="23F72166" w14:textId="432AB0A7" w:rsidR="00B46381" w:rsidRPr="004F0C5F" w:rsidRDefault="00B46381" w:rsidP="004F0C5F">
      <w:pPr>
        <w:pStyle w:val="Prrafodelista"/>
        <w:numPr>
          <w:ilvl w:val="0"/>
          <w:numId w:val="14"/>
        </w:numPr>
        <w:spacing w:before="240" w:after="240" w:line="276" w:lineRule="auto"/>
        <w:ind w:left="714" w:hanging="357"/>
        <w:contextualSpacing w:val="0"/>
        <w:jc w:val="both"/>
        <w:rPr>
          <w:rFonts w:ascii="Arial" w:eastAsia="Calibri" w:hAnsi="Arial" w:cs="Arial"/>
          <w:sz w:val="24"/>
          <w:szCs w:val="24"/>
        </w:rPr>
      </w:pPr>
      <w:r w:rsidRPr="004F0C5F">
        <w:rPr>
          <w:rFonts w:ascii="Arial" w:eastAsia="Calibri" w:hAnsi="Arial" w:cs="Arial"/>
          <w:sz w:val="24"/>
          <w:szCs w:val="24"/>
        </w:rPr>
        <w:t xml:space="preserve">Resultado general de la valoración: 82,7% para las 31 metas auditadas (fue de 67,9% en el 2019). </w:t>
      </w:r>
    </w:p>
    <w:p w14:paraId="5AC91D32" w14:textId="3F58EA50" w:rsidR="00B46381" w:rsidRPr="004F0C5F" w:rsidRDefault="00B46381" w:rsidP="004F0C5F">
      <w:pPr>
        <w:pStyle w:val="Prrafodelista"/>
        <w:numPr>
          <w:ilvl w:val="0"/>
          <w:numId w:val="14"/>
        </w:numPr>
        <w:spacing w:before="240" w:after="240" w:line="276" w:lineRule="auto"/>
        <w:ind w:left="714" w:hanging="357"/>
        <w:contextualSpacing w:val="0"/>
        <w:jc w:val="both"/>
        <w:rPr>
          <w:rFonts w:ascii="Arial" w:eastAsia="Calibri" w:hAnsi="Arial" w:cs="Arial"/>
          <w:sz w:val="24"/>
          <w:szCs w:val="24"/>
        </w:rPr>
      </w:pPr>
      <w:r w:rsidRPr="004F0C5F">
        <w:rPr>
          <w:rFonts w:ascii="Arial" w:eastAsia="Calibri" w:hAnsi="Arial" w:cs="Arial"/>
          <w:sz w:val="24"/>
          <w:szCs w:val="24"/>
        </w:rPr>
        <w:t>Situación de las fichas técnicas de los indicadores: 90,3%.</w:t>
      </w:r>
    </w:p>
    <w:p w14:paraId="7071EA84" w14:textId="70967A43" w:rsidR="00B46381" w:rsidRPr="004F0C5F" w:rsidRDefault="00B46381" w:rsidP="004F0C5F">
      <w:pPr>
        <w:pStyle w:val="Prrafodelista"/>
        <w:numPr>
          <w:ilvl w:val="0"/>
          <w:numId w:val="14"/>
        </w:numPr>
        <w:spacing w:before="240" w:after="240" w:line="276" w:lineRule="auto"/>
        <w:ind w:left="714" w:hanging="357"/>
        <w:contextualSpacing w:val="0"/>
        <w:jc w:val="both"/>
        <w:rPr>
          <w:rFonts w:ascii="Arial" w:eastAsia="Calibri" w:hAnsi="Arial" w:cs="Arial"/>
          <w:sz w:val="24"/>
          <w:szCs w:val="24"/>
        </w:rPr>
      </w:pPr>
      <w:r w:rsidRPr="004F0C5F">
        <w:rPr>
          <w:rFonts w:ascii="Arial" w:eastAsia="Calibri" w:hAnsi="Arial" w:cs="Arial"/>
          <w:sz w:val="24"/>
          <w:szCs w:val="24"/>
        </w:rPr>
        <w:t xml:space="preserve">Confiabilidad de la información: 82,0%. </w:t>
      </w:r>
    </w:p>
    <w:p w14:paraId="5D3EC49C" w14:textId="41FD2FE5" w:rsidR="00B46381" w:rsidRPr="004F0C5F" w:rsidRDefault="00B46381" w:rsidP="004F0C5F">
      <w:pPr>
        <w:pStyle w:val="Prrafodelista"/>
        <w:numPr>
          <w:ilvl w:val="0"/>
          <w:numId w:val="14"/>
        </w:numPr>
        <w:spacing w:before="240" w:after="240" w:line="276" w:lineRule="auto"/>
        <w:ind w:left="714" w:hanging="357"/>
        <w:contextualSpacing w:val="0"/>
        <w:jc w:val="both"/>
        <w:rPr>
          <w:rFonts w:ascii="Arial" w:eastAsia="Calibri" w:hAnsi="Arial" w:cs="Arial"/>
          <w:sz w:val="24"/>
          <w:szCs w:val="24"/>
        </w:rPr>
      </w:pPr>
      <w:r w:rsidRPr="004F0C5F">
        <w:rPr>
          <w:rFonts w:ascii="Arial" w:eastAsia="Calibri" w:hAnsi="Arial" w:cs="Arial"/>
          <w:sz w:val="24"/>
          <w:szCs w:val="24"/>
        </w:rPr>
        <w:t xml:space="preserve">Oportunidad de la información: 64,5%. </w:t>
      </w:r>
    </w:p>
    <w:p w14:paraId="4C097BD9" w14:textId="0FA6CE24" w:rsidR="00B46381" w:rsidRPr="004F0C5F" w:rsidRDefault="00B46381" w:rsidP="004F0C5F">
      <w:pPr>
        <w:pStyle w:val="Prrafodelista"/>
        <w:numPr>
          <w:ilvl w:val="0"/>
          <w:numId w:val="14"/>
        </w:numPr>
        <w:spacing w:before="240" w:after="240" w:line="276" w:lineRule="auto"/>
        <w:ind w:left="714" w:hanging="357"/>
        <w:contextualSpacing w:val="0"/>
        <w:jc w:val="both"/>
        <w:rPr>
          <w:rFonts w:ascii="Arial" w:eastAsia="Calibri" w:hAnsi="Arial" w:cs="Arial"/>
          <w:sz w:val="24"/>
          <w:szCs w:val="24"/>
        </w:rPr>
      </w:pPr>
      <w:r w:rsidRPr="004F0C5F">
        <w:rPr>
          <w:rFonts w:ascii="Arial" w:eastAsia="Calibri" w:hAnsi="Arial" w:cs="Arial"/>
          <w:sz w:val="24"/>
          <w:szCs w:val="24"/>
        </w:rPr>
        <w:t xml:space="preserve">Utilidad de la información: 55,3%. </w:t>
      </w:r>
    </w:p>
    <w:p w14:paraId="22E1123E" w14:textId="710A1EC6" w:rsidR="00B46381" w:rsidRPr="004F0C5F" w:rsidRDefault="00B46381" w:rsidP="004F0C5F">
      <w:pPr>
        <w:pStyle w:val="Prrafodelista"/>
        <w:numPr>
          <w:ilvl w:val="0"/>
          <w:numId w:val="14"/>
        </w:numPr>
        <w:spacing w:before="240" w:after="240" w:line="276" w:lineRule="auto"/>
        <w:ind w:left="714" w:hanging="357"/>
        <w:contextualSpacing w:val="0"/>
        <w:jc w:val="both"/>
        <w:rPr>
          <w:rFonts w:ascii="Arial" w:eastAsia="Calibri" w:hAnsi="Arial" w:cs="Arial"/>
          <w:sz w:val="24"/>
          <w:szCs w:val="24"/>
        </w:rPr>
      </w:pPr>
      <w:r w:rsidRPr="004F0C5F">
        <w:rPr>
          <w:rFonts w:ascii="Arial" w:eastAsia="Calibri" w:hAnsi="Arial" w:cs="Arial"/>
          <w:sz w:val="24"/>
          <w:szCs w:val="24"/>
        </w:rPr>
        <w:t>Verificación de la CGR sobre los resultados reportados: 73,4%.</w:t>
      </w:r>
    </w:p>
    <w:p w14:paraId="35BB8041" w14:textId="77777777" w:rsidR="00B46381" w:rsidRPr="00B46381" w:rsidRDefault="00B46381" w:rsidP="007F36BB">
      <w:pPr>
        <w:pStyle w:val="Ttulo2"/>
      </w:pPr>
      <w:bookmarkStart w:id="20" w:name="_Toc78277717"/>
      <w:r w:rsidRPr="00B46381">
        <w:t>Fundamento para la opinión con reservas</w:t>
      </w:r>
      <w:bookmarkEnd w:id="20"/>
      <w:r w:rsidRPr="00B46381">
        <w:t xml:space="preserve"> </w:t>
      </w:r>
    </w:p>
    <w:p w14:paraId="7533FC53" w14:textId="77777777" w:rsidR="00B46381" w:rsidRPr="00B46381" w:rsidRDefault="00B46381" w:rsidP="00CA18C3">
      <w:pPr>
        <w:spacing w:line="276" w:lineRule="auto"/>
        <w:jc w:val="both"/>
        <w:rPr>
          <w:rFonts w:ascii="Arial" w:eastAsia="Calibri" w:hAnsi="Arial" w:cs="Arial"/>
          <w:sz w:val="24"/>
          <w:szCs w:val="24"/>
        </w:rPr>
      </w:pPr>
      <w:r w:rsidRPr="00B46381">
        <w:rPr>
          <w:rFonts w:ascii="Arial" w:eastAsia="Calibri" w:hAnsi="Arial" w:cs="Arial"/>
          <w:sz w:val="24"/>
          <w:szCs w:val="24"/>
        </w:rPr>
        <w:t>Como fundamento para la opinión con reservas sobre el cumplimiento del marco normativo, se indica que el informe presentado por MIDEPLAN a la Contraloría no contiene los elementos explicativos para medir la eficiencia en el uso de los recursos públicos y los costos de los servicios que establece el artículo 52 de la LAFRPP. Estos requerimientos no se han cumplido desde la vigencia de la Ley N°8131 en octubre de 2001.</w:t>
      </w:r>
    </w:p>
    <w:p w14:paraId="2505DE89" w14:textId="7AE0FF64" w:rsidR="009B2BCB" w:rsidRPr="00535111" w:rsidRDefault="009B2BCB" w:rsidP="00535111">
      <w:pPr>
        <w:pStyle w:val="Ttulo1"/>
      </w:pPr>
      <w:bookmarkStart w:id="21" w:name="_Toc78277718"/>
      <w:r w:rsidRPr="00535111">
        <w:t>PRINCIPIOS PRESUPUESTARIOS</w:t>
      </w:r>
      <w:bookmarkEnd w:id="21"/>
    </w:p>
    <w:p w14:paraId="6D36E776" w14:textId="77777777" w:rsidR="00EF1167" w:rsidRDefault="00EF1167" w:rsidP="007F36BB">
      <w:pPr>
        <w:spacing w:before="240" w:line="276" w:lineRule="auto"/>
        <w:jc w:val="both"/>
        <w:rPr>
          <w:rFonts w:ascii="Arial" w:eastAsia="Calibri" w:hAnsi="Arial" w:cs="Arial"/>
          <w:sz w:val="24"/>
          <w:szCs w:val="24"/>
        </w:rPr>
      </w:pPr>
      <w:r w:rsidRPr="00577682">
        <w:rPr>
          <w:rFonts w:ascii="Arial" w:eastAsia="Calibri" w:hAnsi="Arial" w:cs="Arial"/>
          <w:sz w:val="24"/>
          <w:szCs w:val="24"/>
        </w:rPr>
        <w:t>El presupuesto de la República se debe presentar, ejecutar y liquidar con estricto a pego al artículo 187 de la Constitución Política y a la Ley N°8131, específicamente su artículo 5, donde se exponen los principios presupuestarios, los cuales deben integrar el presupuesto a lo largo de este proceso. Es por este motivo y como mecanismo de transparencia, rendición de cuentas, información a la ciudadanía y control político que se brinda un espacio dentro de este análisis para hacer referencia al cumplimiento de los principios presupuestarios dur</w:t>
      </w:r>
      <w:r>
        <w:rPr>
          <w:rFonts w:ascii="Arial" w:eastAsia="Calibri" w:hAnsi="Arial" w:cs="Arial"/>
          <w:sz w:val="24"/>
          <w:szCs w:val="24"/>
        </w:rPr>
        <w:t>ante el ejercicio económico 2020</w:t>
      </w:r>
      <w:r w:rsidRPr="00577682">
        <w:rPr>
          <w:rFonts w:ascii="Arial" w:eastAsia="Calibri" w:hAnsi="Arial" w:cs="Arial"/>
          <w:sz w:val="24"/>
          <w:szCs w:val="24"/>
        </w:rPr>
        <w:t xml:space="preserve">. </w:t>
      </w:r>
    </w:p>
    <w:p w14:paraId="6E5A94D2" w14:textId="77777777" w:rsidR="00EF1167" w:rsidRPr="007F36BB" w:rsidRDefault="00EF1167" w:rsidP="007F36BB">
      <w:pPr>
        <w:pStyle w:val="Ttulo2"/>
        <w:numPr>
          <w:ilvl w:val="1"/>
          <w:numId w:val="28"/>
        </w:numPr>
      </w:pPr>
      <w:bookmarkStart w:id="22" w:name="_Toc78277719"/>
      <w:r w:rsidRPr="007F36BB">
        <w:t>Principio de Universalidad e integridad</w:t>
      </w:r>
      <w:bookmarkEnd w:id="22"/>
    </w:p>
    <w:p w14:paraId="240C3F57" w14:textId="73C402DF" w:rsidR="00EF1167" w:rsidRPr="00385B4D" w:rsidRDefault="00EF1167" w:rsidP="00CA18C3">
      <w:pPr>
        <w:spacing w:line="276" w:lineRule="auto"/>
        <w:jc w:val="both"/>
        <w:rPr>
          <w:rFonts w:ascii="Arial" w:eastAsia="Calibri" w:hAnsi="Arial" w:cs="Arial"/>
          <w:sz w:val="24"/>
          <w:szCs w:val="24"/>
        </w:rPr>
      </w:pPr>
      <w:r w:rsidRPr="00385B4D">
        <w:rPr>
          <w:rFonts w:ascii="Arial" w:eastAsia="Calibri" w:hAnsi="Arial" w:cs="Arial"/>
          <w:sz w:val="24"/>
          <w:szCs w:val="24"/>
        </w:rPr>
        <w:t>En atención al inciso a) del artículo 5 de la Ley N° 8131, que ordena lo siguiente</w:t>
      </w:r>
      <w:r w:rsidR="00873F7C">
        <w:rPr>
          <w:rFonts w:ascii="Arial" w:eastAsia="Calibri" w:hAnsi="Arial" w:cs="Arial"/>
          <w:sz w:val="24"/>
          <w:szCs w:val="24"/>
        </w:rPr>
        <w:t xml:space="preserve">: </w:t>
      </w:r>
      <w:r w:rsidRPr="00072421">
        <w:rPr>
          <w:rFonts w:ascii="Arial" w:eastAsia="Calibri" w:hAnsi="Arial" w:cs="Arial"/>
          <w:i/>
          <w:iCs/>
          <w:sz w:val="24"/>
          <w:szCs w:val="24"/>
        </w:rPr>
        <w:t>“el presupuesto deberá contener, de manera explícita, todos los ingresos, y gastos originados en la actividad financiera, que deberán incluirse por su importe íntegro; no podrán atenderse obligaciones mediante la disminución de ingresos por liquidar”</w:t>
      </w:r>
      <w:r w:rsidR="00072421">
        <w:rPr>
          <w:rFonts w:ascii="Arial" w:eastAsia="Calibri" w:hAnsi="Arial" w:cs="Arial"/>
          <w:sz w:val="24"/>
          <w:szCs w:val="24"/>
        </w:rPr>
        <w:t xml:space="preserve">. Al respecto </w:t>
      </w:r>
      <w:r w:rsidRPr="00385B4D">
        <w:rPr>
          <w:rFonts w:ascii="Arial" w:eastAsia="Calibri" w:hAnsi="Arial" w:cs="Arial"/>
          <w:sz w:val="24"/>
          <w:szCs w:val="24"/>
        </w:rPr>
        <w:t>se puede afirmar que este principio no se cumple por las siguientes razones:</w:t>
      </w:r>
    </w:p>
    <w:p w14:paraId="04E6BA9C" w14:textId="4F8B688B" w:rsidR="00EF1167" w:rsidRDefault="00923DDC" w:rsidP="00CA18C3">
      <w:pPr>
        <w:spacing w:line="276" w:lineRule="auto"/>
        <w:jc w:val="both"/>
        <w:rPr>
          <w:rFonts w:ascii="Arial" w:eastAsia="Calibri" w:hAnsi="Arial" w:cs="Arial"/>
          <w:sz w:val="24"/>
          <w:szCs w:val="24"/>
        </w:rPr>
      </w:pPr>
      <w:r>
        <w:rPr>
          <w:rFonts w:ascii="Arial" w:eastAsia="Calibri" w:hAnsi="Arial" w:cs="Arial"/>
          <w:sz w:val="24"/>
          <w:szCs w:val="24"/>
        </w:rPr>
        <w:t>Como lo hemos presentado en diversas secciones del presente informe, s</w:t>
      </w:r>
      <w:r w:rsidR="00EF1167" w:rsidRPr="00385B4D">
        <w:rPr>
          <w:rFonts w:ascii="Arial" w:eastAsia="Calibri" w:hAnsi="Arial" w:cs="Arial"/>
          <w:sz w:val="24"/>
          <w:szCs w:val="24"/>
        </w:rPr>
        <w:t>e observa que solo en los ingresos de la Liquidación del Presupuesto de la Republica del año 2020, existe ausencia de registros por un monto de ₡57.209 millones</w:t>
      </w:r>
      <w:r w:rsidR="00EF1167">
        <w:rPr>
          <w:rFonts w:ascii="Arial" w:eastAsia="Calibri" w:hAnsi="Arial" w:cs="Arial"/>
          <w:sz w:val="24"/>
          <w:szCs w:val="24"/>
        </w:rPr>
        <w:t xml:space="preserve">, originado en los depósitos reconocidos en el año 2019, pero transferidos el 2 y 9 de enero del año 2020, por el Instituto Nacional de Seguros al Ministerio de Hacienda, lo anterior tiene su origen al cambio de método de registro </w:t>
      </w:r>
      <w:r w:rsidR="00EF1167" w:rsidRPr="00385B4D">
        <w:rPr>
          <w:rFonts w:ascii="Arial" w:eastAsia="Calibri" w:hAnsi="Arial" w:cs="Arial"/>
          <w:sz w:val="24"/>
          <w:szCs w:val="24"/>
        </w:rPr>
        <w:t>de</w:t>
      </w:r>
      <w:r w:rsidR="00EF1167">
        <w:rPr>
          <w:rFonts w:ascii="Arial" w:eastAsia="Calibri" w:hAnsi="Arial" w:cs="Arial"/>
          <w:sz w:val="24"/>
          <w:szCs w:val="24"/>
        </w:rPr>
        <w:t>l impuesto</w:t>
      </w:r>
      <w:r w:rsidR="00EF1167" w:rsidRPr="00385B4D">
        <w:rPr>
          <w:rFonts w:ascii="Arial" w:eastAsia="Calibri" w:hAnsi="Arial" w:cs="Arial"/>
          <w:sz w:val="24"/>
          <w:szCs w:val="24"/>
        </w:rPr>
        <w:t xml:space="preserve"> sobre la propiedad</w:t>
      </w:r>
      <w:r w:rsidR="00EF1167">
        <w:rPr>
          <w:rFonts w:ascii="Arial" w:eastAsia="Calibri" w:hAnsi="Arial" w:cs="Arial"/>
          <w:sz w:val="24"/>
          <w:szCs w:val="24"/>
        </w:rPr>
        <w:t xml:space="preserve">. La Contraloría General de la Republica ha determinado que de haberse registrado de manera correcta estos recursos bajo el método de efectivo, en el periodo correspondiente, el cálculo del déficit financiero del Gobierno Central habría disminuido en un 0,2% de PIB. </w:t>
      </w:r>
      <w:r w:rsidR="00EF1167">
        <w:rPr>
          <w:rStyle w:val="Refdenotaalpie"/>
          <w:rFonts w:ascii="Arial" w:eastAsia="Calibri" w:hAnsi="Arial" w:cs="Arial"/>
          <w:sz w:val="24"/>
          <w:szCs w:val="24"/>
        </w:rPr>
        <w:footnoteReference w:id="12"/>
      </w:r>
    </w:p>
    <w:p w14:paraId="49212BA8" w14:textId="6200A4E6"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Además, otro dato de importancia </w:t>
      </w:r>
      <w:r w:rsidR="006C41CC">
        <w:rPr>
          <w:rFonts w:ascii="Arial" w:eastAsia="Calibri" w:hAnsi="Arial" w:cs="Arial"/>
          <w:sz w:val="24"/>
          <w:szCs w:val="24"/>
        </w:rPr>
        <w:t xml:space="preserve">está </w:t>
      </w:r>
      <w:r>
        <w:rPr>
          <w:rFonts w:ascii="Arial" w:eastAsia="Calibri" w:hAnsi="Arial" w:cs="Arial"/>
          <w:sz w:val="24"/>
          <w:szCs w:val="24"/>
        </w:rPr>
        <w:t xml:space="preserve">relacionado con </w:t>
      </w:r>
      <w:r w:rsidR="006C41CC">
        <w:rPr>
          <w:rFonts w:ascii="Arial" w:eastAsia="Calibri" w:hAnsi="Arial" w:cs="Arial"/>
          <w:sz w:val="24"/>
          <w:szCs w:val="24"/>
        </w:rPr>
        <w:t xml:space="preserve">el </w:t>
      </w:r>
      <w:r>
        <w:rPr>
          <w:rFonts w:ascii="Arial" w:eastAsia="Calibri" w:hAnsi="Arial" w:cs="Arial"/>
          <w:sz w:val="24"/>
          <w:szCs w:val="24"/>
        </w:rPr>
        <w:t xml:space="preserve">Instituto Nacional de Seguros que vulnera a todas luces el Principio de Universalidad e Integridad, es que la comisión que cobra esta institución por el servicio que brinda como ente recaudador del Impuesto Sobre la Propiedad </w:t>
      </w:r>
      <w:r w:rsidRPr="003A21F7">
        <w:rPr>
          <w:rFonts w:ascii="Arial" w:eastAsia="Calibri" w:hAnsi="Arial" w:cs="Arial"/>
          <w:sz w:val="24"/>
          <w:szCs w:val="24"/>
        </w:rPr>
        <w:t>en lo correspondiente al Impuesto sobre el Valor Agregado de dicho servicio, fue compensado con el registro del Impuesto sobre la Propiedad y la partida de multas, reflejando de menos un ingreso por la suma de ¢329 millones</w:t>
      </w:r>
      <w:r>
        <w:rPr>
          <w:rFonts w:ascii="Arial" w:eastAsia="Calibri" w:hAnsi="Arial" w:cs="Arial"/>
          <w:sz w:val="24"/>
          <w:szCs w:val="24"/>
        </w:rPr>
        <w:t xml:space="preserve">. </w:t>
      </w:r>
    </w:p>
    <w:p w14:paraId="1894ABCB"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Por otra parte otro de los</w:t>
      </w:r>
      <w:r w:rsidRPr="00385B4D">
        <w:rPr>
          <w:rFonts w:ascii="Arial" w:eastAsia="Calibri" w:hAnsi="Arial" w:cs="Arial"/>
          <w:sz w:val="24"/>
          <w:szCs w:val="24"/>
        </w:rPr>
        <w:t xml:space="preserve"> monto</w:t>
      </w:r>
      <w:r>
        <w:rPr>
          <w:rFonts w:ascii="Arial" w:eastAsia="Calibri" w:hAnsi="Arial" w:cs="Arial"/>
          <w:sz w:val="24"/>
          <w:szCs w:val="24"/>
        </w:rPr>
        <w:t>s que no se registró</w:t>
      </w:r>
      <w:r w:rsidRPr="00385B4D">
        <w:rPr>
          <w:rFonts w:ascii="Arial" w:eastAsia="Calibri" w:hAnsi="Arial" w:cs="Arial"/>
          <w:sz w:val="24"/>
          <w:szCs w:val="24"/>
        </w:rPr>
        <w:t xml:space="preserve"> </w:t>
      </w:r>
      <w:r>
        <w:rPr>
          <w:rFonts w:ascii="Arial" w:eastAsia="Calibri" w:hAnsi="Arial" w:cs="Arial"/>
          <w:sz w:val="24"/>
          <w:szCs w:val="24"/>
        </w:rPr>
        <w:t xml:space="preserve">es de; </w:t>
      </w:r>
      <w:r w:rsidRPr="00385B4D">
        <w:rPr>
          <w:rFonts w:ascii="Arial" w:eastAsia="Calibri" w:hAnsi="Arial" w:cs="Arial"/>
          <w:sz w:val="24"/>
          <w:szCs w:val="24"/>
        </w:rPr>
        <w:t xml:space="preserve">₡3.437 millones en </w:t>
      </w:r>
      <w:r>
        <w:rPr>
          <w:rFonts w:ascii="Arial" w:eastAsia="Calibri" w:hAnsi="Arial" w:cs="Arial"/>
          <w:sz w:val="24"/>
          <w:szCs w:val="24"/>
        </w:rPr>
        <w:t xml:space="preserve">transferencias corrientes por devolución de recursos, provenientes de las Universidades Estatales </w:t>
      </w:r>
      <w:r w:rsidRPr="002221F7">
        <w:rPr>
          <w:rFonts w:ascii="Arial" w:eastAsia="Calibri" w:hAnsi="Arial" w:cs="Arial"/>
          <w:sz w:val="24"/>
          <w:szCs w:val="24"/>
        </w:rPr>
        <w:t>sobre los remanentes no ejecutados en el Proyecto de Mejoramiento de la Educación Superior, financiado mediante Contrato de Préstamo BIRF 8194-CR; así como, el gasto en el título 230 “Servicio de la Deuda” por el pago al Banco Internacional de Reconstrucción y Fomento (BIRF), derivado de la devolución de dichos remanentes.</w:t>
      </w:r>
    </w:p>
    <w:p w14:paraId="1A8F4378"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Sobre los egresos del Ministerio de Hacienda, se identificó servicios recibidos que fueron omitidos en la Liquidación Presupuestaria de la Republica del ejercicio económico del año 2020, como lo son el contrato de “Arrendamiento de un Centro de Procesamiento de Datos Secundario” referente a los equipos de procesamiento y almacenamiento de información de todos los sistemas del Ministerio de Hacienda, los cuales no fueron</w:t>
      </w:r>
      <w:r w:rsidRPr="008F0920">
        <w:rPr>
          <w:rFonts w:ascii="Arial" w:eastAsia="Calibri" w:hAnsi="Arial" w:cs="Arial"/>
          <w:sz w:val="24"/>
          <w:szCs w:val="24"/>
        </w:rPr>
        <w:t xml:space="preserve"> incorporados en la subpartida 10199 “Otros Alquileres” por un monto total de ¢597 millones</w:t>
      </w:r>
      <w:r>
        <w:rPr>
          <w:rFonts w:ascii="Arial" w:eastAsia="Calibri" w:hAnsi="Arial" w:cs="Arial"/>
          <w:sz w:val="24"/>
          <w:szCs w:val="24"/>
        </w:rPr>
        <w:t xml:space="preserve">. </w:t>
      </w:r>
    </w:p>
    <w:p w14:paraId="051C1954"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Además, producto de que existen facturas no registradas al 31 de diciembre del año 2020, en el Ministerio de Salud y del Régimen Especial de Pensiones por un monto total</w:t>
      </w:r>
      <w:r w:rsidRPr="005D4EE3">
        <w:rPr>
          <w:rFonts w:ascii="Arial" w:eastAsia="Calibri" w:hAnsi="Arial" w:cs="Arial"/>
          <w:sz w:val="24"/>
          <w:szCs w:val="24"/>
        </w:rPr>
        <w:t xml:space="preserve"> de ¢144.764 millones</w:t>
      </w:r>
      <w:r>
        <w:rPr>
          <w:rFonts w:ascii="Arial" w:eastAsia="Calibri" w:hAnsi="Arial" w:cs="Arial"/>
          <w:sz w:val="24"/>
          <w:szCs w:val="24"/>
        </w:rPr>
        <w:t xml:space="preserve"> en el saldo de la partida presupuestaria “Transferencias Corrientes”</w:t>
      </w:r>
      <w:r w:rsidRPr="005D4EE3">
        <w:rPr>
          <w:rFonts w:ascii="Arial" w:eastAsia="Calibri" w:hAnsi="Arial" w:cs="Arial"/>
          <w:sz w:val="24"/>
          <w:szCs w:val="24"/>
        </w:rPr>
        <w:t xml:space="preserve">, </w:t>
      </w:r>
      <w:r>
        <w:rPr>
          <w:rFonts w:ascii="Arial" w:eastAsia="Calibri" w:hAnsi="Arial" w:cs="Arial"/>
          <w:sz w:val="24"/>
          <w:szCs w:val="24"/>
        </w:rPr>
        <w:t>estima la Contraloría que de</w:t>
      </w:r>
      <w:r w:rsidRPr="005D4EE3">
        <w:rPr>
          <w:rFonts w:ascii="Arial" w:eastAsia="Calibri" w:hAnsi="Arial" w:cs="Arial"/>
          <w:sz w:val="24"/>
          <w:szCs w:val="24"/>
        </w:rPr>
        <w:t xml:space="preserve"> haberse registrado como transferencia habrían incrementado el cálculo del déficit financiero del Gobierno Central en un 0,4% del PIB.</w:t>
      </w:r>
      <w:r w:rsidRPr="00B778C3">
        <w:rPr>
          <w:rFonts w:ascii="Arial" w:eastAsia="Calibri" w:hAnsi="Arial" w:cs="Arial"/>
          <w:sz w:val="24"/>
          <w:szCs w:val="24"/>
        </w:rPr>
        <w:t xml:space="preserve"> </w:t>
      </w:r>
    </w:p>
    <w:p w14:paraId="220470FA" w14:textId="6C58602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Sobre este punto es importante mencionar que de la lectura del I</w:t>
      </w:r>
      <w:r w:rsidRPr="00592CCD">
        <w:rPr>
          <w:rFonts w:ascii="Arial" w:eastAsia="Calibri" w:hAnsi="Arial" w:cs="Arial"/>
          <w:sz w:val="24"/>
          <w:szCs w:val="24"/>
        </w:rPr>
        <w:t xml:space="preserve">nforme de la </w:t>
      </w:r>
      <w:r>
        <w:rPr>
          <w:rFonts w:ascii="Arial" w:eastAsia="Calibri" w:hAnsi="Arial" w:cs="Arial"/>
          <w:sz w:val="24"/>
          <w:szCs w:val="24"/>
        </w:rPr>
        <w:t>A</w:t>
      </w:r>
      <w:r w:rsidRPr="00592CCD">
        <w:rPr>
          <w:rFonts w:ascii="Arial" w:eastAsia="Calibri" w:hAnsi="Arial" w:cs="Arial"/>
          <w:sz w:val="24"/>
          <w:szCs w:val="24"/>
        </w:rPr>
        <w:t xml:space="preserve">uditoría </w:t>
      </w:r>
      <w:r>
        <w:rPr>
          <w:rFonts w:ascii="Arial" w:eastAsia="Calibri" w:hAnsi="Arial" w:cs="Arial"/>
          <w:sz w:val="24"/>
          <w:szCs w:val="24"/>
        </w:rPr>
        <w:t>F</w:t>
      </w:r>
      <w:r w:rsidRPr="00592CCD">
        <w:rPr>
          <w:rFonts w:ascii="Arial" w:eastAsia="Calibri" w:hAnsi="Arial" w:cs="Arial"/>
          <w:sz w:val="24"/>
          <w:szCs w:val="24"/>
        </w:rPr>
        <w:t xml:space="preserve">inanciera sobre la ejecución presupuestaria realizada por los </w:t>
      </w:r>
      <w:r>
        <w:rPr>
          <w:rFonts w:ascii="Arial" w:eastAsia="Calibri" w:hAnsi="Arial" w:cs="Arial"/>
          <w:sz w:val="24"/>
          <w:szCs w:val="24"/>
        </w:rPr>
        <w:t>R</w:t>
      </w:r>
      <w:r w:rsidRPr="00592CCD">
        <w:rPr>
          <w:rFonts w:ascii="Arial" w:eastAsia="Calibri" w:hAnsi="Arial" w:cs="Arial"/>
          <w:sz w:val="24"/>
          <w:szCs w:val="24"/>
        </w:rPr>
        <w:t xml:space="preserve">egímenes </w:t>
      </w:r>
      <w:r>
        <w:rPr>
          <w:rFonts w:ascii="Arial" w:eastAsia="Calibri" w:hAnsi="Arial" w:cs="Arial"/>
          <w:sz w:val="24"/>
          <w:szCs w:val="24"/>
        </w:rPr>
        <w:t>E</w:t>
      </w:r>
      <w:r w:rsidRPr="00592CCD">
        <w:rPr>
          <w:rFonts w:ascii="Arial" w:eastAsia="Calibri" w:hAnsi="Arial" w:cs="Arial"/>
          <w:sz w:val="24"/>
          <w:szCs w:val="24"/>
        </w:rPr>
        <w:t xml:space="preserve">speciales de </w:t>
      </w:r>
      <w:r>
        <w:rPr>
          <w:rFonts w:ascii="Arial" w:eastAsia="Calibri" w:hAnsi="Arial" w:cs="Arial"/>
          <w:sz w:val="24"/>
          <w:szCs w:val="24"/>
        </w:rPr>
        <w:t>P</w:t>
      </w:r>
      <w:r w:rsidRPr="00592CCD">
        <w:rPr>
          <w:rFonts w:ascii="Arial" w:eastAsia="Calibri" w:hAnsi="Arial" w:cs="Arial"/>
          <w:sz w:val="24"/>
          <w:szCs w:val="24"/>
        </w:rPr>
        <w:t>ensiones correspondiente al ejercicio económico 2020</w:t>
      </w:r>
      <w:r>
        <w:rPr>
          <w:rStyle w:val="Refdenotaalpie"/>
          <w:rFonts w:ascii="Arial" w:eastAsia="Calibri" w:hAnsi="Arial" w:cs="Arial"/>
          <w:sz w:val="24"/>
          <w:szCs w:val="24"/>
        </w:rPr>
        <w:footnoteReference w:id="13"/>
      </w:r>
      <w:r>
        <w:rPr>
          <w:rFonts w:ascii="Arial" w:eastAsia="Calibri" w:hAnsi="Arial" w:cs="Arial"/>
          <w:sz w:val="24"/>
          <w:szCs w:val="24"/>
        </w:rPr>
        <w:t xml:space="preserve"> </w:t>
      </w:r>
      <w:r w:rsidRPr="007063FC">
        <w:rPr>
          <w:rFonts w:ascii="Arial" w:eastAsia="Calibri" w:hAnsi="Arial" w:cs="Arial"/>
          <w:sz w:val="24"/>
          <w:szCs w:val="24"/>
        </w:rPr>
        <w:t>se determinó que para la subpartida Transferencias Corrientes al Sector Público (E601), no se devengó un monto total de ₡82.976 millones, por concepto de la facturación emitida por la CCSS durante el año 2020, sobre aportes al Seguro de Pensiones, para los meses de agosto a diciembre de ese año, correspondientes a la contribución estatal para trabajadores del sector privado y sector público descentralizado, pago complementario de servicios prestados a trabajadores independientes y cuota</w:t>
      </w:r>
      <w:r>
        <w:rPr>
          <w:rFonts w:ascii="Arial" w:eastAsia="Calibri" w:hAnsi="Arial" w:cs="Arial"/>
          <w:sz w:val="24"/>
          <w:szCs w:val="24"/>
        </w:rPr>
        <w:t xml:space="preserve"> </w:t>
      </w:r>
      <w:r w:rsidRPr="007063FC">
        <w:rPr>
          <w:rFonts w:ascii="Arial" w:eastAsia="Calibri" w:hAnsi="Arial" w:cs="Arial"/>
          <w:sz w:val="24"/>
          <w:szCs w:val="24"/>
        </w:rPr>
        <w:t>complementaria de asegurados voluntarios. Dicho monto representa un 8% de la partida de Transferencias Corrientes para el ejercicio económico en estudio.</w:t>
      </w:r>
    </w:p>
    <w:p w14:paraId="7CE9EE0F"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Mientras que en el Ministerio de Salud </w:t>
      </w:r>
      <w:r w:rsidRPr="007063FC">
        <w:rPr>
          <w:rFonts w:ascii="Arial" w:eastAsia="Calibri" w:hAnsi="Arial" w:cs="Arial"/>
          <w:sz w:val="24"/>
          <w:szCs w:val="24"/>
        </w:rPr>
        <w:t>se determinó que para la subpartida Transferencias Corrientes al Sector Público (E601), no se devengó un total de ₡61.789 millones, correspondiente a la facturación emitida por la Caja Costarricense de Seguro Social durante el año 2020, sobre aportes al Seguro de Salud, para los meses de agosto a octubre de ese año, sobre la contribución estatal para trabajadores del sector privado y sector público descentralizado y para los meses de agosto a noviembre de 2020, sobre los rubros de convenios especiales, pago complementario de servicios prestados a trabajadores independientes y cuota complementaria de asegurados voluntarios. Dicho monto representa un 31% de la partida de transferencias corrientes para el ejercicio económico en estudio.</w:t>
      </w:r>
      <w:r>
        <w:rPr>
          <w:rStyle w:val="Refdenotaalpie"/>
          <w:rFonts w:ascii="Arial" w:eastAsia="Calibri" w:hAnsi="Arial" w:cs="Arial"/>
          <w:sz w:val="24"/>
          <w:szCs w:val="24"/>
        </w:rPr>
        <w:footnoteReference w:id="14"/>
      </w:r>
    </w:p>
    <w:p w14:paraId="0DA7F6A1"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Se observa además que el propio Ministerio de Hacienda adrede ha violentado el principio en análisis, admitiendo mediante oficio DM- 0185-2021 del 8 de marzo del 2021 </w:t>
      </w:r>
      <w:r w:rsidRPr="00957434">
        <w:rPr>
          <w:rFonts w:ascii="Arial" w:eastAsia="Calibri" w:hAnsi="Arial" w:cs="Arial"/>
          <w:sz w:val="24"/>
          <w:szCs w:val="24"/>
        </w:rPr>
        <w:t>que, para evitar emitir pagos sin la liquidez necesaria</w:t>
      </w:r>
      <w:r>
        <w:rPr>
          <w:rFonts w:ascii="Arial" w:eastAsia="Calibri" w:hAnsi="Arial" w:cs="Arial"/>
          <w:sz w:val="24"/>
          <w:szCs w:val="24"/>
        </w:rPr>
        <w:t>,</w:t>
      </w:r>
      <w:r w:rsidRPr="00957434">
        <w:rPr>
          <w:rFonts w:ascii="Arial" w:eastAsia="Calibri" w:hAnsi="Arial" w:cs="Arial"/>
          <w:sz w:val="24"/>
          <w:szCs w:val="24"/>
        </w:rPr>
        <w:t xml:space="preserve"> en el Tesoro Público se anularon dichos registros</w:t>
      </w:r>
      <w:r>
        <w:rPr>
          <w:rFonts w:ascii="Arial" w:eastAsia="Calibri" w:hAnsi="Arial" w:cs="Arial"/>
          <w:sz w:val="24"/>
          <w:szCs w:val="24"/>
        </w:rPr>
        <w:t>. Alega que el envío tardío de las facturas por parte de la CCSS fue producto de mejoras en sus procesos de generación de información y son riesgos que este ministerio no tiene por qué asumir, sumado a esto, agrega que una habilitación presupuestaria no implica la obligación de girar los recursos.</w:t>
      </w:r>
    </w:p>
    <w:p w14:paraId="7FAD27B2"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Es vergonzoso para esta comisión recibir argumentos tan endebles como estos por parte del Ministerio de Hacienda, estos “errores” de los antes expuestos no fueron errores sino practicas inaceptables que esta comisión condena contundentemente y </w:t>
      </w:r>
      <w:r w:rsidR="004C532B">
        <w:rPr>
          <w:rFonts w:ascii="Arial" w:eastAsia="Calibri" w:hAnsi="Arial" w:cs="Arial"/>
          <w:sz w:val="24"/>
          <w:szCs w:val="24"/>
        </w:rPr>
        <w:t>más</w:t>
      </w:r>
      <w:r>
        <w:rPr>
          <w:rFonts w:ascii="Arial" w:eastAsia="Calibri" w:hAnsi="Arial" w:cs="Arial"/>
          <w:sz w:val="24"/>
          <w:szCs w:val="24"/>
        </w:rPr>
        <w:t xml:space="preserve"> </w:t>
      </w:r>
      <w:r w:rsidR="004C532B">
        <w:rPr>
          <w:rFonts w:ascii="Arial" w:eastAsia="Calibri" w:hAnsi="Arial" w:cs="Arial"/>
          <w:sz w:val="24"/>
          <w:szCs w:val="24"/>
        </w:rPr>
        <w:t>aún</w:t>
      </w:r>
      <w:r>
        <w:rPr>
          <w:rFonts w:ascii="Arial" w:eastAsia="Calibri" w:hAnsi="Arial" w:cs="Arial"/>
          <w:sz w:val="24"/>
          <w:szCs w:val="24"/>
        </w:rPr>
        <w:t xml:space="preserve"> cuando estas cifras tienen incidencia absoluta en número real de déficit financiero que tiene el país. </w:t>
      </w:r>
    </w:p>
    <w:p w14:paraId="30D8D41F" w14:textId="77777777" w:rsidR="00EF1167" w:rsidRPr="00957434" w:rsidRDefault="00EF1167" w:rsidP="007F36BB">
      <w:pPr>
        <w:pStyle w:val="Ttulo2"/>
      </w:pPr>
      <w:bookmarkStart w:id="23" w:name="_Toc78277720"/>
      <w:r w:rsidRPr="00B778C3">
        <w:t>Principio de Gestión Financiera</w:t>
      </w:r>
      <w:bookmarkEnd w:id="23"/>
      <w:r w:rsidRPr="00B778C3">
        <w:t xml:space="preserve"> </w:t>
      </w:r>
    </w:p>
    <w:p w14:paraId="094E77DD" w14:textId="77777777" w:rsidR="00EF1167" w:rsidRDefault="00EF1167" w:rsidP="00CA18C3">
      <w:pPr>
        <w:spacing w:line="276" w:lineRule="auto"/>
        <w:contextualSpacing/>
        <w:jc w:val="both"/>
        <w:rPr>
          <w:rFonts w:ascii="Arial" w:eastAsia="Calibri" w:hAnsi="Arial" w:cs="Arial"/>
          <w:sz w:val="24"/>
          <w:szCs w:val="24"/>
        </w:rPr>
      </w:pPr>
      <w:r w:rsidRPr="00DE7046">
        <w:rPr>
          <w:rFonts w:ascii="Arial" w:eastAsia="Calibri" w:hAnsi="Arial" w:cs="Arial"/>
          <w:sz w:val="24"/>
          <w:szCs w:val="24"/>
        </w:rPr>
        <w:t xml:space="preserve">El principio de gestión financiera se complementa con los principios de economía, eficiencia y eficacia, la comprobación del cumplimiento de ellos revela si la administración de los recursos públicos presupuestados cumple con los rigores de la ley. Así, no solo interesa que los recursos se ejecuten parcial o totalmente, sino que estos cumplan con los objetivos establecidos. </w:t>
      </w:r>
    </w:p>
    <w:p w14:paraId="22592185" w14:textId="77777777" w:rsidR="00EF1167" w:rsidRPr="00DE7046" w:rsidRDefault="00EF1167" w:rsidP="00CA18C3">
      <w:pPr>
        <w:spacing w:line="276" w:lineRule="auto"/>
        <w:contextualSpacing/>
        <w:jc w:val="both"/>
        <w:rPr>
          <w:rFonts w:ascii="Arial" w:eastAsia="Calibri" w:hAnsi="Arial" w:cs="Arial"/>
          <w:sz w:val="24"/>
          <w:szCs w:val="24"/>
        </w:rPr>
      </w:pPr>
    </w:p>
    <w:p w14:paraId="5067A2B0" w14:textId="77777777" w:rsidR="00EF1167" w:rsidRPr="00DE7046"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En el informe de </w:t>
      </w:r>
      <w:r w:rsidR="004C532B">
        <w:rPr>
          <w:rFonts w:ascii="Arial" w:eastAsia="Calibri" w:hAnsi="Arial" w:cs="Arial"/>
          <w:sz w:val="24"/>
          <w:szCs w:val="24"/>
        </w:rPr>
        <w:t>auditoría</w:t>
      </w:r>
      <w:r>
        <w:rPr>
          <w:rFonts w:ascii="Arial" w:eastAsia="Calibri" w:hAnsi="Arial" w:cs="Arial"/>
          <w:sz w:val="24"/>
          <w:szCs w:val="24"/>
        </w:rPr>
        <w:t xml:space="preserve"> financiera sobre la liquidación de ingresos y egresos del presupuesto de la Republica correspondiente al ejercicio económico 2020 realizado por la Contraloría se ha establecido que este principio no se cumple tampoco en el tanto se ha observado que </w:t>
      </w:r>
      <w:r w:rsidRPr="00FB2136">
        <w:rPr>
          <w:rFonts w:ascii="Arial" w:eastAsia="Calibri" w:hAnsi="Arial" w:cs="Arial"/>
          <w:sz w:val="24"/>
          <w:szCs w:val="24"/>
        </w:rPr>
        <w:t>en el Informe de resultados físicos del presupuesto 2020 persisten situaciones en detrimento de la calidad y la disponibilidad de información para determinar la articulación entre las metas programadas y los recursos presupuestarios asignados en las diferentes instituciones públicas, así como la necesidad de mejorar la formulación de indicadores de desempeño que contribuyan a la medición de las dimensiones de eficiencia y economía, pues en su mayoría los esfuerzos realizados se enfocan en medir la eficacia de la gestión.</w:t>
      </w:r>
      <w:r>
        <w:rPr>
          <w:rStyle w:val="Refdenotaalpie"/>
          <w:rFonts w:ascii="Arial" w:eastAsia="Calibri" w:hAnsi="Arial" w:cs="Arial"/>
          <w:sz w:val="24"/>
          <w:szCs w:val="24"/>
        </w:rPr>
        <w:footnoteReference w:id="15"/>
      </w:r>
    </w:p>
    <w:p w14:paraId="4E2E9B93" w14:textId="77777777" w:rsidR="00EF1167" w:rsidRDefault="00EF1167" w:rsidP="00475F2C">
      <w:pPr>
        <w:pStyle w:val="Ttulo2"/>
      </w:pPr>
      <w:bookmarkStart w:id="24" w:name="_Toc78277721"/>
      <w:r>
        <w:t>Principio de Equilibrio Presupuestario</w:t>
      </w:r>
      <w:bookmarkEnd w:id="24"/>
      <w:r>
        <w:t xml:space="preserve"> </w:t>
      </w:r>
    </w:p>
    <w:p w14:paraId="6D13381B" w14:textId="7E8C40AE" w:rsidR="00EF1167" w:rsidRPr="00F85C23" w:rsidRDefault="00EF1167" w:rsidP="00CA18C3">
      <w:pPr>
        <w:spacing w:line="276" w:lineRule="auto"/>
        <w:jc w:val="both"/>
        <w:rPr>
          <w:rFonts w:ascii="Arial" w:eastAsia="Calibri" w:hAnsi="Arial" w:cs="Arial"/>
          <w:sz w:val="24"/>
          <w:szCs w:val="24"/>
        </w:rPr>
      </w:pPr>
      <w:r w:rsidRPr="00F85C23">
        <w:rPr>
          <w:rFonts w:ascii="Arial" w:eastAsia="Calibri" w:hAnsi="Arial" w:cs="Arial"/>
          <w:sz w:val="24"/>
          <w:szCs w:val="24"/>
        </w:rPr>
        <w:t>El Principio de Equilibrio Presupuestario reza de la siguiente manera</w:t>
      </w:r>
      <w:r w:rsidR="00475F2C">
        <w:rPr>
          <w:rFonts w:ascii="Arial" w:eastAsia="Calibri" w:hAnsi="Arial" w:cs="Arial"/>
          <w:sz w:val="24"/>
          <w:szCs w:val="24"/>
        </w:rPr>
        <w:t>:</w:t>
      </w:r>
      <w:r w:rsidRPr="00F85C23">
        <w:rPr>
          <w:rFonts w:ascii="Arial" w:eastAsia="Calibri" w:hAnsi="Arial" w:cs="Arial"/>
          <w:sz w:val="24"/>
          <w:szCs w:val="24"/>
        </w:rPr>
        <w:t xml:space="preserve"> </w:t>
      </w:r>
      <w:r w:rsidRPr="00475F2C">
        <w:rPr>
          <w:rFonts w:ascii="Arial" w:eastAsia="Calibri" w:hAnsi="Arial" w:cs="Arial"/>
          <w:i/>
          <w:iCs/>
          <w:sz w:val="24"/>
          <w:szCs w:val="24"/>
        </w:rPr>
        <w:t>“El presupuesto deberá reflejar el equilibrio entre los ingresos, los egresos y las fuentes de financiamiento”</w:t>
      </w:r>
      <w:r>
        <w:rPr>
          <w:rStyle w:val="Refdenotaalpie"/>
          <w:rFonts w:ascii="Arial" w:eastAsia="Calibri" w:hAnsi="Arial" w:cs="Arial"/>
          <w:sz w:val="24"/>
          <w:szCs w:val="24"/>
        </w:rPr>
        <w:footnoteReference w:id="16"/>
      </w:r>
      <w:r w:rsidRPr="00F85C23">
        <w:rPr>
          <w:rFonts w:ascii="Arial" w:eastAsia="Calibri" w:hAnsi="Arial" w:cs="Arial"/>
          <w:sz w:val="24"/>
          <w:szCs w:val="24"/>
        </w:rPr>
        <w:t xml:space="preserve"> además de estar contenido en el citado artículo 5, inciso c, de la Ley N°8131, Ley de la Administración Financiera de la República y Presupuestos Públicos, también tiene sustento normativo en nuestra norma suprema, la Constitución Política en su artículo 176 donde se establece que; </w:t>
      </w:r>
      <w:r w:rsidRPr="006A22B0">
        <w:rPr>
          <w:rFonts w:ascii="Arial" w:eastAsia="Calibri" w:hAnsi="Arial" w:cs="Arial"/>
          <w:i/>
          <w:iCs/>
          <w:sz w:val="24"/>
          <w:szCs w:val="24"/>
        </w:rPr>
        <w:t>“en ningún caso el monto de los gastos presupuestos podrá exceder el de los ingresos probables”</w:t>
      </w:r>
      <w:r w:rsidRPr="00F85C23">
        <w:rPr>
          <w:rFonts w:ascii="Arial" w:eastAsia="Calibri" w:hAnsi="Arial" w:cs="Arial"/>
          <w:sz w:val="24"/>
          <w:szCs w:val="24"/>
        </w:rPr>
        <w:t xml:space="preserve">. De igual manera en la Ley N°955, Ley para el Equilibrio Financiero del Sector Público, específicamente en su artículo 4, inciso c, se establece </w:t>
      </w:r>
      <w:r w:rsidRPr="006A22B0">
        <w:rPr>
          <w:rFonts w:ascii="Arial" w:eastAsia="Calibri" w:hAnsi="Arial" w:cs="Arial"/>
          <w:i/>
          <w:iCs/>
          <w:sz w:val="24"/>
          <w:szCs w:val="24"/>
        </w:rPr>
        <w:t>“que los gastos corrientes del Presupuesto Nacional solo podrán financiarse con ingresos corrientes”</w:t>
      </w:r>
      <w:r w:rsidRPr="00F85C23">
        <w:rPr>
          <w:rFonts w:ascii="Arial" w:eastAsia="Calibri" w:hAnsi="Arial" w:cs="Arial"/>
          <w:sz w:val="24"/>
          <w:szCs w:val="24"/>
        </w:rPr>
        <w:t xml:space="preserve">. </w:t>
      </w:r>
    </w:p>
    <w:p w14:paraId="13A6A227" w14:textId="6EFF3E05"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Este principio es recurridamente vulnerado y el presupuesto del año 2020 no es la excepción</w:t>
      </w:r>
      <w:r w:rsidR="006A22B0">
        <w:rPr>
          <w:rFonts w:ascii="Arial" w:eastAsia="Calibri" w:hAnsi="Arial" w:cs="Arial"/>
          <w:sz w:val="24"/>
          <w:szCs w:val="24"/>
        </w:rPr>
        <w:t>. Como</w:t>
      </w:r>
      <w:r>
        <w:rPr>
          <w:rFonts w:ascii="Arial" w:eastAsia="Calibri" w:hAnsi="Arial" w:cs="Arial"/>
          <w:sz w:val="24"/>
          <w:szCs w:val="24"/>
        </w:rPr>
        <w:t xml:space="preserve"> bien lo ha indicado la Contraloría General de la Republica, se formuló y aprobó en detrimento del principio de equilibrio presupuestario, en el tanto se autorizó un monto de </w:t>
      </w:r>
      <w:r w:rsidRPr="00FB70DA">
        <w:rPr>
          <w:rFonts w:ascii="Arial" w:eastAsia="Calibri" w:hAnsi="Arial" w:cs="Arial"/>
          <w:sz w:val="24"/>
          <w:szCs w:val="24"/>
        </w:rPr>
        <w:t>¢7.872.265 millones por gastos corrientes, mientras que los ingresos corrientes estimados sumaban ¢5.458.185 millones</w:t>
      </w:r>
      <w:r>
        <w:rPr>
          <w:rFonts w:ascii="Arial" w:eastAsia="Calibri" w:hAnsi="Arial" w:cs="Arial"/>
          <w:sz w:val="24"/>
          <w:szCs w:val="24"/>
        </w:rPr>
        <w:t xml:space="preserve">. </w:t>
      </w:r>
    </w:p>
    <w:p w14:paraId="7AA761F8"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Obsérvese el siguiente cuadro elaborado por la Contraloría General de la Republica </w:t>
      </w:r>
    </w:p>
    <w:p w14:paraId="026662F4" w14:textId="77777777" w:rsidR="00EF1167" w:rsidRPr="00E05BF8" w:rsidRDefault="00EF1167" w:rsidP="00CA18C3">
      <w:pPr>
        <w:spacing w:line="276" w:lineRule="auto"/>
        <w:jc w:val="both"/>
        <w:rPr>
          <w:rFonts w:ascii="Arial" w:eastAsia="Calibri" w:hAnsi="Arial" w:cs="Arial"/>
          <w:sz w:val="24"/>
          <w:szCs w:val="24"/>
        </w:rPr>
      </w:pPr>
      <w:r>
        <w:rPr>
          <w:rFonts w:ascii="Arial" w:eastAsia="Calibri" w:hAnsi="Arial" w:cs="Arial"/>
          <w:noProof/>
          <w:sz w:val="24"/>
          <w:szCs w:val="24"/>
          <w:lang w:eastAsia="es-CR"/>
        </w:rPr>
        <w:drawing>
          <wp:inline distT="0" distB="0" distL="0" distR="0" wp14:anchorId="507F85BD" wp14:editId="7FEED2A2">
            <wp:extent cx="5471730" cy="2771155"/>
            <wp:effectExtent l="0" t="0" r="0" b="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476543" cy="2773592"/>
                    </a:xfrm>
                    <a:prstGeom prst="rect">
                      <a:avLst/>
                    </a:prstGeom>
                  </pic:spPr>
                </pic:pic>
              </a:graphicData>
            </a:graphic>
          </wp:inline>
        </w:drawing>
      </w:r>
      <w:r>
        <w:rPr>
          <w:rStyle w:val="Refdenotaalpie"/>
          <w:rFonts w:ascii="Arial" w:eastAsia="Calibri" w:hAnsi="Arial" w:cs="Arial"/>
          <w:sz w:val="24"/>
          <w:szCs w:val="24"/>
        </w:rPr>
        <w:footnoteReference w:id="17"/>
      </w:r>
    </w:p>
    <w:p w14:paraId="6441A5C2" w14:textId="378025D3"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Es importante </w:t>
      </w:r>
      <w:r w:rsidR="00700A9A">
        <w:rPr>
          <w:rFonts w:ascii="Arial" w:eastAsia="Calibri" w:hAnsi="Arial" w:cs="Arial"/>
          <w:sz w:val="24"/>
          <w:szCs w:val="24"/>
        </w:rPr>
        <w:t>recordar</w:t>
      </w:r>
      <w:r>
        <w:rPr>
          <w:rFonts w:ascii="Arial" w:eastAsia="Calibri" w:hAnsi="Arial" w:cs="Arial"/>
          <w:sz w:val="24"/>
          <w:szCs w:val="24"/>
        </w:rPr>
        <w:t xml:space="preserve"> el impacto que ha tenido la situación provocada por el COVID-19 en las finanzas públicas del país y principalmente el agravio que ha tenido el cumplimiento de principio presupuestario en análisis. El desequilibrio entre ingresos y gastos corrientes del Gobierno Central del año 2020 es el de mayor magnitud del todo el siglo. </w:t>
      </w:r>
      <w:r w:rsidRPr="00D72078">
        <w:rPr>
          <w:rFonts w:ascii="Arial" w:eastAsia="Calibri" w:hAnsi="Arial" w:cs="Arial"/>
          <w:sz w:val="24"/>
          <w:szCs w:val="24"/>
        </w:rPr>
        <w:t>El déficit de cuenta corriente representó aproximadamente ¢2,5 billones (7,1% del PIB), monto que en buena parte se necesitó financiar con endeudamiento; y creció respecto de 2019 un 36%. Consecuentemente, el monto total de ingresos corrientes en 2020 representó apenas el 65% de los egresos corrientes.</w:t>
      </w:r>
    </w:p>
    <w:p w14:paraId="4A37F28F" w14:textId="2FC8601C" w:rsidR="00FE551F" w:rsidRPr="0070494B" w:rsidRDefault="00FE551F" w:rsidP="00FE551F">
      <w:pPr>
        <w:spacing w:after="0" w:line="240" w:lineRule="auto"/>
        <w:jc w:val="center"/>
        <w:rPr>
          <w:rFonts w:ascii="Arial" w:eastAsia="Calibri" w:hAnsi="Arial" w:cs="Arial"/>
          <w:b/>
          <w:bCs/>
          <w:sz w:val="28"/>
          <w:szCs w:val="28"/>
        </w:rPr>
      </w:pPr>
      <w:r w:rsidRPr="0070494B">
        <w:rPr>
          <w:rFonts w:ascii="Arial" w:eastAsia="Calibri" w:hAnsi="Arial" w:cs="Arial"/>
          <w:b/>
          <w:bCs/>
          <w:sz w:val="28"/>
          <w:szCs w:val="28"/>
        </w:rPr>
        <w:t>Déficit en cuenta corriente</w:t>
      </w:r>
    </w:p>
    <w:p w14:paraId="251A58C7" w14:textId="76BC4DB8" w:rsidR="00FE551F" w:rsidRDefault="00FE551F" w:rsidP="00FE551F">
      <w:pPr>
        <w:spacing w:after="0" w:line="240" w:lineRule="auto"/>
        <w:jc w:val="center"/>
        <w:rPr>
          <w:rFonts w:ascii="Arial" w:eastAsia="Calibri" w:hAnsi="Arial" w:cs="Arial"/>
          <w:b/>
          <w:bCs/>
          <w:sz w:val="20"/>
          <w:szCs w:val="20"/>
        </w:rPr>
      </w:pPr>
      <w:r w:rsidRPr="00FE551F">
        <w:rPr>
          <w:rFonts w:ascii="Arial" w:eastAsia="Calibri" w:hAnsi="Arial" w:cs="Arial"/>
          <w:b/>
          <w:bCs/>
          <w:sz w:val="20"/>
          <w:szCs w:val="20"/>
        </w:rPr>
        <w:t>En millones de colones</w:t>
      </w:r>
    </w:p>
    <w:p w14:paraId="30FE8887" w14:textId="77777777" w:rsidR="00FE551F" w:rsidRPr="00FE551F" w:rsidRDefault="00FE551F" w:rsidP="00FE551F">
      <w:pPr>
        <w:spacing w:after="0" w:line="240" w:lineRule="auto"/>
        <w:jc w:val="center"/>
        <w:rPr>
          <w:rFonts w:ascii="Arial" w:eastAsia="Calibri" w:hAnsi="Arial" w:cs="Arial"/>
          <w:b/>
          <w:bCs/>
          <w:sz w:val="20"/>
          <w:szCs w:val="20"/>
        </w:rPr>
      </w:pPr>
    </w:p>
    <w:tbl>
      <w:tblPr>
        <w:tblW w:w="6784" w:type="dxa"/>
        <w:jc w:val="center"/>
        <w:tblCellMar>
          <w:left w:w="70" w:type="dxa"/>
          <w:right w:w="70" w:type="dxa"/>
        </w:tblCellMar>
        <w:tblLook w:val="04A0" w:firstRow="1" w:lastRow="0" w:firstColumn="1" w:lastColumn="0" w:noHBand="0" w:noVBand="1"/>
      </w:tblPr>
      <w:tblGrid>
        <w:gridCol w:w="752"/>
        <w:gridCol w:w="2048"/>
        <w:gridCol w:w="1341"/>
        <w:gridCol w:w="1315"/>
        <w:gridCol w:w="1328"/>
      </w:tblGrid>
      <w:tr w:rsidR="00FE551F" w:rsidRPr="00FE551F" w14:paraId="41E34E14" w14:textId="77777777" w:rsidTr="00FE551F">
        <w:trPr>
          <w:trHeight w:val="310"/>
          <w:jc w:val="center"/>
        </w:trPr>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EE1E4" w14:textId="77777777" w:rsidR="00FE551F" w:rsidRPr="00FE551F" w:rsidRDefault="00FE551F" w:rsidP="00FE551F">
            <w:pPr>
              <w:spacing w:after="0" w:line="240" w:lineRule="auto"/>
              <w:jc w:val="center"/>
              <w:rPr>
                <w:rFonts w:ascii="Arial" w:eastAsia="Times New Roman" w:hAnsi="Arial" w:cs="Arial"/>
                <w:b/>
                <w:bCs/>
                <w:color w:val="000000"/>
                <w:sz w:val="24"/>
                <w:szCs w:val="24"/>
                <w:lang w:eastAsia="es-CR"/>
              </w:rPr>
            </w:pPr>
            <w:r w:rsidRPr="00FE551F">
              <w:rPr>
                <w:rFonts w:ascii="Arial" w:eastAsia="Times New Roman" w:hAnsi="Arial" w:cs="Arial"/>
                <w:b/>
                <w:bCs/>
                <w:color w:val="000000"/>
                <w:sz w:val="24"/>
                <w:szCs w:val="24"/>
                <w:lang w:eastAsia="es-CR"/>
              </w:rPr>
              <w:t>Año</w:t>
            </w:r>
          </w:p>
        </w:tc>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3E2384" w14:textId="77777777" w:rsidR="00FE551F" w:rsidRDefault="00FE551F" w:rsidP="00FE551F">
            <w:pPr>
              <w:spacing w:after="0" w:line="240" w:lineRule="auto"/>
              <w:jc w:val="center"/>
              <w:rPr>
                <w:rFonts w:ascii="Arial" w:eastAsia="Times New Roman" w:hAnsi="Arial" w:cs="Arial"/>
                <w:b/>
                <w:bCs/>
                <w:color w:val="000000"/>
                <w:sz w:val="24"/>
                <w:szCs w:val="24"/>
                <w:lang w:eastAsia="es-CR"/>
              </w:rPr>
            </w:pPr>
            <w:r w:rsidRPr="00FE551F">
              <w:rPr>
                <w:rFonts w:ascii="Arial" w:eastAsia="Times New Roman" w:hAnsi="Arial" w:cs="Arial"/>
                <w:b/>
                <w:bCs/>
                <w:color w:val="000000"/>
                <w:sz w:val="24"/>
                <w:szCs w:val="24"/>
                <w:lang w:eastAsia="es-CR"/>
              </w:rPr>
              <w:t>Gasto</w:t>
            </w:r>
          </w:p>
          <w:p w14:paraId="26FCA4E6" w14:textId="7FDA739E" w:rsidR="00FE551F" w:rsidRPr="00FE551F" w:rsidRDefault="00FE551F" w:rsidP="00FE551F">
            <w:pPr>
              <w:spacing w:after="0" w:line="240" w:lineRule="auto"/>
              <w:jc w:val="center"/>
              <w:rPr>
                <w:rFonts w:ascii="Arial" w:eastAsia="Times New Roman" w:hAnsi="Arial" w:cs="Arial"/>
                <w:b/>
                <w:bCs/>
                <w:color w:val="000000"/>
                <w:sz w:val="24"/>
                <w:szCs w:val="24"/>
                <w:lang w:eastAsia="es-CR"/>
              </w:rPr>
            </w:pPr>
            <w:r>
              <w:rPr>
                <w:rFonts w:ascii="Arial" w:eastAsia="Times New Roman" w:hAnsi="Arial" w:cs="Arial"/>
                <w:b/>
                <w:bCs/>
                <w:color w:val="000000"/>
                <w:sz w:val="24"/>
                <w:szCs w:val="24"/>
                <w:lang w:eastAsia="es-CR"/>
              </w:rPr>
              <w:t>C</w:t>
            </w:r>
            <w:r w:rsidRPr="00FE551F">
              <w:rPr>
                <w:rFonts w:ascii="Arial" w:eastAsia="Times New Roman" w:hAnsi="Arial" w:cs="Arial"/>
                <w:b/>
                <w:bCs/>
                <w:color w:val="000000"/>
                <w:sz w:val="24"/>
                <w:szCs w:val="24"/>
                <w:lang w:eastAsia="es-CR"/>
              </w:rPr>
              <w:t>orriente</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F3184" w14:textId="7A926A7B" w:rsidR="00FE551F" w:rsidRDefault="00FE551F" w:rsidP="00FE551F">
            <w:pPr>
              <w:spacing w:after="0" w:line="240" w:lineRule="auto"/>
              <w:jc w:val="center"/>
              <w:rPr>
                <w:rFonts w:ascii="Arial" w:eastAsia="Times New Roman" w:hAnsi="Arial" w:cs="Arial"/>
                <w:b/>
                <w:bCs/>
                <w:color w:val="000000"/>
                <w:sz w:val="24"/>
                <w:szCs w:val="24"/>
                <w:lang w:eastAsia="es-CR"/>
              </w:rPr>
            </w:pPr>
            <w:r w:rsidRPr="00FE551F">
              <w:rPr>
                <w:rFonts w:ascii="Arial" w:eastAsia="Times New Roman" w:hAnsi="Arial" w:cs="Arial"/>
                <w:b/>
                <w:bCs/>
                <w:color w:val="000000"/>
                <w:sz w:val="24"/>
                <w:szCs w:val="24"/>
                <w:lang w:eastAsia="es-CR"/>
              </w:rPr>
              <w:t>Ingreso</w:t>
            </w:r>
          </w:p>
          <w:p w14:paraId="454EC074" w14:textId="5E0BFB13" w:rsidR="00FE551F" w:rsidRPr="00FE551F" w:rsidRDefault="00FE551F" w:rsidP="00FE551F">
            <w:pPr>
              <w:spacing w:after="0" w:line="240" w:lineRule="auto"/>
              <w:jc w:val="center"/>
              <w:rPr>
                <w:rFonts w:ascii="Arial" w:eastAsia="Times New Roman" w:hAnsi="Arial" w:cs="Arial"/>
                <w:b/>
                <w:bCs/>
                <w:color w:val="000000"/>
                <w:sz w:val="24"/>
                <w:szCs w:val="24"/>
                <w:lang w:eastAsia="es-CR"/>
              </w:rPr>
            </w:pPr>
            <w:r w:rsidRPr="00FE551F">
              <w:rPr>
                <w:rFonts w:ascii="Arial" w:eastAsia="Times New Roman" w:hAnsi="Arial" w:cs="Arial"/>
                <w:b/>
                <w:bCs/>
                <w:color w:val="000000"/>
                <w:sz w:val="24"/>
                <w:szCs w:val="24"/>
                <w:lang w:eastAsia="es-CR"/>
              </w:rPr>
              <w:t>Corriente</w:t>
            </w:r>
          </w:p>
        </w:tc>
        <w:tc>
          <w:tcPr>
            <w:tcW w:w="26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3A051E" w14:textId="77777777" w:rsidR="00FE551F" w:rsidRPr="00FE551F" w:rsidRDefault="00FE551F" w:rsidP="00FE551F">
            <w:pPr>
              <w:spacing w:after="0" w:line="240" w:lineRule="auto"/>
              <w:jc w:val="center"/>
              <w:rPr>
                <w:rFonts w:ascii="Arial" w:eastAsia="Times New Roman" w:hAnsi="Arial" w:cs="Arial"/>
                <w:b/>
                <w:bCs/>
                <w:color w:val="000000"/>
                <w:sz w:val="24"/>
                <w:szCs w:val="24"/>
                <w:lang w:eastAsia="es-CR"/>
              </w:rPr>
            </w:pPr>
            <w:r w:rsidRPr="00FE551F">
              <w:rPr>
                <w:rFonts w:ascii="Arial" w:eastAsia="Times New Roman" w:hAnsi="Arial" w:cs="Arial"/>
                <w:b/>
                <w:bCs/>
                <w:color w:val="000000"/>
                <w:sz w:val="24"/>
                <w:szCs w:val="24"/>
                <w:lang w:eastAsia="es-CR"/>
              </w:rPr>
              <w:t>Déficit Corriente</w:t>
            </w:r>
          </w:p>
        </w:tc>
      </w:tr>
      <w:tr w:rsidR="00FE551F" w:rsidRPr="00FE551F" w14:paraId="266CB69E" w14:textId="77777777" w:rsidTr="00FE551F">
        <w:trPr>
          <w:trHeight w:val="310"/>
          <w:jc w:val="center"/>
        </w:trPr>
        <w:tc>
          <w:tcPr>
            <w:tcW w:w="752" w:type="dxa"/>
            <w:vMerge/>
            <w:tcBorders>
              <w:top w:val="single" w:sz="4" w:space="0" w:color="auto"/>
              <w:left w:val="single" w:sz="4" w:space="0" w:color="auto"/>
              <w:bottom w:val="single" w:sz="4" w:space="0" w:color="auto"/>
              <w:right w:val="single" w:sz="4" w:space="0" w:color="auto"/>
            </w:tcBorders>
            <w:vAlign w:val="center"/>
            <w:hideMark/>
          </w:tcPr>
          <w:p w14:paraId="48372A9C" w14:textId="77777777" w:rsidR="00FE551F" w:rsidRPr="00FE551F" w:rsidRDefault="00FE551F" w:rsidP="00FE551F">
            <w:pPr>
              <w:spacing w:after="0" w:line="240" w:lineRule="auto"/>
              <w:rPr>
                <w:rFonts w:ascii="Arial" w:eastAsia="Times New Roman" w:hAnsi="Arial" w:cs="Arial"/>
                <w:color w:val="000000"/>
                <w:sz w:val="24"/>
                <w:szCs w:val="24"/>
                <w:lang w:eastAsia="es-CR"/>
              </w:rPr>
            </w:pPr>
          </w:p>
        </w:tc>
        <w:tc>
          <w:tcPr>
            <w:tcW w:w="2048" w:type="dxa"/>
            <w:vMerge/>
            <w:tcBorders>
              <w:top w:val="single" w:sz="4" w:space="0" w:color="auto"/>
              <w:left w:val="single" w:sz="4" w:space="0" w:color="auto"/>
              <w:bottom w:val="single" w:sz="4" w:space="0" w:color="auto"/>
              <w:right w:val="single" w:sz="4" w:space="0" w:color="auto"/>
            </w:tcBorders>
            <w:vAlign w:val="center"/>
            <w:hideMark/>
          </w:tcPr>
          <w:p w14:paraId="076A783E" w14:textId="77777777" w:rsidR="00FE551F" w:rsidRPr="00FE551F" w:rsidRDefault="00FE551F" w:rsidP="00FE551F">
            <w:pPr>
              <w:spacing w:after="0" w:line="240" w:lineRule="auto"/>
              <w:rPr>
                <w:rFonts w:ascii="Arial" w:eastAsia="Times New Roman" w:hAnsi="Arial" w:cs="Arial"/>
                <w:color w:val="000000"/>
                <w:sz w:val="24"/>
                <w:szCs w:val="24"/>
                <w:lang w:eastAsia="es-CR"/>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1A93A6A3" w14:textId="77777777" w:rsidR="00FE551F" w:rsidRPr="00FE551F" w:rsidRDefault="00FE551F" w:rsidP="00FE551F">
            <w:pPr>
              <w:spacing w:after="0" w:line="240" w:lineRule="auto"/>
              <w:rPr>
                <w:rFonts w:ascii="Arial" w:eastAsia="Times New Roman" w:hAnsi="Arial" w:cs="Arial"/>
                <w:color w:val="000000"/>
                <w:sz w:val="24"/>
                <w:szCs w:val="24"/>
                <w:lang w:eastAsia="es-CR"/>
              </w:rPr>
            </w:pPr>
          </w:p>
        </w:tc>
        <w:tc>
          <w:tcPr>
            <w:tcW w:w="1315" w:type="dxa"/>
            <w:tcBorders>
              <w:top w:val="nil"/>
              <w:left w:val="nil"/>
              <w:bottom w:val="single" w:sz="4" w:space="0" w:color="auto"/>
              <w:right w:val="single" w:sz="4" w:space="0" w:color="auto"/>
            </w:tcBorders>
            <w:shd w:val="clear" w:color="auto" w:fill="auto"/>
            <w:noWrap/>
            <w:vAlign w:val="center"/>
            <w:hideMark/>
          </w:tcPr>
          <w:p w14:paraId="2D6C72F7" w14:textId="77777777" w:rsidR="00FE551F" w:rsidRPr="00FE551F" w:rsidRDefault="00FE551F" w:rsidP="00FE551F">
            <w:pPr>
              <w:spacing w:after="0" w:line="240" w:lineRule="auto"/>
              <w:jc w:val="center"/>
              <w:rPr>
                <w:rFonts w:ascii="Arial" w:eastAsia="Times New Roman" w:hAnsi="Arial" w:cs="Arial"/>
                <w:color w:val="000000"/>
                <w:sz w:val="24"/>
                <w:szCs w:val="24"/>
                <w:lang w:eastAsia="es-CR"/>
              </w:rPr>
            </w:pPr>
            <w:r w:rsidRPr="00FE551F">
              <w:rPr>
                <w:rFonts w:ascii="Arial" w:eastAsia="Times New Roman" w:hAnsi="Arial" w:cs="Arial"/>
                <w:color w:val="000000"/>
                <w:sz w:val="24"/>
                <w:szCs w:val="24"/>
                <w:lang w:eastAsia="es-CR"/>
              </w:rPr>
              <w:t>Nominal</w:t>
            </w:r>
          </w:p>
        </w:tc>
        <w:tc>
          <w:tcPr>
            <w:tcW w:w="1328" w:type="dxa"/>
            <w:tcBorders>
              <w:top w:val="nil"/>
              <w:left w:val="nil"/>
              <w:bottom w:val="single" w:sz="4" w:space="0" w:color="auto"/>
              <w:right w:val="single" w:sz="4" w:space="0" w:color="auto"/>
            </w:tcBorders>
            <w:shd w:val="clear" w:color="auto" w:fill="auto"/>
            <w:noWrap/>
            <w:vAlign w:val="center"/>
            <w:hideMark/>
          </w:tcPr>
          <w:p w14:paraId="3483269A" w14:textId="77777777" w:rsidR="00FE551F" w:rsidRPr="00FE551F" w:rsidRDefault="00FE551F" w:rsidP="00FE551F">
            <w:pPr>
              <w:spacing w:after="0" w:line="240" w:lineRule="auto"/>
              <w:jc w:val="center"/>
              <w:rPr>
                <w:rFonts w:ascii="Arial" w:eastAsia="Times New Roman" w:hAnsi="Arial" w:cs="Arial"/>
                <w:color w:val="000000"/>
                <w:sz w:val="24"/>
                <w:szCs w:val="24"/>
                <w:lang w:eastAsia="es-CR"/>
              </w:rPr>
            </w:pPr>
            <w:r w:rsidRPr="00FE551F">
              <w:rPr>
                <w:rFonts w:ascii="Arial" w:eastAsia="Times New Roman" w:hAnsi="Arial" w:cs="Arial"/>
                <w:color w:val="000000"/>
                <w:sz w:val="24"/>
                <w:szCs w:val="24"/>
                <w:lang w:eastAsia="es-CR"/>
              </w:rPr>
              <w:t>% del PIB</w:t>
            </w:r>
          </w:p>
        </w:tc>
      </w:tr>
      <w:tr w:rsidR="00FE551F" w:rsidRPr="00FE551F" w14:paraId="53D9E437"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33A6889E"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2000</w:t>
            </w:r>
          </w:p>
        </w:tc>
        <w:tc>
          <w:tcPr>
            <w:tcW w:w="2048" w:type="dxa"/>
            <w:tcBorders>
              <w:top w:val="nil"/>
              <w:left w:val="nil"/>
              <w:bottom w:val="single" w:sz="4" w:space="0" w:color="auto"/>
              <w:right w:val="single" w:sz="4" w:space="0" w:color="auto"/>
            </w:tcBorders>
            <w:shd w:val="clear" w:color="auto" w:fill="auto"/>
            <w:noWrap/>
            <w:vAlign w:val="bottom"/>
            <w:hideMark/>
          </w:tcPr>
          <w:p w14:paraId="16D3D83D" w14:textId="311B4222"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754.548</w:t>
            </w:r>
          </w:p>
        </w:tc>
        <w:tc>
          <w:tcPr>
            <w:tcW w:w="1341" w:type="dxa"/>
            <w:tcBorders>
              <w:top w:val="nil"/>
              <w:left w:val="nil"/>
              <w:bottom w:val="single" w:sz="4" w:space="0" w:color="auto"/>
              <w:right w:val="single" w:sz="4" w:space="0" w:color="auto"/>
            </w:tcBorders>
            <w:shd w:val="clear" w:color="auto" w:fill="auto"/>
            <w:noWrap/>
            <w:vAlign w:val="bottom"/>
            <w:hideMark/>
          </w:tcPr>
          <w:p w14:paraId="581B5089" w14:textId="3EB991F5"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608.538</w:t>
            </w:r>
          </w:p>
        </w:tc>
        <w:tc>
          <w:tcPr>
            <w:tcW w:w="1315" w:type="dxa"/>
            <w:tcBorders>
              <w:top w:val="nil"/>
              <w:left w:val="nil"/>
              <w:bottom w:val="single" w:sz="4" w:space="0" w:color="auto"/>
              <w:right w:val="single" w:sz="4" w:space="0" w:color="auto"/>
            </w:tcBorders>
            <w:shd w:val="clear" w:color="auto" w:fill="auto"/>
            <w:noWrap/>
            <w:vAlign w:val="bottom"/>
            <w:hideMark/>
          </w:tcPr>
          <w:p w14:paraId="2AED7056" w14:textId="70A7E29F"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-146.010</w:t>
            </w:r>
          </w:p>
        </w:tc>
        <w:tc>
          <w:tcPr>
            <w:tcW w:w="1328" w:type="dxa"/>
            <w:tcBorders>
              <w:top w:val="nil"/>
              <w:left w:val="nil"/>
              <w:bottom w:val="single" w:sz="4" w:space="0" w:color="auto"/>
              <w:right w:val="single" w:sz="4" w:space="0" w:color="auto"/>
            </w:tcBorders>
            <w:shd w:val="clear" w:color="auto" w:fill="auto"/>
            <w:noWrap/>
            <w:vAlign w:val="bottom"/>
            <w:hideMark/>
          </w:tcPr>
          <w:p w14:paraId="71FB618A"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-3,2%</w:t>
            </w:r>
          </w:p>
        </w:tc>
      </w:tr>
      <w:tr w:rsidR="00FE551F" w:rsidRPr="00FE551F" w14:paraId="0A4B950D"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69150033"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2001</w:t>
            </w:r>
          </w:p>
        </w:tc>
        <w:tc>
          <w:tcPr>
            <w:tcW w:w="2048" w:type="dxa"/>
            <w:tcBorders>
              <w:top w:val="nil"/>
              <w:left w:val="nil"/>
              <w:bottom w:val="single" w:sz="4" w:space="0" w:color="auto"/>
              <w:right w:val="single" w:sz="4" w:space="0" w:color="auto"/>
            </w:tcBorders>
            <w:shd w:val="clear" w:color="auto" w:fill="auto"/>
            <w:noWrap/>
            <w:vAlign w:val="bottom"/>
            <w:hideMark/>
          </w:tcPr>
          <w:p w14:paraId="65B585C8" w14:textId="5FBEB7A6"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825.082</w:t>
            </w:r>
          </w:p>
        </w:tc>
        <w:tc>
          <w:tcPr>
            <w:tcW w:w="1341" w:type="dxa"/>
            <w:tcBorders>
              <w:top w:val="nil"/>
              <w:left w:val="nil"/>
              <w:bottom w:val="single" w:sz="4" w:space="0" w:color="auto"/>
              <w:right w:val="single" w:sz="4" w:space="0" w:color="auto"/>
            </w:tcBorders>
            <w:shd w:val="clear" w:color="auto" w:fill="auto"/>
            <w:noWrap/>
            <w:vAlign w:val="bottom"/>
            <w:hideMark/>
          </w:tcPr>
          <w:p w14:paraId="7FDA4103" w14:textId="085076E3"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722.092</w:t>
            </w:r>
          </w:p>
        </w:tc>
        <w:tc>
          <w:tcPr>
            <w:tcW w:w="1315" w:type="dxa"/>
            <w:tcBorders>
              <w:top w:val="nil"/>
              <w:left w:val="nil"/>
              <w:bottom w:val="single" w:sz="4" w:space="0" w:color="auto"/>
              <w:right w:val="single" w:sz="4" w:space="0" w:color="auto"/>
            </w:tcBorders>
            <w:shd w:val="clear" w:color="auto" w:fill="auto"/>
            <w:noWrap/>
            <w:vAlign w:val="bottom"/>
            <w:hideMark/>
          </w:tcPr>
          <w:p w14:paraId="72FD1DDA" w14:textId="5B7F15BE"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-102.990</w:t>
            </w:r>
          </w:p>
        </w:tc>
        <w:tc>
          <w:tcPr>
            <w:tcW w:w="1328" w:type="dxa"/>
            <w:tcBorders>
              <w:top w:val="nil"/>
              <w:left w:val="nil"/>
              <w:bottom w:val="single" w:sz="4" w:space="0" w:color="auto"/>
              <w:right w:val="single" w:sz="4" w:space="0" w:color="auto"/>
            </w:tcBorders>
            <w:shd w:val="clear" w:color="auto" w:fill="auto"/>
            <w:noWrap/>
            <w:vAlign w:val="bottom"/>
            <w:hideMark/>
          </w:tcPr>
          <w:p w14:paraId="736F2782"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w:t>
            </w:r>
          </w:p>
        </w:tc>
      </w:tr>
      <w:tr w:rsidR="00FE551F" w:rsidRPr="00FE551F" w14:paraId="012DC810"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10A1B9B7"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2002</w:t>
            </w:r>
          </w:p>
        </w:tc>
        <w:tc>
          <w:tcPr>
            <w:tcW w:w="2048" w:type="dxa"/>
            <w:tcBorders>
              <w:top w:val="nil"/>
              <w:left w:val="nil"/>
              <w:bottom w:val="single" w:sz="4" w:space="0" w:color="auto"/>
              <w:right w:val="single" w:sz="4" w:space="0" w:color="auto"/>
            </w:tcBorders>
            <w:shd w:val="clear" w:color="auto" w:fill="auto"/>
            <w:noWrap/>
            <w:vAlign w:val="bottom"/>
            <w:hideMark/>
          </w:tcPr>
          <w:p w14:paraId="275E587B" w14:textId="6371C4B2"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962.101</w:t>
            </w:r>
          </w:p>
        </w:tc>
        <w:tc>
          <w:tcPr>
            <w:tcW w:w="1341" w:type="dxa"/>
            <w:tcBorders>
              <w:top w:val="nil"/>
              <w:left w:val="nil"/>
              <w:bottom w:val="single" w:sz="4" w:space="0" w:color="auto"/>
              <w:right w:val="single" w:sz="4" w:space="0" w:color="auto"/>
            </w:tcBorders>
            <w:shd w:val="clear" w:color="auto" w:fill="auto"/>
            <w:noWrap/>
            <w:vAlign w:val="bottom"/>
            <w:hideMark/>
          </w:tcPr>
          <w:p w14:paraId="69752698" w14:textId="35482E5C"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808.751</w:t>
            </w:r>
          </w:p>
        </w:tc>
        <w:tc>
          <w:tcPr>
            <w:tcW w:w="1315" w:type="dxa"/>
            <w:tcBorders>
              <w:top w:val="nil"/>
              <w:left w:val="nil"/>
              <w:bottom w:val="single" w:sz="4" w:space="0" w:color="auto"/>
              <w:right w:val="single" w:sz="4" w:space="0" w:color="auto"/>
            </w:tcBorders>
            <w:shd w:val="clear" w:color="auto" w:fill="auto"/>
            <w:noWrap/>
            <w:vAlign w:val="bottom"/>
            <w:hideMark/>
          </w:tcPr>
          <w:p w14:paraId="4E569319" w14:textId="05969FCB"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-153.350</w:t>
            </w:r>
          </w:p>
        </w:tc>
        <w:tc>
          <w:tcPr>
            <w:tcW w:w="1328" w:type="dxa"/>
            <w:tcBorders>
              <w:top w:val="nil"/>
              <w:left w:val="nil"/>
              <w:bottom w:val="single" w:sz="4" w:space="0" w:color="auto"/>
              <w:right w:val="single" w:sz="4" w:space="0" w:color="auto"/>
            </w:tcBorders>
            <w:shd w:val="clear" w:color="auto" w:fill="auto"/>
            <w:noWrap/>
            <w:vAlign w:val="bottom"/>
            <w:hideMark/>
          </w:tcPr>
          <w:p w14:paraId="6A5605EA"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-2,6%</w:t>
            </w:r>
          </w:p>
        </w:tc>
      </w:tr>
      <w:tr w:rsidR="00FE551F" w:rsidRPr="00FE551F" w14:paraId="4C79F8C9"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5460D06C"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2003</w:t>
            </w:r>
          </w:p>
        </w:tc>
        <w:tc>
          <w:tcPr>
            <w:tcW w:w="2048" w:type="dxa"/>
            <w:tcBorders>
              <w:top w:val="nil"/>
              <w:left w:val="nil"/>
              <w:bottom w:val="single" w:sz="4" w:space="0" w:color="auto"/>
              <w:right w:val="single" w:sz="4" w:space="0" w:color="auto"/>
            </w:tcBorders>
            <w:shd w:val="clear" w:color="auto" w:fill="auto"/>
            <w:noWrap/>
            <w:vAlign w:val="bottom"/>
            <w:hideMark/>
          </w:tcPr>
          <w:p w14:paraId="2128AB6F" w14:textId="0EAAD849"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1.082.074</w:t>
            </w:r>
          </w:p>
        </w:tc>
        <w:tc>
          <w:tcPr>
            <w:tcW w:w="1341" w:type="dxa"/>
            <w:tcBorders>
              <w:top w:val="nil"/>
              <w:left w:val="nil"/>
              <w:bottom w:val="single" w:sz="4" w:space="0" w:color="auto"/>
              <w:right w:val="single" w:sz="4" w:space="0" w:color="auto"/>
            </w:tcBorders>
            <w:shd w:val="clear" w:color="auto" w:fill="auto"/>
            <w:noWrap/>
            <w:vAlign w:val="bottom"/>
            <w:hideMark/>
          </w:tcPr>
          <w:p w14:paraId="30458B5B" w14:textId="2D93BAFF"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952.444</w:t>
            </w:r>
          </w:p>
        </w:tc>
        <w:tc>
          <w:tcPr>
            <w:tcW w:w="1315" w:type="dxa"/>
            <w:tcBorders>
              <w:top w:val="nil"/>
              <w:left w:val="nil"/>
              <w:bottom w:val="single" w:sz="4" w:space="0" w:color="auto"/>
              <w:right w:val="single" w:sz="4" w:space="0" w:color="auto"/>
            </w:tcBorders>
            <w:shd w:val="clear" w:color="auto" w:fill="auto"/>
            <w:noWrap/>
            <w:vAlign w:val="bottom"/>
            <w:hideMark/>
          </w:tcPr>
          <w:p w14:paraId="76FFE737" w14:textId="50AE4CA1"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-129.630</w:t>
            </w:r>
          </w:p>
        </w:tc>
        <w:tc>
          <w:tcPr>
            <w:tcW w:w="1328" w:type="dxa"/>
            <w:tcBorders>
              <w:top w:val="nil"/>
              <w:left w:val="nil"/>
              <w:bottom w:val="single" w:sz="4" w:space="0" w:color="auto"/>
              <w:right w:val="single" w:sz="4" w:space="0" w:color="auto"/>
            </w:tcBorders>
            <w:shd w:val="clear" w:color="auto" w:fill="auto"/>
            <w:noWrap/>
            <w:vAlign w:val="bottom"/>
            <w:hideMark/>
          </w:tcPr>
          <w:p w14:paraId="52561BEB"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-1,9%</w:t>
            </w:r>
          </w:p>
        </w:tc>
      </w:tr>
      <w:tr w:rsidR="00FE551F" w:rsidRPr="00FE551F" w14:paraId="521CBA46"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7E4A1EDE"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2004</w:t>
            </w:r>
          </w:p>
        </w:tc>
        <w:tc>
          <w:tcPr>
            <w:tcW w:w="2048" w:type="dxa"/>
            <w:tcBorders>
              <w:top w:val="nil"/>
              <w:left w:val="nil"/>
              <w:bottom w:val="single" w:sz="4" w:space="0" w:color="auto"/>
              <w:right w:val="single" w:sz="4" w:space="0" w:color="auto"/>
            </w:tcBorders>
            <w:shd w:val="clear" w:color="auto" w:fill="auto"/>
            <w:noWrap/>
            <w:vAlign w:val="bottom"/>
            <w:hideMark/>
          </w:tcPr>
          <w:p w14:paraId="7C8F2168" w14:textId="639CE164"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1.227.452</w:t>
            </w:r>
          </w:p>
        </w:tc>
        <w:tc>
          <w:tcPr>
            <w:tcW w:w="1341" w:type="dxa"/>
            <w:tcBorders>
              <w:top w:val="nil"/>
              <w:left w:val="nil"/>
              <w:bottom w:val="single" w:sz="4" w:space="0" w:color="auto"/>
              <w:right w:val="single" w:sz="4" w:space="0" w:color="auto"/>
            </w:tcBorders>
            <w:shd w:val="clear" w:color="auto" w:fill="auto"/>
            <w:noWrap/>
            <w:vAlign w:val="bottom"/>
            <w:hideMark/>
          </w:tcPr>
          <w:p w14:paraId="1A018F3D" w14:textId="57529A79"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1.107.640</w:t>
            </w:r>
          </w:p>
        </w:tc>
        <w:tc>
          <w:tcPr>
            <w:tcW w:w="1315" w:type="dxa"/>
            <w:tcBorders>
              <w:top w:val="nil"/>
              <w:left w:val="nil"/>
              <w:bottom w:val="single" w:sz="4" w:space="0" w:color="auto"/>
              <w:right w:val="single" w:sz="4" w:space="0" w:color="auto"/>
            </w:tcBorders>
            <w:shd w:val="clear" w:color="auto" w:fill="auto"/>
            <w:noWrap/>
            <w:vAlign w:val="bottom"/>
            <w:hideMark/>
          </w:tcPr>
          <w:p w14:paraId="48E0E5C2" w14:textId="154FB7FB"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-119.812</w:t>
            </w:r>
          </w:p>
        </w:tc>
        <w:tc>
          <w:tcPr>
            <w:tcW w:w="1328" w:type="dxa"/>
            <w:tcBorders>
              <w:top w:val="nil"/>
              <w:left w:val="nil"/>
              <w:bottom w:val="single" w:sz="4" w:space="0" w:color="auto"/>
              <w:right w:val="single" w:sz="4" w:space="0" w:color="auto"/>
            </w:tcBorders>
            <w:shd w:val="clear" w:color="auto" w:fill="auto"/>
            <w:noWrap/>
            <w:vAlign w:val="bottom"/>
            <w:hideMark/>
          </w:tcPr>
          <w:p w14:paraId="76DB3211"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-1,5%</w:t>
            </w:r>
          </w:p>
        </w:tc>
      </w:tr>
      <w:tr w:rsidR="00FE551F" w:rsidRPr="00FE551F" w14:paraId="59D1F2A8"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3322F243"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2005</w:t>
            </w:r>
          </w:p>
        </w:tc>
        <w:tc>
          <w:tcPr>
            <w:tcW w:w="2048" w:type="dxa"/>
            <w:tcBorders>
              <w:top w:val="nil"/>
              <w:left w:val="nil"/>
              <w:bottom w:val="single" w:sz="4" w:space="0" w:color="auto"/>
              <w:right w:val="single" w:sz="4" w:space="0" w:color="auto"/>
            </w:tcBorders>
            <w:shd w:val="clear" w:color="auto" w:fill="auto"/>
            <w:noWrap/>
            <w:vAlign w:val="bottom"/>
            <w:hideMark/>
          </w:tcPr>
          <w:p w14:paraId="5EB4BE38" w14:textId="2FF31444"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1.413.047</w:t>
            </w:r>
          </w:p>
        </w:tc>
        <w:tc>
          <w:tcPr>
            <w:tcW w:w="1341" w:type="dxa"/>
            <w:tcBorders>
              <w:top w:val="nil"/>
              <w:left w:val="nil"/>
              <w:bottom w:val="single" w:sz="4" w:space="0" w:color="auto"/>
              <w:right w:val="single" w:sz="4" w:space="0" w:color="auto"/>
            </w:tcBorders>
            <w:shd w:val="clear" w:color="auto" w:fill="auto"/>
            <w:noWrap/>
            <w:vAlign w:val="bottom"/>
            <w:hideMark/>
          </w:tcPr>
          <w:p w14:paraId="56F247EE" w14:textId="6275BAE6"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1.321.309</w:t>
            </w:r>
          </w:p>
        </w:tc>
        <w:tc>
          <w:tcPr>
            <w:tcW w:w="1315" w:type="dxa"/>
            <w:tcBorders>
              <w:top w:val="nil"/>
              <w:left w:val="nil"/>
              <w:bottom w:val="single" w:sz="4" w:space="0" w:color="auto"/>
              <w:right w:val="single" w:sz="4" w:space="0" w:color="auto"/>
            </w:tcBorders>
            <w:shd w:val="clear" w:color="auto" w:fill="auto"/>
            <w:noWrap/>
            <w:vAlign w:val="bottom"/>
            <w:hideMark/>
          </w:tcPr>
          <w:p w14:paraId="27BE4A48" w14:textId="0E96E1FB"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-91.738</w:t>
            </w:r>
          </w:p>
        </w:tc>
        <w:tc>
          <w:tcPr>
            <w:tcW w:w="1328" w:type="dxa"/>
            <w:tcBorders>
              <w:top w:val="nil"/>
              <w:left w:val="nil"/>
              <w:bottom w:val="single" w:sz="4" w:space="0" w:color="auto"/>
              <w:right w:val="single" w:sz="4" w:space="0" w:color="auto"/>
            </w:tcBorders>
            <w:shd w:val="clear" w:color="auto" w:fill="auto"/>
            <w:noWrap/>
            <w:vAlign w:val="bottom"/>
            <w:hideMark/>
          </w:tcPr>
          <w:p w14:paraId="4A34774F"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-1,0%</w:t>
            </w:r>
          </w:p>
        </w:tc>
      </w:tr>
      <w:tr w:rsidR="00FE551F" w:rsidRPr="00FE551F" w14:paraId="041E3724"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6656F284"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2006</w:t>
            </w:r>
          </w:p>
        </w:tc>
        <w:tc>
          <w:tcPr>
            <w:tcW w:w="2048" w:type="dxa"/>
            <w:tcBorders>
              <w:top w:val="nil"/>
              <w:left w:val="nil"/>
              <w:bottom w:val="single" w:sz="4" w:space="0" w:color="auto"/>
              <w:right w:val="single" w:sz="4" w:space="0" w:color="auto"/>
            </w:tcBorders>
            <w:shd w:val="clear" w:color="auto" w:fill="auto"/>
            <w:noWrap/>
            <w:vAlign w:val="bottom"/>
            <w:hideMark/>
          </w:tcPr>
          <w:p w14:paraId="30A2A9D7" w14:textId="5E21F3D7"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1.654.337</w:t>
            </w:r>
          </w:p>
        </w:tc>
        <w:tc>
          <w:tcPr>
            <w:tcW w:w="1341" w:type="dxa"/>
            <w:tcBorders>
              <w:top w:val="nil"/>
              <w:left w:val="nil"/>
              <w:bottom w:val="single" w:sz="4" w:space="0" w:color="auto"/>
              <w:right w:val="single" w:sz="4" w:space="0" w:color="auto"/>
            </w:tcBorders>
            <w:shd w:val="clear" w:color="auto" w:fill="auto"/>
            <w:noWrap/>
            <w:vAlign w:val="bottom"/>
            <w:hideMark/>
          </w:tcPr>
          <w:p w14:paraId="6B5A688E" w14:textId="5C94813F"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1.637.788</w:t>
            </w:r>
          </w:p>
        </w:tc>
        <w:tc>
          <w:tcPr>
            <w:tcW w:w="1315" w:type="dxa"/>
            <w:tcBorders>
              <w:top w:val="nil"/>
              <w:left w:val="nil"/>
              <w:bottom w:val="single" w:sz="4" w:space="0" w:color="auto"/>
              <w:right w:val="single" w:sz="4" w:space="0" w:color="auto"/>
            </w:tcBorders>
            <w:shd w:val="clear" w:color="auto" w:fill="auto"/>
            <w:noWrap/>
            <w:vAlign w:val="bottom"/>
            <w:hideMark/>
          </w:tcPr>
          <w:p w14:paraId="066A0C6C" w14:textId="7AE5EE17"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-16.549</w:t>
            </w:r>
          </w:p>
        </w:tc>
        <w:tc>
          <w:tcPr>
            <w:tcW w:w="1328" w:type="dxa"/>
            <w:tcBorders>
              <w:top w:val="nil"/>
              <w:left w:val="nil"/>
              <w:bottom w:val="single" w:sz="4" w:space="0" w:color="auto"/>
              <w:right w:val="single" w:sz="4" w:space="0" w:color="auto"/>
            </w:tcBorders>
            <w:shd w:val="clear" w:color="auto" w:fill="auto"/>
            <w:noWrap/>
            <w:vAlign w:val="bottom"/>
            <w:hideMark/>
          </w:tcPr>
          <w:p w14:paraId="2D6B3007"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-0,1%</w:t>
            </w:r>
          </w:p>
        </w:tc>
      </w:tr>
      <w:tr w:rsidR="00FE551F" w:rsidRPr="00FE551F" w14:paraId="35161769"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16361535"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2007</w:t>
            </w:r>
          </w:p>
        </w:tc>
        <w:tc>
          <w:tcPr>
            <w:tcW w:w="2048" w:type="dxa"/>
            <w:tcBorders>
              <w:top w:val="nil"/>
              <w:left w:val="nil"/>
              <w:bottom w:val="single" w:sz="4" w:space="0" w:color="auto"/>
              <w:right w:val="single" w:sz="4" w:space="0" w:color="auto"/>
            </w:tcBorders>
            <w:shd w:val="clear" w:color="auto" w:fill="auto"/>
            <w:noWrap/>
            <w:vAlign w:val="bottom"/>
            <w:hideMark/>
          </w:tcPr>
          <w:p w14:paraId="33D83D6A" w14:textId="40C6264C"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1.847.877</w:t>
            </w:r>
          </w:p>
        </w:tc>
        <w:tc>
          <w:tcPr>
            <w:tcW w:w="1341" w:type="dxa"/>
            <w:tcBorders>
              <w:top w:val="nil"/>
              <w:left w:val="nil"/>
              <w:bottom w:val="single" w:sz="4" w:space="0" w:color="auto"/>
              <w:right w:val="single" w:sz="4" w:space="0" w:color="auto"/>
            </w:tcBorders>
            <w:shd w:val="clear" w:color="auto" w:fill="auto"/>
            <w:noWrap/>
            <w:vAlign w:val="bottom"/>
            <w:hideMark/>
          </w:tcPr>
          <w:p w14:paraId="09B8D6F7" w14:textId="5B0906E7"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2.104.451</w:t>
            </w:r>
          </w:p>
        </w:tc>
        <w:tc>
          <w:tcPr>
            <w:tcW w:w="1315" w:type="dxa"/>
            <w:tcBorders>
              <w:top w:val="nil"/>
              <w:left w:val="nil"/>
              <w:bottom w:val="single" w:sz="4" w:space="0" w:color="auto"/>
              <w:right w:val="single" w:sz="4" w:space="0" w:color="auto"/>
            </w:tcBorders>
            <w:shd w:val="clear" w:color="auto" w:fill="auto"/>
            <w:noWrap/>
            <w:vAlign w:val="bottom"/>
            <w:hideMark/>
          </w:tcPr>
          <w:p w14:paraId="131B71D6" w14:textId="68703BD7"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256.574</w:t>
            </w:r>
          </w:p>
        </w:tc>
        <w:tc>
          <w:tcPr>
            <w:tcW w:w="1328" w:type="dxa"/>
            <w:tcBorders>
              <w:top w:val="nil"/>
              <w:left w:val="nil"/>
              <w:bottom w:val="single" w:sz="4" w:space="0" w:color="auto"/>
              <w:right w:val="single" w:sz="4" w:space="0" w:color="auto"/>
            </w:tcBorders>
            <w:shd w:val="clear" w:color="auto" w:fill="auto"/>
            <w:noWrap/>
            <w:vAlign w:val="bottom"/>
            <w:hideMark/>
          </w:tcPr>
          <w:p w14:paraId="1EEAE9BF"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1,8%</w:t>
            </w:r>
          </w:p>
        </w:tc>
      </w:tr>
      <w:tr w:rsidR="00FE551F" w:rsidRPr="00FE551F" w14:paraId="7F4CCDDA"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2B8CD483"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2008</w:t>
            </w:r>
          </w:p>
        </w:tc>
        <w:tc>
          <w:tcPr>
            <w:tcW w:w="2048" w:type="dxa"/>
            <w:tcBorders>
              <w:top w:val="nil"/>
              <w:left w:val="nil"/>
              <w:bottom w:val="single" w:sz="4" w:space="0" w:color="auto"/>
              <w:right w:val="single" w:sz="4" w:space="0" w:color="auto"/>
            </w:tcBorders>
            <w:shd w:val="clear" w:color="auto" w:fill="auto"/>
            <w:noWrap/>
            <w:vAlign w:val="bottom"/>
            <w:hideMark/>
          </w:tcPr>
          <w:p w14:paraId="54C1765D" w14:textId="2F661E9E"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2.116.401</w:t>
            </w:r>
          </w:p>
        </w:tc>
        <w:tc>
          <w:tcPr>
            <w:tcW w:w="1341" w:type="dxa"/>
            <w:tcBorders>
              <w:top w:val="nil"/>
              <w:left w:val="nil"/>
              <w:bottom w:val="single" w:sz="4" w:space="0" w:color="auto"/>
              <w:right w:val="single" w:sz="4" w:space="0" w:color="auto"/>
            </w:tcBorders>
            <w:shd w:val="clear" w:color="auto" w:fill="auto"/>
            <w:noWrap/>
            <w:vAlign w:val="bottom"/>
            <w:hideMark/>
          </w:tcPr>
          <w:p w14:paraId="1CE6A049" w14:textId="5BF5CB1C"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2.489.551</w:t>
            </w:r>
          </w:p>
        </w:tc>
        <w:tc>
          <w:tcPr>
            <w:tcW w:w="1315" w:type="dxa"/>
            <w:tcBorders>
              <w:top w:val="nil"/>
              <w:left w:val="nil"/>
              <w:bottom w:val="single" w:sz="4" w:space="0" w:color="auto"/>
              <w:right w:val="single" w:sz="4" w:space="0" w:color="auto"/>
            </w:tcBorders>
            <w:shd w:val="clear" w:color="auto" w:fill="auto"/>
            <w:noWrap/>
            <w:vAlign w:val="bottom"/>
            <w:hideMark/>
          </w:tcPr>
          <w:p w14:paraId="569FC378" w14:textId="34B8BE3A"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373.150</w:t>
            </w:r>
          </w:p>
        </w:tc>
        <w:tc>
          <w:tcPr>
            <w:tcW w:w="1328" w:type="dxa"/>
            <w:tcBorders>
              <w:top w:val="nil"/>
              <w:left w:val="nil"/>
              <w:bottom w:val="single" w:sz="4" w:space="0" w:color="auto"/>
              <w:right w:val="single" w:sz="4" w:space="0" w:color="auto"/>
            </w:tcBorders>
            <w:shd w:val="clear" w:color="auto" w:fill="auto"/>
            <w:noWrap/>
            <w:vAlign w:val="bottom"/>
            <w:hideMark/>
          </w:tcPr>
          <w:p w14:paraId="4A1AC037"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2,3%</w:t>
            </w:r>
          </w:p>
        </w:tc>
      </w:tr>
      <w:tr w:rsidR="00FE551F" w:rsidRPr="00FE551F" w14:paraId="16A1BE95"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40821629"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2009</w:t>
            </w:r>
          </w:p>
        </w:tc>
        <w:tc>
          <w:tcPr>
            <w:tcW w:w="2048" w:type="dxa"/>
            <w:tcBorders>
              <w:top w:val="nil"/>
              <w:left w:val="nil"/>
              <w:bottom w:val="single" w:sz="4" w:space="0" w:color="auto"/>
              <w:right w:val="single" w:sz="4" w:space="0" w:color="auto"/>
            </w:tcBorders>
            <w:shd w:val="clear" w:color="auto" w:fill="auto"/>
            <w:noWrap/>
            <w:vAlign w:val="bottom"/>
            <w:hideMark/>
          </w:tcPr>
          <w:p w14:paraId="5999075F" w14:textId="46E171B7"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2.631.479</w:t>
            </w:r>
          </w:p>
        </w:tc>
        <w:tc>
          <w:tcPr>
            <w:tcW w:w="1341" w:type="dxa"/>
            <w:tcBorders>
              <w:top w:val="nil"/>
              <w:left w:val="nil"/>
              <w:bottom w:val="single" w:sz="4" w:space="0" w:color="auto"/>
              <w:right w:val="single" w:sz="4" w:space="0" w:color="auto"/>
            </w:tcBorders>
            <w:shd w:val="clear" w:color="auto" w:fill="auto"/>
            <w:noWrap/>
            <w:vAlign w:val="bottom"/>
            <w:hideMark/>
          </w:tcPr>
          <w:p w14:paraId="5EBCB79A" w14:textId="7C8BFD9C"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2.359.138</w:t>
            </w:r>
          </w:p>
        </w:tc>
        <w:tc>
          <w:tcPr>
            <w:tcW w:w="1315" w:type="dxa"/>
            <w:tcBorders>
              <w:top w:val="nil"/>
              <w:left w:val="nil"/>
              <w:bottom w:val="single" w:sz="4" w:space="0" w:color="auto"/>
              <w:right w:val="single" w:sz="4" w:space="0" w:color="auto"/>
            </w:tcBorders>
            <w:shd w:val="clear" w:color="auto" w:fill="auto"/>
            <w:noWrap/>
            <w:vAlign w:val="bottom"/>
            <w:hideMark/>
          </w:tcPr>
          <w:p w14:paraId="08DC84F6" w14:textId="3434BD83"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-272.340</w:t>
            </w:r>
          </w:p>
        </w:tc>
        <w:tc>
          <w:tcPr>
            <w:tcW w:w="1328" w:type="dxa"/>
            <w:tcBorders>
              <w:top w:val="nil"/>
              <w:left w:val="nil"/>
              <w:bottom w:val="single" w:sz="4" w:space="0" w:color="auto"/>
              <w:right w:val="single" w:sz="4" w:space="0" w:color="auto"/>
            </w:tcBorders>
            <w:shd w:val="clear" w:color="auto" w:fill="auto"/>
            <w:noWrap/>
            <w:vAlign w:val="bottom"/>
            <w:hideMark/>
          </w:tcPr>
          <w:p w14:paraId="0EE58811"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-1,5%</w:t>
            </w:r>
          </w:p>
        </w:tc>
      </w:tr>
      <w:tr w:rsidR="00FE551F" w:rsidRPr="00FE551F" w14:paraId="0664C6D3"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56191BC4"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2010</w:t>
            </w:r>
          </w:p>
        </w:tc>
        <w:tc>
          <w:tcPr>
            <w:tcW w:w="2048" w:type="dxa"/>
            <w:tcBorders>
              <w:top w:val="nil"/>
              <w:left w:val="nil"/>
              <w:bottom w:val="single" w:sz="4" w:space="0" w:color="auto"/>
              <w:right w:val="single" w:sz="4" w:space="0" w:color="auto"/>
            </w:tcBorders>
            <w:shd w:val="clear" w:color="auto" w:fill="auto"/>
            <w:noWrap/>
            <w:vAlign w:val="bottom"/>
            <w:hideMark/>
          </w:tcPr>
          <w:p w14:paraId="1C4B0C8A" w14:textId="123DE603"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3.273.567</w:t>
            </w:r>
          </w:p>
        </w:tc>
        <w:tc>
          <w:tcPr>
            <w:tcW w:w="1341" w:type="dxa"/>
            <w:tcBorders>
              <w:top w:val="nil"/>
              <w:left w:val="nil"/>
              <w:bottom w:val="single" w:sz="4" w:space="0" w:color="auto"/>
              <w:right w:val="single" w:sz="4" w:space="0" w:color="auto"/>
            </w:tcBorders>
            <w:shd w:val="clear" w:color="auto" w:fill="auto"/>
            <w:noWrap/>
            <w:vAlign w:val="bottom"/>
            <w:hideMark/>
          </w:tcPr>
          <w:p w14:paraId="062CD7EA" w14:textId="32BA13EA"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2.741.625</w:t>
            </w:r>
          </w:p>
        </w:tc>
        <w:tc>
          <w:tcPr>
            <w:tcW w:w="1315" w:type="dxa"/>
            <w:tcBorders>
              <w:top w:val="nil"/>
              <w:left w:val="nil"/>
              <w:bottom w:val="single" w:sz="4" w:space="0" w:color="auto"/>
              <w:right w:val="single" w:sz="4" w:space="0" w:color="auto"/>
            </w:tcBorders>
            <w:shd w:val="clear" w:color="auto" w:fill="auto"/>
            <w:noWrap/>
            <w:vAlign w:val="bottom"/>
            <w:hideMark/>
          </w:tcPr>
          <w:p w14:paraId="0163CDF4" w14:textId="5692E518"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-531.942</w:t>
            </w:r>
          </w:p>
        </w:tc>
        <w:tc>
          <w:tcPr>
            <w:tcW w:w="1328" w:type="dxa"/>
            <w:tcBorders>
              <w:top w:val="nil"/>
              <w:left w:val="nil"/>
              <w:bottom w:val="single" w:sz="4" w:space="0" w:color="auto"/>
              <w:right w:val="single" w:sz="4" w:space="0" w:color="auto"/>
            </w:tcBorders>
            <w:shd w:val="clear" w:color="auto" w:fill="auto"/>
            <w:noWrap/>
            <w:vAlign w:val="bottom"/>
            <w:hideMark/>
          </w:tcPr>
          <w:p w14:paraId="6CE0C7FB"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-2,7%</w:t>
            </w:r>
          </w:p>
        </w:tc>
      </w:tr>
      <w:tr w:rsidR="00FE551F" w:rsidRPr="00FE551F" w14:paraId="598D26F5"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632C3530"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2011</w:t>
            </w:r>
          </w:p>
        </w:tc>
        <w:tc>
          <w:tcPr>
            <w:tcW w:w="2048" w:type="dxa"/>
            <w:tcBorders>
              <w:top w:val="nil"/>
              <w:left w:val="nil"/>
              <w:bottom w:val="single" w:sz="4" w:space="0" w:color="auto"/>
              <w:right w:val="single" w:sz="4" w:space="0" w:color="auto"/>
            </w:tcBorders>
            <w:shd w:val="clear" w:color="auto" w:fill="auto"/>
            <w:noWrap/>
            <w:vAlign w:val="bottom"/>
            <w:hideMark/>
          </w:tcPr>
          <w:p w14:paraId="3201568B" w14:textId="5B7EDC11"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3.564.011</w:t>
            </w:r>
          </w:p>
        </w:tc>
        <w:tc>
          <w:tcPr>
            <w:tcW w:w="1341" w:type="dxa"/>
            <w:tcBorders>
              <w:top w:val="nil"/>
              <w:left w:val="nil"/>
              <w:bottom w:val="single" w:sz="4" w:space="0" w:color="auto"/>
              <w:right w:val="single" w:sz="4" w:space="0" w:color="auto"/>
            </w:tcBorders>
            <w:shd w:val="clear" w:color="auto" w:fill="auto"/>
            <w:noWrap/>
            <w:vAlign w:val="bottom"/>
            <w:hideMark/>
          </w:tcPr>
          <w:p w14:paraId="7861DFBE" w14:textId="54A9E502"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3.024.134</w:t>
            </w:r>
          </w:p>
        </w:tc>
        <w:tc>
          <w:tcPr>
            <w:tcW w:w="1315" w:type="dxa"/>
            <w:tcBorders>
              <w:top w:val="nil"/>
              <w:left w:val="nil"/>
              <w:bottom w:val="single" w:sz="4" w:space="0" w:color="auto"/>
              <w:right w:val="single" w:sz="4" w:space="0" w:color="auto"/>
            </w:tcBorders>
            <w:shd w:val="clear" w:color="auto" w:fill="auto"/>
            <w:noWrap/>
            <w:vAlign w:val="bottom"/>
            <w:hideMark/>
          </w:tcPr>
          <w:p w14:paraId="5DD186A4" w14:textId="75AE7D24"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-539.878</w:t>
            </w:r>
          </w:p>
        </w:tc>
        <w:tc>
          <w:tcPr>
            <w:tcW w:w="1328" w:type="dxa"/>
            <w:tcBorders>
              <w:top w:val="nil"/>
              <w:left w:val="nil"/>
              <w:bottom w:val="single" w:sz="4" w:space="0" w:color="auto"/>
              <w:right w:val="single" w:sz="4" w:space="0" w:color="auto"/>
            </w:tcBorders>
            <w:shd w:val="clear" w:color="auto" w:fill="auto"/>
            <w:noWrap/>
            <w:vAlign w:val="bottom"/>
            <w:hideMark/>
          </w:tcPr>
          <w:p w14:paraId="4A271CEA"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-2,5%</w:t>
            </w:r>
          </w:p>
        </w:tc>
      </w:tr>
      <w:tr w:rsidR="00FE551F" w:rsidRPr="00FE551F" w14:paraId="3654F4A5"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171C58B4"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2012</w:t>
            </w:r>
          </w:p>
        </w:tc>
        <w:tc>
          <w:tcPr>
            <w:tcW w:w="2048" w:type="dxa"/>
            <w:tcBorders>
              <w:top w:val="nil"/>
              <w:left w:val="nil"/>
              <w:bottom w:val="single" w:sz="4" w:space="0" w:color="auto"/>
              <w:right w:val="single" w:sz="4" w:space="0" w:color="auto"/>
            </w:tcBorders>
            <w:shd w:val="clear" w:color="auto" w:fill="auto"/>
            <w:noWrap/>
            <w:vAlign w:val="bottom"/>
            <w:hideMark/>
          </w:tcPr>
          <w:p w14:paraId="3583A0BF" w14:textId="038C073C"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3.941.568</w:t>
            </w:r>
          </w:p>
        </w:tc>
        <w:tc>
          <w:tcPr>
            <w:tcW w:w="1341" w:type="dxa"/>
            <w:tcBorders>
              <w:top w:val="nil"/>
              <w:left w:val="nil"/>
              <w:bottom w:val="single" w:sz="4" w:space="0" w:color="auto"/>
              <w:right w:val="single" w:sz="4" w:space="0" w:color="auto"/>
            </w:tcBorders>
            <w:shd w:val="clear" w:color="auto" w:fill="auto"/>
            <w:noWrap/>
            <w:vAlign w:val="bottom"/>
            <w:hideMark/>
          </w:tcPr>
          <w:p w14:paraId="15BA9170" w14:textId="2BCD5EB7"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3.270.368</w:t>
            </w:r>
          </w:p>
        </w:tc>
        <w:tc>
          <w:tcPr>
            <w:tcW w:w="1315" w:type="dxa"/>
            <w:tcBorders>
              <w:top w:val="nil"/>
              <w:left w:val="nil"/>
              <w:bottom w:val="single" w:sz="4" w:space="0" w:color="auto"/>
              <w:right w:val="single" w:sz="4" w:space="0" w:color="auto"/>
            </w:tcBorders>
            <w:shd w:val="clear" w:color="auto" w:fill="auto"/>
            <w:noWrap/>
            <w:vAlign w:val="bottom"/>
            <w:hideMark/>
          </w:tcPr>
          <w:p w14:paraId="316A2531" w14:textId="53AD093F"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-671.200</w:t>
            </w:r>
          </w:p>
        </w:tc>
        <w:tc>
          <w:tcPr>
            <w:tcW w:w="1328" w:type="dxa"/>
            <w:tcBorders>
              <w:top w:val="nil"/>
              <w:left w:val="nil"/>
              <w:bottom w:val="single" w:sz="4" w:space="0" w:color="auto"/>
              <w:right w:val="single" w:sz="4" w:space="0" w:color="auto"/>
            </w:tcBorders>
            <w:shd w:val="clear" w:color="auto" w:fill="auto"/>
            <w:noWrap/>
            <w:vAlign w:val="bottom"/>
            <w:hideMark/>
          </w:tcPr>
          <w:p w14:paraId="5021A8C9"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-2,8%</w:t>
            </w:r>
          </w:p>
        </w:tc>
      </w:tr>
      <w:tr w:rsidR="00FE551F" w:rsidRPr="00FE551F" w14:paraId="63C78ED9"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743A3EAC"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2013</w:t>
            </w:r>
          </w:p>
        </w:tc>
        <w:tc>
          <w:tcPr>
            <w:tcW w:w="2048" w:type="dxa"/>
            <w:tcBorders>
              <w:top w:val="nil"/>
              <w:left w:val="nil"/>
              <w:bottom w:val="single" w:sz="4" w:space="0" w:color="auto"/>
              <w:right w:val="single" w:sz="4" w:space="0" w:color="auto"/>
            </w:tcBorders>
            <w:shd w:val="clear" w:color="auto" w:fill="auto"/>
            <w:noWrap/>
            <w:vAlign w:val="bottom"/>
            <w:hideMark/>
          </w:tcPr>
          <w:p w14:paraId="7983396D" w14:textId="2CDB81F6"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4.468.595</w:t>
            </w:r>
          </w:p>
        </w:tc>
        <w:tc>
          <w:tcPr>
            <w:tcW w:w="1341" w:type="dxa"/>
            <w:tcBorders>
              <w:top w:val="nil"/>
              <w:left w:val="nil"/>
              <w:bottom w:val="single" w:sz="4" w:space="0" w:color="auto"/>
              <w:right w:val="single" w:sz="4" w:space="0" w:color="auto"/>
            </w:tcBorders>
            <w:shd w:val="clear" w:color="auto" w:fill="auto"/>
            <w:noWrap/>
            <w:vAlign w:val="bottom"/>
            <w:hideMark/>
          </w:tcPr>
          <w:p w14:paraId="3A3F0EFF" w14:textId="33DB3BDA"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3.536.202</w:t>
            </w:r>
          </w:p>
        </w:tc>
        <w:tc>
          <w:tcPr>
            <w:tcW w:w="1315" w:type="dxa"/>
            <w:tcBorders>
              <w:top w:val="nil"/>
              <w:left w:val="nil"/>
              <w:bottom w:val="single" w:sz="4" w:space="0" w:color="auto"/>
              <w:right w:val="single" w:sz="4" w:space="0" w:color="auto"/>
            </w:tcBorders>
            <w:shd w:val="clear" w:color="auto" w:fill="auto"/>
            <w:noWrap/>
            <w:vAlign w:val="bottom"/>
            <w:hideMark/>
          </w:tcPr>
          <w:p w14:paraId="202F24FB" w14:textId="3CF3B991"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-932.392</w:t>
            </w:r>
          </w:p>
        </w:tc>
        <w:tc>
          <w:tcPr>
            <w:tcW w:w="1328" w:type="dxa"/>
            <w:tcBorders>
              <w:top w:val="nil"/>
              <w:left w:val="nil"/>
              <w:bottom w:val="single" w:sz="4" w:space="0" w:color="auto"/>
              <w:right w:val="single" w:sz="4" w:space="0" w:color="auto"/>
            </w:tcBorders>
            <w:shd w:val="clear" w:color="auto" w:fill="auto"/>
            <w:noWrap/>
            <w:vAlign w:val="bottom"/>
            <w:hideMark/>
          </w:tcPr>
          <w:p w14:paraId="4BAA6A94"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-3,7%</w:t>
            </w:r>
          </w:p>
        </w:tc>
      </w:tr>
      <w:tr w:rsidR="00FE551F" w:rsidRPr="00FE551F" w14:paraId="369D4366"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79C007ED"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2014</w:t>
            </w:r>
          </w:p>
        </w:tc>
        <w:tc>
          <w:tcPr>
            <w:tcW w:w="2048" w:type="dxa"/>
            <w:tcBorders>
              <w:top w:val="nil"/>
              <w:left w:val="nil"/>
              <w:bottom w:val="single" w:sz="4" w:space="0" w:color="auto"/>
              <w:right w:val="single" w:sz="4" w:space="0" w:color="auto"/>
            </w:tcBorders>
            <w:shd w:val="clear" w:color="auto" w:fill="auto"/>
            <w:noWrap/>
            <w:vAlign w:val="bottom"/>
            <w:hideMark/>
          </w:tcPr>
          <w:p w14:paraId="56FCFAEB" w14:textId="5C9BAD8B"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4.858.210</w:t>
            </w:r>
          </w:p>
        </w:tc>
        <w:tc>
          <w:tcPr>
            <w:tcW w:w="1341" w:type="dxa"/>
            <w:tcBorders>
              <w:top w:val="nil"/>
              <w:left w:val="nil"/>
              <w:bottom w:val="single" w:sz="4" w:space="0" w:color="auto"/>
              <w:right w:val="single" w:sz="4" w:space="0" w:color="auto"/>
            </w:tcBorders>
            <w:shd w:val="clear" w:color="auto" w:fill="auto"/>
            <w:noWrap/>
            <w:vAlign w:val="bottom"/>
            <w:hideMark/>
          </w:tcPr>
          <w:p w14:paraId="4232F1E5" w14:textId="6278B555"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3.797.520</w:t>
            </w:r>
          </w:p>
        </w:tc>
        <w:tc>
          <w:tcPr>
            <w:tcW w:w="1315" w:type="dxa"/>
            <w:tcBorders>
              <w:top w:val="nil"/>
              <w:left w:val="nil"/>
              <w:bottom w:val="single" w:sz="4" w:space="0" w:color="auto"/>
              <w:right w:val="single" w:sz="4" w:space="0" w:color="auto"/>
            </w:tcBorders>
            <w:shd w:val="clear" w:color="auto" w:fill="auto"/>
            <w:noWrap/>
            <w:vAlign w:val="bottom"/>
            <w:hideMark/>
          </w:tcPr>
          <w:p w14:paraId="3776C6F1" w14:textId="3AAD62FC"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-1.060.690</w:t>
            </w:r>
          </w:p>
        </w:tc>
        <w:tc>
          <w:tcPr>
            <w:tcW w:w="1328" w:type="dxa"/>
            <w:tcBorders>
              <w:top w:val="nil"/>
              <w:left w:val="nil"/>
              <w:bottom w:val="single" w:sz="4" w:space="0" w:color="auto"/>
              <w:right w:val="single" w:sz="4" w:space="0" w:color="auto"/>
            </w:tcBorders>
            <w:shd w:val="clear" w:color="auto" w:fill="auto"/>
            <w:noWrap/>
            <w:vAlign w:val="bottom"/>
            <w:hideMark/>
          </w:tcPr>
          <w:p w14:paraId="62BAE2D7"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-3,8%</w:t>
            </w:r>
          </w:p>
        </w:tc>
      </w:tr>
      <w:tr w:rsidR="00FE551F" w:rsidRPr="00FE551F" w14:paraId="5DF9E339"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4A2F6C1B"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2015</w:t>
            </w:r>
          </w:p>
        </w:tc>
        <w:tc>
          <w:tcPr>
            <w:tcW w:w="2048" w:type="dxa"/>
            <w:tcBorders>
              <w:top w:val="nil"/>
              <w:left w:val="nil"/>
              <w:bottom w:val="single" w:sz="4" w:space="0" w:color="auto"/>
              <w:right w:val="single" w:sz="4" w:space="0" w:color="auto"/>
            </w:tcBorders>
            <w:shd w:val="clear" w:color="auto" w:fill="auto"/>
            <w:noWrap/>
            <w:vAlign w:val="bottom"/>
            <w:hideMark/>
          </w:tcPr>
          <w:p w14:paraId="18532FA9" w14:textId="25FFC65F"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5.314.424</w:t>
            </w:r>
          </w:p>
        </w:tc>
        <w:tc>
          <w:tcPr>
            <w:tcW w:w="1341" w:type="dxa"/>
            <w:tcBorders>
              <w:top w:val="nil"/>
              <w:left w:val="nil"/>
              <w:bottom w:val="single" w:sz="4" w:space="0" w:color="auto"/>
              <w:right w:val="single" w:sz="4" w:space="0" w:color="auto"/>
            </w:tcBorders>
            <w:shd w:val="clear" w:color="auto" w:fill="auto"/>
            <w:noWrap/>
            <w:vAlign w:val="bottom"/>
            <w:hideMark/>
          </w:tcPr>
          <w:p w14:paraId="4A5836CB" w14:textId="062DD23A"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4.180.153</w:t>
            </w:r>
          </w:p>
        </w:tc>
        <w:tc>
          <w:tcPr>
            <w:tcW w:w="1315" w:type="dxa"/>
            <w:tcBorders>
              <w:top w:val="nil"/>
              <w:left w:val="nil"/>
              <w:bottom w:val="single" w:sz="4" w:space="0" w:color="auto"/>
              <w:right w:val="single" w:sz="4" w:space="0" w:color="auto"/>
            </w:tcBorders>
            <w:shd w:val="clear" w:color="auto" w:fill="auto"/>
            <w:noWrap/>
            <w:vAlign w:val="bottom"/>
            <w:hideMark/>
          </w:tcPr>
          <w:p w14:paraId="353ADFC4" w14:textId="238E209F"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-1.134.270</w:t>
            </w:r>
          </w:p>
        </w:tc>
        <w:tc>
          <w:tcPr>
            <w:tcW w:w="1328" w:type="dxa"/>
            <w:tcBorders>
              <w:top w:val="nil"/>
              <w:left w:val="nil"/>
              <w:bottom w:val="single" w:sz="4" w:space="0" w:color="auto"/>
              <w:right w:val="single" w:sz="4" w:space="0" w:color="auto"/>
            </w:tcBorders>
            <w:shd w:val="clear" w:color="auto" w:fill="auto"/>
            <w:noWrap/>
            <w:vAlign w:val="bottom"/>
            <w:hideMark/>
          </w:tcPr>
          <w:p w14:paraId="2EA729C3"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-3,8%</w:t>
            </w:r>
          </w:p>
        </w:tc>
      </w:tr>
      <w:tr w:rsidR="00FE551F" w:rsidRPr="00FE551F" w14:paraId="06BEAE26"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568EE330"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2016</w:t>
            </w:r>
          </w:p>
        </w:tc>
        <w:tc>
          <w:tcPr>
            <w:tcW w:w="2048" w:type="dxa"/>
            <w:tcBorders>
              <w:top w:val="nil"/>
              <w:left w:val="nil"/>
              <w:bottom w:val="single" w:sz="4" w:space="0" w:color="auto"/>
              <w:right w:val="single" w:sz="4" w:space="0" w:color="auto"/>
            </w:tcBorders>
            <w:shd w:val="clear" w:color="auto" w:fill="auto"/>
            <w:noWrap/>
            <w:vAlign w:val="bottom"/>
            <w:hideMark/>
          </w:tcPr>
          <w:p w14:paraId="42AE8E57" w14:textId="66C15206"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5.622.216</w:t>
            </w:r>
          </w:p>
        </w:tc>
        <w:tc>
          <w:tcPr>
            <w:tcW w:w="1341" w:type="dxa"/>
            <w:tcBorders>
              <w:top w:val="nil"/>
              <w:left w:val="nil"/>
              <w:bottom w:val="single" w:sz="4" w:space="0" w:color="auto"/>
              <w:right w:val="single" w:sz="4" w:space="0" w:color="auto"/>
            </w:tcBorders>
            <w:shd w:val="clear" w:color="auto" w:fill="auto"/>
            <w:noWrap/>
            <w:vAlign w:val="bottom"/>
            <w:hideMark/>
          </w:tcPr>
          <w:p w14:paraId="3D977AA5" w14:textId="2F3149C9"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4.561.223</w:t>
            </w:r>
          </w:p>
        </w:tc>
        <w:tc>
          <w:tcPr>
            <w:tcW w:w="1315" w:type="dxa"/>
            <w:tcBorders>
              <w:top w:val="nil"/>
              <w:left w:val="nil"/>
              <w:bottom w:val="single" w:sz="4" w:space="0" w:color="auto"/>
              <w:right w:val="single" w:sz="4" w:space="0" w:color="auto"/>
            </w:tcBorders>
            <w:shd w:val="clear" w:color="auto" w:fill="auto"/>
            <w:noWrap/>
            <w:vAlign w:val="bottom"/>
            <w:hideMark/>
          </w:tcPr>
          <w:p w14:paraId="7748DA03" w14:textId="62083AF1"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-1.060.993</w:t>
            </w:r>
          </w:p>
        </w:tc>
        <w:tc>
          <w:tcPr>
            <w:tcW w:w="1328" w:type="dxa"/>
            <w:tcBorders>
              <w:top w:val="nil"/>
              <w:left w:val="nil"/>
              <w:bottom w:val="single" w:sz="4" w:space="0" w:color="auto"/>
              <w:right w:val="single" w:sz="4" w:space="0" w:color="auto"/>
            </w:tcBorders>
            <w:shd w:val="clear" w:color="auto" w:fill="auto"/>
            <w:noWrap/>
            <w:vAlign w:val="bottom"/>
            <w:hideMark/>
          </w:tcPr>
          <w:p w14:paraId="40E0AFA2"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-3,3%</w:t>
            </w:r>
          </w:p>
        </w:tc>
      </w:tr>
      <w:tr w:rsidR="00FE551F" w:rsidRPr="00FE551F" w14:paraId="1967D91B"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5C2BA88B"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2017</w:t>
            </w:r>
          </w:p>
        </w:tc>
        <w:tc>
          <w:tcPr>
            <w:tcW w:w="2048" w:type="dxa"/>
            <w:tcBorders>
              <w:top w:val="nil"/>
              <w:left w:val="nil"/>
              <w:bottom w:val="single" w:sz="4" w:space="0" w:color="auto"/>
              <w:right w:val="single" w:sz="4" w:space="0" w:color="auto"/>
            </w:tcBorders>
            <w:shd w:val="clear" w:color="auto" w:fill="auto"/>
            <w:noWrap/>
            <w:vAlign w:val="bottom"/>
            <w:hideMark/>
          </w:tcPr>
          <w:p w14:paraId="11EDB3F1" w14:textId="4A2BF0F9"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6.111.089</w:t>
            </w:r>
          </w:p>
        </w:tc>
        <w:tc>
          <w:tcPr>
            <w:tcW w:w="1341" w:type="dxa"/>
            <w:tcBorders>
              <w:top w:val="nil"/>
              <w:left w:val="nil"/>
              <w:bottom w:val="single" w:sz="4" w:space="0" w:color="auto"/>
              <w:right w:val="single" w:sz="4" w:space="0" w:color="auto"/>
            </w:tcBorders>
            <w:shd w:val="clear" w:color="auto" w:fill="auto"/>
            <w:noWrap/>
            <w:vAlign w:val="bottom"/>
            <w:hideMark/>
          </w:tcPr>
          <w:p w14:paraId="671CD70D" w14:textId="4D93A5BC"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4.738.744</w:t>
            </w:r>
          </w:p>
        </w:tc>
        <w:tc>
          <w:tcPr>
            <w:tcW w:w="1315" w:type="dxa"/>
            <w:tcBorders>
              <w:top w:val="nil"/>
              <w:left w:val="nil"/>
              <w:bottom w:val="single" w:sz="4" w:space="0" w:color="auto"/>
              <w:right w:val="single" w:sz="4" w:space="0" w:color="auto"/>
            </w:tcBorders>
            <w:shd w:val="clear" w:color="auto" w:fill="auto"/>
            <w:noWrap/>
            <w:vAlign w:val="bottom"/>
            <w:hideMark/>
          </w:tcPr>
          <w:p w14:paraId="5872F7E5" w14:textId="186CE3E6"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-1.372.345</w:t>
            </w:r>
          </w:p>
        </w:tc>
        <w:tc>
          <w:tcPr>
            <w:tcW w:w="1328" w:type="dxa"/>
            <w:tcBorders>
              <w:top w:val="nil"/>
              <w:left w:val="nil"/>
              <w:bottom w:val="single" w:sz="4" w:space="0" w:color="auto"/>
              <w:right w:val="single" w:sz="4" w:space="0" w:color="auto"/>
            </w:tcBorders>
            <w:shd w:val="clear" w:color="auto" w:fill="auto"/>
            <w:noWrap/>
            <w:vAlign w:val="bottom"/>
            <w:hideMark/>
          </w:tcPr>
          <w:p w14:paraId="4D9CF4CA"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-4,0%</w:t>
            </w:r>
          </w:p>
        </w:tc>
      </w:tr>
      <w:tr w:rsidR="00FE551F" w:rsidRPr="00FE551F" w14:paraId="31DB95EA"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40008D9E"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2018</w:t>
            </w:r>
          </w:p>
        </w:tc>
        <w:tc>
          <w:tcPr>
            <w:tcW w:w="2048" w:type="dxa"/>
            <w:tcBorders>
              <w:top w:val="nil"/>
              <w:left w:val="nil"/>
              <w:bottom w:val="single" w:sz="4" w:space="0" w:color="auto"/>
              <w:right w:val="single" w:sz="4" w:space="0" w:color="auto"/>
            </w:tcBorders>
            <w:shd w:val="clear" w:color="auto" w:fill="auto"/>
            <w:noWrap/>
            <w:vAlign w:val="bottom"/>
            <w:hideMark/>
          </w:tcPr>
          <w:p w14:paraId="7045B1B3" w14:textId="63C867AD"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6.512.771</w:t>
            </w:r>
          </w:p>
        </w:tc>
        <w:tc>
          <w:tcPr>
            <w:tcW w:w="1341" w:type="dxa"/>
            <w:tcBorders>
              <w:top w:val="nil"/>
              <w:left w:val="nil"/>
              <w:bottom w:val="single" w:sz="4" w:space="0" w:color="auto"/>
              <w:right w:val="single" w:sz="4" w:space="0" w:color="auto"/>
            </w:tcBorders>
            <w:shd w:val="clear" w:color="auto" w:fill="auto"/>
            <w:noWrap/>
            <w:vAlign w:val="bottom"/>
            <w:hideMark/>
          </w:tcPr>
          <w:p w14:paraId="3CBF0EEC" w14:textId="64B4D359"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4.925.246</w:t>
            </w:r>
          </w:p>
        </w:tc>
        <w:tc>
          <w:tcPr>
            <w:tcW w:w="1315" w:type="dxa"/>
            <w:tcBorders>
              <w:top w:val="nil"/>
              <w:left w:val="nil"/>
              <w:bottom w:val="single" w:sz="4" w:space="0" w:color="auto"/>
              <w:right w:val="single" w:sz="4" w:space="0" w:color="auto"/>
            </w:tcBorders>
            <w:shd w:val="clear" w:color="auto" w:fill="auto"/>
            <w:noWrap/>
            <w:vAlign w:val="bottom"/>
            <w:hideMark/>
          </w:tcPr>
          <w:p w14:paraId="08AC46FC" w14:textId="5A1628B5"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-1.587.525</w:t>
            </w:r>
          </w:p>
        </w:tc>
        <w:tc>
          <w:tcPr>
            <w:tcW w:w="1328" w:type="dxa"/>
            <w:tcBorders>
              <w:top w:val="nil"/>
              <w:left w:val="nil"/>
              <w:bottom w:val="single" w:sz="4" w:space="0" w:color="auto"/>
              <w:right w:val="single" w:sz="4" w:space="0" w:color="auto"/>
            </w:tcBorders>
            <w:shd w:val="clear" w:color="auto" w:fill="auto"/>
            <w:noWrap/>
            <w:vAlign w:val="bottom"/>
            <w:hideMark/>
          </w:tcPr>
          <w:p w14:paraId="542BDD74"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-4,4%</w:t>
            </w:r>
          </w:p>
        </w:tc>
      </w:tr>
      <w:tr w:rsidR="00FE551F" w:rsidRPr="00FE551F" w14:paraId="290797AB"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501305A1"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2019</w:t>
            </w:r>
          </w:p>
        </w:tc>
        <w:tc>
          <w:tcPr>
            <w:tcW w:w="2048" w:type="dxa"/>
            <w:tcBorders>
              <w:top w:val="nil"/>
              <w:left w:val="nil"/>
              <w:bottom w:val="single" w:sz="4" w:space="0" w:color="auto"/>
              <w:right w:val="single" w:sz="4" w:space="0" w:color="auto"/>
            </w:tcBorders>
            <w:shd w:val="clear" w:color="auto" w:fill="auto"/>
            <w:noWrap/>
            <w:vAlign w:val="bottom"/>
            <w:hideMark/>
          </w:tcPr>
          <w:p w14:paraId="04CBC03E" w14:textId="3366AD10"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7.126.144</w:t>
            </w:r>
          </w:p>
        </w:tc>
        <w:tc>
          <w:tcPr>
            <w:tcW w:w="1341" w:type="dxa"/>
            <w:tcBorders>
              <w:top w:val="nil"/>
              <w:left w:val="nil"/>
              <w:bottom w:val="single" w:sz="4" w:space="0" w:color="auto"/>
              <w:right w:val="single" w:sz="4" w:space="0" w:color="auto"/>
            </w:tcBorders>
            <w:shd w:val="clear" w:color="auto" w:fill="auto"/>
            <w:noWrap/>
            <w:vAlign w:val="bottom"/>
            <w:hideMark/>
          </w:tcPr>
          <w:p w14:paraId="179ABA55" w14:textId="3E4EF898"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5.262.601</w:t>
            </w:r>
          </w:p>
        </w:tc>
        <w:tc>
          <w:tcPr>
            <w:tcW w:w="1315" w:type="dxa"/>
            <w:tcBorders>
              <w:top w:val="nil"/>
              <w:left w:val="nil"/>
              <w:bottom w:val="single" w:sz="4" w:space="0" w:color="auto"/>
              <w:right w:val="single" w:sz="4" w:space="0" w:color="auto"/>
            </w:tcBorders>
            <w:shd w:val="clear" w:color="auto" w:fill="auto"/>
            <w:noWrap/>
            <w:vAlign w:val="bottom"/>
            <w:hideMark/>
          </w:tcPr>
          <w:p w14:paraId="25EAFE03" w14:textId="6D907228"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-1.863.543</w:t>
            </w:r>
          </w:p>
        </w:tc>
        <w:tc>
          <w:tcPr>
            <w:tcW w:w="1328" w:type="dxa"/>
            <w:tcBorders>
              <w:top w:val="nil"/>
              <w:left w:val="nil"/>
              <w:bottom w:val="single" w:sz="4" w:space="0" w:color="auto"/>
              <w:right w:val="single" w:sz="4" w:space="0" w:color="auto"/>
            </w:tcBorders>
            <w:shd w:val="clear" w:color="auto" w:fill="auto"/>
            <w:noWrap/>
            <w:vAlign w:val="bottom"/>
            <w:hideMark/>
          </w:tcPr>
          <w:p w14:paraId="431F763B"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-5,0%</w:t>
            </w:r>
          </w:p>
        </w:tc>
      </w:tr>
      <w:tr w:rsidR="00FE551F" w:rsidRPr="00FE551F" w14:paraId="626AF761" w14:textId="77777777" w:rsidTr="00FE551F">
        <w:trPr>
          <w:trHeight w:val="290"/>
          <w:jc w:val="center"/>
        </w:trPr>
        <w:tc>
          <w:tcPr>
            <w:tcW w:w="752" w:type="dxa"/>
            <w:tcBorders>
              <w:top w:val="nil"/>
              <w:left w:val="single" w:sz="4" w:space="0" w:color="auto"/>
              <w:bottom w:val="single" w:sz="4" w:space="0" w:color="auto"/>
              <w:right w:val="single" w:sz="4" w:space="0" w:color="auto"/>
            </w:tcBorders>
            <w:shd w:val="clear" w:color="auto" w:fill="auto"/>
            <w:noWrap/>
            <w:vAlign w:val="bottom"/>
            <w:hideMark/>
          </w:tcPr>
          <w:p w14:paraId="2352339E"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2020</w:t>
            </w:r>
          </w:p>
        </w:tc>
        <w:tc>
          <w:tcPr>
            <w:tcW w:w="2048" w:type="dxa"/>
            <w:tcBorders>
              <w:top w:val="nil"/>
              <w:left w:val="nil"/>
              <w:bottom w:val="single" w:sz="4" w:space="0" w:color="auto"/>
              <w:right w:val="single" w:sz="4" w:space="0" w:color="auto"/>
            </w:tcBorders>
            <w:shd w:val="clear" w:color="auto" w:fill="auto"/>
            <w:noWrap/>
            <w:vAlign w:val="bottom"/>
            <w:hideMark/>
          </w:tcPr>
          <w:p w14:paraId="23930C97" w14:textId="1F46473E"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7.237.084</w:t>
            </w:r>
          </w:p>
        </w:tc>
        <w:tc>
          <w:tcPr>
            <w:tcW w:w="1341" w:type="dxa"/>
            <w:tcBorders>
              <w:top w:val="nil"/>
              <w:left w:val="nil"/>
              <w:bottom w:val="single" w:sz="4" w:space="0" w:color="auto"/>
              <w:right w:val="single" w:sz="4" w:space="0" w:color="auto"/>
            </w:tcBorders>
            <w:shd w:val="clear" w:color="auto" w:fill="auto"/>
            <w:noWrap/>
            <w:vAlign w:val="bottom"/>
            <w:hideMark/>
          </w:tcPr>
          <w:p w14:paraId="5B56CEAD" w14:textId="56389F3E"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4.694.708</w:t>
            </w:r>
          </w:p>
        </w:tc>
        <w:tc>
          <w:tcPr>
            <w:tcW w:w="1315" w:type="dxa"/>
            <w:tcBorders>
              <w:top w:val="nil"/>
              <w:left w:val="nil"/>
              <w:bottom w:val="single" w:sz="4" w:space="0" w:color="auto"/>
              <w:right w:val="single" w:sz="4" w:space="0" w:color="auto"/>
            </w:tcBorders>
            <w:shd w:val="clear" w:color="auto" w:fill="auto"/>
            <w:noWrap/>
            <w:vAlign w:val="bottom"/>
            <w:hideMark/>
          </w:tcPr>
          <w:p w14:paraId="2C43AA2D" w14:textId="3DC32175" w:rsidR="00FE551F" w:rsidRPr="00FE551F" w:rsidRDefault="00FE551F" w:rsidP="00FE551F">
            <w:pPr>
              <w:spacing w:after="0" w:line="240" w:lineRule="auto"/>
              <w:jc w:val="right"/>
              <w:rPr>
                <w:rFonts w:ascii="Arial" w:eastAsia="Times New Roman" w:hAnsi="Arial" w:cs="Arial"/>
                <w:color w:val="000000"/>
                <w:lang w:eastAsia="es-CR"/>
              </w:rPr>
            </w:pPr>
            <w:r w:rsidRPr="00FE551F">
              <w:rPr>
                <w:rFonts w:ascii="Arial" w:eastAsia="Times New Roman" w:hAnsi="Arial" w:cs="Arial"/>
                <w:color w:val="000000"/>
                <w:lang w:eastAsia="es-CR"/>
              </w:rPr>
              <w:t>-2.542.376</w:t>
            </w:r>
          </w:p>
        </w:tc>
        <w:tc>
          <w:tcPr>
            <w:tcW w:w="1328" w:type="dxa"/>
            <w:tcBorders>
              <w:top w:val="nil"/>
              <w:left w:val="nil"/>
              <w:bottom w:val="single" w:sz="4" w:space="0" w:color="auto"/>
              <w:right w:val="single" w:sz="4" w:space="0" w:color="auto"/>
            </w:tcBorders>
            <w:shd w:val="clear" w:color="auto" w:fill="auto"/>
            <w:noWrap/>
            <w:vAlign w:val="bottom"/>
            <w:hideMark/>
          </w:tcPr>
          <w:p w14:paraId="3AE44655" w14:textId="77777777" w:rsidR="00FE551F" w:rsidRPr="00FE551F" w:rsidRDefault="00FE551F" w:rsidP="00FE551F">
            <w:pPr>
              <w:spacing w:after="0" w:line="240" w:lineRule="auto"/>
              <w:jc w:val="center"/>
              <w:rPr>
                <w:rFonts w:ascii="Arial" w:eastAsia="Times New Roman" w:hAnsi="Arial" w:cs="Arial"/>
                <w:color w:val="000000"/>
                <w:lang w:eastAsia="es-CR"/>
              </w:rPr>
            </w:pPr>
            <w:r w:rsidRPr="00FE551F">
              <w:rPr>
                <w:rFonts w:ascii="Arial" w:eastAsia="Times New Roman" w:hAnsi="Arial" w:cs="Arial"/>
                <w:color w:val="000000"/>
                <w:lang w:eastAsia="es-CR"/>
              </w:rPr>
              <w:t>-7,0%</w:t>
            </w:r>
          </w:p>
        </w:tc>
      </w:tr>
    </w:tbl>
    <w:p w14:paraId="0570A741" w14:textId="64AC2F6D" w:rsidR="00FE551F" w:rsidRPr="00FE551F" w:rsidRDefault="00FE551F" w:rsidP="00FE551F">
      <w:pPr>
        <w:spacing w:line="276" w:lineRule="auto"/>
        <w:ind w:left="993" w:right="1041"/>
        <w:jc w:val="both"/>
        <w:rPr>
          <w:rFonts w:ascii="Arial" w:eastAsia="Calibri" w:hAnsi="Arial" w:cs="Arial"/>
          <w:b/>
          <w:bCs/>
          <w:sz w:val="16"/>
          <w:szCs w:val="16"/>
        </w:rPr>
      </w:pPr>
      <w:r w:rsidRPr="00FE551F">
        <w:rPr>
          <w:rFonts w:ascii="Arial" w:eastAsia="Calibri" w:hAnsi="Arial" w:cs="Arial"/>
          <w:b/>
          <w:bCs/>
          <w:sz w:val="16"/>
          <w:szCs w:val="16"/>
        </w:rPr>
        <w:t>Fuente: Elaboración propia con base en datos del Ministerio de Hacienda. www.hacienda.go.cr</w:t>
      </w:r>
    </w:p>
    <w:p w14:paraId="4580F538" w14:textId="77777777" w:rsidR="00EF1167"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Este principio representa la sostenibilidad y salud de las finanzas </w:t>
      </w:r>
      <w:r w:rsidR="004C532B">
        <w:rPr>
          <w:rFonts w:ascii="Arial" w:eastAsia="Calibri" w:hAnsi="Arial" w:cs="Arial"/>
          <w:sz w:val="24"/>
          <w:szCs w:val="24"/>
        </w:rPr>
        <w:t>públicas</w:t>
      </w:r>
      <w:r>
        <w:rPr>
          <w:rFonts w:ascii="Arial" w:eastAsia="Calibri" w:hAnsi="Arial" w:cs="Arial"/>
          <w:sz w:val="24"/>
          <w:szCs w:val="24"/>
        </w:rPr>
        <w:t xml:space="preserve"> a largo plazo, en el tanto al ser los gastos corrientes erogaciones no recuperables </w:t>
      </w:r>
      <w:r w:rsidRPr="00FC5D75">
        <w:rPr>
          <w:rFonts w:ascii="Arial" w:eastAsia="Calibri" w:hAnsi="Arial" w:cs="Arial"/>
          <w:sz w:val="24"/>
          <w:szCs w:val="24"/>
        </w:rPr>
        <w:t>que</w:t>
      </w:r>
      <w:r>
        <w:rPr>
          <w:rFonts w:ascii="Arial" w:eastAsia="Calibri" w:hAnsi="Arial" w:cs="Arial"/>
          <w:sz w:val="24"/>
          <w:szCs w:val="24"/>
        </w:rPr>
        <w:t xml:space="preserve">, </w:t>
      </w:r>
      <w:r w:rsidRPr="00FC5D75">
        <w:rPr>
          <w:rFonts w:ascii="Arial" w:eastAsia="Calibri" w:hAnsi="Arial" w:cs="Arial"/>
          <w:sz w:val="24"/>
          <w:szCs w:val="24"/>
        </w:rPr>
        <w:t>no incrementan la cantidad de capital de la economía ni la capacidad productiva de ésta, estos no deberían ser financiados con recursos provenientes de endeudamiento, pues dicha práctica compromete los ingresos de las próximas generaciones y limita la disponibilidad de recursos para financiar los gastos de inversión; que por su naturaleza son vitales para propiciar el crecimiento económico.</w:t>
      </w:r>
    </w:p>
    <w:p w14:paraId="2D52639A" w14:textId="77777777" w:rsidR="0070494B" w:rsidRDefault="0070494B">
      <w:pPr>
        <w:rPr>
          <w:rFonts w:ascii="Arial" w:eastAsia="Arial" w:hAnsi="Arial" w:cs="Arial"/>
          <w:b/>
          <w:color w:val="000000"/>
          <w:sz w:val="24"/>
          <w:szCs w:val="24"/>
          <w:u w:val="single"/>
          <w:lang w:val="es-ES" w:eastAsia="zh-CN" w:bidi="hi-IN"/>
        </w:rPr>
      </w:pPr>
      <w:r>
        <w:br w:type="page"/>
      </w:r>
    </w:p>
    <w:p w14:paraId="7F4C34D7" w14:textId="6E28C675" w:rsidR="00EF1167" w:rsidRDefault="00EF1167" w:rsidP="007F36BB">
      <w:pPr>
        <w:pStyle w:val="Ttulo2"/>
      </w:pPr>
      <w:bookmarkStart w:id="25" w:name="_Toc78277722"/>
      <w:r w:rsidRPr="002447EE">
        <w:t>Principio de Anualidad</w:t>
      </w:r>
      <w:bookmarkEnd w:id="25"/>
      <w:r w:rsidRPr="002447EE">
        <w:t xml:space="preserve"> </w:t>
      </w:r>
    </w:p>
    <w:p w14:paraId="29941198" w14:textId="034B0DC1" w:rsidR="00EF1167" w:rsidRPr="00E546A5" w:rsidRDefault="00EF1167" w:rsidP="00CA18C3">
      <w:pPr>
        <w:spacing w:line="276" w:lineRule="auto"/>
        <w:jc w:val="both"/>
        <w:rPr>
          <w:rFonts w:ascii="Arial" w:eastAsia="Calibri" w:hAnsi="Arial" w:cs="Arial"/>
          <w:sz w:val="24"/>
          <w:szCs w:val="24"/>
        </w:rPr>
      </w:pPr>
      <w:r w:rsidRPr="00E546A5">
        <w:rPr>
          <w:rFonts w:ascii="Arial" w:eastAsia="Calibri" w:hAnsi="Arial" w:cs="Arial"/>
          <w:sz w:val="24"/>
          <w:szCs w:val="24"/>
        </w:rPr>
        <w:t>Para el análisis del cumplimiento o no de este principio presupuestario la Contraloría General de la República realiza un enfoque desde el cambio de destino a partidas presupuestarias de gasto</w:t>
      </w:r>
      <w:r>
        <w:rPr>
          <w:rFonts w:ascii="Arial" w:eastAsia="Calibri" w:hAnsi="Arial" w:cs="Arial"/>
          <w:sz w:val="24"/>
          <w:szCs w:val="24"/>
        </w:rPr>
        <w:t xml:space="preserve"> provenientes de los Gobiernos Locales y el CONAVI</w:t>
      </w:r>
      <w:r w:rsidRPr="00E546A5">
        <w:rPr>
          <w:rFonts w:ascii="Arial" w:eastAsia="Calibri" w:hAnsi="Arial" w:cs="Arial"/>
          <w:sz w:val="24"/>
          <w:szCs w:val="24"/>
        </w:rPr>
        <w:t>.</w:t>
      </w:r>
    </w:p>
    <w:p w14:paraId="3073C6DE" w14:textId="3552DA6D" w:rsidR="00EF1167" w:rsidRDefault="00EF1167" w:rsidP="00CA18C3">
      <w:pPr>
        <w:spacing w:line="276" w:lineRule="auto"/>
        <w:jc w:val="both"/>
        <w:rPr>
          <w:rFonts w:ascii="Arial" w:eastAsia="Calibri" w:hAnsi="Arial" w:cs="Arial"/>
          <w:sz w:val="24"/>
          <w:szCs w:val="24"/>
        </w:rPr>
      </w:pPr>
      <w:r w:rsidRPr="00E546A5">
        <w:rPr>
          <w:rFonts w:ascii="Arial" w:eastAsia="Calibri" w:hAnsi="Arial" w:cs="Arial"/>
          <w:sz w:val="24"/>
          <w:szCs w:val="24"/>
        </w:rPr>
        <w:t xml:space="preserve">No deja de ser importante citar </w:t>
      </w:r>
      <w:r w:rsidR="00633532">
        <w:rPr>
          <w:rFonts w:ascii="Arial" w:eastAsia="Calibri" w:hAnsi="Arial" w:cs="Arial"/>
          <w:sz w:val="24"/>
          <w:szCs w:val="24"/>
        </w:rPr>
        <w:t xml:space="preserve">lo </w:t>
      </w:r>
      <w:r w:rsidRPr="00E546A5">
        <w:rPr>
          <w:rFonts w:ascii="Arial" w:eastAsia="Calibri" w:hAnsi="Arial" w:cs="Arial"/>
          <w:sz w:val="24"/>
          <w:szCs w:val="24"/>
        </w:rPr>
        <w:t xml:space="preserve">que establece la norma que contiene el Principio de Anualidad, establecido en el inciso d del artículo 5, que ordena lo siguiente: </w:t>
      </w:r>
      <w:r w:rsidRPr="00633532">
        <w:rPr>
          <w:rFonts w:ascii="Arial" w:eastAsia="Calibri" w:hAnsi="Arial" w:cs="Arial"/>
          <w:i/>
          <w:iCs/>
          <w:sz w:val="24"/>
          <w:szCs w:val="24"/>
        </w:rPr>
        <w:t>“el presupuesto regirá durante cada ejercicio económico que irá del 1° de enero al 31 de diciembre”</w:t>
      </w:r>
      <w:r w:rsidR="00DE7691">
        <w:rPr>
          <w:rFonts w:ascii="Arial" w:eastAsia="Calibri" w:hAnsi="Arial" w:cs="Arial"/>
          <w:sz w:val="24"/>
          <w:szCs w:val="24"/>
        </w:rPr>
        <w:t xml:space="preserve">, pero además, la reciente reforma constitucional propuesta por la propia Contraloría General de la República para implementar el concepto de </w:t>
      </w:r>
      <w:r w:rsidR="00CF6B19">
        <w:rPr>
          <w:rFonts w:ascii="Arial" w:eastAsia="Calibri" w:hAnsi="Arial" w:cs="Arial"/>
          <w:sz w:val="24"/>
          <w:szCs w:val="24"/>
        </w:rPr>
        <w:t xml:space="preserve">Presupuestos Plurianuales, que sin romper con el principio de anualidad, lo redefine en virtud de que se considera al Presupuesto </w:t>
      </w:r>
      <w:r w:rsidR="00177586">
        <w:rPr>
          <w:rFonts w:ascii="Arial" w:eastAsia="Calibri" w:hAnsi="Arial" w:cs="Arial"/>
          <w:sz w:val="24"/>
          <w:szCs w:val="24"/>
        </w:rPr>
        <w:t>A</w:t>
      </w:r>
      <w:r w:rsidR="00CF6B19">
        <w:rPr>
          <w:rFonts w:ascii="Arial" w:eastAsia="Calibri" w:hAnsi="Arial" w:cs="Arial"/>
          <w:sz w:val="24"/>
          <w:szCs w:val="24"/>
        </w:rPr>
        <w:t xml:space="preserve">nual como un instrumento de validación, pero al Presupuesto </w:t>
      </w:r>
      <w:r w:rsidR="00177586">
        <w:rPr>
          <w:rFonts w:ascii="Arial" w:eastAsia="Calibri" w:hAnsi="Arial" w:cs="Arial"/>
          <w:sz w:val="24"/>
          <w:szCs w:val="24"/>
        </w:rPr>
        <w:t xml:space="preserve">en general, </w:t>
      </w:r>
      <w:r w:rsidR="00CF6B19">
        <w:rPr>
          <w:rFonts w:ascii="Arial" w:eastAsia="Calibri" w:hAnsi="Arial" w:cs="Arial"/>
          <w:sz w:val="24"/>
          <w:szCs w:val="24"/>
        </w:rPr>
        <w:t>como un instrumento de gestión gubernamental que trascienden el año calendario.</w:t>
      </w:r>
    </w:p>
    <w:p w14:paraId="02273DB4" w14:textId="36694713" w:rsidR="00CF6B19" w:rsidRPr="00E546A5" w:rsidRDefault="00CF6B19" w:rsidP="00CA18C3">
      <w:pPr>
        <w:spacing w:line="276" w:lineRule="auto"/>
        <w:jc w:val="both"/>
        <w:rPr>
          <w:rFonts w:ascii="Arial" w:eastAsia="Calibri" w:hAnsi="Arial" w:cs="Arial"/>
          <w:sz w:val="24"/>
          <w:szCs w:val="24"/>
        </w:rPr>
      </w:pPr>
      <w:r>
        <w:rPr>
          <w:rFonts w:ascii="Arial" w:eastAsia="Calibri" w:hAnsi="Arial" w:cs="Arial"/>
          <w:sz w:val="24"/>
          <w:szCs w:val="24"/>
        </w:rPr>
        <w:t>La claridad de esta reforma en la legislación ordinaria está aún pendiente de su regulación efectiva, pero debe permitir regular de una forma más cercana a la realidad, la gestión presupuestaria, para permitir un vínculo más claro sobre la gestión de la política pública, en virtud de que dicha política no nace, se desarrolla y se extingue en un año calendario, y por ende los recursos tampoco deben tener ese carácter, excepto para su control y ajuste.</w:t>
      </w:r>
    </w:p>
    <w:p w14:paraId="64A0F389" w14:textId="58A48831" w:rsidR="00EF1167" w:rsidRDefault="00EF1167" w:rsidP="00CA18C3">
      <w:pPr>
        <w:spacing w:line="276" w:lineRule="auto"/>
        <w:jc w:val="both"/>
        <w:rPr>
          <w:rFonts w:ascii="Arial" w:eastAsia="Calibri" w:hAnsi="Arial" w:cs="Arial"/>
          <w:sz w:val="24"/>
          <w:szCs w:val="24"/>
        </w:rPr>
      </w:pPr>
      <w:r w:rsidRPr="00325874">
        <w:rPr>
          <w:rFonts w:ascii="Arial" w:eastAsia="Calibri" w:hAnsi="Arial" w:cs="Arial"/>
          <w:sz w:val="24"/>
          <w:szCs w:val="24"/>
        </w:rPr>
        <w:t>Para el periodo presupuestario 2020, se autorizaron en total 210 modificaciones presupuestarias por ¢24.156 millones (94 modificaciones por ¢1.155 millones en el periodo 2019), por medio de la Ley de Presupuesto de la República y sus modificaciones, de los cuales ¢826 millones corresponden a Gobiernos Locales y 59 ¢23.330 millones al Consejo Nacional de Vialidad (CONAVI), con cambios de destino de partidas presupuestarias previamente giradas en períodos anteriores a diversas Municipalidades y al CONAVI, con el fin de utilizar los recursos o los saldos existentes para otros fines a los encomendados cuando inicialmente les fueron transferidos.</w:t>
      </w:r>
    </w:p>
    <w:p w14:paraId="77CF8DFF" w14:textId="186C9EE2" w:rsidR="006E1AB5" w:rsidRDefault="006E1AB5"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Las modificaciones de otros periodos presupuestarios, debe buscar el uso eficiente de los escasos recursos del Estado y sus Instituciones. No </w:t>
      </w:r>
      <w:r w:rsidR="00536F72">
        <w:rPr>
          <w:rFonts w:ascii="Arial" w:eastAsia="Calibri" w:hAnsi="Arial" w:cs="Arial"/>
          <w:sz w:val="24"/>
          <w:szCs w:val="24"/>
        </w:rPr>
        <w:t xml:space="preserve">es </w:t>
      </w:r>
      <w:r>
        <w:rPr>
          <w:rFonts w:ascii="Arial" w:eastAsia="Calibri" w:hAnsi="Arial" w:cs="Arial"/>
          <w:sz w:val="24"/>
          <w:szCs w:val="24"/>
        </w:rPr>
        <w:t xml:space="preserve">aceptable que un país con recursos </w:t>
      </w:r>
      <w:r w:rsidR="007668AD">
        <w:rPr>
          <w:rFonts w:ascii="Arial" w:eastAsia="Calibri" w:hAnsi="Arial" w:cs="Arial"/>
          <w:sz w:val="24"/>
          <w:szCs w:val="24"/>
        </w:rPr>
        <w:t>limitados</w:t>
      </w:r>
      <w:r>
        <w:rPr>
          <w:rFonts w:ascii="Arial" w:eastAsia="Calibri" w:hAnsi="Arial" w:cs="Arial"/>
          <w:sz w:val="24"/>
          <w:szCs w:val="24"/>
        </w:rPr>
        <w:t xml:space="preserve"> no canalice los recursos ociosos, sin asignación o </w:t>
      </w:r>
      <w:r w:rsidR="0096798D">
        <w:rPr>
          <w:rFonts w:ascii="Arial" w:eastAsia="Calibri" w:hAnsi="Arial" w:cs="Arial"/>
          <w:sz w:val="24"/>
          <w:szCs w:val="24"/>
        </w:rPr>
        <w:t>con</w:t>
      </w:r>
      <w:r>
        <w:rPr>
          <w:rFonts w:ascii="Arial" w:eastAsia="Calibri" w:hAnsi="Arial" w:cs="Arial"/>
          <w:sz w:val="24"/>
          <w:szCs w:val="24"/>
        </w:rPr>
        <w:t xml:space="preserve"> remanentes de otros proyectos, a otras actividades que se consideren claves. El control y la fiscalización </w:t>
      </w:r>
      <w:r w:rsidR="00324A74">
        <w:rPr>
          <w:rFonts w:ascii="Arial" w:eastAsia="Calibri" w:hAnsi="Arial" w:cs="Arial"/>
          <w:sz w:val="24"/>
          <w:szCs w:val="24"/>
        </w:rPr>
        <w:t xml:space="preserve">deben ser parte de la mejora continua de </w:t>
      </w:r>
      <w:r>
        <w:rPr>
          <w:rFonts w:ascii="Arial" w:eastAsia="Calibri" w:hAnsi="Arial" w:cs="Arial"/>
          <w:sz w:val="24"/>
          <w:szCs w:val="24"/>
        </w:rPr>
        <w:t>la gestión institucional.</w:t>
      </w:r>
    </w:p>
    <w:p w14:paraId="229A8C64" w14:textId="1E088B35" w:rsidR="006E1AB5" w:rsidRDefault="006E1AB5" w:rsidP="00CA18C3">
      <w:pPr>
        <w:spacing w:line="276" w:lineRule="auto"/>
        <w:contextualSpacing/>
        <w:jc w:val="both"/>
        <w:rPr>
          <w:rFonts w:ascii="Arial" w:eastAsia="Calibri" w:hAnsi="Arial" w:cs="Arial"/>
          <w:sz w:val="24"/>
          <w:szCs w:val="24"/>
        </w:rPr>
      </w:pPr>
    </w:p>
    <w:p w14:paraId="001E0C89" w14:textId="7ADE0FA9" w:rsidR="002157BD" w:rsidRPr="002157BD" w:rsidRDefault="006E1AB5" w:rsidP="002157BD">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En ese sentido, es indudable que la reforma constitucional del artículo </w:t>
      </w:r>
      <w:r w:rsidR="002157BD" w:rsidRPr="002157BD">
        <w:rPr>
          <w:rFonts w:ascii="Arial" w:eastAsia="Calibri" w:hAnsi="Arial" w:cs="Arial"/>
          <w:sz w:val="24"/>
          <w:szCs w:val="24"/>
        </w:rPr>
        <w:t>176</w:t>
      </w:r>
      <w:r w:rsidR="002157BD">
        <w:rPr>
          <w:rFonts w:ascii="Arial" w:eastAsia="Calibri" w:hAnsi="Arial" w:cs="Arial"/>
          <w:sz w:val="24"/>
          <w:szCs w:val="24"/>
        </w:rPr>
        <w:t xml:space="preserve"> constitucional</w:t>
      </w:r>
      <w:r w:rsidR="00784B31">
        <w:rPr>
          <w:rFonts w:ascii="Arial" w:eastAsia="Calibri" w:hAnsi="Arial" w:cs="Arial"/>
          <w:sz w:val="24"/>
          <w:szCs w:val="24"/>
        </w:rPr>
        <w:t xml:space="preserve"> para darle </w:t>
      </w:r>
      <w:r w:rsidR="002157BD" w:rsidRPr="002157BD">
        <w:rPr>
          <w:rFonts w:ascii="Arial" w:eastAsia="Calibri" w:hAnsi="Arial" w:cs="Arial"/>
          <w:sz w:val="24"/>
          <w:szCs w:val="24"/>
        </w:rPr>
        <w:t>sostenible, transparen</w:t>
      </w:r>
      <w:r w:rsidR="00C45389">
        <w:rPr>
          <w:rFonts w:ascii="Arial" w:eastAsia="Calibri" w:hAnsi="Arial" w:cs="Arial"/>
          <w:sz w:val="24"/>
          <w:szCs w:val="24"/>
        </w:rPr>
        <w:t>cia</w:t>
      </w:r>
      <w:r w:rsidR="002157BD" w:rsidRPr="002157BD">
        <w:rPr>
          <w:rFonts w:ascii="Arial" w:eastAsia="Calibri" w:hAnsi="Arial" w:cs="Arial"/>
          <w:sz w:val="24"/>
          <w:szCs w:val="24"/>
        </w:rPr>
        <w:t xml:space="preserve"> y responsab</w:t>
      </w:r>
      <w:r w:rsidR="00C45389">
        <w:rPr>
          <w:rFonts w:ascii="Arial" w:eastAsia="Calibri" w:hAnsi="Arial" w:cs="Arial"/>
          <w:sz w:val="24"/>
          <w:szCs w:val="24"/>
        </w:rPr>
        <w:t>ilidad</w:t>
      </w:r>
      <w:r w:rsidR="00784B31">
        <w:rPr>
          <w:rFonts w:ascii="Arial" w:eastAsia="Calibri" w:hAnsi="Arial" w:cs="Arial"/>
          <w:sz w:val="24"/>
          <w:szCs w:val="24"/>
        </w:rPr>
        <w:t xml:space="preserve"> al proceso presupuestario en un contexto </w:t>
      </w:r>
      <w:r w:rsidR="002157BD" w:rsidRPr="002157BD">
        <w:rPr>
          <w:rFonts w:ascii="Arial" w:eastAsia="Calibri" w:hAnsi="Arial" w:cs="Arial"/>
          <w:sz w:val="24"/>
          <w:szCs w:val="24"/>
        </w:rPr>
        <w:t>de presupuestación plurianual</w:t>
      </w:r>
      <w:r w:rsidR="00784B31">
        <w:rPr>
          <w:rFonts w:ascii="Arial" w:eastAsia="Calibri" w:hAnsi="Arial" w:cs="Arial"/>
          <w:sz w:val="24"/>
          <w:szCs w:val="24"/>
        </w:rPr>
        <w:t xml:space="preserve">, para darle </w:t>
      </w:r>
      <w:r w:rsidR="000E2CA6" w:rsidRPr="000E2CA6">
        <w:rPr>
          <w:rFonts w:ascii="Arial" w:eastAsia="Calibri" w:hAnsi="Arial" w:cs="Arial"/>
          <w:i/>
          <w:iCs/>
          <w:sz w:val="24"/>
          <w:szCs w:val="24"/>
        </w:rPr>
        <w:t>“</w:t>
      </w:r>
      <w:r w:rsidR="002157BD" w:rsidRPr="000E2CA6">
        <w:rPr>
          <w:rFonts w:ascii="Arial" w:eastAsia="Calibri" w:hAnsi="Arial" w:cs="Arial"/>
          <w:i/>
          <w:iCs/>
          <w:sz w:val="24"/>
          <w:szCs w:val="24"/>
        </w:rPr>
        <w:t>continuidad de los servicios que presta</w:t>
      </w:r>
      <w:r w:rsidR="000E2CA6" w:rsidRPr="000E2CA6">
        <w:rPr>
          <w:rFonts w:ascii="Arial" w:eastAsia="Calibri" w:hAnsi="Arial" w:cs="Arial"/>
          <w:i/>
          <w:iCs/>
          <w:sz w:val="24"/>
          <w:szCs w:val="24"/>
        </w:rPr>
        <w:t>”</w:t>
      </w:r>
      <w:r w:rsidR="000E2CA6">
        <w:rPr>
          <w:rStyle w:val="Refdenotaalpie"/>
          <w:rFonts w:ascii="Arial" w:eastAsia="Calibri" w:hAnsi="Arial" w:cs="Arial"/>
          <w:i/>
          <w:iCs/>
          <w:sz w:val="24"/>
          <w:szCs w:val="24"/>
        </w:rPr>
        <w:footnoteReference w:id="18"/>
      </w:r>
      <w:r w:rsidR="000E2CA6">
        <w:rPr>
          <w:rFonts w:ascii="Arial" w:eastAsia="Calibri" w:hAnsi="Arial" w:cs="Arial"/>
          <w:sz w:val="24"/>
          <w:szCs w:val="24"/>
        </w:rPr>
        <w:t>, está pendiente, pero es necesario migrar hacia una visión de mediano plazo de la gestión institucional.</w:t>
      </w:r>
    </w:p>
    <w:p w14:paraId="3AD6D628" w14:textId="77777777" w:rsidR="008674E8" w:rsidRDefault="008674E8" w:rsidP="00CA18C3">
      <w:pPr>
        <w:spacing w:line="276" w:lineRule="auto"/>
        <w:contextualSpacing/>
        <w:jc w:val="both"/>
        <w:rPr>
          <w:rFonts w:ascii="Arial" w:eastAsia="Calibri" w:hAnsi="Arial" w:cs="Arial"/>
          <w:sz w:val="24"/>
          <w:szCs w:val="24"/>
        </w:rPr>
      </w:pPr>
    </w:p>
    <w:p w14:paraId="7BD6CE84" w14:textId="7B87874F" w:rsidR="00EF1167" w:rsidRDefault="00235DAB"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Aun con esta reforma, para </w:t>
      </w:r>
      <w:r w:rsidR="000B300C">
        <w:rPr>
          <w:rFonts w:ascii="Arial" w:eastAsia="Calibri" w:hAnsi="Arial" w:cs="Arial"/>
          <w:sz w:val="24"/>
          <w:szCs w:val="24"/>
        </w:rPr>
        <w:t>la Contraloría General, e</w:t>
      </w:r>
      <w:r w:rsidR="00EF1167" w:rsidRPr="00175A82">
        <w:rPr>
          <w:rFonts w:ascii="Arial" w:eastAsia="Calibri" w:hAnsi="Arial" w:cs="Arial"/>
          <w:sz w:val="24"/>
          <w:szCs w:val="24"/>
        </w:rPr>
        <w:t>sta práctica resulta ser poco saludable</w:t>
      </w:r>
      <w:r w:rsidR="00134E38">
        <w:rPr>
          <w:rFonts w:ascii="Arial" w:eastAsia="Calibri" w:hAnsi="Arial" w:cs="Arial"/>
          <w:sz w:val="24"/>
          <w:szCs w:val="24"/>
        </w:rPr>
        <w:t xml:space="preserve"> </w:t>
      </w:r>
      <w:r w:rsidR="00EF1167" w:rsidRPr="00175A82">
        <w:rPr>
          <w:rFonts w:ascii="Arial" w:eastAsia="Calibri" w:hAnsi="Arial" w:cs="Arial"/>
          <w:sz w:val="24"/>
          <w:szCs w:val="24"/>
        </w:rPr>
        <w:t>para las finanzas del estado y evidencia la falta de cumplimiento del Principio de Anualidad en el tanto hablamos de recursos pertenecientes a partidas presupuestarias de periodos correspondientes de más de cinco años atrás. Se trata de recursos que no se utilizan en los periodos en que fueron aprobados y asignados o recursos que permanecen sin uso durante mucho tiempo</w:t>
      </w:r>
      <w:r w:rsidR="00EF1167">
        <w:rPr>
          <w:rFonts w:ascii="Arial" w:eastAsia="Calibri" w:hAnsi="Arial" w:cs="Arial"/>
          <w:sz w:val="24"/>
          <w:szCs w:val="24"/>
        </w:rPr>
        <w:t xml:space="preserve"> denota una inadecuada gestión administrativa. </w:t>
      </w:r>
    </w:p>
    <w:p w14:paraId="7ABDA5DF" w14:textId="77777777" w:rsidR="00EF1167" w:rsidRDefault="00EF1167" w:rsidP="00CA18C3">
      <w:pPr>
        <w:spacing w:line="276" w:lineRule="auto"/>
        <w:contextualSpacing/>
        <w:jc w:val="both"/>
        <w:rPr>
          <w:rFonts w:ascii="Arial" w:eastAsia="Calibri" w:hAnsi="Arial" w:cs="Arial"/>
          <w:sz w:val="24"/>
          <w:szCs w:val="24"/>
        </w:rPr>
      </w:pPr>
    </w:p>
    <w:p w14:paraId="58914908" w14:textId="0AA49954"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Sobre este punto es necesario </w:t>
      </w:r>
      <w:r w:rsidRPr="00DE7FBF">
        <w:rPr>
          <w:rFonts w:ascii="Arial" w:eastAsia="Calibri" w:hAnsi="Arial" w:cs="Arial"/>
          <w:sz w:val="24"/>
          <w:szCs w:val="24"/>
        </w:rPr>
        <w:t>un replanteamiento ya que las transferencias que provienen de destinos específicos tienen una incidencia en el déficit fiscal y en el aumento de la deud</w:t>
      </w:r>
      <w:r w:rsidR="00235DAB">
        <w:rPr>
          <w:rFonts w:ascii="Arial" w:eastAsia="Calibri" w:hAnsi="Arial" w:cs="Arial"/>
          <w:sz w:val="24"/>
          <w:szCs w:val="24"/>
        </w:rPr>
        <w:t>a, de ahí la enorme relevancia de operativizar la reforma al artículo 176 de la Constitución Política vigente.</w:t>
      </w:r>
    </w:p>
    <w:p w14:paraId="58AB9CD5" w14:textId="77777777" w:rsidR="00EF1167" w:rsidRDefault="00EF1167" w:rsidP="00CA18C3">
      <w:pPr>
        <w:spacing w:line="276" w:lineRule="auto"/>
        <w:contextualSpacing/>
        <w:jc w:val="both"/>
        <w:rPr>
          <w:rFonts w:ascii="Arial" w:eastAsia="Calibri" w:hAnsi="Arial" w:cs="Arial"/>
          <w:sz w:val="24"/>
          <w:szCs w:val="24"/>
        </w:rPr>
      </w:pPr>
    </w:p>
    <w:p w14:paraId="4AAC8AEB" w14:textId="77777777"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E</w:t>
      </w:r>
      <w:r w:rsidRPr="00DE7FBF">
        <w:rPr>
          <w:rFonts w:ascii="Arial" w:eastAsia="Calibri" w:hAnsi="Arial" w:cs="Arial"/>
          <w:sz w:val="24"/>
          <w:szCs w:val="24"/>
        </w:rPr>
        <w:t xml:space="preserve">s importante rescatar como se vulnera el </w:t>
      </w:r>
      <w:r>
        <w:rPr>
          <w:rFonts w:ascii="Arial" w:eastAsia="Calibri" w:hAnsi="Arial" w:cs="Arial"/>
          <w:sz w:val="24"/>
          <w:szCs w:val="24"/>
        </w:rPr>
        <w:t>principio en análisis</w:t>
      </w:r>
      <w:r w:rsidRPr="00DE7FBF">
        <w:rPr>
          <w:rFonts w:ascii="Arial" w:eastAsia="Calibri" w:hAnsi="Arial" w:cs="Arial"/>
          <w:sz w:val="24"/>
          <w:szCs w:val="24"/>
        </w:rPr>
        <w:t xml:space="preserve"> ya que de aceptarse que este tipo de normas regulen materia presupuestaria se estaría afectando la ejecución de presupuestos cerrados. Criterio que también mantiene la Sala Constitucional, en el Voto N°0121-89 de las once horas del 23 de noviembre de 1989, se ha referido al tema de la constitucionalidad de las normas de ejecución del presupuesto.</w:t>
      </w:r>
    </w:p>
    <w:p w14:paraId="585A36A8" w14:textId="77777777" w:rsidR="00EF1167" w:rsidRDefault="00EF1167" w:rsidP="00CA18C3">
      <w:pPr>
        <w:spacing w:line="276" w:lineRule="auto"/>
        <w:contextualSpacing/>
        <w:jc w:val="both"/>
        <w:rPr>
          <w:rFonts w:ascii="Arial" w:eastAsia="Calibri" w:hAnsi="Arial" w:cs="Arial"/>
          <w:sz w:val="24"/>
          <w:szCs w:val="24"/>
        </w:rPr>
      </w:pPr>
      <w:r w:rsidRPr="00DE7FBF">
        <w:rPr>
          <w:rFonts w:ascii="Arial" w:eastAsia="Calibri" w:hAnsi="Arial" w:cs="Arial"/>
          <w:sz w:val="24"/>
          <w:szCs w:val="24"/>
        </w:rPr>
        <w:t xml:space="preserve"> </w:t>
      </w:r>
    </w:p>
    <w:p w14:paraId="17EFAA58" w14:textId="4BEA5E1F"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Además, </w:t>
      </w:r>
      <w:r w:rsidRPr="00DE7FBF">
        <w:rPr>
          <w:rFonts w:ascii="Arial" w:eastAsia="Calibri" w:hAnsi="Arial" w:cs="Arial"/>
          <w:sz w:val="24"/>
          <w:szCs w:val="24"/>
        </w:rPr>
        <w:t xml:space="preserve">este tipo de prácticas </w:t>
      </w:r>
      <w:r>
        <w:rPr>
          <w:rFonts w:ascii="Arial" w:eastAsia="Calibri" w:hAnsi="Arial" w:cs="Arial"/>
          <w:sz w:val="24"/>
          <w:szCs w:val="24"/>
        </w:rPr>
        <w:t xml:space="preserve">permite </w:t>
      </w:r>
      <w:r w:rsidRPr="00DE7FBF">
        <w:rPr>
          <w:rFonts w:ascii="Arial" w:eastAsia="Calibri" w:hAnsi="Arial" w:cs="Arial"/>
          <w:sz w:val="24"/>
          <w:szCs w:val="24"/>
        </w:rPr>
        <w:t xml:space="preserve">ocultar eventuales debilidades por parte de las instituciones u órganos beneficiarios o de los centros gestores concedentes, en materia de planificación y ejecución de proyectos. </w:t>
      </w:r>
      <w:r>
        <w:rPr>
          <w:rFonts w:ascii="Arial" w:eastAsia="Calibri" w:hAnsi="Arial" w:cs="Arial"/>
          <w:sz w:val="24"/>
          <w:szCs w:val="24"/>
        </w:rPr>
        <w:t xml:space="preserve">En la Memoria Anual del año 2019 </w:t>
      </w:r>
      <w:r w:rsidRPr="00DE7FBF">
        <w:rPr>
          <w:rFonts w:ascii="Arial" w:eastAsia="Calibri" w:hAnsi="Arial" w:cs="Arial"/>
          <w:sz w:val="24"/>
          <w:szCs w:val="24"/>
        </w:rPr>
        <w:t>la Contraloría General de la República</w:t>
      </w:r>
      <w:r>
        <w:rPr>
          <w:rFonts w:ascii="Arial" w:eastAsia="Calibri" w:hAnsi="Arial" w:cs="Arial"/>
          <w:sz w:val="24"/>
          <w:szCs w:val="24"/>
        </w:rPr>
        <w:t xml:space="preserve"> se ha referido sobre este punto</w:t>
      </w:r>
      <w:r w:rsidR="00F241FC">
        <w:rPr>
          <w:rFonts w:ascii="Arial" w:eastAsia="Calibri" w:hAnsi="Arial" w:cs="Arial"/>
          <w:sz w:val="24"/>
          <w:szCs w:val="24"/>
        </w:rPr>
        <w:t>:</w:t>
      </w:r>
      <w:r>
        <w:rPr>
          <w:rFonts w:ascii="Arial" w:eastAsia="Calibri" w:hAnsi="Arial" w:cs="Arial"/>
          <w:sz w:val="24"/>
          <w:szCs w:val="24"/>
        </w:rPr>
        <w:t xml:space="preserve"> </w:t>
      </w:r>
      <w:r w:rsidRPr="00F241FC">
        <w:rPr>
          <w:rFonts w:ascii="Arial" w:eastAsia="Calibri" w:hAnsi="Arial" w:cs="Arial"/>
          <w:i/>
          <w:iCs/>
          <w:sz w:val="24"/>
          <w:szCs w:val="24"/>
        </w:rPr>
        <w:t>“debilidades que en algún momento vendrían a reflejarse en saldos disponibles sin ejecutar por montos de importante magnitud”</w:t>
      </w:r>
      <w:r w:rsidR="00F241FC">
        <w:rPr>
          <w:rFonts w:ascii="Arial" w:eastAsia="Calibri" w:hAnsi="Arial" w:cs="Arial"/>
          <w:i/>
          <w:iCs/>
          <w:sz w:val="24"/>
          <w:szCs w:val="24"/>
        </w:rPr>
        <w:t>.</w:t>
      </w:r>
      <w:r>
        <w:rPr>
          <w:rStyle w:val="Refdenotaalpie"/>
          <w:rFonts w:ascii="Arial" w:eastAsia="Calibri" w:hAnsi="Arial" w:cs="Arial"/>
          <w:sz w:val="24"/>
          <w:szCs w:val="24"/>
        </w:rPr>
        <w:footnoteReference w:id="19"/>
      </w:r>
    </w:p>
    <w:p w14:paraId="5D2AD4FB" w14:textId="77777777" w:rsidR="00EF1167" w:rsidRDefault="00EF1167" w:rsidP="00CA18C3">
      <w:pPr>
        <w:spacing w:line="276" w:lineRule="auto"/>
        <w:contextualSpacing/>
        <w:jc w:val="both"/>
        <w:rPr>
          <w:rFonts w:ascii="Arial" w:eastAsia="Calibri" w:hAnsi="Arial" w:cs="Arial"/>
          <w:sz w:val="24"/>
          <w:szCs w:val="24"/>
        </w:rPr>
      </w:pPr>
    </w:p>
    <w:p w14:paraId="4F398AC2" w14:textId="1738662F" w:rsidR="00EF1167" w:rsidRPr="0008067B" w:rsidRDefault="00EF1167" w:rsidP="00CA18C3">
      <w:pPr>
        <w:spacing w:line="276" w:lineRule="auto"/>
        <w:contextualSpacing/>
        <w:jc w:val="both"/>
        <w:rPr>
          <w:rFonts w:ascii="Arial" w:eastAsia="Calibri" w:hAnsi="Arial" w:cs="Arial"/>
          <w:sz w:val="24"/>
          <w:szCs w:val="24"/>
        </w:rPr>
      </w:pPr>
      <w:r w:rsidRPr="0008067B">
        <w:rPr>
          <w:rFonts w:ascii="Arial" w:eastAsia="Calibri" w:hAnsi="Arial" w:cs="Arial"/>
          <w:sz w:val="24"/>
          <w:szCs w:val="24"/>
        </w:rPr>
        <w:t xml:space="preserve">En síntesis, </w:t>
      </w:r>
      <w:r w:rsidR="00781B19">
        <w:rPr>
          <w:rFonts w:ascii="Arial" w:eastAsia="Calibri" w:hAnsi="Arial" w:cs="Arial"/>
          <w:sz w:val="24"/>
          <w:szCs w:val="24"/>
        </w:rPr>
        <w:t xml:space="preserve">es necesario decir que la </w:t>
      </w:r>
      <w:r w:rsidRPr="0008067B">
        <w:rPr>
          <w:rFonts w:ascii="Arial" w:eastAsia="Calibri" w:hAnsi="Arial" w:cs="Arial"/>
          <w:sz w:val="24"/>
          <w:szCs w:val="24"/>
        </w:rPr>
        <w:t>aprobación de normas presupuestaria</w:t>
      </w:r>
      <w:r w:rsidR="00781B19">
        <w:rPr>
          <w:rFonts w:ascii="Arial" w:eastAsia="Calibri" w:hAnsi="Arial" w:cs="Arial"/>
          <w:sz w:val="24"/>
          <w:szCs w:val="24"/>
        </w:rPr>
        <w:t>s</w:t>
      </w:r>
      <w:r w:rsidRPr="0008067B">
        <w:rPr>
          <w:rFonts w:ascii="Arial" w:eastAsia="Calibri" w:hAnsi="Arial" w:cs="Arial"/>
          <w:sz w:val="24"/>
          <w:szCs w:val="24"/>
        </w:rPr>
        <w:t xml:space="preserve"> en el año 20</w:t>
      </w:r>
      <w:r>
        <w:rPr>
          <w:rFonts w:ascii="Arial" w:eastAsia="Calibri" w:hAnsi="Arial" w:cs="Arial"/>
          <w:sz w:val="24"/>
          <w:szCs w:val="24"/>
        </w:rPr>
        <w:t>20</w:t>
      </w:r>
      <w:r w:rsidRPr="0008067B">
        <w:rPr>
          <w:rFonts w:ascii="Arial" w:eastAsia="Calibri" w:hAnsi="Arial" w:cs="Arial"/>
          <w:sz w:val="24"/>
          <w:szCs w:val="24"/>
        </w:rPr>
        <w:t xml:space="preserve"> que permite el cambio de destino de partidas aprobadas en años anteriores</w:t>
      </w:r>
      <w:r w:rsidR="00A82EBE">
        <w:rPr>
          <w:rFonts w:ascii="Arial" w:eastAsia="Calibri" w:hAnsi="Arial" w:cs="Arial"/>
          <w:sz w:val="24"/>
          <w:szCs w:val="24"/>
        </w:rPr>
        <w:t xml:space="preserve">, si bien transgrede el principio de </w:t>
      </w:r>
      <w:r w:rsidRPr="0008067B">
        <w:rPr>
          <w:rFonts w:ascii="Arial" w:eastAsia="Calibri" w:hAnsi="Arial" w:cs="Arial"/>
          <w:sz w:val="24"/>
          <w:szCs w:val="24"/>
        </w:rPr>
        <w:t>anualidad del Presupuesto de la Republica</w:t>
      </w:r>
      <w:r w:rsidR="00A82EBE">
        <w:rPr>
          <w:rFonts w:ascii="Arial" w:eastAsia="Calibri" w:hAnsi="Arial" w:cs="Arial"/>
          <w:sz w:val="24"/>
          <w:szCs w:val="24"/>
        </w:rPr>
        <w:t>, hace notar que este principio riñe con la realidad institucional, e incluso con el espíritu que alimentó el proceso de elaboración, discusión y aprobación de la Ley N° 9696</w:t>
      </w:r>
      <w:r w:rsidRPr="0008067B">
        <w:rPr>
          <w:rFonts w:ascii="Arial" w:eastAsia="Calibri" w:hAnsi="Arial" w:cs="Arial"/>
          <w:sz w:val="24"/>
          <w:szCs w:val="24"/>
        </w:rPr>
        <w:t>.</w:t>
      </w:r>
    </w:p>
    <w:p w14:paraId="57066F9F" w14:textId="77777777" w:rsidR="00EF1167" w:rsidRDefault="00EF1167" w:rsidP="007F36BB">
      <w:pPr>
        <w:pStyle w:val="Ttulo2"/>
      </w:pPr>
      <w:bookmarkStart w:id="26" w:name="_Toc78277723"/>
      <w:r w:rsidRPr="0008067B">
        <w:t>Principio de Programación</w:t>
      </w:r>
      <w:bookmarkEnd w:id="26"/>
      <w:r w:rsidRPr="0008067B">
        <w:t xml:space="preserve"> </w:t>
      </w:r>
    </w:p>
    <w:p w14:paraId="2CF51D60" w14:textId="77777777"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El principio de programación ordena que el presupuesto de la Republica tiene que expresar con claridad los objetivos, las metas y los productos que se pretenden alcanzar, así como los recursos necesarios para cumplirlos, de manera que puedan reflejar el costo.</w:t>
      </w:r>
      <w:r>
        <w:rPr>
          <w:rStyle w:val="Refdenotaalpie"/>
          <w:rFonts w:ascii="Arial" w:eastAsia="Calibri" w:hAnsi="Arial" w:cs="Arial"/>
          <w:sz w:val="24"/>
          <w:szCs w:val="24"/>
        </w:rPr>
        <w:footnoteReference w:id="20"/>
      </w:r>
      <w:r>
        <w:rPr>
          <w:rFonts w:ascii="Arial" w:eastAsia="Calibri" w:hAnsi="Arial" w:cs="Arial"/>
          <w:sz w:val="24"/>
          <w:szCs w:val="24"/>
        </w:rPr>
        <w:t xml:space="preserve"> </w:t>
      </w:r>
    </w:p>
    <w:p w14:paraId="62288DCD" w14:textId="77777777" w:rsidR="00950A9B" w:rsidRDefault="00950A9B" w:rsidP="00CA18C3">
      <w:pPr>
        <w:spacing w:line="276" w:lineRule="auto"/>
        <w:contextualSpacing/>
        <w:jc w:val="both"/>
        <w:rPr>
          <w:rFonts w:ascii="Arial" w:eastAsia="Calibri" w:hAnsi="Arial" w:cs="Arial"/>
          <w:sz w:val="24"/>
          <w:szCs w:val="24"/>
        </w:rPr>
      </w:pPr>
    </w:p>
    <w:p w14:paraId="48D4DC78" w14:textId="77777777"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Esto permite ejecutar los recursos de manera </w:t>
      </w:r>
      <w:r w:rsidR="004C532B">
        <w:rPr>
          <w:rFonts w:ascii="Arial" w:eastAsia="Calibri" w:hAnsi="Arial" w:cs="Arial"/>
          <w:sz w:val="24"/>
          <w:szCs w:val="24"/>
        </w:rPr>
        <w:t>más</w:t>
      </w:r>
      <w:r>
        <w:rPr>
          <w:rFonts w:ascii="Arial" w:eastAsia="Calibri" w:hAnsi="Arial" w:cs="Arial"/>
          <w:sz w:val="24"/>
          <w:szCs w:val="24"/>
        </w:rPr>
        <w:t xml:space="preserve"> eficiente y racional con apego a estos objetivos y metas que a su vez deben marcar una ruta clara que se ajuste a las necesidades país que tenemos.</w:t>
      </w:r>
    </w:p>
    <w:p w14:paraId="291AD01F" w14:textId="77777777" w:rsidR="00950A9B" w:rsidRDefault="00950A9B" w:rsidP="00CA18C3">
      <w:pPr>
        <w:spacing w:line="276" w:lineRule="auto"/>
        <w:contextualSpacing/>
        <w:jc w:val="both"/>
        <w:rPr>
          <w:rFonts w:ascii="Arial" w:eastAsia="Calibri" w:hAnsi="Arial" w:cs="Arial"/>
          <w:sz w:val="24"/>
          <w:szCs w:val="24"/>
        </w:rPr>
      </w:pPr>
    </w:p>
    <w:p w14:paraId="04AEF7A7" w14:textId="77777777"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La Contraloría General de Republica se ha pronunciado sobre este principio lo siguiente; </w:t>
      </w:r>
      <w:r w:rsidRPr="00DC2D6A">
        <w:rPr>
          <w:rFonts w:ascii="Arial" w:eastAsia="Calibri" w:hAnsi="Arial" w:cs="Arial"/>
          <w:i/>
          <w:iCs/>
          <w:sz w:val="24"/>
          <w:szCs w:val="24"/>
        </w:rPr>
        <w:t>“El presupuesto debe responder a la planificación nacional pero también a la programación. (...) De esa forma se pretende que el presupuesto contemple no sólo ingresos y gastos sino, ante todo, que responda a determinados objetivos, planes y metas, de manera que los recursos sean utilizados en la forma más racional y eficiente posible: la gestión financiera debe tender a la racionalidad. Lo cual implica que los recursos deben ser utilizados en orden a la atención de determinados resultados. La programación rige tanto la elaboración como la ejecución presupuestaria”</w:t>
      </w:r>
      <w:r>
        <w:rPr>
          <w:rStyle w:val="Refdenotaalpie"/>
          <w:rFonts w:ascii="Arial" w:eastAsia="Calibri" w:hAnsi="Arial" w:cs="Arial"/>
          <w:sz w:val="24"/>
          <w:szCs w:val="24"/>
        </w:rPr>
        <w:footnoteReference w:id="21"/>
      </w:r>
    </w:p>
    <w:p w14:paraId="33BC2283" w14:textId="77777777" w:rsidR="00950A9B" w:rsidRDefault="00950A9B" w:rsidP="00CA18C3">
      <w:pPr>
        <w:spacing w:line="276" w:lineRule="auto"/>
        <w:contextualSpacing/>
        <w:jc w:val="both"/>
        <w:rPr>
          <w:rFonts w:ascii="Arial" w:eastAsia="Calibri" w:hAnsi="Arial" w:cs="Arial"/>
          <w:sz w:val="24"/>
          <w:szCs w:val="24"/>
        </w:rPr>
      </w:pPr>
    </w:p>
    <w:p w14:paraId="5384C7A4" w14:textId="77777777" w:rsidR="00EF1167" w:rsidRPr="00C821D2"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La Contraloría ha determinado que para el ejercicio presupuestario del año 2020 no se ha cumplido con dicho principio, </w:t>
      </w:r>
      <w:r w:rsidRPr="00C821D2">
        <w:rPr>
          <w:rFonts w:ascii="Arial" w:hAnsi="Arial" w:cs="Arial"/>
          <w:sz w:val="24"/>
          <w:szCs w:val="24"/>
        </w:rPr>
        <w:t>en el Informe de resultados físicos de 2020 persisten rezagos relacionados con la definición de objetivos para los programas presupuestarios, insuficiente calidad técnica de algunos indicadores; y las fichas técnicas de los indicadores no son de acceso público- ciudadano durante la fase de evaluación presupuestaria, con lo cual no se puede transparentar la forma en que las instituciones miden los bienes y servicios que producen, principalmente</w:t>
      </w:r>
      <w:r>
        <w:rPr>
          <w:rFonts w:ascii="Arial" w:hAnsi="Arial" w:cs="Arial"/>
          <w:sz w:val="24"/>
          <w:szCs w:val="24"/>
        </w:rPr>
        <w:t>.</w:t>
      </w:r>
    </w:p>
    <w:p w14:paraId="1B283A5D" w14:textId="77777777" w:rsidR="00EF1167" w:rsidRDefault="00EF1167" w:rsidP="007F36BB">
      <w:pPr>
        <w:pStyle w:val="Ttulo2"/>
      </w:pPr>
      <w:bookmarkStart w:id="27" w:name="_Toc78277724"/>
      <w:r>
        <w:t>Principio de Especialidad Cuantitativa y Cualitativa</w:t>
      </w:r>
      <w:bookmarkEnd w:id="27"/>
      <w:r>
        <w:t xml:space="preserve"> </w:t>
      </w:r>
    </w:p>
    <w:p w14:paraId="7153B170" w14:textId="0ACE6764" w:rsidR="00EF1167" w:rsidRDefault="00207129" w:rsidP="00CA18C3">
      <w:pPr>
        <w:spacing w:line="276" w:lineRule="auto"/>
        <w:contextualSpacing/>
        <w:jc w:val="both"/>
        <w:rPr>
          <w:rFonts w:ascii="Arial" w:hAnsi="Arial" w:cs="Arial"/>
          <w:sz w:val="24"/>
          <w:szCs w:val="24"/>
        </w:rPr>
      </w:pPr>
      <w:r>
        <w:rPr>
          <w:rFonts w:ascii="Arial" w:hAnsi="Arial" w:cs="Arial"/>
          <w:sz w:val="24"/>
          <w:szCs w:val="24"/>
        </w:rPr>
        <w:t xml:space="preserve">Este </w:t>
      </w:r>
      <w:r w:rsidR="00EF1167" w:rsidRPr="009831A1">
        <w:rPr>
          <w:rFonts w:ascii="Arial" w:hAnsi="Arial" w:cs="Arial"/>
          <w:sz w:val="24"/>
          <w:szCs w:val="24"/>
        </w:rPr>
        <w:t xml:space="preserve">principio </w:t>
      </w:r>
      <w:r>
        <w:rPr>
          <w:rFonts w:ascii="Arial" w:hAnsi="Arial" w:cs="Arial"/>
          <w:sz w:val="24"/>
          <w:szCs w:val="24"/>
        </w:rPr>
        <w:t xml:space="preserve">está </w:t>
      </w:r>
      <w:r w:rsidR="00EF1167" w:rsidRPr="009831A1">
        <w:rPr>
          <w:rFonts w:ascii="Arial" w:hAnsi="Arial" w:cs="Arial"/>
          <w:sz w:val="24"/>
          <w:szCs w:val="24"/>
        </w:rPr>
        <w:t>contemplado en el inciso f) del artículo 5 de la Ley Nº 8131</w:t>
      </w:r>
      <w:r w:rsidR="00EF1167">
        <w:rPr>
          <w:rStyle w:val="Refdenotaalpie"/>
          <w:rFonts w:ascii="Arial" w:hAnsi="Arial" w:cs="Arial"/>
          <w:sz w:val="24"/>
          <w:szCs w:val="24"/>
        </w:rPr>
        <w:footnoteReference w:id="22"/>
      </w:r>
      <w:r w:rsidR="00EF1167" w:rsidRPr="009831A1">
        <w:rPr>
          <w:rFonts w:ascii="Arial" w:hAnsi="Arial" w:cs="Arial"/>
          <w:sz w:val="24"/>
          <w:szCs w:val="24"/>
        </w:rPr>
        <w:t xml:space="preserve">, el cual dice: </w:t>
      </w:r>
      <w:r w:rsidR="00EF1167" w:rsidRPr="00207129">
        <w:rPr>
          <w:rFonts w:ascii="Arial" w:hAnsi="Arial" w:cs="Arial"/>
          <w:i/>
          <w:iCs/>
          <w:sz w:val="24"/>
          <w:szCs w:val="24"/>
        </w:rPr>
        <w:t>“Las asignaciones presupuestarias del presupuesto de gastos, con los niveles de detalle aprobados, constituirán el límite máximo de autorizaciones para gastar. No podrán adquirirse compromisos para los cuales no existan saldos presupuestarios disponibles. Tampoco podrán destinarse saldos presupuestarios a una finalidad distinta de la prevista en el presupuesto, de conformidad con los preceptos legales y reglamentarios.”</w:t>
      </w:r>
    </w:p>
    <w:p w14:paraId="31563D22" w14:textId="77777777" w:rsidR="00EF1167" w:rsidRPr="009831A1" w:rsidRDefault="00EF1167" w:rsidP="00CA18C3">
      <w:pPr>
        <w:spacing w:line="276" w:lineRule="auto"/>
        <w:contextualSpacing/>
        <w:jc w:val="both"/>
        <w:rPr>
          <w:rFonts w:ascii="Arial" w:hAnsi="Arial" w:cs="Arial"/>
          <w:sz w:val="24"/>
          <w:szCs w:val="24"/>
        </w:rPr>
      </w:pPr>
    </w:p>
    <w:p w14:paraId="54740370" w14:textId="77777777"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En el análisis del primer principio presupuestario se hizo referencia a un monto de </w:t>
      </w:r>
      <w:r w:rsidRPr="00DB31E2">
        <w:rPr>
          <w:rFonts w:ascii="Arial" w:hAnsi="Arial" w:cs="Arial"/>
          <w:sz w:val="24"/>
          <w:szCs w:val="24"/>
        </w:rPr>
        <w:t>total de ¢597 millones, que no fueron incluidos en la subpartida 10199 “Otros Alquileres”</w:t>
      </w:r>
      <w:r>
        <w:rPr>
          <w:rFonts w:ascii="Arial" w:hAnsi="Arial" w:cs="Arial"/>
          <w:sz w:val="24"/>
          <w:szCs w:val="24"/>
        </w:rPr>
        <w:t xml:space="preserve"> </w:t>
      </w:r>
      <w:r w:rsidRPr="00DB31E2">
        <w:rPr>
          <w:rFonts w:ascii="Arial" w:hAnsi="Arial" w:cs="Arial"/>
          <w:sz w:val="24"/>
          <w:szCs w:val="24"/>
        </w:rPr>
        <w:t xml:space="preserve">por concepto de resoluciones administrativas no devengadas y servicios contratados que debieron reflejarse en la Liquidación Presupuestaria de la República del ejercicio económico 2020 </w:t>
      </w:r>
      <w:r>
        <w:rPr>
          <w:rFonts w:ascii="Arial" w:hAnsi="Arial" w:cs="Arial"/>
          <w:sz w:val="24"/>
          <w:szCs w:val="24"/>
        </w:rPr>
        <w:t xml:space="preserve">del </w:t>
      </w:r>
      <w:r w:rsidRPr="00DB31E2">
        <w:rPr>
          <w:rFonts w:ascii="Arial" w:hAnsi="Arial" w:cs="Arial"/>
          <w:sz w:val="24"/>
          <w:szCs w:val="24"/>
        </w:rPr>
        <w:t>Ministerio de Hacienda</w:t>
      </w:r>
      <w:r>
        <w:rPr>
          <w:rFonts w:ascii="Arial" w:eastAsia="Calibri" w:hAnsi="Arial" w:cs="Arial"/>
          <w:sz w:val="24"/>
          <w:szCs w:val="24"/>
        </w:rPr>
        <w:t xml:space="preserve">, los cuales no fueron incluidos por falta de contenido presupuestario. </w:t>
      </w:r>
    </w:p>
    <w:p w14:paraId="01B4C179" w14:textId="77777777" w:rsidR="00EF1167" w:rsidRDefault="00EF1167" w:rsidP="00CA18C3">
      <w:pPr>
        <w:spacing w:line="276" w:lineRule="auto"/>
        <w:contextualSpacing/>
        <w:jc w:val="both"/>
        <w:rPr>
          <w:rFonts w:ascii="Arial" w:eastAsia="Calibri" w:hAnsi="Arial" w:cs="Arial"/>
          <w:sz w:val="24"/>
          <w:szCs w:val="24"/>
        </w:rPr>
      </w:pPr>
    </w:p>
    <w:p w14:paraId="0E6EF402" w14:textId="77777777" w:rsidR="00EF1167" w:rsidRPr="00B64CD0" w:rsidRDefault="00EF1167" w:rsidP="00CA18C3">
      <w:pPr>
        <w:spacing w:line="276" w:lineRule="auto"/>
        <w:contextualSpacing/>
        <w:jc w:val="both"/>
        <w:rPr>
          <w:rFonts w:ascii="Arial" w:hAnsi="Arial" w:cs="Arial"/>
          <w:i/>
          <w:iCs/>
          <w:sz w:val="24"/>
          <w:szCs w:val="24"/>
        </w:rPr>
      </w:pPr>
      <w:r>
        <w:rPr>
          <w:rFonts w:ascii="Arial" w:eastAsia="Calibri" w:hAnsi="Arial" w:cs="Arial"/>
          <w:sz w:val="24"/>
          <w:szCs w:val="24"/>
        </w:rPr>
        <w:t xml:space="preserve">De igual forma </w:t>
      </w:r>
      <w:r w:rsidRPr="00B64CD0">
        <w:rPr>
          <w:rFonts w:ascii="Arial" w:hAnsi="Arial" w:cs="Arial"/>
          <w:sz w:val="24"/>
          <w:szCs w:val="24"/>
        </w:rPr>
        <w:t>existen 1.304 resoluciones administrativas emitidas entre el 2017 y 2020, cuyo monto asciende a un total de ¢3.510 millones, correspondientes principalmente al traslado y devolución de cuotas, y diferencias salariales, que tampoco fueron incluidas en la Liquidación del Presupuesto de la República, por falta de contenido presupuestario</w:t>
      </w:r>
      <w:r>
        <w:rPr>
          <w:rFonts w:ascii="Arial" w:hAnsi="Arial" w:cs="Arial"/>
          <w:sz w:val="24"/>
          <w:szCs w:val="24"/>
        </w:rPr>
        <w:t xml:space="preserve">.  Estas prácticas contravienen a todas luces el principio en análisis </w:t>
      </w:r>
      <w:r w:rsidRPr="00B64CD0">
        <w:rPr>
          <w:rFonts w:ascii="Arial" w:hAnsi="Arial" w:cs="Arial"/>
          <w:sz w:val="24"/>
          <w:szCs w:val="24"/>
        </w:rPr>
        <w:t>en lo referido a qu</w:t>
      </w:r>
      <w:r>
        <w:rPr>
          <w:rFonts w:ascii="Arial" w:hAnsi="Arial" w:cs="Arial"/>
          <w:sz w:val="24"/>
          <w:szCs w:val="24"/>
        </w:rPr>
        <w:t>e .</w:t>
      </w:r>
      <w:r w:rsidRPr="00B64CD0">
        <w:rPr>
          <w:rFonts w:ascii="Arial" w:hAnsi="Arial" w:cs="Arial"/>
          <w:i/>
          <w:iCs/>
          <w:sz w:val="24"/>
          <w:szCs w:val="24"/>
        </w:rPr>
        <w:t>..no podrán adquirirse compromisos para los cuales no existan saldos presupuestarios disponibles...</w:t>
      </w:r>
      <w:r>
        <w:rPr>
          <w:rFonts w:ascii="Arial" w:hAnsi="Arial" w:cs="Arial"/>
          <w:i/>
          <w:iCs/>
          <w:sz w:val="24"/>
          <w:szCs w:val="24"/>
        </w:rPr>
        <w:t xml:space="preserve">, </w:t>
      </w:r>
      <w:r>
        <w:rPr>
          <w:rFonts w:ascii="Arial" w:hAnsi="Arial" w:cs="Arial"/>
          <w:sz w:val="24"/>
          <w:szCs w:val="24"/>
        </w:rPr>
        <w:t>y</w:t>
      </w:r>
      <w:r>
        <w:rPr>
          <w:rFonts w:ascii="Arial" w:hAnsi="Arial" w:cs="Arial"/>
          <w:i/>
          <w:iCs/>
          <w:sz w:val="24"/>
          <w:szCs w:val="24"/>
        </w:rPr>
        <w:t xml:space="preserve"> </w:t>
      </w:r>
      <w:r w:rsidRPr="00D06802">
        <w:rPr>
          <w:rFonts w:ascii="Arial" w:eastAsia="Calibri" w:hAnsi="Arial" w:cs="Arial"/>
          <w:sz w:val="24"/>
          <w:szCs w:val="24"/>
        </w:rPr>
        <w:t>genera una inseguridad contable y presupuestaria grave, este tipo de errores no son de recibo de ninguna manera, reflejan debilidades e inconsistencias significativas en nuestro sistema financiero</w:t>
      </w:r>
    </w:p>
    <w:p w14:paraId="5193BB48" w14:textId="77777777" w:rsidR="00EF1167" w:rsidRPr="00076581" w:rsidRDefault="00EF1167" w:rsidP="00CA18C3">
      <w:pPr>
        <w:spacing w:line="276" w:lineRule="auto"/>
        <w:contextualSpacing/>
        <w:jc w:val="both"/>
        <w:rPr>
          <w:rFonts w:ascii="Arial" w:eastAsia="Calibri" w:hAnsi="Arial" w:cs="Arial"/>
          <w:sz w:val="24"/>
          <w:szCs w:val="24"/>
        </w:rPr>
      </w:pPr>
    </w:p>
    <w:p w14:paraId="2B849FBC" w14:textId="77777777" w:rsidR="00EF1167" w:rsidRPr="00B64CD0" w:rsidRDefault="00EF1167" w:rsidP="00CA18C3">
      <w:pPr>
        <w:spacing w:line="276" w:lineRule="auto"/>
        <w:contextualSpacing/>
        <w:jc w:val="both"/>
        <w:rPr>
          <w:rFonts w:ascii="Arial" w:eastAsia="Calibri" w:hAnsi="Arial" w:cs="Arial"/>
          <w:sz w:val="24"/>
          <w:szCs w:val="24"/>
        </w:rPr>
      </w:pPr>
      <w:r>
        <w:rPr>
          <w:rFonts w:ascii="Arial" w:hAnsi="Arial" w:cs="Arial"/>
          <w:sz w:val="24"/>
          <w:szCs w:val="24"/>
        </w:rPr>
        <w:t>Además, la</w:t>
      </w:r>
      <w:r w:rsidRPr="00B64CD0">
        <w:rPr>
          <w:rFonts w:ascii="Arial" w:hAnsi="Arial" w:cs="Arial"/>
          <w:sz w:val="24"/>
          <w:szCs w:val="24"/>
        </w:rPr>
        <w:t xml:space="preserve"> información sobre los servicios recibidos y las resoluciones administrativas pendientes de incluir en la liquidación presupuestaria debido a la falta de contenido presupuestario, citadas anteriormente, no fueron reveladas en el análisis de la liquidación del presupuesto</w:t>
      </w:r>
      <w:r w:rsidRPr="00B64CD0">
        <w:rPr>
          <w:rStyle w:val="Refdenotaalpie"/>
          <w:rFonts w:ascii="Arial" w:hAnsi="Arial" w:cs="Arial"/>
          <w:sz w:val="24"/>
          <w:szCs w:val="24"/>
        </w:rPr>
        <w:footnoteReference w:id="23"/>
      </w:r>
      <w:r>
        <w:rPr>
          <w:rFonts w:ascii="Arial" w:hAnsi="Arial" w:cs="Arial"/>
          <w:sz w:val="24"/>
          <w:szCs w:val="24"/>
        </w:rPr>
        <w:t>,</w:t>
      </w:r>
      <w:r w:rsidRPr="00B64CD0">
        <w:rPr>
          <w:rFonts w:ascii="Arial" w:hAnsi="Arial" w:cs="Arial"/>
          <w:sz w:val="24"/>
          <w:szCs w:val="24"/>
        </w:rPr>
        <w:t xml:space="preserve"> lo cual es relevante para efectos de</w:t>
      </w:r>
      <w:r>
        <w:rPr>
          <w:rFonts w:ascii="Arial" w:hAnsi="Arial" w:cs="Arial"/>
          <w:sz w:val="24"/>
          <w:szCs w:val="24"/>
        </w:rPr>
        <w:t xml:space="preserve">l cumplimiento del siguiente y ultimo principio; el principio de publicidad  que dicta que el presupuesto debe ser asequible al conocimiento público, por los medios electrónicos y físicos disponible en aras de la </w:t>
      </w:r>
      <w:r w:rsidRPr="00B64CD0">
        <w:rPr>
          <w:rFonts w:ascii="Arial" w:hAnsi="Arial" w:cs="Arial"/>
          <w:sz w:val="24"/>
          <w:szCs w:val="24"/>
        </w:rPr>
        <w:t>transparencia y rendición de cuentas</w:t>
      </w:r>
      <w:r>
        <w:rPr>
          <w:rFonts w:ascii="Arial" w:hAnsi="Arial" w:cs="Arial"/>
          <w:sz w:val="24"/>
          <w:szCs w:val="24"/>
        </w:rPr>
        <w:t xml:space="preserve">. </w:t>
      </w:r>
    </w:p>
    <w:p w14:paraId="0F75950E" w14:textId="77777777" w:rsidR="00EF1167" w:rsidRDefault="00EF1167" w:rsidP="007F36BB">
      <w:pPr>
        <w:pStyle w:val="Ttulo2"/>
      </w:pPr>
      <w:bookmarkStart w:id="28" w:name="_Toc78277725"/>
      <w:r>
        <w:t>Principio de Publicidad</w:t>
      </w:r>
      <w:bookmarkEnd w:id="28"/>
      <w:r>
        <w:t xml:space="preserve"> </w:t>
      </w:r>
    </w:p>
    <w:p w14:paraId="2CE3EE9D" w14:textId="77777777"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Como bien se hizo referencia a este principio presupuestario supra, se puede observar que el incumplimiento de otros principios también compromete el cumplimiento del principio de publicidad. </w:t>
      </w:r>
    </w:p>
    <w:p w14:paraId="3F45BD2D" w14:textId="77777777" w:rsidR="00EF1167" w:rsidRDefault="00EF1167" w:rsidP="00CA18C3">
      <w:pPr>
        <w:spacing w:line="276" w:lineRule="auto"/>
        <w:contextualSpacing/>
        <w:jc w:val="both"/>
        <w:rPr>
          <w:rFonts w:ascii="Arial" w:eastAsia="Calibri" w:hAnsi="Arial" w:cs="Arial"/>
          <w:sz w:val="24"/>
          <w:szCs w:val="24"/>
        </w:rPr>
      </w:pPr>
    </w:p>
    <w:p w14:paraId="71772D67" w14:textId="6BA2AC99"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De esta manera se puede mencionar los </w:t>
      </w:r>
      <w:r w:rsidRPr="00385B4D">
        <w:rPr>
          <w:rFonts w:ascii="Arial" w:eastAsia="Calibri" w:hAnsi="Arial" w:cs="Arial"/>
          <w:sz w:val="24"/>
          <w:szCs w:val="24"/>
        </w:rPr>
        <w:t xml:space="preserve">₡3.437 millones en </w:t>
      </w:r>
      <w:r>
        <w:rPr>
          <w:rFonts w:ascii="Arial" w:eastAsia="Calibri" w:hAnsi="Arial" w:cs="Arial"/>
          <w:sz w:val="24"/>
          <w:szCs w:val="24"/>
        </w:rPr>
        <w:t xml:space="preserve">transferencias corrientes por devolución de recursos, provenientes de las Universidades Estatales </w:t>
      </w:r>
      <w:r w:rsidRPr="002221F7">
        <w:rPr>
          <w:rFonts w:ascii="Arial" w:eastAsia="Calibri" w:hAnsi="Arial" w:cs="Arial"/>
          <w:sz w:val="24"/>
          <w:szCs w:val="24"/>
        </w:rPr>
        <w:t>sobre los remanentes no ejecutados en el Proyecto de Mejoramiento de la Educación Superior</w:t>
      </w:r>
      <w:r>
        <w:rPr>
          <w:rFonts w:ascii="Arial" w:eastAsia="Calibri" w:hAnsi="Arial" w:cs="Arial"/>
          <w:sz w:val="24"/>
          <w:szCs w:val="24"/>
        </w:rPr>
        <w:t xml:space="preserve">, mencionados en el análisis del primer principio, recursos que no fueron registrados, </w:t>
      </w:r>
      <w:r w:rsidRPr="00AE7AF0">
        <w:rPr>
          <w:rFonts w:ascii="Arial" w:eastAsia="Calibri" w:hAnsi="Arial" w:cs="Arial"/>
          <w:sz w:val="24"/>
          <w:szCs w:val="24"/>
        </w:rPr>
        <w:t xml:space="preserve">así como, el gasto en el título 230 “Servicio de la Deuda” por el pago al Banco Internacional de Reconstrucción y Fomento (BIRF), derivado de la devolución de dichos remanentes. Esto ocasionó que tanto el ingreso como el gasto quedarán subvaluados por el mismo monto. Al respecto, la DGCN señala que los movimientos de los fondos corresponden </w:t>
      </w:r>
      <w:r w:rsidR="002F28C9">
        <w:rPr>
          <w:rFonts w:ascii="Arial" w:eastAsia="Calibri" w:hAnsi="Arial" w:cs="Arial"/>
          <w:sz w:val="24"/>
          <w:szCs w:val="24"/>
        </w:rPr>
        <w:t xml:space="preserve">a </w:t>
      </w:r>
      <w:r w:rsidRPr="00AE7AF0">
        <w:rPr>
          <w:rFonts w:ascii="Arial" w:eastAsia="Calibri" w:hAnsi="Arial" w:cs="Arial"/>
          <w:sz w:val="24"/>
          <w:szCs w:val="24"/>
        </w:rPr>
        <w:t>11 periodos anteriores, por lo tanto, únicamente se registró contablemente.</w:t>
      </w:r>
    </w:p>
    <w:p w14:paraId="0415C241" w14:textId="77777777" w:rsidR="00EF1167" w:rsidRDefault="00EF1167" w:rsidP="00CA18C3">
      <w:pPr>
        <w:spacing w:line="276" w:lineRule="auto"/>
        <w:contextualSpacing/>
        <w:jc w:val="both"/>
        <w:rPr>
          <w:rFonts w:ascii="Arial" w:eastAsia="Calibri" w:hAnsi="Arial" w:cs="Arial"/>
          <w:sz w:val="24"/>
          <w:szCs w:val="24"/>
        </w:rPr>
      </w:pPr>
    </w:p>
    <w:p w14:paraId="51C9F893" w14:textId="77777777" w:rsidR="00EF1167" w:rsidRDefault="00EF1167" w:rsidP="00CA18C3">
      <w:pPr>
        <w:spacing w:line="276" w:lineRule="auto"/>
        <w:contextualSpacing/>
        <w:jc w:val="both"/>
        <w:rPr>
          <w:rFonts w:ascii="Arial" w:eastAsia="Calibri" w:hAnsi="Arial" w:cs="Arial"/>
          <w:sz w:val="24"/>
          <w:szCs w:val="24"/>
        </w:rPr>
      </w:pPr>
      <w:r>
        <w:rPr>
          <w:rFonts w:ascii="Arial" w:eastAsia="Calibri" w:hAnsi="Arial" w:cs="Arial"/>
          <w:sz w:val="24"/>
          <w:szCs w:val="24"/>
        </w:rPr>
        <w:t xml:space="preserve">Consecuentemente el presupuesto del año 2020 careció de una tutela efectiva del principio de publicidad y atenta contra el avance que se pueda tener como país de una gestión del presupuesto de manera transparente, ordenada, racional y eficiente, que reduzca los riesgos del uso indebido de los fondos públicos y se pueda cumplir a cabalidad con el ordenamiento jurídico y la normativa técnica aplicable. </w:t>
      </w:r>
    </w:p>
    <w:p w14:paraId="4C520BC0" w14:textId="77777777" w:rsidR="00EF1167" w:rsidRPr="00325874" w:rsidRDefault="00EF1167" w:rsidP="00CA18C3">
      <w:pPr>
        <w:spacing w:line="276" w:lineRule="auto"/>
        <w:contextualSpacing/>
        <w:jc w:val="both"/>
        <w:rPr>
          <w:rFonts w:ascii="Arial" w:eastAsia="Calibri" w:hAnsi="Arial" w:cs="Arial"/>
          <w:sz w:val="24"/>
          <w:szCs w:val="24"/>
        </w:rPr>
      </w:pPr>
    </w:p>
    <w:p w14:paraId="1AA64DFA" w14:textId="77777777" w:rsidR="007761D9" w:rsidRDefault="007761D9" w:rsidP="00CA18C3">
      <w:pPr>
        <w:spacing w:line="276" w:lineRule="auto"/>
        <w:jc w:val="both"/>
        <w:rPr>
          <w:rFonts w:ascii="Arial" w:eastAsia="Calibri" w:hAnsi="Arial" w:cs="Arial"/>
          <w:sz w:val="24"/>
          <w:szCs w:val="24"/>
        </w:rPr>
      </w:pPr>
    </w:p>
    <w:p w14:paraId="02999142" w14:textId="1DBA99AD" w:rsidR="00EF1167" w:rsidRPr="00B778C3" w:rsidRDefault="00EF1167" w:rsidP="00CA18C3">
      <w:pPr>
        <w:spacing w:line="276" w:lineRule="auto"/>
        <w:jc w:val="both"/>
        <w:rPr>
          <w:rFonts w:ascii="Arial" w:eastAsia="Calibri" w:hAnsi="Arial" w:cs="Arial"/>
          <w:sz w:val="24"/>
          <w:szCs w:val="24"/>
        </w:rPr>
      </w:pPr>
      <w:r>
        <w:rPr>
          <w:rFonts w:ascii="Arial" w:eastAsia="Calibri" w:hAnsi="Arial" w:cs="Arial"/>
          <w:sz w:val="24"/>
          <w:szCs w:val="24"/>
        </w:rPr>
        <w:t xml:space="preserve">En síntesis, </w:t>
      </w:r>
      <w:r w:rsidRPr="00B778C3">
        <w:rPr>
          <w:rFonts w:ascii="Arial" w:eastAsia="Calibri" w:hAnsi="Arial" w:cs="Arial"/>
          <w:sz w:val="24"/>
          <w:szCs w:val="24"/>
        </w:rPr>
        <w:t>se observa</w:t>
      </w:r>
      <w:r>
        <w:rPr>
          <w:rFonts w:ascii="Arial" w:eastAsia="Calibri" w:hAnsi="Arial" w:cs="Arial"/>
          <w:sz w:val="24"/>
          <w:szCs w:val="24"/>
        </w:rPr>
        <w:t xml:space="preserve"> que</w:t>
      </w:r>
      <w:r w:rsidRPr="00B778C3">
        <w:rPr>
          <w:rFonts w:ascii="Arial" w:eastAsia="Calibri" w:hAnsi="Arial" w:cs="Arial"/>
          <w:sz w:val="24"/>
          <w:szCs w:val="24"/>
        </w:rPr>
        <w:t xml:space="preserve"> </w:t>
      </w:r>
      <w:r>
        <w:rPr>
          <w:rFonts w:ascii="Arial" w:eastAsia="Calibri" w:hAnsi="Arial" w:cs="Arial"/>
          <w:sz w:val="24"/>
          <w:szCs w:val="24"/>
        </w:rPr>
        <w:t xml:space="preserve">el ejercicio de la liquidación presupuestaria del año 2020 fue permisivo en </w:t>
      </w:r>
      <w:r w:rsidRPr="00B778C3">
        <w:rPr>
          <w:rFonts w:ascii="Arial" w:eastAsia="Calibri" w:hAnsi="Arial" w:cs="Arial"/>
          <w:sz w:val="24"/>
          <w:szCs w:val="24"/>
        </w:rPr>
        <w:t>error</w:t>
      </w:r>
      <w:r>
        <w:rPr>
          <w:rFonts w:ascii="Arial" w:eastAsia="Calibri" w:hAnsi="Arial" w:cs="Arial"/>
          <w:sz w:val="24"/>
          <w:szCs w:val="24"/>
        </w:rPr>
        <w:t>es</w:t>
      </w:r>
      <w:r w:rsidRPr="00B778C3">
        <w:rPr>
          <w:rFonts w:ascii="Arial" w:eastAsia="Calibri" w:hAnsi="Arial" w:cs="Arial"/>
          <w:sz w:val="24"/>
          <w:szCs w:val="24"/>
        </w:rPr>
        <w:t xml:space="preserve"> </w:t>
      </w:r>
      <w:r>
        <w:rPr>
          <w:rFonts w:ascii="Arial" w:eastAsia="Calibri" w:hAnsi="Arial" w:cs="Arial"/>
          <w:sz w:val="24"/>
          <w:szCs w:val="24"/>
        </w:rPr>
        <w:t xml:space="preserve">gravísimos como los antes expuestos, incumpliendo los principios presupuestarios para evitar el gasto sin contenido presupuestario, como ocurrió con el Principio de Universalidad e integridad. Esto representa practicas poco saludables en la administración de los fondos públicos, </w:t>
      </w:r>
      <w:r w:rsidRPr="00B778C3">
        <w:rPr>
          <w:rFonts w:ascii="Arial" w:eastAsia="Calibri" w:hAnsi="Arial" w:cs="Arial"/>
          <w:sz w:val="24"/>
          <w:szCs w:val="24"/>
        </w:rPr>
        <w:t>tiene consecuencias importantes para el año 20</w:t>
      </w:r>
      <w:r>
        <w:rPr>
          <w:rFonts w:ascii="Arial" w:eastAsia="Calibri" w:hAnsi="Arial" w:cs="Arial"/>
          <w:sz w:val="24"/>
          <w:szCs w:val="24"/>
        </w:rPr>
        <w:t xml:space="preserve">20 </w:t>
      </w:r>
      <w:r w:rsidRPr="00B778C3">
        <w:rPr>
          <w:rFonts w:ascii="Arial" w:eastAsia="Calibri" w:hAnsi="Arial" w:cs="Arial"/>
          <w:sz w:val="24"/>
          <w:szCs w:val="24"/>
        </w:rPr>
        <w:t xml:space="preserve">y representa un desorden grave contable en la gestión financiera </w:t>
      </w:r>
      <w:r>
        <w:rPr>
          <w:rFonts w:ascii="Arial" w:eastAsia="Calibri" w:hAnsi="Arial" w:cs="Arial"/>
          <w:sz w:val="24"/>
          <w:szCs w:val="24"/>
        </w:rPr>
        <w:t xml:space="preserve">de los recursos </w:t>
      </w:r>
      <w:r w:rsidRPr="00B778C3">
        <w:rPr>
          <w:rFonts w:ascii="Arial" w:eastAsia="Calibri" w:hAnsi="Arial" w:cs="Arial"/>
          <w:sz w:val="24"/>
          <w:szCs w:val="24"/>
        </w:rPr>
        <w:t xml:space="preserve">que puede incluso repercutir en los años siguientes. </w:t>
      </w:r>
    </w:p>
    <w:p w14:paraId="633AEBE5" w14:textId="77777777" w:rsidR="00345617" w:rsidRPr="00193222" w:rsidRDefault="00345617" w:rsidP="00535111">
      <w:pPr>
        <w:pStyle w:val="Ttulo1"/>
      </w:pPr>
      <w:bookmarkStart w:id="29" w:name="_Toc78277726"/>
      <w:r w:rsidRPr="00193222">
        <w:t xml:space="preserve">EJECUCIÓN DE CRÉDITOS EXTERNOS PARA </w:t>
      </w:r>
      <w:r w:rsidR="00C6356B">
        <w:t>INVERSIÓN PÚBLICA</w:t>
      </w:r>
      <w:bookmarkEnd w:id="29"/>
    </w:p>
    <w:p w14:paraId="66789F75" w14:textId="77777777" w:rsidR="00193222" w:rsidRPr="00193222" w:rsidRDefault="00193222" w:rsidP="00CA18C3">
      <w:pPr>
        <w:pStyle w:val="Sinespaciado"/>
        <w:spacing w:line="276" w:lineRule="auto"/>
        <w:jc w:val="both"/>
        <w:rPr>
          <w:rFonts w:ascii="Arial" w:hAnsi="Arial" w:cs="Arial"/>
          <w:sz w:val="24"/>
          <w:szCs w:val="24"/>
        </w:rPr>
      </w:pPr>
      <w:r w:rsidRPr="00193222">
        <w:rPr>
          <w:rFonts w:ascii="Arial" w:hAnsi="Arial" w:cs="Arial"/>
          <w:sz w:val="24"/>
          <w:szCs w:val="24"/>
        </w:rPr>
        <w:t>Los créditos externos para inversión pública en ejecución al 31 de diciembre de 2020 alcanzan un endeudamiento autorizado por la suma de $4.263 millones</w:t>
      </w:r>
      <w:r w:rsidR="008B2DB5">
        <w:rPr>
          <w:rFonts w:ascii="Arial" w:hAnsi="Arial" w:cs="Arial"/>
          <w:sz w:val="24"/>
          <w:szCs w:val="24"/>
        </w:rPr>
        <w:t xml:space="preserve"> (¢2,65 billones)</w:t>
      </w:r>
      <w:r w:rsidR="008B2DB5">
        <w:rPr>
          <w:rStyle w:val="Refdenotaalpie"/>
          <w:rFonts w:ascii="Arial" w:hAnsi="Arial" w:cs="Arial"/>
          <w:sz w:val="24"/>
          <w:szCs w:val="24"/>
        </w:rPr>
        <w:footnoteReference w:id="24"/>
      </w:r>
      <w:r w:rsidRPr="00193222">
        <w:rPr>
          <w:rFonts w:ascii="Arial" w:hAnsi="Arial" w:cs="Arial"/>
          <w:sz w:val="24"/>
          <w:szCs w:val="24"/>
        </w:rPr>
        <w:t>. Dicho monto es menor en un 8,8% respecto al saldo de 2019, dado que</w:t>
      </w:r>
      <w:r w:rsidRPr="009B3233">
        <w:rPr>
          <w:rFonts w:ascii="Arial" w:hAnsi="Arial" w:cs="Arial"/>
          <w:sz w:val="24"/>
          <w:szCs w:val="24"/>
        </w:rPr>
        <w:t xml:space="preserve"> seis proyectos finalizaron el periodo de desembolso y se incorporaron tres proyectos nuevos a la cartera, por $372 millones</w:t>
      </w:r>
      <w:r w:rsidR="008B2DB5">
        <w:rPr>
          <w:rFonts w:ascii="Arial" w:hAnsi="Arial" w:cs="Arial"/>
          <w:sz w:val="24"/>
          <w:szCs w:val="24"/>
        </w:rPr>
        <w:t xml:space="preserve"> (¢231.354,2 millones)</w:t>
      </w:r>
      <w:r w:rsidRPr="009B3233">
        <w:rPr>
          <w:rFonts w:ascii="Arial" w:hAnsi="Arial" w:cs="Arial"/>
          <w:sz w:val="24"/>
          <w:szCs w:val="24"/>
        </w:rPr>
        <w:t xml:space="preserve">, pero aún sigue siendo un monto bastante importante de </w:t>
      </w:r>
      <w:r w:rsidRPr="00193222">
        <w:rPr>
          <w:rFonts w:ascii="Arial" w:hAnsi="Arial" w:cs="Arial"/>
          <w:sz w:val="24"/>
          <w:szCs w:val="24"/>
        </w:rPr>
        <w:t>deuda autorizada (7,3% del PIB) para inversión pública.</w:t>
      </w:r>
    </w:p>
    <w:p w14:paraId="1F0321E3" w14:textId="77777777" w:rsidR="00193222" w:rsidRPr="009B3233" w:rsidRDefault="00193222" w:rsidP="00CA18C3">
      <w:pPr>
        <w:pStyle w:val="Sinespaciado"/>
        <w:spacing w:line="276" w:lineRule="auto"/>
        <w:jc w:val="both"/>
        <w:rPr>
          <w:rFonts w:ascii="Arial" w:hAnsi="Arial" w:cs="Arial"/>
          <w:sz w:val="24"/>
          <w:szCs w:val="24"/>
        </w:rPr>
      </w:pPr>
    </w:p>
    <w:p w14:paraId="5637C7BF" w14:textId="77777777" w:rsidR="00837D0E" w:rsidRDefault="00193222" w:rsidP="00CA18C3">
      <w:pPr>
        <w:pStyle w:val="Sinespaciado"/>
        <w:spacing w:line="276" w:lineRule="auto"/>
        <w:jc w:val="both"/>
        <w:rPr>
          <w:rFonts w:ascii="Arial" w:hAnsi="Arial" w:cs="Arial"/>
          <w:sz w:val="24"/>
          <w:szCs w:val="24"/>
        </w:rPr>
      </w:pPr>
      <w:r w:rsidRPr="006F3A44">
        <w:rPr>
          <w:rFonts w:ascii="Arial" w:hAnsi="Arial" w:cs="Arial"/>
          <w:sz w:val="24"/>
          <w:szCs w:val="24"/>
        </w:rPr>
        <w:t>Siguen existiendo proyectos de inversión pública</w:t>
      </w:r>
      <w:r w:rsidR="00291705" w:rsidRPr="006F3A44">
        <w:rPr>
          <w:rFonts w:ascii="Arial" w:hAnsi="Arial" w:cs="Arial"/>
          <w:sz w:val="24"/>
          <w:szCs w:val="24"/>
        </w:rPr>
        <w:t xml:space="preserve"> </w:t>
      </w:r>
      <w:r w:rsidRPr="006F3A44">
        <w:rPr>
          <w:rFonts w:ascii="Arial" w:hAnsi="Arial" w:cs="Arial"/>
          <w:sz w:val="24"/>
          <w:szCs w:val="24"/>
        </w:rPr>
        <w:t xml:space="preserve">que presentan </w:t>
      </w:r>
      <w:r w:rsidR="00FA1668">
        <w:rPr>
          <w:rFonts w:ascii="Arial" w:hAnsi="Arial" w:cs="Arial"/>
          <w:sz w:val="24"/>
          <w:szCs w:val="24"/>
        </w:rPr>
        <w:t xml:space="preserve">importantes </w:t>
      </w:r>
      <w:r w:rsidRPr="006F3A44">
        <w:rPr>
          <w:rFonts w:ascii="Arial" w:hAnsi="Arial" w:cs="Arial"/>
          <w:sz w:val="24"/>
          <w:szCs w:val="24"/>
        </w:rPr>
        <w:t xml:space="preserve">rezagos en su ejecución que comprometen el cumplimiento de sus objetivos, como, por ejemplo, el </w:t>
      </w:r>
      <w:r w:rsidR="00213657" w:rsidRPr="006F3A44">
        <w:rPr>
          <w:rFonts w:ascii="Arial" w:hAnsi="Arial" w:cs="Arial"/>
          <w:sz w:val="24"/>
          <w:szCs w:val="24"/>
        </w:rPr>
        <w:t xml:space="preserve">Fideicomiso para el Financiamiento del </w:t>
      </w:r>
      <w:r w:rsidR="00997A75" w:rsidRPr="006F3A44">
        <w:rPr>
          <w:rFonts w:ascii="Arial" w:hAnsi="Arial" w:cs="Arial"/>
          <w:sz w:val="24"/>
          <w:szCs w:val="24"/>
        </w:rPr>
        <w:t>Proyecto de Construcción y Equipamiento de la Infraestructura Educativa</w:t>
      </w:r>
      <w:r w:rsidR="00213657" w:rsidRPr="006F3A44">
        <w:rPr>
          <w:rFonts w:ascii="Arial" w:hAnsi="Arial" w:cs="Arial"/>
          <w:sz w:val="24"/>
          <w:szCs w:val="24"/>
        </w:rPr>
        <w:t xml:space="preserve"> (BID 2824/OC-CR)</w:t>
      </w:r>
      <w:r w:rsidR="00997A75" w:rsidRPr="006F3A44">
        <w:rPr>
          <w:rFonts w:ascii="Arial" w:hAnsi="Arial" w:cs="Arial"/>
          <w:sz w:val="24"/>
          <w:szCs w:val="24"/>
        </w:rPr>
        <w:t xml:space="preserve">, </w:t>
      </w:r>
      <w:r w:rsidRPr="006F3A44">
        <w:rPr>
          <w:rFonts w:ascii="Arial" w:hAnsi="Arial" w:cs="Arial"/>
          <w:sz w:val="24"/>
          <w:szCs w:val="24"/>
        </w:rPr>
        <w:t xml:space="preserve">Programa </w:t>
      </w:r>
      <w:r w:rsidR="00997A75" w:rsidRPr="006F3A44">
        <w:rPr>
          <w:rFonts w:ascii="Arial" w:hAnsi="Arial" w:cs="Arial"/>
          <w:sz w:val="24"/>
          <w:szCs w:val="24"/>
        </w:rPr>
        <w:t xml:space="preserve">de </w:t>
      </w:r>
      <w:r w:rsidRPr="006F3A44">
        <w:rPr>
          <w:rFonts w:ascii="Arial" w:hAnsi="Arial" w:cs="Arial"/>
          <w:sz w:val="24"/>
          <w:szCs w:val="24"/>
        </w:rPr>
        <w:t xml:space="preserve">Abastecimiento del Área Metropolitana </w:t>
      </w:r>
      <w:r w:rsidR="00997A75" w:rsidRPr="006F3A44">
        <w:rPr>
          <w:rFonts w:ascii="Arial" w:hAnsi="Arial" w:cs="Arial"/>
          <w:sz w:val="24"/>
          <w:szCs w:val="24"/>
        </w:rPr>
        <w:t>y Limón</w:t>
      </w:r>
      <w:r w:rsidR="00213657" w:rsidRPr="006F3A44">
        <w:rPr>
          <w:rFonts w:ascii="Arial" w:hAnsi="Arial" w:cs="Arial"/>
          <w:sz w:val="24"/>
          <w:szCs w:val="24"/>
        </w:rPr>
        <w:t xml:space="preserve"> (BCIE 1725)</w:t>
      </w:r>
      <w:r w:rsidR="00997A75" w:rsidRPr="006F3A44">
        <w:rPr>
          <w:rFonts w:ascii="Arial" w:hAnsi="Arial" w:cs="Arial"/>
          <w:sz w:val="24"/>
          <w:szCs w:val="24"/>
        </w:rPr>
        <w:t>, Programa de Infraestructura de Transporte</w:t>
      </w:r>
      <w:r w:rsidR="00213657" w:rsidRPr="006F3A44">
        <w:rPr>
          <w:rFonts w:ascii="Arial" w:hAnsi="Arial" w:cs="Arial"/>
          <w:sz w:val="24"/>
          <w:szCs w:val="24"/>
        </w:rPr>
        <w:t xml:space="preserve"> (BID 3071/OC-CR y BID 3072/OC-CR)</w:t>
      </w:r>
      <w:r w:rsidR="00997A75" w:rsidRPr="006F3A44">
        <w:rPr>
          <w:rFonts w:ascii="Arial" w:hAnsi="Arial" w:cs="Arial"/>
          <w:sz w:val="24"/>
          <w:szCs w:val="24"/>
        </w:rPr>
        <w:t>, Programa de Saneamiento en Zonas Prioritarias</w:t>
      </w:r>
      <w:r w:rsidR="00213657" w:rsidRPr="006F3A44">
        <w:rPr>
          <w:rFonts w:ascii="Arial" w:hAnsi="Arial" w:cs="Arial"/>
          <w:sz w:val="24"/>
          <w:szCs w:val="24"/>
        </w:rPr>
        <w:t xml:space="preserve"> (KFW 28568)</w:t>
      </w:r>
      <w:r w:rsidR="00997A75" w:rsidRPr="006F3A44">
        <w:rPr>
          <w:rFonts w:ascii="Arial" w:hAnsi="Arial" w:cs="Arial"/>
          <w:sz w:val="24"/>
          <w:szCs w:val="24"/>
        </w:rPr>
        <w:t xml:space="preserve">, </w:t>
      </w:r>
      <w:r w:rsidRPr="006F3A44">
        <w:rPr>
          <w:rFonts w:ascii="Arial" w:hAnsi="Arial" w:cs="Arial"/>
          <w:sz w:val="24"/>
          <w:szCs w:val="24"/>
        </w:rPr>
        <w:t>Programa de Innovación y Capita</w:t>
      </w:r>
      <w:r w:rsidR="00213657" w:rsidRPr="006F3A44">
        <w:rPr>
          <w:rFonts w:ascii="Arial" w:hAnsi="Arial" w:cs="Arial"/>
          <w:sz w:val="24"/>
          <w:szCs w:val="24"/>
        </w:rPr>
        <w:t>l Humano para la Competitividad (BID 2852/OC-CR)</w:t>
      </w:r>
      <w:r w:rsidR="006F3A44" w:rsidRPr="006F3A44">
        <w:rPr>
          <w:rFonts w:ascii="Arial" w:hAnsi="Arial" w:cs="Arial"/>
          <w:sz w:val="24"/>
          <w:szCs w:val="24"/>
        </w:rPr>
        <w:t xml:space="preserve"> </w:t>
      </w:r>
      <w:r w:rsidRPr="006F3A44">
        <w:rPr>
          <w:rFonts w:ascii="Arial" w:hAnsi="Arial" w:cs="Arial"/>
          <w:sz w:val="24"/>
          <w:szCs w:val="24"/>
        </w:rPr>
        <w:t>y el Programa de</w:t>
      </w:r>
      <w:r w:rsidR="00997A75" w:rsidRPr="006F3A44">
        <w:rPr>
          <w:rFonts w:ascii="Arial" w:hAnsi="Arial" w:cs="Arial"/>
          <w:sz w:val="24"/>
          <w:szCs w:val="24"/>
        </w:rPr>
        <w:t xml:space="preserve"> Modernización y Rehabilitación de Infraestructura Deportiva. </w:t>
      </w:r>
      <w:r w:rsidR="006F3A44" w:rsidRPr="006F3A44">
        <w:rPr>
          <w:rFonts w:ascii="Arial" w:hAnsi="Arial" w:cs="Arial"/>
          <w:sz w:val="24"/>
          <w:szCs w:val="24"/>
        </w:rPr>
        <w:t xml:space="preserve">En conjunto, tales proyectos suman $750 millones (¢466.440,0 millones). </w:t>
      </w:r>
    </w:p>
    <w:p w14:paraId="34F6D2C3" w14:textId="77777777" w:rsidR="00837D0E" w:rsidRDefault="00837D0E" w:rsidP="00CA18C3">
      <w:pPr>
        <w:pStyle w:val="Sinespaciado"/>
        <w:spacing w:line="276" w:lineRule="auto"/>
        <w:jc w:val="both"/>
        <w:rPr>
          <w:rFonts w:ascii="Arial" w:hAnsi="Arial" w:cs="Arial"/>
          <w:sz w:val="24"/>
          <w:szCs w:val="24"/>
        </w:rPr>
      </w:pPr>
    </w:p>
    <w:p w14:paraId="7C005DA6" w14:textId="77777777" w:rsidR="00193222" w:rsidRPr="006F3A44" w:rsidRDefault="00291705" w:rsidP="00CA18C3">
      <w:pPr>
        <w:pStyle w:val="Sinespaciado"/>
        <w:spacing w:line="276" w:lineRule="auto"/>
        <w:jc w:val="both"/>
        <w:rPr>
          <w:rFonts w:ascii="Arial" w:hAnsi="Arial" w:cs="Arial"/>
          <w:sz w:val="24"/>
          <w:szCs w:val="24"/>
        </w:rPr>
      </w:pPr>
      <w:r w:rsidRPr="006F3A44">
        <w:rPr>
          <w:rFonts w:ascii="Arial" w:hAnsi="Arial" w:cs="Arial"/>
          <w:sz w:val="24"/>
          <w:szCs w:val="24"/>
        </w:rPr>
        <w:t xml:space="preserve">La siguiente figura, incorporada en la Memoria Anual 2020 de la Contraloría General de la República, cita claramente los problemas que han tenido </w:t>
      </w:r>
      <w:r w:rsidR="00AF2195" w:rsidRPr="006F3A44">
        <w:rPr>
          <w:rFonts w:ascii="Arial" w:hAnsi="Arial" w:cs="Arial"/>
          <w:sz w:val="24"/>
          <w:szCs w:val="24"/>
        </w:rPr>
        <w:t xml:space="preserve">específicamente </w:t>
      </w:r>
      <w:r w:rsidRPr="006F3A44">
        <w:rPr>
          <w:rFonts w:ascii="Arial" w:hAnsi="Arial" w:cs="Arial"/>
          <w:sz w:val="24"/>
          <w:szCs w:val="24"/>
        </w:rPr>
        <w:t>las unidades ejecutoras de estos proyectos y que han incidido negativamente en la efectiva ejecución de los recursos:</w:t>
      </w:r>
    </w:p>
    <w:p w14:paraId="3515AF34" w14:textId="77777777" w:rsidR="00C6356B" w:rsidRDefault="00C6356B" w:rsidP="00CA18C3">
      <w:pPr>
        <w:pStyle w:val="Sinespaciado"/>
        <w:spacing w:line="276" w:lineRule="auto"/>
        <w:jc w:val="both"/>
        <w:rPr>
          <w:rFonts w:ascii="Arial" w:hAnsi="Arial" w:cs="Arial"/>
          <w:sz w:val="24"/>
          <w:szCs w:val="24"/>
        </w:rPr>
      </w:pPr>
    </w:p>
    <w:p w14:paraId="1BEF2826" w14:textId="77777777" w:rsidR="00F119FD" w:rsidRPr="009B3233" w:rsidRDefault="00F119FD" w:rsidP="00291705">
      <w:pPr>
        <w:pStyle w:val="Sinespaciado"/>
        <w:spacing w:line="276" w:lineRule="auto"/>
        <w:jc w:val="center"/>
        <w:rPr>
          <w:rFonts w:ascii="Arial" w:hAnsi="Arial" w:cs="Arial"/>
          <w:sz w:val="24"/>
          <w:szCs w:val="24"/>
        </w:rPr>
      </w:pPr>
      <w:r>
        <w:rPr>
          <w:noProof/>
          <w:lang w:eastAsia="es-CR"/>
        </w:rPr>
        <w:drawing>
          <wp:inline distT="0" distB="0" distL="0" distR="0" wp14:anchorId="3C8D6C61" wp14:editId="5589F968">
            <wp:extent cx="5428930" cy="3630926"/>
            <wp:effectExtent l="190500" t="190500" r="191135" b="1987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743" t="21735" r="24473" b="15475"/>
                    <a:stretch/>
                  </pic:blipFill>
                  <pic:spPr bwMode="auto">
                    <a:xfrm>
                      <a:off x="0" y="0"/>
                      <a:ext cx="5451722" cy="36461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E3ED81" w14:textId="77777777" w:rsidR="00F53698" w:rsidRDefault="00F53698" w:rsidP="00CA18C3">
      <w:pPr>
        <w:pStyle w:val="Sinespaciado"/>
        <w:spacing w:line="276" w:lineRule="auto"/>
        <w:jc w:val="both"/>
        <w:rPr>
          <w:rFonts w:ascii="Arial" w:hAnsi="Arial" w:cs="Arial"/>
          <w:sz w:val="24"/>
          <w:szCs w:val="24"/>
        </w:rPr>
      </w:pPr>
    </w:p>
    <w:p w14:paraId="031B5472" w14:textId="77777777" w:rsidR="00BE7A19" w:rsidRDefault="00BE7A19" w:rsidP="00CA18C3">
      <w:pPr>
        <w:pStyle w:val="Sinespaciado"/>
        <w:spacing w:line="276" w:lineRule="auto"/>
        <w:jc w:val="both"/>
        <w:rPr>
          <w:rFonts w:ascii="Arial" w:hAnsi="Arial" w:cs="Arial"/>
          <w:sz w:val="24"/>
          <w:szCs w:val="24"/>
        </w:rPr>
      </w:pPr>
      <w:r>
        <w:rPr>
          <w:rFonts w:ascii="Arial" w:hAnsi="Arial" w:cs="Arial"/>
          <w:sz w:val="24"/>
          <w:szCs w:val="24"/>
        </w:rPr>
        <w:t xml:space="preserve">Resulta conveniente y oportuno hacer mención específica al </w:t>
      </w:r>
      <w:r w:rsidRPr="006F3A44">
        <w:rPr>
          <w:rFonts w:ascii="Arial" w:hAnsi="Arial" w:cs="Arial"/>
          <w:sz w:val="24"/>
          <w:szCs w:val="24"/>
        </w:rPr>
        <w:t>Fideicomiso para el Financiamiento del Proyecto de Construcción y Equipamiento de la Infraestructura Educativa (BID 2824/OC-CR)</w:t>
      </w:r>
      <w:r>
        <w:rPr>
          <w:rFonts w:ascii="Arial" w:hAnsi="Arial" w:cs="Arial"/>
          <w:sz w:val="24"/>
          <w:szCs w:val="24"/>
        </w:rPr>
        <w:t xml:space="preserve">. Según Ley N° 9124, se trata de una </w:t>
      </w:r>
      <w:r w:rsidRPr="00BE7A19">
        <w:rPr>
          <w:rFonts w:ascii="Arial" w:hAnsi="Arial" w:cs="Arial"/>
          <w:sz w:val="24"/>
          <w:szCs w:val="24"/>
        </w:rPr>
        <w:t>autoriza</w:t>
      </w:r>
      <w:r>
        <w:rPr>
          <w:rFonts w:ascii="Arial" w:hAnsi="Arial" w:cs="Arial"/>
          <w:sz w:val="24"/>
          <w:szCs w:val="24"/>
        </w:rPr>
        <w:t>ción</w:t>
      </w:r>
      <w:r w:rsidRPr="00BE7A19">
        <w:rPr>
          <w:rFonts w:ascii="Arial" w:hAnsi="Arial" w:cs="Arial"/>
          <w:sz w:val="24"/>
          <w:szCs w:val="24"/>
        </w:rPr>
        <w:t xml:space="preserve"> al Poder Ejecutivo para suscribir una operación de crédito público, mediante un fideicomiso con contratos de arrendamiento financiero, por un monto hasta de US$167.5</w:t>
      </w:r>
      <w:r>
        <w:rPr>
          <w:rFonts w:ascii="Arial" w:hAnsi="Arial" w:cs="Arial"/>
          <w:sz w:val="24"/>
          <w:szCs w:val="24"/>
        </w:rPr>
        <w:t xml:space="preserve"> millones, </w:t>
      </w:r>
      <w:r w:rsidRPr="00BE7A19">
        <w:rPr>
          <w:rFonts w:ascii="Arial" w:hAnsi="Arial" w:cs="Arial"/>
          <w:sz w:val="24"/>
          <w:szCs w:val="24"/>
        </w:rPr>
        <w:t>para financiar el Proyecto</w:t>
      </w:r>
      <w:r>
        <w:rPr>
          <w:rFonts w:ascii="Arial" w:hAnsi="Arial" w:cs="Arial"/>
          <w:sz w:val="24"/>
          <w:szCs w:val="24"/>
        </w:rPr>
        <w:t xml:space="preserve"> </w:t>
      </w:r>
      <w:r w:rsidRPr="00BE7A19">
        <w:rPr>
          <w:rFonts w:ascii="Arial" w:hAnsi="Arial" w:cs="Arial"/>
          <w:sz w:val="24"/>
          <w:szCs w:val="24"/>
        </w:rPr>
        <w:t>Construcción y Equipamiento de Infraestructura Educativa del MEP a Nivel Nacional.</w:t>
      </w:r>
      <w:r>
        <w:rPr>
          <w:rFonts w:ascii="Arial" w:hAnsi="Arial" w:cs="Arial"/>
          <w:sz w:val="24"/>
          <w:szCs w:val="24"/>
        </w:rPr>
        <w:t xml:space="preserve"> </w:t>
      </w:r>
    </w:p>
    <w:p w14:paraId="4A834014" w14:textId="77777777" w:rsidR="00BE7A19" w:rsidRDefault="00BE7A19" w:rsidP="00CA18C3">
      <w:pPr>
        <w:pStyle w:val="Sinespaciado"/>
        <w:spacing w:line="276" w:lineRule="auto"/>
        <w:jc w:val="both"/>
        <w:rPr>
          <w:rFonts w:ascii="Arial" w:hAnsi="Arial" w:cs="Arial"/>
          <w:sz w:val="24"/>
          <w:szCs w:val="24"/>
        </w:rPr>
      </w:pPr>
    </w:p>
    <w:p w14:paraId="283E0E9E" w14:textId="77777777" w:rsidR="00BE7A19" w:rsidRDefault="00BE7A19" w:rsidP="00CA18C3">
      <w:pPr>
        <w:pStyle w:val="Sinespaciado"/>
        <w:spacing w:line="276" w:lineRule="auto"/>
        <w:jc w:val="both"/>
        <w:rPr>
          <w:rFonts w:ascii="Arial" w:hAnsi="Arial" w:cs="Arial"/>
          <w:sz w:val="24"/>
          <w:szCs w:val="24"/>
        </w:rPr>
      </w:pPr>
      <w:r>
        <w:rPr>
          <w:rFonts w:ascii="Arial" w:hAnsi="Arial" w:cs="Arial"/>
          <w:sz w:val="24"/>
          <w:szCs w:val="24"/>
        </w:rPr>
        <w:t xml:space="preserve">Según información </w:t>
      </w:r>
      <w:r w:rsidR="00FA1668">
        <w:rPr>
          <w:rFonts w:ascii="Arial" w:hAnsi="Arial" w:cs="Arial"/>
          <w:sz w:val="24"/>
          <w:szCs w:val="24"/>
        </w:rPr>
        <w:t>contenida e</w:t>
      </w:r>
      <w:r>
        <w:rPr>
          <w:rFonts w:ascii="Arial" w:hAnsi="Arial" w:cs="Arial"/>
          <w:sz w:val="24"/>
          <w:szCs w:val="24"/>
        </w:rPr>
        <w:t xml:space="preserve">n el </w:t>
      </w:r>
      <w:r w:rsidRPr="00BE7A19">
        <w:rPr>
          <w:rFonts w:ascii="Arial" w:hAnsi="Arial" w:cs="Arial"/>
          <w:sz w:val="24"/>
          <w:szCs w:val="24"/>
        </w:rPr>
        <w:t>Informe de Seguimiento del II Semestre 2020 sobre los Créditos Externos en periodo de ejecución del Gobierno Central y Resto del Sector Público</w:t>
      </w:r>
      <w:r>
        <w:rPr>
          <w:rFonts w:ascii="Arial" w:hAnsi="Arial" w:cs="Arial"/>
          <w:sz w:val="24"/>
          <w:szCs w:val="24"/>
        </w:rPr>
        <w:t>, elaborado por la Dirección de Crédito Público, este proyecto presenta los siguientes problemas al cierre de dicho año</w:t>
      </w:r>
      <w:r w:rsidR="00FA1668">
        <w:rPr>
          <w:rStyle w:val="Refdenotaalpie"/>
          <w:rFonts w:ascii="Arial" w:hAnsi="Arial" w:cs="Arial"/>
          <w:sz w:val="24"/>
          <w:szCs w:val="24"/>
        </w:rPr>
        <w:footnoteReference w:id="25"/>
      </w:r>
      <w:r>
        <w:rPr>
          <w:rFonts w:ascii="Arial" w:hAnsi="Arial" w:cs="Arial"/>
          <w:sz w:val="24"/>
          <w:szCs w:val="24"/>
        </w:rPr>
        <w:t>:</w:t>
      </w:r>
    </w:p>
    <w:p w14:paraId="3E34C1AD" w14:textId="77777777" w:rsidR="00C46CAC" w:rsidRDefault="00C46CAC" w:rsidP="00CA18C3">
      <w:pPr>
        <w:pStyle w:val="Sinespaciado"/>
        <w:spacing w:line="276" w:lineRule="auto"/>
        <w:jc w:val="both"/>
        <w:rPr>
          <w:rFonts w:ascii="Arial" w:hAnsi="Arial" w:cs="Arial"/>
          <w:sz w:val="24"/>
          <w:szCs w:val="24"/>
        </w:rPr>
      </w:pPr>
    </w:p>
    <w:p w14:paraId="08F6F12D" w14:textId="77777777" w:rsidR="00BE7A19" w:rsidRDefault="00BE7A19" w:rsidP="00CA18C3">
      <w:pPr>
        <w:pStyle w:val="Sinespaciado"/>
        <w:numPr>
          <w:ilvl w:val="0"/>
          <w:numId w:val="4"/>
        </w:numPr>
        <w:spacing w:line="276" w:lineRule="auto"/>
        <w:jc w:val="both"/>
        <w:rPr>
          <w:rFonts w:ascii="Arial" w:hAnsi="Arial" w:cs="Arial"/>
          <w:sz w:val="24"/>
          <w:szCs w:val="24"/>
        </w:rPr>
      </w:pPr>
      <w:r w:rsidRPr="00BE7A19">
        <w:rPr>
          <w:rFonts w:ascii="Arial" w:hAnsi="Arial" w:cs="Arial"/>
          <w:sz w:val="24"/>
          <w:szCs w:val="24"/>
        </w:rPr>
        <w:t>El monto para el mantenimiento de las obras en la cuota de arrendamiento no es suficiente</w:t>
      </w:r>
      <w:r>
        <w:rPr>
          <w:rFonts w:ascii="Arial" w:hAnsi="Arial" w:cs="Arial"/>
          <w:sz w:val="24"/>
          <w:szCs w:val="24"/>
        </w:rPr>
        <w:t xml:space="preserve"> </w:t>
      </w:r>
      <w:r w:rsidRPr="00BE7A19">
        <w:rPr>
          <w:rFonts w:ascii="Arial" w:hAnsi="Arial" w:cs="Arial"/>
          <w:sz w:val="24"/>
          <w:szCs w:val="24"/>
        </w:rPr>
        <w:t>para cubrir los costos de los Centros Educativos.</w:t>
      </w:r>
    </w:p>
    <w:p w14:paraId="048F1156" w14:textId="77777777" w:rsidR="00FA1668" w:rsidRDefault="00FA1668" w:rsidP="00CA18C3">
      <w:pPr>
        <w:pStyle w:val="Sinespaciado"/>
        <w:spacing w:line="276" w:lineRule="auto"/>
        <w:ind w:left="720"/>
        <w:jc w:val="both"/>
        <w:rPr>
          <w:rFonts w:ascii="Arial" w:hAnsi="Arial" w:cs="Arial"/>
          <w:sz w:val="24"/>
          <w:szCs w:val="24"/>
        </w:rPr>
      </w:pPr>
    </w:p>
    <w:p w14:paraId="7F98B661" w14:textId="77777777" w:rsidR="00BE7A19" w:rsidRDefault="00BE7A19" w:rsidP="00CA18C3">
      <w:pPr>
        <w:pStyle w:val="Sinespaciado"/>
        <w:numPr>
          <w:ilvl w:val="0"/>
          <w:numId w:val="4"/>
        </w:numPr>
        <w:spacing w:line="276" w:lineRule="auto"/>
        <w:jc w:val="both"/>
        <w:rPr>
          <w:rFonts w:ascii="Arial" w:hAnsi="Arial" w:cs="Arial"/>
          <w:sz w:val="24"/>
          <w:szCs w:val="24"/>
        </w:rPr>
      </w:pPr>
      <w:r w:rsidRPr="00BE7A19">
        <w:rPr>
          <w:rFonts w:ascii="Arial" w:hAnsi="Arial" w:cs="Arial"/>
          <w:sz w:val="24"/>
          <w:szCs w:val="24"/>
        </w:rPr>
        <w:t>Gastos (terrenos, mantenimientos, vigilancia) que no terminen en obra concluida.</w:t>
      </w:r>
    </w:p>
    <w:p w14:paraId="2099928A" w14:textId="77777777" w:rsidR="00FA1668" w:rsidRDefault="00FA1668" w:rsidP="00CA18C3">
      <w:pPr>
        <w:pStyle w:val="Sinespaciado"/>
        <w:spacing w:line="276" w:lineRule="auto"/>
        <w:ind w:left="720"/>
        <w:jc w:val="both"/>
        <w:rPr>
          <w:rFonts w:ascii="Arial" w:hAnsi="Arial" w:cs="Arial"/>
          <w:sz w:val="24"/>
          <w:szCs w:val="24"/>
        </w:rPr>
      </w:pPr>
    </w:p>
    <w:p w14:paraId="3E976FCE" w14:textId="77777777" w:rsidR="00BE7A19" w:rsidRDefault="00BE7A19" w:rsidP="00CA18C3">
      <w:pPr>
        <w:pStyle w:val="Sinespaciado"/>
        <w:numPr>
          <w:ilvl w:val="0"/>
          <w:numId w:val="4"/>
        </w:numPr>
        <w:spacing w:line="276" w:lineRule="auto"/>
        <w:jc w:val="both"/>
        <w:rPr>
          <w:rFonts w:ascii="Arial" w:hAnsi="Arial" w:cs="Arial"/>
          <w:sz w:val="24"/>
          <w:szCs w:val="24"/>
        </w:rPr>
      </w:pPr>
      <w:r w:rsidRPr="00BE7A19">
        <w:rPr>
          <w:rFonts w:ascii="Arial" w:hAnsi="Arial" w:cs="Arial"/>
          <w:sz w:val="24"/>
          <w:szCs w:val="24"/>
        </w:rPr>
        <w:t>Atrasos y abandono de obra por parte de los contratistas, provocando cambios en el inicio,</w:t>
      </w:r>
      <w:r>
        <w:rPr>
          <w:rFonts w:ascii="Arial" w:hAnsi="Arial" w:cs="Arial"/>
          <w:sz w:val="24"/>
          <w:szCs w:val="24"/>
        </w:rPr>
        <w:t xml:space="preserve"> </w:t>
      </w:r>
      <w:r w:rsidRPr="00BE7A19">
        <w:rPr>
          <w:rFonts w:ascii="Arial" w:hAnsi="Arial" w:cs="Arial"/>
          <w:sz w:val="24"/>
          <w:szCs w:val="24"/>
        </w:rPr>
        <w:t>ejecución y fin de hitos de las diferentes obras.</w:t>
      </w:r>
    </w:p>
    <w:p w14:paraId="52A90A1A" w14:textId="77777777" w:rsidR="00FA1668" w:rsidRDefault="00FA1668" w:rsidP="00CA18C3">
      <w:pPr>
        <w:pStyle w:val="Sinespaciado"/>
        <w:spacing w:line="276" w:lineRule="auto"/>
        <w:ind w:left="360"/>
        <w:jc w:val="both"/>
        <w:rPr>
          <w:rFonts w:ascii="Arial" w:hAnsi="Arial" w:cs="Arial"/>
          <w:sz w:val="24"/>
          <w:szCs w:val="24"/>
        </w:rPr>
      </w:pPr>
    </w:p>
    <w:p w14:paraId="39F5603C" w14:textId="77777777" w:rsidR="00BE7A19" w:rsidRDefault="00BE7A19" w:rsidP="00CA18C3">
      <w:pPr>
        <w:pStyle w:val="Sinespaciado"/>
        <w:numPr>
          <w:ilvl w:val="0"/>
          <w:numId w:val="4"/>
        </w:numPr>
        <w:spacing w:line="276" w:lineRule="auto"/>
        <w:jc w:val="both"/>
        <w:rPr>
          <w:rFonts w:ascii="Arial" w:hAnsi="Arial" w:cs="Arial"/>
          <w:sz w:val="24"/>
          <w:szCs w:val="24"/>
        </w:rPr>
      </w:pPr>
      <w:r w:rsidRPr="00BE7A19">
        <w:rPr>
          <w:rFonts w:ascii="Arial" w:hAnsi="Arial" w:cs="Arial"/>
          <w:sz w:val="24"/>
          <w:szCs w:val="24"/>
        </w:rPr>
        <w:t>No concluir o recibir las 8 obras pendientes para finalizar con el total de 55 obras.</w:t>
      </w:r>
      <w:r w:rsidR="00F60178">
        <w:rPr>
          <w:rFonts w:ascii="Arial" w:hAnsi="Arial" w:cs="Arial"/>
          <w:sz w:val="24"/>
          <w:szCs w:val="24"/>
        </w:rPr>
        <w:t xml:space="preserve"> En la Ley N° 9124, se enlistaron 103 obras.</w:t>
      </w:r>
    </w:p>
    <w:p w14:paraId="1579C101" w14:textId="77777777" w:rsidR="00BE7A19" w:rsidRDefault="00BE7A19" w:rsidP="00CA18C3">
      <w:pPr>
        <w:pStyle w:val="Sinespaciado"/>
        <w:spacing w:line="276" w:lineRule="auto"/>
        <w:jc w:val="both"/>
        <w:rPr>
          <w:rFonts w:ascii="Arial" w:hAnsi="Arial" w:cs="Arial"/>
          <w:sz w:val="24"/>
          <w:szCs w:val="24"/>
        </w:rPr>
      </w:pPr>
    </w:p>
    <w:p w14:paraId="7AEE09B8" w14:textId="77777777" w:rsidR="00C46CAC" w:rsidRDefault="00A50D2B" w:rsidP="00CA18C3">
      <w:pPr>
        <w:pStyle w:val="Sinespaciado"/>
        <w:spacing w:line="276" w:lineRule="auto"/>
        <w:jc w:val="both"/>
        <w:rPr>
          <w:rFonts w:ascii="Arial" w:hAnsi="Arial" w:cs="Arial"/>
          <w:sz w:val="24"/>
          <w:szCs w:val="24"/>
        </w:rPr>
      </w:pPr>
      <w:r>
        <w:rPr>
          <w:rFonts w:ascii="Arial" w:hAnsi="Arial" w:cs="Arial"/>
          <w:sz w:val="24"/>
          <w:szCs w:val="24"/>
        </w:rPr>
        <w:t xml:space="preserve">Para </w:t>
      </w:r>
      <w:r w:rsidR="00C46CAC">
        <w:rPr>
          <w:rFonts w:ascii="Arial" w:hAnsi="Arial" w:cs="Arial"/>
          <w:sz w:val="24"/>
          <w:szCs w:val="24"/>
        </w:rPr>
        <w:t xml:space="preserve">dicha </w:t>
      </w:r>
      <w:r>
        <w:rPr>
          <w:rFonts w:ascii="Arial" w:hAnsi="Arial" w:cs="Arial"/>
          <w:sz w:val="24"/>
          <w:szCs w:val="24"/>
        </w:rPr>
        <w:t xml:space="preserve">Dirección, </w:t>
      </w:r>
      <w:r w:rsidR="00C46CAC">
        <w:rPr>
          <w:rFonts w:ascii="Arial" w:hAnsi="Arial" w:cs="Arial"/>
          <w:sz w:val="24"/>
          <w:szCs w:val="24"/>
        </w:rPr>
        <w:t xml:space="preserve">el Proyecto se encuentra en una fase crítica </w:t>
      </w:r>
      <w:r w:rsidRPr="00A50D2B">
        <w:rPr>
          <w:rFonts w:ascii="Arial" w:hAnsi="Arial" w:cs="Arial"/>
          <w:sz w:val="24"/>
          <w:szCs w:val="24"/>
        </w:rPr>
        <w:t>debido a que el Fiduciario no logró finalizar las</w:t>
      </w:r>
      <w:r>
        <w:rPr>
          <w:rFonts w:ascii="Arial" w:hAnsi="Arial" w:cs="Arial"/>
          <w:sz w:val="24"/>
          <w:szCs w:val="24"/>
        </w:rPr>
        <w:t xml:space="preserve"> </w:t>
      </w:r>
      <w:r w:rsidRPr="00A50D2B">
        <w:rPr>
          <w:rFonts w:ascii="Arial" w:hAnsi="Arial" w:cs="Arial"/>
          <w:sz w:val="24"/>
          <w:szCs w:val="24"/>
        </w:rPr>
        <w:t>obras dentro del plazo establecido de ejecución inicial (enero 2019) ni con la segunda solicitud de</w:t>
      </w:r>
      <w:r>
        <w:rPr>
          <w:rFonts w:ascii="Arial" w:hAnsi="Arial" w:cs="Arial"/>
          <w:sz w:val="24"/>
          <w:szCs w:val="24"/>
        </w:rPr>
        <w:t xml:space="preserve"> </w:t>
      </w:r>
      <w:r w:rsidRPr="00A50D2B">
        <w:rPr>
          <w:rFonts w:ascii="Arial" w:hAnsi="Arial" w:cs="Arial"/>
          <w:sz w:val="24"/>
          <w:szCs w:val="24"/>
        </w:rPr>
        <w:t>extensión del plazo de ejecución al 31 de diciembre del 2020. Lo anterior, se debe a los atrasos</w:t>
      </w:r>
      <w:r>
        <w:rPr>
          <w:rFonts w:ascii="Arial" w:hAnsi="Arial" w:cs="Arial"/>
          <w:sz w:val="24"/>
          <w:szCs w:val="24"/>
        </w:rPr>
        <w:t xml:space="preserve"> </w:t>
      </w:r>
      <w:r w:rsidRPr="00A50D2B">
        <w:rPr>
          <w:rFonts w:ascii="Arial" w:hAnsi="Arial" w:cs="Arial"/>
          <w:sz w:val="24"/>
          <w:szCs w:val="24"/>
        </w:rPr>
        <w:t>presentados en los procesos de planificación, contratación, ejecución y cierre financiero de las obras,</w:t>
      </w:r>
      <w:r>
        <w:rPr>
          <w:rFonts w:ascii="Arial" w:hAnsi="Arial" w:cs="Arial"/>
          <w:sz w:val="24"/>
          <w:szCs w:val="24"/>
        </w:rPr>
        <w:t xml:space="preserve"> </w:t>
      </w:r>
      <w:r w:rsidRPr="00A50D2B">
        <w:rPr>
          <w:rFonts w:ascii="Arial" w:hAnsi="Arial" w:cs="Arial"/>
          <w:sz w:val="24"/>
          <w:szCs w:val="24"/>
        </w:rPr>
        <w:t>por lo que, el fideicomiso tendría que devolver al BID los gastos considerados como no elegibles.</w:t>
      </w:r>
      <w:r>
        <w:rPr>
          <w:rFonts w:ascii="Arial" w:hAnsi="Arial" w:cs="Arial"/>
          <w:sz w:val="24"/>
          <w:szCs w:val="24"/>
        </w:rPr>
        <w:t xml:space="preserve"> </w:t>
      </w:r>
    </w:p>
    <w:p w14:paraId="18F7C731" w14:textId="77777777" w:rsidR="00C46CAC" w:rsidRDefault="00C46CAC" w:rsidP="00CA18C3">
      <w:pPr>
        <w:pStyle w:val="Sinespaciado"/>
        <w:spacing w:line="276" w:lineRule="auto"/>
        <w:jc w:val="both"/>
        <w:rPr>
          <w:rFonts w:ascii="Arial" w:hAnsi="Arial" w:cs="Arial"/>
          <w:sz w:val="24"/>
          <w:szCs w:val="24"/>
        </w:rPr>
      </w:pPr>
    </w:p>
    <w:p w14:paraId="74A15347" w14:textId="77777777" w:rsidR="00A50D2B" w:rsidRDefault="00A50D2B" w:rsidP="00CA18C3">
      <w:pPr>
        <w:pStyle w:val="Sinespaciado"/>
        <w:spacing w:line="276" w:lineRule="auto"/>
        <w:jc w:val="both"/>
        <w:rPr>
          <w:rFonts w:ascii="Arial" w:hAnsi="Arial" w:cs="Arial"/>
          <w:sz w:val="24"/>
          <w:szCs w:val="24"/>
        </w:rPr>
      </w:pPr>
      <w:r w:rsidRPr="00A50D2B">
        <w:rPr>
          <w:rFonts w:ascii="Arial" w:hAnsi="Arial" w:cs="Arial"/>
          <w:sz w:val="24"/>
          <w:szCs w:val="24"/>
        </w:rPr>
        <w:t>Dentro de los problemas que no se han solucionado y que están trasladando repercusiones en el flujo</w:t>
      </w:r>
      <w:r>
        <w:rPr>
          <w:rFonts w:ascii="Arial" w:hAnsi="Arial" w:cs="Arial"/>
          <w:sz w:val="24"/>
          <w:szCs w:val="24"/>
        </w:rPr>
        <w:t xml:space="preserve"> </w:t>
      </w:r>
      <w:r w:rsidRPr="00A50D2B">
        <w:rPr>
          <w:rFonts w:ascii="Arial" w:hAnsi="Arial" w:cs="Arial"/>
          <w:sz w:val="24"/>
          <w:szCs w:val="24"/>
        </w:rPr>
        <w:t>financiero, es que desde hace aproximadamente un año el MEP debe realizar el repago de 23 terrenos</w:t>
      </w:r>
      <w:r w:rsidR="00C46CAC">
        <w:rPr>
          <w:rFonts w:ascii="Arial" w:hAnsi="Arial" w:cs="Arial"/>
          <w:sz w:val="24"/>
          <w:szCs w:val="24"/>
        </w:rPr>
        <w:t xml:space="preserve"> </w:t>
      </w:r>
      <w:r w:rsidRPr="00A50D2B">
        <w:rPr>
          <w:rFonts w:ascii="Arial" w:hAnsi="Arial" w:cs="Arial"/>
          <w:sz w:val="24"/>
          <w:szCs w:val="24"/>
        </w:rPr>
        <w:t>al fideicomiso, terrenos que se compraron con recursos BID pero que no van a poder terminar en obra,</w:t>
      </w:r>
      <w:r>
        <w:rPr>
          <w:rFonts w:ascii="Arial" w:hAnsi="Arial" w:cs="Arial"/>
          <w:sz w:val="24"/>
          <w:szCs w:val="24"/>
        </w:rPr>
        <w:t xml:space="preserve"> </w:t>
      </w:r>
      <w:r w:rsidRPr="00A50D2B">
        <w:rPr>
          <w:rFonts w:ascii="Arial" w:hAnsi="Arial" w:cs="Arial"/>
          <w:sz w:val="24"/>
          <w:szCs w:val="24"/>
        </w:rPr>
        <w:t>por lo que no terminan en contrato de arrendamiento, provocando que el Fiduciario tal como se</w:t>
      </w:r>
      <w:r>
        <w:rPr>
          <w:rFonts w:ascii="Arial" w:hAnsi="Arial" w:cs="Arial"/>
          <w:sz w:val="24"/>
          <w:szCs w:val="24"/>
        </w:rPr>
        <w:t xml:space="preserve"> </w:t>
      </w:r>
      <w:r w:rsidRPr="00A50D2B">
        <w:rPr>
          <w:rFonts w:ascii="Arial" w:hAnsi="Arial" w:cs="Arial"/>
          <w:sz w:val="24"/>
          <w:szCs w:val="24"/>
        </w:rPr>
        <w:t>mencionó anteriormente tenga que revisar su flujo financiero tomando en cuenta los ingresos</w:t>
      </w:r>
      <w:r>
        <w:rPr>
          <w:rFonts w:ascii="Arial" w:hAnsi="Arial" w:cs="Arial"/>
          <w:sz w:val="24"/>
          <w:szCs w:val="24"/>
        </w:rPr>
        <w:t xml:space="preserve"> </w:t>
      </w:r>
      <w:r w:rsidRPr="00A50D2B">
        <w:rPr>
          <w:rFonts w:ascii="Arial" w:hAnsi="Arial" w:cs="Arial"/>
          <w:sz w:val="24"/>
          <w:szCs w:val="24"/>
        </w:rPr>
        <w:t>generados en los contratos de arrendamiento y los tiempos en que se reciben, asimismo, el BNCR, el</w:t>
      </w:r>
      <w:r>
        <w:rPr>
          <w:rFonts w:ascii="Arial" w:hAnsi="Arial" w:cs="Arial"/>
          <w:sz w:val="24"/>
          <w:szCs w:val="24"/>
        </w:rPr>
        <w:t xml:space="preserve"> </w:t>
      </w:r>
      <w:r w:rsidRPr="00A50D2B">
        <w:rPr>
          <w:rFonts w:ascii="Arial" w:hAnsi="Arial" w:cs="Arial"/>
          <w:sz w:val="24"/>
          <w:szCs w:val="24"/>
        </w:rPr>
        <w:t>MEP y el BID, están analizando el procedimiento que permitirá hacer la devolución de los recursos al</w:t>
      </w:r>
      <w:r>
        <w:rPr>
          <w:rFonts w:ascii="Arial" w:hAnsi="Arial" w:cs="Arial"/>
          <w:sz w:val="24"/>
          <w:szCs w:val="24"/>
        </w:rPr>
        <w:t xml:space="preserve"> </w:t>
      </w:r>
      <w:r w:rsidRPr="00A50D2B">
        <w:rPr>
          <w:rFonts w:ascii="Arial" w:hAnsi="Arial" w:cs="Arial"/>
          <w:sz w:val="24"/>
          <w:szCs w:val="24"/>
        </w:rPr>
        <w:t>BID.</w:t>
      </w:r>
    </w:p>
    <w:p w14:paraId="6C04B8A3" w14:textId="77777777" w:rsidR="00F60178" w:rsidRDefault="00F60178" w:rsidP="00CA18C3">
      <w:pPr>
        <w:pStyle w:val="Sinespaciado"/>
        <w:spacing w:line="276" w:lineRule="auto"/>
        <w:jc w:val="both"/>
        <w:rPr>
          <w:rFonts w:ascii="Arial" w:hAnsi="Arial" w:cs="Arial"/>
          <w:sz w:val="24"/>
          <w:szCs w:val="24"/>
        </w:rPr>
      </w:pPr>
    </w:p>
    <w:p w14:paraId="0C2C2A26" w14:textId="77777777" w:rsidR="00F60178" w:rsidRDefault="00F60178" w:rsidP="00CA18C3">
      <w:pPr>
        <w:pStyle w:val="Sinespaciado"/>
        <w:spacing w:line="276" w:lineRule="auto"/>
        <w:jc w:val="both"/>
        <w:rPr>
          <w:rFonts w:ascii="Arial" w:hAnsi="Arial" w:cs="Arial"/>
          <w:sz w:val="24"/>
          <w:szCs w:val="24"/>
        </w:rPr>
      </w:pPr>
      <w:r>
        <w:rPr>
          <w:rFonts w:ascii="Arial" w:hAnsi="Arial" w:cs="Arial"/>
          <w:sz w:val="24"/>
          <w:szCs w:val="24"/>
        </w:rPr>
        <w:t>A pesar de la fase crítica en que se encuentra este Proyecto de Fideicomiso, el Poder Ejecutivo incluyó en el presupuesto inicial 2021, los siguientes recursos:</w:t>
      </w:r>
    </w:p>
    <w:p w14:paraId="15599AB2" w14:textId="77777777" w:rsidR="00F60178" w:rsidRDefault="00F60178" w:rsidP="00CA18C3">
      <w:pPr>
        <w:pStyle w:val="Sinespaciado"/>
        <w:spacing w:line="276" w:lineRule="auto"/>
        <w:jc w:val="both"/>
        <w:rPr>
          <w:rFonts w:ascii="Arial" w:hAnsi="Arial" w:cs="Arial"/>
          <w:sz w:val="24"/>
          <w:szCs w:val="24"/>
        </w:rPr>
      </w:pPr>
    </w:p>
    <w:p w14:paraId="29905C8E" w14:textId="77777777" w:rsidR="00F60178" w:rsidRDefault="00F60178" w:rsidP="00F60178">
      <w:pPr>
        <w:pStyle w:val="Sinespaciado"/>
        <w:spacing w:line="276" w:lineRule="auto"/>
        <w:jc w:val="center"/>
        <w:rPr>
          <w:rFonts w:ascii="Arial" w:hAnsi="Arial" w:cs="Arial"/>
          <w:sz w:val="24"/>
          <w:szCs w:val="24"/>
        </w:rPr>
      </w:pPr>
      <w:r>
        <w:rPr>
          <w:noProof/>
          <w:lang w:eastAsia="es-CR"/>
        </w:rPr>
        <w:drawing>
          <wp:inline distT="0" distB="0" distL="0" distR="0" wp14:anchorId="6FD05616" wp14:editId="5A313E4A">
            <wp:extent cx="5154490" cy="18002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688" t="39847" r="23454" b="24834"/>
                    <a:stretch/>
                  </pic:blipFill>
                  <pic:spPr bwMode="auto">
                    <a:xfrm>
                      <a:off x="0" y="0"/>
                      <a:ext cx="5171409" cy="1806134"/>
                    </a:xfrm>
                    <a:prstGeom prst="rect">
                      <a:avLst/>
                    </a:prstGeom>
                    <a:ln>
                      <a:noFill/>
                    </a:ln>
                    <a:extLst>
                      <a:ext uri="{53640926-AAD7-44D8-BBD7-CCE9431645EC}">
                        <a14:shadowObscured xmlns:a14="http://schemas.microsoft.com/office/drawing/2010/main"/>
                      </a:ext>
                    </a:extLst>
                  </pic:spPr>
                </pic:pic>
              </a:graphicData>
            </a:graphic>
          </wp:inline>
        </w:drawing>
      </w:r>
    </w:p>
    <w:p w14:paraId="223B8EC7" w14:textId="77777777" w:rsidR="00C46CAC" w:rsidRPr="00F60178" w:rsidRDefault="00F60178" w:rsidP="00A50D2B">
      <w:pPr>
        <w:pStyle w:val="Sinespaciado"/>
        <w:spacing w:line="276" w:lineRule="auto"/>
        <w:jc w:val="both"/>
        <w:rPr>
          <w:rFonts w:ascii="Arial" w:hAnsi="Arial" w:cs="Arial"/>
          <w:sz w:val="16"/>
          <w:szCs w:val="16"/>
        </w:rPr>
      </w:pPr>
      <w:r>
        <w:rPr>
          <w:rFonts w:ascii="Arial" w:hAnsi="Arial" w:cs="Arial"/>
          <w:sz w:val="16"/>
          <w:szCs w:val="16"/>
        </w:rPr>
        <w:t xml:space="preserve">          </w:t>
      </w:r>
      <w:r w:rsidRPr="00F60178">
        <w:rPr>
          <w:rFonts w:ascii="Arial" w:hAnsi="Arial" w:cs="Arial"/>
          <w:sz w:val="16"/>
          <w:szCs w:val="16"/>
        </w:rPr>
        <w:t>Fuente: CGR.</w:t>
      </w:r>
    </w:p>
    <w:p w14:paraId="61E11DF1" w14:textId="77777777" w:rsidR="00F60178" w:rsidRDefault="00F60178" w:rsidP="00A50D2B">
      <w:pPr>
        <w:pStyle w:val="Sinespaciado"/>
        <w:spacing w:line="276" w:lineRule="auto"/>
        <w:jc w:val="both"/>
        <w:rPr>
          <w:rFonts w:ascii="Arial" w:hAnsi="Arial" w:cs="Arial"/>
          <w:sz w:val="24"/>
          <w:szCs w:val="24"/>
        </w:rPr>
      </w:pPr>
    </w:p>
    <w:p w14:paraId="1446827E" w14:textId="08E5FE5D" w:rsidR="00FA1668" w:rsidRDefault="00FA1668" w:rsidP="00CA18C3">
      <w:pPr>
        <w:pStyle w:val="Sinespaciado"/>
        <w:spacing w:line="276" w:lineRule="auto"/>
        <w:jc w:val="both"/>
        <w:rPr>
          <w:rFonts w:ascii="Arial" w:hAnsi="Arial" w:cs="Arial"/>
          <w:sz w:val="24"/>
          <w:szCs w:val="24"/>
        </w:rPr>
      </w:pPr>
      <w:r>
        <w:rPr>
          <w:rFonts w:ascii="Arial" w:hAnsi="Arial" w:cs="Arial"/>
          <w:sz w:val="24"/>
          <w:szCs w:val="24"/>
        </w:rPr>
        <w:t xml:space="preserve">Para </w:t>
      </w:r>
      <w:r w:rsidR="005B205F">
        <w:rPr>
          <w:rFonts w:ascii="Arial" w:hAnsi="Arial" w:cs="Arial"/>
          <w:sz w:val="24"/>
          <w:szCs w:val="24"/>
        </w:rPr>
        <w:t>el IV Presupuesto Extraordinario y V Modificación Presupuestaria 2021, expediente 22.541 (proyecto que fue desconvocado de</w:t>
      </w:r>
      <w:r>
        <w:rPr>
          <w:rFonts w:ascii="Arial" w:hAnsi="Arial" w:cs="Arial"/>
          <w:sz w:val="24"/>
          <w:szCs w:val="24"/>
        </w:rPr>
        <w:t>l actual periodo</w:t>
      </w:r>
      <w:r w:rsidR="005B205F">
        <w:rPr>
          <w:rFonts w:ascii="Arial" w:hAnsi="Arial" w:cs="Arial"/>
          <w:sz w:val="24"/>
          <w:szCs w:val="24"/>
        </w:rPr>
        <w:t xml:space="preserve"> sesiones extraordinarias), </w:t>
      </w:r>
      <w:r w:rsidR="00F56F1F">
        <w:rPr>
          <w:rFonts w:ascii="Arial" w:hAnsi="Arial" w:cs="Arial"/>
          <w:sz w:val="24"/>
          <w:szCs w:val="24"/>
        </w:rPr>
        <w:t>e</w:t>
      </w:r>
      <w:r w:rsidR="005B205F">
        <w:rPr>
          <w:rFonts w:ascii="Arial" w:hAnsi="Arial" w:cs="Arial"/>
          <w:sz w:val="24"/>
          <w:szCs w:val="24"/>
        </w:rPr>
        <w:t xml:space="preserve">l Poder Ejecutivo pretendía asignar al MEP </w:t>
      </w:r>
      <w:r w:rsidR="005B205F" w:rsidRPr="005B205F">
        <w:rPr>
          <w:rFonts w:ascii="Arial" w:hAnsi="Arial" w:cs="Arial"/>
          <w:sz w:val="24"/>
          <w:szCs w:val="24"/>
        </w:rPr>
        <w:t xml:space="preserve">una transferencia de capital por ¢16,368.0 millones, para financiar la fase de cierre del proyecto que contempla la devolución de recursos al acreedor por aquellos gastos que no sean declarados elegibles en el marco del contrato de préstamo tales como aquellos utilizados en obras que no logren su recepción final; la adquisición de terrenos en los cuales no se demuestre una programación de inversiones y los costos financieros asociados a inversiones que no sean declaradas elegibles por el acreedor, entre otros. </w:t>
      </w:r>
    </w:p>
    <w:p w14:paraId="7008CA60" w14:textId="77777777" w:rsidR="00FA1668" w:rsidRDefault="00FA1668" w:rsidP="00CA18C3">
      <w:pPr>
        <w:pStyle w:val="Sinespaciado"/>
        <w:spacing w:line="276" w:lineRule="auto"/>
        <w:jc w:val="both"/>
        <w:rPr>
          <w:rFonts w:ascii="Arial" w:hAnsi="Arial" w:cs="Arial"/>
          <w:sz w:val="24"/>
          <w:szCs w:val="24"/>
        </w:rPr>
      </w:pPr>
    </w:p>
    <w:p w14:paraId="1C48C455" w14:textId="77777777" w:rsidR="00C46CAC" w:rsidRDefault="005B205F" w:rsidP="00CA18C3">
      <w:pPr>
        <w:pStyle w:val="Sinespaciado"/>
        <w:spacing w:line="276" w:lineRule="auto"/>
        <w:jc w:val="both"/>
        <w:rPr>
          <w:rFonts w:ascii="Arial" w:hAnsi="Arial" w:cs="Arial"/>
          <w:sz w:val="24"/>
          <w:szCs w:val="24"/>
        </w:rPr>
      </w:pPr>
      <w:r w:rsidRPr="005B205F">
        <w:rPr>
          <w:rFonts w:ascii="Arial" w:hAnsi="Arial" w:cs="Arial"/>
          <w:sz w:val="24"/>
          <w:szCs w:val="24"/>
        </w:rPr>
        <w:t>De igual manera</w:t>
      </w:r>
      <w:r>
        <w:rPr>
          <w:rFonts w:ascii="Arial" w:hAnsi="Arial" w:cs="Arial"/>
          <w:sz w:val="24"/>
          <w:szCs w:val="24"/>
        </w:rPr>
        <w:t xml:space="preserve">, incluía </w:t>
      </w:r>
      <w:r w:rsidRPr="005B205F">
        <w:rPr>
          <w:rFonts w:ascii="Arial" w:hAnsi="Arial" w:cs="Arial"/>
          <w:sz w:val="24"/>
          <w:szCs w:val="24"/>
        </w:rPr>
        <w:t xml:space="preserve">los recursos económicos para la finalización de siete obras en diversos centros educativos. Asimismo, </w:t>
      </w:r>
      <w:r>
        <w:rPr>
          <w:rFonts w:ascii="Arial" w:hAnsi="Arial" w:cs="Arial"/>
          <w:sz w:val="24"/>
          <w:szCs w:val="24"/>
        </w:rPr>
        <w:t xml:space="preserve">en este presupuesto extraordinario </w:t>
      </w:r>
      <w:r w:rsidRPr="005B205F">
        <w:rPr>
          <w:rFonts w:ascii="Arial" w:hAnsi="Arial" w:cs="Arial"/>
          <w:sz w:val="24"/>
          <w:szCs w:val="24"/>
        </w:rPr>
        <w:t>se busca</w:t>
      </w:r>
      <w:r>
        <w:rPr>
          <w:rFonts w:ascii="Arial" w:hAnsi="Arial" w:cs="Arial"/>
          <w:sz w:val="24"/>
          <w:szCs w:val="24"/>
        </w:rPr>
        <w:t>ba</w:t>
      </w:r>
      <w:r w:rsidRPr="005B205F">
        <w:rPr>
          <w:rFonts w:ascii="Arial" w:hAnsi="Arial" w:cs="Arial"/>
          <w:sz w:val="24"/>
          <w:szCs w:val="24"/>
        </w:rPr>
        <w:t xml:space="preserve"> autoriza</w:t>
      </w:r>
      <w:r>
        <w:rPr>
          <w:rFonts w:ascii="Arial" w:hAnsi="Arial" w:cs="Arial"/>
          <w:sz w:val="24"/>
          <w:szCs w:val="24"/>
        </w:rPr>
        <w:t xml:space="preserve">ción para que el </w:t>
      </w:r>
      <w:r w:rsidRPr="005B205F">
        <w:rPr>
          <w:rFonts w:ascii="Arial" w:hAnsi="Arial" w:cs="Arial"/>
          <w:sz w:val="24"/>
          <w:szCs w:val="24"/>
        </w:rPr>
        <w:t xml:space="preserve">Fideicomiso </w:t>
      </w:r>
      <w:r>
        <w:rPr>
          <w:rFonts w:ascii="Arial" w:hAnsi="Arial" w:cs="Arial"/>
          <w:sz w:val="24"/>
          <w:szCs w:val="24"/>
        </w:rPr>
        <w:t xml:space="preserve">pudiera variar </w:t>
      </w:r>
      <w:r w:rsidRPr="005B205F">
        <w:rPr>
          <w:rFonts w:ascii="Arial" w:hAnsi="Arial" w:cs="Arial"/>
          <w:sz w:val="24"/>
          <w:szCs w:val="24"/>
        </w:rPr>
        <w:t xml:space="preserve">el destino de ¢10,547.3 millones y </w:t>
      </w:r>
      <w:r>
        <w:rPr>
          <w:rFonts w:ascii="Arial" w:hAnsi="Arial" w:cs="Arial"/>
          <w:sz w:val="24"/>
          <w:szCs w:val="24"/>
        </w:rPr>
        <w:t xml:space="preserve">destinarlos al </w:t>
      </w:r>
      <w:r w:rsidRPr="005B205F">
        <w:rPr>
          <w:rFonts w:ascii="Arial" w:hAnsi="Arial" w:cs="Arial"/>
          <w:sz w:val="24"/>
          <w:szCs w:val="24"/>
        </w:rPr>
        <w:t xml:space="preserve">mismo objeto que señala la coletilla de la transferencia de capital </w:t>
      </w:r>
      <w:r>
        <w:rPr>
          <w:rFonts w:ascii="Arial" w:hAnsi="Arial" w:cs="Arial"/>
          <w:sz w:val="24"/>
          <w:szCs w:val="24"/>
        </w:rPr>
        <w:t xml:space="preserve">antes referida. </w:t>
      </w:r>
      <w:r w:rsidRPr="005B205F">
        <w:rPr>
          <w:rFonts w:ascii="Arial" w:hAnsi="Arial" w:cs="Arial"/>
          <w:sz w:val="24"/>
          <w:szCs w:val="24"/>
        </w:rPr>
        <w:t>Es decir, el monto total para el cierre de este fideicomiso asciende a los ¢26,915.3 millones.</w:t>
      </w:r>
    </w:p>
    <w:p w14:paraId="2EA0A34F" w14:textId="77777777" w:rsidR="005B205F" w:rsidRDefault="005B205F" w:rsidP="00CA18C3">
      <w:pPr>
        <w:pStyle w:val="Sinespaciado"/>
        <w:spacing w:line="276" w:lineRule="auto"/>
        <w:jc w:val="both"/>
        <w:rPr>
          <w:rFonts w:ascii="Arial" w:hAnsi="Arial" w:cs="Arial"/>
          <w:sz w:val="24"/>
          <w:szCs w:val="24"/>
        </w:rPr>
      </w:pPr>
    </w:p>
    <w:p w14:paraId="63A5CA8A" w14:textId="77777777" w:rsidR="00BE7A19" w:rsidRDefault="005B205F" w:rsidP="00CA18C3">
      <w:pPr>
        <w:pStyle w:val="Sinespaciado"/>
        <w:spacing w:line="276" w:lineRule="auto"/>
        <w:jc w:val="both"/>
        <w:rPr>
          <w:rFonts w:ascii="Arial" w:hAnsi="Arial" w:cs="Arial"/>
          <w:sz w:val="24"/>
          <w:szCs w:val="24"/>
        </w:rPr>
      </w:pPr>
      <w:r>
        <w:rPr>
          <w:rFonts w:ascii="Arial" w:hAnsi="Arial" w:cs="Arial"/>
          <w:sz w:val="24"/>
          <w:szCs w:val="24"/>
        </w:rPr>
        <w:t xml:space="preserve">Según lo expresó </w:t>
      </w:r>
      <w:r w:rsidR="00FA1668">
        <w:rPr>
          <w:rFonts w:ascii="Arial" w:hAnsi="Arial" w:cs="Arial"/>
          <w:sz w:val="24"/>
          <w:szCs w:val="24"/>
        </w:rPr>
        <w:t xml:space="preserve">doña Marta Acosta Zúñiga, </w:t>
      </w:r>
      <w:r>
        <w:rPr>
          <w:rFonts w:ascii="Arial" w:hAnsi="Arial" w:cs="Arial"/>
          <w:sz w:val="24"/>
          <w:szCs w:val="24"/>
        </w:rPr>
        <w:t xml:space="preserve">Contralora General de la República, en la </w:t>
      </w:r>
      <w:r w:rsidR="00922283">
        <w:rPr>
          <w:rFonts w:ascii="Arial" w:hAnsi="Arial" w:cs="Arial"/>
          <w:sz w:val="24"/>
          <w:szCs w:val="24"/>
        </w:rPr>
        <w:t xml:space="preserve">sesión extraordinaria N° 29 de la </w:t>
      </w:r>
      <w:r>
        <w:rPr>
          <w:rFonts w:ascii="Arial" w:hAnsi="Arial" w:cs="Arial"/>
          <w:sz w:val="24"/>
          <w:szCs w:val="24"/>
        </w:rPr>
        <w:t xml:space="preserve">Comisión </w:t>
      </w:r>
      <w:r w:rsidR="00DB58D6">
        <w:rPr>
          <w:rFonts w:ascii="Arial" w:hAnsi="Arial" w:cs="Arial"/>
          <w:sz w:val="24"/>
          <w:szCs w:val="24"/>
        </w:rPr>
        <w:t xml:space="preserve">Especial de Infraestructura, </w:t>
      </w:r>
      <w:r w:rsidR="00922283">
        <w:rPr>
          <w:rFonts w:ascii="Arial" w:hAnsi="Arial" w:cs="Arial"/>
          <w:sz w:val="24"/>
          <w:szCs w:val="24"/>
        </w:rPr>
        <w:t xml:space="preserve">celebrada </w:t>
      </w:r>
      <w:r w:rsidR="00DB58D6">
        <w:rPr>
          <w:rFonts w:ascii="Arial" w:hAnsi="Arial" w:cs="Arial"/>
          <w:sz w:val="24"/>
          <w:szCs w:val="24"/>
        </w:rPr>
        <w:t xml:space="preserve">el 19 de enero de 2021, este Fideicomiso </w:t>
      </w:r>
      <w:r w:rsidR="00922283">
        <w:rPr>
          <w:rFonts w:ascii="Arial" w:hAnsi="Arial" w:cs="Arial"/>
          <w:sz w:val="24"/>
          <w:szCs w:val="24"/>
        </w:rPr>
        <w:t>“</w:t>
      </w:r>
      <w:r w:rsidR="00922283" w:rsidRPr="00922283">
        <w:rPr>
          <w:rFonts w:ascii="Arial" w:hAnsi="Arial" w:cs="Arial"/>
          <w:i/>
          <w:sz w:val="24"/>
          <w:szCs w:val="24"/>
        </w:rPr>
        <w:t>…no cumplió el objetivo en los términos establecidos en la ley que le dio origen, principalmente el costeo inadecuado, los cambios constantes en el modelo de diseño de la DIEE tomados como referencia, las condiciones de los terrenos y los atrasos procedimentales afectaron seriamente la gestión del fideicomiso; a pesar de los recursos y de los esfuerzos de no mediar cambios estructurales necesarios la infraestructura educativa continuará siendo una gran deuda para el país</w:t>
      </w:r>
      <w:r w:rsidR="00922283" w:rsidRPr="00922283">
        <w:rPr>
          <w:rFonts w:ascii="Arial" w:hAnsi="Arial" w:cs="Arial"/>
          <w:sz w:val="24"/>
          <w:szCs w:val="24"/>
        </w:rPr>
        <w:t>.</w:t>
      </w:r>
      <w:r w:rsidR="00922283">
        <w:rPr>
          <w:rFonts w:ascii="Arial" w:hAnsi="Arial" w:cs="Arial"/>
          <w:sz w:val="24"/>
          <w:szCs w:val="24"/>
        </w:rPr>
        <w:t>”</w:t>
      </w:r>
      <w:r w:rsidR="00922283">
        <w:rPr>
          <w:rStyle w:val="Refdenotaalpie"/>
          <w:rFonts w:ascii="Arial" w:hAnsi="Arial" w:cs="Arial"/>
          <w:sz w:val="24"/>
          <w:szCs w:val="24"/>
        </w:rPr>
        <w:footnoteReference w:id="26"/>
      </w:r>
    </w:p>
    <w:p w14:paraId="4C8C268A" w14:textId="77777777" w:rsidR="00BE7A19" w:rsidRDefault="00BE7A19" w:rsidP="00CA18C3">
      <w:pPr>
        <w:pStyle w:val="Sinespaciado"/>
        <w:spacing w:line="276" w:lineRule="auto"/>
        <w:jc w:val="both"/>
        <w:rPr>
          <w:rFonts w:ascii="Arial" w:hAnsi="Arial" w:cs="Arial"/>
          <w:sz w:val="24"/>
          <w:szCs w:val="24"/>
        </w:rPr>
      </w:pPr>
    </w:p>
    <w:p w14:paraId="37AF52D3" w14:textId="77777777" w:rsidR="00EC5926" w:rsidRDefault="00AF2195" w:rsidP="00CA18C3">
      <w:pPr>
        <w:pStyle w:val="Sinespaciado"/>
        <w:spacing w:line="276" w:lineRule="auto"/>
        <w:jc w:val="both"/>
        <w:rPr>
          <w:rFonts w:ascii="Arial" w:hAnsi="Arial" w:cs="Arial"/>
          <w:sz w:val="24"/>
          <w:szCs w:val="24"/>
        </w:rPr>
      </w:pPr>
      <w:r>
        <w:rPr>
          <w:rFonts w:ascii="Arial" w:hAnsi="Arial" w:cs="Arial"/>
          <w:sz w:val="24"/>
          <w:szCs w:val="24"/>
        </w:rPr>
        <w:t xml:space="preserve">En términos generales, </w:t>
      </w:r>
      <w:r w:rsidR="00922283">
        <w:rPr>
          <w:rFonts w:ascii="Arial" w:hAnsi="Arial" w:cs="Arial"/>
          <w:sz w:val="24"/>
          <w:szCs w:val="24"/>
        </w:rPr>
        <w:t xml:space="preserve">los proyectos de inversión pública </w:t>
      </w:r>
      <w:r>
        <w:rPr>
          <w:rFonts w:ascii="Arial" w:hAnsi="Arial" w:cs="Arial"/>
          <w:sz w:val="24"/>
          <w:szCs w:val="24"/>
        </w:rPr>
        <w:t>l</w:t>
      </w:r>
      <w:r w:rsidR="00291705">
        <w:rPr>
          <w:rFonts w:ascii="Arial" w:hAnsi="Arial" w:cs="Arial"/>
          <w:sz w:val="24"/>
          <w:szCs w:val="24"/>
        </w:rPr>
        <w:t>amentablemente</w:t>
      </w:r>
      <w:r>
        <w:rPr>
          <w:rFonts w:ascii="Arial" w:hAnsi="Arial" w:cs="Arial"/>
          <w:sz w:val="24"/>
          <w:szCs w:val="24"/>
        </w:rPr>
        <w:t xml:space="preserve"> </w:t>
      </w:r>
      <w:r w:rsidR="00922283">
        <w:rPr>
          <w:rFonts w:ascii="Arial" w:hAnsi="Arial" w:cs="Arial"/>
          <w:sz w:val="24"/>
          <w:szCs w:val="24"/>
        </w:rPr>
        <w:t xml:space="preserve">continúan arrastrando </w:t>
      </w:r>
      <w:r w:rsidR="00193222" w:rsidRPr="009B3233">
        <w:rPr>
          <w:rFonts w:ascii="Arial" w:hAnsi="Arial" w:cs="Arial"/>
          <w:sz w:val="24"/>
          <w:szCs w:val="24"/>
        </w:rPr>
        <w:t xml:space="preserve">los mismos problemas de </w:t>
      </w:r>
      <w:r w:rsidR="00922283">
        <w:rPr>
          <w:rFonts w:ascii="Arial" w:hAnsi="Arial" w:cs="Arial"/>
          <w:sz w:val="24"/>
          <w:szCs w:val="24"/>
        </w:rPr>
        <w:t xml:space="preserve">administración y </w:t>
      </w:r>
      <w:r w:rsidR="00193222" w:rsidRPr="009B3233">
        <w:rPr>
          <w:rFonts w:ascii="Arial" w:hAnsi="Arial" w:cs="Arial"/>
          <w:sz w:val="24"/>
          <w:szCs w:val="24"/>
        </w:rPr>
        <w:t>ejecución</w:t>
      </w:r>
      <w:r w:rsidR="00EC5926">
        <w:rPr>
          <w:rFonts w:ascii="Arial" w:hAnsi="Arial" w:cs="Arial"/>
          <w:sz w:val="24"/>
          <w:szCs w:val="24"/>
        </w:rPr>
        <w:t xml:space="preserve"> que se </w:t>
      </w:r>
      <w:r w:rsidR="00922283">
        <w:rPr>
          <w:rFonts w:ascii="Arial" w:hAnsi="Arial" w:cs="Arial"/>
          <w:sz w:val="24"/>
          <w:szCs w:val="24"/>
        </w:rPr>
        <w:t xml:space="preserve">presentan </w:t>
      </w:r>
      <w:r>
        <w:rPr>
          <w:rFonts w:ascii="Arial" w:hAnsi="Arial" w:cs="Arial"/>
          <w:sz w:val="24"/>
          <w:szCs w:val="24"/>
        </w:rPr>
        <w:t xml:space="preserve">ya </w:t>
      </w:r>
      <w:r w:rsidR="00922283">
        <w:rPr>
          <w:rFonts w:ascii="Arial" w:hAnsi="Arial" w:cs="Arial"/>
          <w:sz w:val="24"/>
          <w:szCs w:val="24"/>
        </w:rPr>
        <w:t xml:space="preserve">desde </w:t>
      </w:r>
      <w:r>
        <w:rPr>
          <w:rFonts w:ascii="Arial" w:hAnsi="Arial" w:cs="Arial"/>
          <w:sz w:val="24"/>
          <w:szCs w:val="24"/>
        </w:rPr>
        <w:t xml:space="preserve">hace varios años, </w:t>
      </w:r>
      <w:r w:rsidR="00EC5926">
        <w:rPr>
          <w:rFonts w:ascii="Arial" w:hAnsi="Arial" w:cs="Arial"/>
          <w:sz w:val="24"/>
          <w:szCs w:val="24"/>
        </w:rPr>
        <w:t>lo cual denota un severo problema de carácter estructural que tanto la Dirección General de Crédito Público del Ministerio de Hacienda como las instituciones beneficiarias de los créditos</w:t>
      </w:r>
      <w:r>
        <w:rPr>
          <w:rFonts w:ascii="Arial" w:hAnsi="Arial" w:cs="Arial"/>
          <w:sz w:val="24"/>
          <w:szCs w:val="24"/>
        </w:rPr>
        <w:t xml:space="preserve"> externos</w:t>
      </w:r>
      <w:r w:rsidR="00EC5926">
        <w:rPr>
          <w:rFonts w:ascii="Arial" w:hAnsi="Arial" w:cs="Arial"/>
          <w:sz w:val="24"/>
          <w:szCs w:val="24"/>
        </w:rPr>
        <w:t>, hacen poco p</w:t>
      </w:r>
      <w:r w:rsidR="00794AF5">
        <w:rPr>
          <w:rFonts w:ascii="Arial" w:hAnsi="Arial" w:cs="Arial"/>
          <w:sz w:val="24"/>
          <w:szCs w:val="24"/>
        </w:rPr>
        <w:t xml:space="preserve">or corregir tales deficiencias, entre las cuales </w:t>
      </w:r>
      <w:r>
        <w:rPr>
          <w:rFonts w:ascii="Arial" w:hAnsi="Arial" w:cs="Arial"/>
          <w:sz w:val="24"/>
          <w:szCs w:val="24"/>
        </w:rPr>
        <w:t xml:space="preserve">cabe recalcar </w:t>
      </w:r>
      <w:r w:rsidR="00794AF5">
        <w:rPr>
          <w:rFonts w:ascii="Arial" w:hAnsi="Arial" w:cs="Arial"/>
          <w:sz w:val="24"/>
          <w:szCs w:val="24"/>
        </w:rPr>
        <w:t>las siguientes:</w:t>
      </w:r>
    </w:p>
    <w:p w14:paraId="5C09488F" w14:textId="77777777" w:rsidR="0087049C" w:rsidRDefault="0087049C" w:rsidP="00CA18C3">
      <w:pPr>
        <w:pStyle w:val="Sinespaciado"/>
        <w:spacing w:line="276" w:lineRule="auto"/>
        <w:jc w:val="both"/>
        <w:rPr>
          <w:rFonts w:ascii="Arial" w:hAnsi="Arial" w:cs="Arial"/>
          <w:sz w:val="24"/>
          <w:szCs w:val="24"/>
        </w:rPr>
      </w:pPr>
    </w:p>
    <w:p w14:paraId="6B3182F8" w14:textId="77777777" w:rsidR="00BD107D" w:rsidRDefault="00BD107D" w:rsidP="00CA18C3">
      <w:pPr>
        <w:pStyle w:val="Sinespaciado"/>
        <w:spacing w:line="276" w:lineRule="auto"/>
        <w:jc w:val="both"/>
        <w:rPr>
          <w:rFonts w:ascii="Arial" w:hAnsi="Arial" w:cs="Arial"/>
          <w:sz w:val="24"/>
          <w:szCs w:val="24"/>
        </w:rPr>
      </w:pPr>
    </w:p>
    <w:p w14:paraId="657A48F2" w14:textId="77777777" w:rsidR="00BD107D" w:rsidRDefault="00BD107D" w:rsidP="00CE3668">
      <w:pPr>
        <w:pStyle w:val="Sinespaciado"/>
        <w:spacing w:line="276" w:lineRule="auto"/>
        <w:jc w:val="center"/>
        <w:rPr>
          <w:rFonts w:ascii="Arial" w:hAnsi="Arial" w:cs="Arial"/>
          <w:sz w:val="24"/>
          <w:szCs w:val="24"/>
        </w:rPr>
      </w:pPr>
      <w:r>
        <w:rPr>
          <w:rFonts w:ascii="Arial" w:hAnsi="Arial" w:cs="Arial"/>
          <w:noProof/>
          <w:sz w:val="24"/>
          <w:szCs w:val="24"/>
          <w:lang w:eastAsia="es-CR"/>
        </w:rPr>
        <w:drawing>
          <wp:inline distT="0" distB="0" distL="0" distR="0" wp14:anchorId="6CB96F34" wp14:editId="20EC10AF">
            <wp:extent cx="5467350" cy="5124450"/>
            <wp:effectExtent l="0" t="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F4D58A3" w14:textId="77777777" w:rsidR="00EC5926" w:rsidRDefault="00EC5926" w:rsidP="00EC5926">
      <w:pPr>
        <w:pStyle w:val="Sinespaciado"/>
        <w:spacing w:line="276" w:lineRule="auto"/>
        <w:jc w:val="both"/>
        <w:rPr>
          <w:rFonts w:ascii="Arial" w:hAnsi="Arial" w:cs="Arial"/>
          <w:sz w:val="24"/>
          <w:szCs w:val="24"/>
        </w:rPr>
      </w:pPr>
    </w:p>
    <w:p w14:paraId="754E2E31" w14:textId="77777777" w:rsidR="00F53698" w:rsidRDefault="00F53698" w:rsidP="001327CA">
      <w:pPr>
        <w:pStyle w:val="Sinespaciado"/>
        <w:spacing w:line="276" w:lineRule="auto"/>
        <w:jc w:val="both"/>
        <w:rPr>
          <w:rFonts w:ascii="Arial" w:hAnsi="Arial" w:cs="Arial"/>
          <w:sz w:val="24"/>
          <w:szCs w:val="24"/>
        </w:rPr>
      </w:pPr>
    </w:p>
    <w:p w14:paraId="534F0ADB" w14:textId="77777777" w:rsidR="00837D0E" w:rsidRPr="001327CA" w:rsidRDefault="00837D0E" w:rsidP="00CA18C3">
      <w:pPr>
        <w:pStyle w:val="Sinespaciado"/>
        <w:spacing w:line="276"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 xml:space="preserve">Desde la perspectiva de </w:t>
      </w:r>
      <w:r>
        <w:rPr>
          <w:rFonts w:ascii="Arial" w:hAnsi="Arial" w:cs="Arial"/>
          <w:sz w:val="24"/>
          <w:szCs w:val="24"/>
        </w:rPr>
        <w:t>la Dirección General de Crédito Público “</w:t>
      </w:r>
      <w:r w:rsidRPr="00935AF4">
        <w:rPr>
          <w:rFonts w:ascii="Arial" w:hAnsi="Arial" w:cs="Arial"/>
          <w:i/>
          <w:sz w:val="24"/>
          <w:szCs w:val="24"/>
        </w:rPr>
        <w:t>…continúan existiendo grandes retos, principalmente en materia de pre-inversión y de los instrumentos de planificación a mediano y largo plazo, que usualmente son asociados a la Inversión Pública, así como la necesidad de continuar institucionalizando y fortaleciendo la cultura de Gestión de Proyectos enfocada en resultados, incluyendo la aplicación oportuna de lecciones aprendidas, lo cual, se estima generará un gran beneficio al país, y por ende, a la sociedad civil en general</w:t>
      </w:r>
      <w:r w:rsidRPr="00CE330F">
        <w:rPr>
          <w:rFonts w:ascii="Arial" w:hAnsi="Arial" w:cs="Arial"/>
          <w:sz w:val="24"/>
          <w:szCs w:val="24"/>
        </w:rPr>
        <w:t>.</w:t>
      </w:r>
      <w:r>
        <w:rPr>
          <w:rFonts w:ascii="Arial" w:hAnsi="Arial" w:cs="Arial"/>
          <w:sz w:val="24"/>
          <w:szCs w:val="24"/>
        </w:rPr>
        <w:t>”</w:t>
      </w:r>
      <w:r>
        <w:rPr>
          <w:rStyle w:val="Refdenotaalpie"/>
          <w:rFonts w:ascii="Arial" w:hAnsi="Arial" w:cs="Arial"/>
          <w:sz w:val="24"/>
          <w:szCs w:val="24"/>
        </w:rPr>
        <w:footnoteReference w:id="27"/>
      </w:r>
    </w:p>
    <w:p w14:paraId="7C71C91E" w14:textId="77777777" w:rsidR="00837D0E" w:rsidRDefault="00837D0E" w:rsidP="00CA18C3">
      <w:pPr>
        <w:pStyle w:val="Sinespaciado"/>
        <w:spacing w:line="276" w:lineRule="auto"/>
        <w:jc w:val="both"/>
        <w:rPr>
          <w:rFonts w:ascii="Arial" w:hAnsi="Arial" w:cs="Arial"/>
          <w:sz w:val="24"/>
          <w:szCs w:val="24"/>
        </w:rPr>
      </w:pPr>
    </w:p>
    <w:p w14:paraId="343D8AFF" w14:textId="77777777" w:rsidR="00CE330F" w:rsidRDefault="00837D0E" w:rsidP="00CA18C3">
      <w:pPr>
        <w:pStyle w:val="Sinespaciado"/>
        <w:spacing w:line="276" w:lineRule="auto"/>
        <w:jc w:val="both"/>
        <w:rPr>
          <w:rFonts w:ascii="Arial" w:eastAsia="Times New Roman" w:hAnsi="Arial" w:cs="Arial"/>
          <w:sz w:val="24"/>
          <w:szCs w:val="24"/>
          <w:lang w:val="es-ES_tradnl" w:eastAsia="es-CR"/>
        </w:rPr>
      </w:pPr>
      <w:r>
        <w:rPr>
          <w:rFonts w:ascii="Arial" w:hAnsi="Arial" w:cs="Arial"/>
          <w:sz w:val="24"/>
          <w:szCs w:val="24"/>
        </w:rPr>
        <w:t>En esa misma línea, t</w:t>
      </w:r>
      <w:r w:rsidR="001327CA">
        <w:rPr>
          <w:rFonts w:ascii="Arial" w:hAnsi="Arial" w:cs="Arial"/>
          <w:sz w:val="24"/>
          <w:szCs w:val="24"/>
        </w:rPr>
        <w:t xml:space="preserve">al </w:t>
      </w:r>
      <w:r w:rsidR="001327CA" w:rsidRPr="00837D0E">
        <w:rPr>
          <w:rFonts w:ascii="Arial" w:hAnsi="Arial" w:cs="Arial"/>
          <w:sz w:val="24"/>
          <w:szCs w:val="24"/>
        </w:rPr>
        <w:t>como</w:t>
      </w:r>
      <w:r w:rsidR="001327CA">
        <w:rPr>
          <w:rFonts w:ascii="Arial" w:hAnsi="Arial" w:cs="Arial"/>
          <w:sz w:val="24"/>
          <w:szCs w:val="24"/>
        </w:rPr>
        <w:t xml:space="preserve"> se apuntó en el informe de liquidación presupuestaria 2019, expediente 22.083 “</w:t>
      </w:r>
      <w:r w:rsidR="001327CA" w:rsidRPr="00935AF4">
        <w:rPr>
          <w:rFonts w:ascii="Arial" w:hAnsi="Arial" w:cs="Arial"/>
          <w:i/>
          <w:sz w:val="24"/>
          <w:szCs w:val="24"/>
        </w:rPr>
        <w:t>…</w:t>
      </w:r>
      <w:r w:rsidR="001327CA" w:rsidRPr="00935AF4">
        <w:rPr>
          <w:rFonts w:ascii="Arial" w:eastAsia="Times New Roman" w:hAnsi="Arial" w:cs="Arial"/>
          <w:i/>
          <w:sz w:val="24"/>
          <w:szCs w:val="24"/>
          <w:lang w:val="es-ES_tradnl" w:eastAsia="es-CR"/>
        </w:rPr>
        <w:t>las debilidades administrativas, la impericia, la escasa planificación, la tramitología, la falta de experiencia y la lenta ejecución física y financiera, provocan que nuestro país no solo pierda valioso tiempo a la espera de que los proyectos finalmente se concreten, sino que además hace que se deban pagar millones de dólares por concepto de costos adicionales</w:t>
      </w:r>
      <w:r w:rsidR="001327CA" w:rsidRPr="001327CA">
        <w:rPr>
          <w:rFonts w:ascii="Arial" w:eastAsia="Times New Roman" w:hAnsi="Arial" w:cs="Arial"/>
          <w:sz w:val="24"/>
          <w:szCs w:val="24"/>
          <w:lang w:val="es-ES_tradnl" w:eastAsia="es-CR"/>
        </w:rPr>
        <w:t>.</w:t>
      </w:r>
      <w:r w:rsidR="001327CA">
        <w:rPr>
          <w:rFonts w:ascii="Arial" w:eastAsia="Times New Roman" w:hAnsi="Arial" w:cs="Arial"/>
          <w:sz w:val="24"/>
          <w:szCs w:val="24"/>
          <w:lang w:val="es-ES_tradnl" w:eastAsia="es-CR"/>
        </w:rPr>
        <w:t>”</w:t>
      </w:r>
      <w:r w:rsidR="00FA1668">
        <w:rPr>
          <w:rStyle w:val="Refdenotaalpie"/>
          <w:rFonts w:ascii="Arial" w:eastAsia="Times New Roman" w:hAnsi="Arial" w:cs="Arial"/>
          <w:sz w:val="24"/>
          <w:szCs w:val="24"/>
          <w:lang w:val="es-ES_tradnl" w:eastAsia="es-CR"/>
        </w:rPr>
        <w:footnoteReference w:id="28"/>
      </w:r>
      <w:r w:rsidR="001327CA" w:rsidRPr="001327CA">
        <w:rPr>
          <w:rFonts w:ascii="Arial" w:eastAsia="Times New Roman" w:hAnsi="Arial" w:cs="Arial"/>
          <w:sz w:val="24"/>
          <w:szCs w:val="24"/>
          <w:lang w:val="es-ES_tradnl" w:eastAsia="es-CR"/>
        </w:rPr>
        <w:t xml:space="preserve"> </w:t>
      </w:r>
    </w:p>
    <w:p w14:paraId="775F6519" w14:textId="77777777" w:rsidR="00CE330F" w:rsidRDefault="00CE330F" w:rsidP="00CA18C3">
      <w:pPr>
        <w:pStyle w:val="Sinespaciado"/>
        <w:spacing w:line="276" w:lineRule="auto"/>
        <w:jc w:val="both"/>
        <w:rPr>
          <w:rFonts w:ascii="Arial" w:eastAsia="Times New Roman" w:hAnsi="Arial" w:cs="Arial"/>
          <w:sz w:val="24"/>
          <w:szCs w:val="24"/>
          <w:lang w:val="es-ES_tradnl" w:eastAsia="es-CR"/>
        </w:rPr>
      </w:pPr>
    </w:p>
    <w:p w14:paraId="21B65CA8" w14:textId="77777777" w:rsidR="00E43BAE" w:rsidRDefault="00CE330F" w:rsidP="00CA18C3">
      <w:pPr>
        <w:pStyle w:val="Sinespaciado"/>
        <w:spacing w:line="276" w:lineRule="auto"/>
        <w:jc w:val="both"/>
        <w:rPr>
          <w:rFonts w:ascii="Arial" w:hAnsi="Arial" w:cs="Arial"/>
          <w:sz w:val="24"/>
          <w:szCs w:val="24"/>
        </w:rPr>
      </w:pPr>
      <w:r>
        <w:rPr>
          <w:rFonts w:ascii="Arial" w:hAnsi="Arial" w:cs="Arial"/>
          <w:sz w:val="24"/>
          <w:szCs w:val="24"/>
        </w:rPr>
        <w:t xml:space="preserve">Ese conjunto de debilidades y omisiones provocan que el país deba incurrir en una serie de gastos asociados a los retrasos de los proyectos. </w:t>
      </w:r>
      <w:r w:rsidR="001327CA">
        <w:rPr>
          <w:rFonts w:ascii="Arial" w:hAnsi="Arial" w:cs="Arial"/>
          <w:sz w:val="24"/>
          <w:szCs w:val="24"/>
        </w:rPr>
        <w:t>De hecho, l</w:t>
      </w:r>
      <w:r w:rsidR="00193222" w:rsidRPr="00193222">
        <w:rPr>
          <w:rFonts w:ascii="Arial" w:hAnsi="Arial" w:cs="Arial"/>
          <w:sz w:val="24"/>
          <w:szCs w:val="24"/>
        </w:rPr>
        <w:t>as comisiones de compromiso</w:t>
      </w:r>
      <w:r>
        <w:rPr>
          <w:rFonts w:ascii="Arial" w:hAnsi="Arial" w:cs="Arial"/>
          <w:sz w:val="24"/>
          <w:szCs w:val="24"/>
        </w:rPr>
        <w:t xml:space="preserve"> </w:t>
      </w:r>
      <w:r w:rsidR="00193222" w:rsidRPr="00193222">
        <w:rPr>
          <w:rFonts w:ascii="Arial" w:hAnsi="Arial" w:cs="Arial"/>
          <w:sz w:val="24"/>
          <w:szCs w:val="24"/>
        </w:rPr>
        <w:t>pagadas en 2020</w:t>
      </w:r>
      <w:r>
        <w:rPr>
          <w:rFonts w:ascii="Arial" w:hAnsi="Arial" w:cs="Arial"/>
          <w:sz w:val="24"/>
          <w:szCs w:val="24"/>
        </w:rPr>
        <w:t xml:space="preserve">, que son </w:t>
      </w:r>
      <w:r w:rsidRPr="00CE330F">
        <w:rPr>
          <w:rFonts w:ascii="Arial" w:hAnsi="Arial" w:cs="Arial"/>
          <w:sz w:val="24"/>
          <w:szCs w:val="24"/>
        </w:rPr>
        <w:t xml:space="preserve">comisiones </w:t>
      </w:r>
      <w:r>
        <w:rPr>
          <w:rFonts w:ascii="Arial" w:hAnsi="Arial" w:cs="Arial"/>
          <w:sz w:val="24"/>
          <w:szCs w:val="24"/>
        </w:rPr>
        <w:t>asocia</w:t>
      </w:r>
      <w:r w:rsidR="00213657">
        <w:rPr>
          <w:rFonts w:ascii="Arial" w:hAnsi="Arial" w:cs="Arial"/>
          <w:sz w:val="24"/>
          <w:szCs w:val="24"/>
        </w:rPr>
        <w:t xml:space="preserve">das </w:t>
      </w:r>
      <w:r w:rsidRPr="00CE330F">
        <w:rPr>
          <w:rFonts w:ascii="Arial" w:hAnsi="Arial" w:cs="Arial"/>
          <w:sz w:val="24"/>
          <w:szCs w:val="24"/>
        </w:rPr>
        <w:t>con líneas de crédito no utilizadas o préstamos no desembolsados</w:t>
      </w:r>
      <w:r w:rsidR="00213657">
        <w:rPr>
          <w:rFonts w:ascii="Arial" w:hAnsi="Arial" w:cs="Arial"/>
          <w:sz w:val="24"/>
          <w:szCs w:val="24"/>
        </w:rPr>
        <w:t xml:space="preserve">, </w:t>
      </w:r>
      <w:r w:rsidR="00193222" w:rsidRPr="00193222">
        <w:rPr>
          <w:rFonts w:ascii="Arial" w:hAnsi="Arial" w:cs="Arial"/>
          <w:sz w:val="24"/>
          <w:szCs w:val="24"/>
        </w:rPr>
        <w:t>ascendieron a los $6 millones</w:t>
      </w:r>
      <w:r w:rsidR="008B2DB5">
        <w:rPr>
          <w:rFonts w:ascii="Arial" w:hAnsi="Arial" w:cs="Arial"/>
          <w:sz w:val="24"/>
          <w:szCs w:val="24"/>
        </w:rPr>
        <w:t xml:space="preserve"> (¢3.731,5 millones)</w:t>
      </w:r>
      <w:r w:rsidR="00193222" w:rsidRPr="00193222">
        <w:rPr>
          <w:rFonts w:ascii="Arial" w:hAnsi="Arial" w:cs="Arial"/>
          <w:sz w:val="24"/>
          <w:szCs w:val="24"/>
        </w:rPr>
        <w:t>. Ahora bien, desde el 2012 la suma acumulada pagada por este concepto es de $47 millones (</w:t>
      </w:r>
      <w:r w:rsidR="008B2DB5">
        <w:rPr>
          <w:rFonts w:ascii="Arial" w:hAnsi="Arial" w:cs="Arial"/>
          <w:sz w:val="24"/>
          <w:szCs w:val="24"/>
        </w:rPr>
        <w:t xml:space="preserve">¢29.230,2 millones, es decir, </w:t>
      </w:r>
      <w:r w:rsidR="00193222" w:rsidRPr="00193222">
        <w:rPr>
          <w:rFonts w:ascii="Arial" w:hAnsi="Arial" w:cs="Arial"/>
          <w:sz w:val="24"/>
          <w:szCs w:val="24"/>
        </w:rPr>
        <w:t>0,</w:t>
      </w:r>
      <w:r w:rsidR="00F119FD">
        <w:rPr>
          <w:rFonts w:ascii="Arial" w:hAnsi="Arial" w:cs="Arial"/>
          <w:sz w:val="24"/>
          <w:szCs w:val="24"/>
        </w:rPr>
        <w:t>08</w:t>
      </w:r>
      <w:r w:rsidR="00193222" w:rsidRPr="00193222">
        <w:rPr>
          <w:rFonts w:ascii="Arial" w:hAnsi="Arial" w:cs="Arial"/>
          <w:sz w:val="24"/>
          <w:szCs w:val="24"/>
        </w:rPr>
        <w:t>% del PIB de 2020)</w:t>
      </w:r>
      <w:r w:rsidR="00F119FD">
        <w:rPr>
          <w:rFonts w:ascii="Arial" w:hAnsi="Arial" w:cs="Arial"/>
          <w:sz w:val="24"/>
          <w:szCs w:val="24"/>
        </w:rPr>
        <w:t xml:space="preserve">. </w:t>
      </w:r>
      <w:r w:rsidR="00213657">
        <w:rPr>
          <w:rFonts w:ascii="Arial" w:hAnsi="Arial" w:cs="Arial"/>
          <w:sz w:val="24"/>
          <w:szCs w:val="24"/>
        </w:rPr>
        <w:t>Por su parte, l</w:t>
      </w:r>
      <w:r w:rsidR="00193222" w:rsidRPr="00193222">
        <w:rPr>
          <w:rFonts w:ascii="Arial" w:hAnsi="Arial" w:cs="Arial"/>
          <w:sz w:val="24"/>
          <w:szCs w:val="24"/>
        </w:rPr>
        <w:t>a contrapartida nacional pendiente de ejecutar es de $527 millones</w:t>
      </w:r>
      <w:r w:rsidR="00F119FD">
        <w:rPr>
          <w:rFonts w:ascii="Arial" w:hAnsi="Arial" w:cs="Arial"/>
          <w:sz w:val="24"/>
          <w:szCs w:val="24"/>
        </w:rPr>
        <w:t xml:space="preserve"> (¢327.751,8 millones)</w:t>
      </w:r>
      <w:r w:rsidR="00193222" w:rsidRPr="00193222">
        <w:rPr>
          <w:rFonts w:ascii="Arial" w:hAnsi="Arial" w:cs="Arial"/>
          <w:sz w:val="24"/>
          <w:szCs w:val="24"/>
        </w:rPr>
        <w:t xml:space="preserve"> y en los</w:t>
      </w:r>
      <w:r w:rsidR="00193222" w:rsidRPr="009B3233">
        <w:rPr>
          <w:rFonts w:ascii="Arial" w:hAnsi="Arial" w:cs="Arial"/>
          <w:sz w:val="24"/>
          <w:szCs w:val="24"/>
        </w:rPr>
        <w:t xml:space="preserve"> próximos años requerirá de recursos del presupuesto nacional e institucional.</w:t>
      </w:r>
    </w:p>
    <w:p w14:paraId="6C0D5426" w14:textId="77777777" w:rsidR="001327CA" w:rsidRDefault="001327CA" w:rsidP="00CA18C3">
      <w:pPr>
        <w:pStyle w:val="Sinespaciado"/>
        <w:spacing w:line="276" w:lineRule="auto"/>
        <w:jc w:val="both"/>
        <w:rPr>
          <w:rFonts w:ascii="Arial" w:hAnsi="Arial" w:cs="Arial"/>
          <w:sz w:val="24"/>
          <w:szCs w:val="24"/>
        </w:rPr>
      </w:pPr>
    </w:p>
    <w:p w14:paraId="56621BB5" w14:textId="77777777" w:rsidR="001327CA" w:rsidRDefault="00A51C89" w:rsidP="00CA18C3">
      <w:pPr>
        <w:pStyle w:val="Sinespaciado"/>
        <w:spacing w:line="276" w:lineRule="auto"/>
        <w:jc w:val="both"/>
        <w:rPr>
          <w:rFonts w:ascii="Arial" w:hAnsi="Arial" w:cs="Arial"/>
          <w:sz w:val="24"/>
          <w:szCs w:val="24"/>
        </w:rPr>
      </w:pPr>
      <w:r>
        <w:rPr>
          <w:rFonts w:ascii="Arial" w:hAnsi="Arial" w:cs="Arial"/>
          <w:sz w:val="24"/>
          <w:szCs w:val="24"/>
        </w:rPr>
        <w:t>Valga finalizar este apartado con la advertencia que realiza el ór</w:t>
      </w:r>
      <w:r w:rsidR="00E046B2">
        <w:rPr>
          <w:rFonts w:ascii="Arial" w:hAnsi="Arial" w:cs="Arial"/>
          <w:sz w:val="24"/>
          <w:szCs w:val="24"/>
        </w:rPr>
        <w:t xml:space="preserve">gano contralor </w:t>
      </w:r>
      <w:r>
        <w:rPr>
          <w:rFonts w:ascii="Arial" w:hAnsi="Arial" w:cs="Arial"/>
          <w:sz w:val="24"/>
          <w:szCs w:val="24"/>
        </w:rPr>
        <w:t xml:space="preserve">en el sentido </w:t>
      </w:r>
      <w:r w:rsidR="00E046B2">
        <w:rPr>
          <w:rFonts w:ascii="Arial" w:hAnsi="Arial" w:cs="Arial"/>
          <w:sz w:val="24"/>
          <w:szCs w:val="24"/>
        </w:rPr>
        <w:t>que “</w:t>
      </w:r>
      <w:r w:rsidR="00E046B2" w:rsidRPr="00E046B2">
        <w:rPr>
          <w:rFonts w:ascii="Arial" w:hAnsi="Arial" w:cs="Arial"/>
          <w:i/>
          <w:sz w:val="24"/>
          <w:szCs w:val="24"/>
        </w:rPr>
        <w:t>…el proceso de inversión pública adolece de un marco legal adecuado, diseñado a partir de una perspectiva sistémica, que abarque a la mayoría de las entidades en los distintos niveles de gobierno, que opere en forma descentralizada y debidamente fundamentado en una clara definición de criterios técnicos y que adolece de un adecuado sistema de gobierno, que promueva la estandarización de los procesos y de los procedimientos para formular, evaluar, priorizar, ejecutar, mantener, controlar, dar seguimiento a los distintos proyectos, de modo que se facilite el mejoramiento continuo sustentado en las lecciones aprendidas</w:t>
      </w:r>
      <w:r w:rsidR="00E046B2">
        <w:rPr>
          <w:rFonts w:ascii="Arial" w:hAnsi="Arial" w:cs="Arial"/>
          <w:sz w:val="24"/>
          <w:szCs w:val="24"/>
        </w:rPr>
        <w:t>.”</w:t>
      </w:r>
      <w:r>
        <w:rPr>
          <w:rStyle w:val="Refdenotaalpie"/>
          <w:rFonts w:ascii="Arial" w:hAnsi="Arial" w:cs="Arial"/>
          <w:sz w:val="24"/>
          <w:szCs w:val="24"/>
        </w:rPr>
        <w:footnoteReference w:id="29"/>
      </w:r>
    </w:p>
    <w:p w14:paraId="564DE278" w14:textId="319027E6" w:rsidR="009B2BCB" w:rsidRDefault="00D30D90" w:rsidP="00535111">
      <w:pPr>
        <w:pStyle w:val="Ttulo1"/>
      </w:pPr>
      <w:bookmarkStart w:id="30" w:name="_Toc78277727"/>
      <w:r>
        <w:t xml:space="preserve">CONCLUSIONES Y </w:t>
      </w:r>
      <w:r w:rsidR="009B2BCB" w:rsidRPr="009B2BCB">
        <w:t>DISPOSICIONES</w:t>
      </w:r>
      <w:bookmarkEnd w:id="30"/>
    </w:p>
    <w:p w14:paraId="68B3F6B6" w14:textId="77777777" w:rsidR="008E728D" w:rsidRDefault="00D30D90" w:rsidP="00D30D90">
      <w:pPr>
        <w:pStyle w:val="Sinespaciado"/>
        <w:spacing w:before="240" w:after="240" w:line="276" w:lineRule="auto"/>
        <w:jc w:val="both"/>
        <w:rPr>
          <w:rFonts w:ascii="Arial" w:hAnsi="Arial" w:cs="Arial"/>
          <w:sz w:val="24"/>
          <w:szCs w:val="24"/>
        </w:rPr>
      </w:pPr>
      <w:r>
        <w:rPr>
          <w:rFonts w:ascii="Arial" w:hAnsi="Arial" w:cs="Arial"/>
          <w:sz w:val="24"/>
          <w:szCs w:val="24"/>
        </w:rPr>
        <w:t xml:space="preserve">Por todo lo anterior, esta comisión recomienda al Plenario Legislativo </w:t>
      </w:r>
      <w:r w:rsidR="008E728D">
        <w:rPr>
          <w:rFonts w:ascii="Arial" w:hAnsi="Arial" w:cs="Arial"/>
          <w:sz w:val="24"/>
          <w:szCs w:val="24"/>
        </w:rPr>
        <w:t>lo siguiente:</w:t>
      </w:r>
    </w:p>
    <w:p w14:paraId="26E614BF" w14:textId="3631EDF0" w:rsidR="005514E9" w:rsidRPr="00610727" w:rsidRDefault="008E728D" w:rsidP="00610727">
      <w:pPr>
        <w:pStyle w:val="Sinespaciado"/>
        <w:numPr>
          <w:ilvl w:val="0"/>
          <w:numId w:val="31"/>
        </w:numPr>
        <w:spacing w:before="240" w:after="240" w:line="276" w:lineRule="auto"/>
        <w:jc w:val="both"/>
        <w:rPr>
          <w:rFonts w:ascii="Arial" w:hAnsi="Arial" w:cs="Arial"/>
          <w:sz w:val="24"/>
          <w:szCs w:val="24"/>
        </w:rPr>
      </w:pPr>
      <w:r>
        <w:rPr>
          <w:rFonts w:ascii="Arial" w:hAnsi="Arial" w:cs="Arial"/>
          <w:sz w:val="24"/>
          <w:szCs w:val="24"/>
        </w:rPr>
        <w:t xml:space="preserve">Aprobar </w:t>
      </w:r>
      <w:r w:rsidR="00367E8D">
        <w:rPr>
          <w:rFonts w:ascii="Arial" w:hAnsi="Arial" w:cs="Arial"/>
          <w:sz w:val="24"/>
          <w:szCs w:val="24"/>
        </w:rPr>
        <w:t>el presente informe rendido por la Comisión Permanente Ordinaria de Asuntos Hacendarios.</w:t>
      </w:r>
      <w:r w:rsidR="003F6DA8">
        <w:rPr>
          <w:rFonts w:ascii="Arial" w:hAnsi="Arial" w:cs="Arial"/>
          <w:sz w:val="24"/>
          <w:szCs w:val="24"/>
        </w:rPr>
        <w:t xml:space="preserve"> </w:t>
      </w:r>
      <w:r w:rsidR="005514E9" w:rsidRPr="00610727">
        <w:rPr>
          <w:rFonts w:ascii="Arial" w:hAnsi="Arial" w:cs="Arial"/>
          <w:sz w:val="24"/>
          <w:szCs w:val="24"/>
        </w:rPr>
        <w:t xml:space="preserve">En consecuencia, rechazar el informe de liquidación presupuestaria </w:t>
      </w:r>
      <w:r w:rsidR="004958F4" w:rsidRPr="00610727">
        <w:rPr>
          <w:rFonts w:ascii="Arial" w:hAnsi="Arial" w:cs="Arial"/>
          <w:sz w:val="24"/>
          <w:szCs w:val="24"/>
        </w:rPr>
        <w:t>correspondiente al Presupuesto Nacional para el ejercicio 2020.</w:t>
      </w:r>
    </w:p>
    <w:p w14:paraId="2B744DE6" w14:textId="2A076272" w:rsidR="00DC730F" w:rsidRDefault="004958F4" w:rsidP="008E728D">
      <w:pPr>
        <w:pStyle w:val="Sinespaciado"/>
        <w:numPr>
          <w:ilvl w:val="0"/>
          <w:numId w:val="31"/>
        </w:numPr>
        <w:spacing w:before="240" w:after="240" w:line="276" w:lineRule="auto"/>
        <w:jc w:val="both"/>
        <w:rPr>
          <w:rFonts w:ascii="Arial" w:hAnsi="Arial" w:cs="Arial"/>
          <w:sz w:val="24"/>
          <w:szCs w:val="24"/>
        </w:rPr>
      </w:pPr>
      <w:r>
        <w:rPr>
          <w:rFonts w:ascii="Arial" w:hAnsi="Arial" w:cs="Arial"/>
          <w:sz w:val="24"/>
          <w:szCs w:val="24"/>
        </w:rPr>
        <w:t xml:space="preserve">Que se adopten las siguientes disposiciones que </w:t>
      </w:r>
      <w:r w:rsidR="00BE28E8">
        <w:rPr>
          <w:rFonts w:ascii="Arial" w:hAnsi="Arial" w:cs="Arial"/>
          <w:sz w:val="24"/>
          <w:szCs w:val="24"/>
        </w:rPr>
        <w:t xml:space="preserve">emanan del </w:t>
      </w:r>
      <w:r w:rsidR="00D30D90">
        <w:rPr>
          <w:rFonts w:ascii="Arial" w:hAnsi="Arial" w:cs="Arial"/>
          <w:sz w:val="24"/>
          <w:szCs w:val="24"/>
        </w:rPr>
        <w:t>estudio profundo de las condiciones fiscales, financieras y de gestión presupuestaria del Gobierno de la República</w:t>
      </w:r>
      <w:r w:rsidR="0021708D">
        <w:rPr>
          <w:rFonts w:ascii="Arial" w:hAnsi="Arial" w:cs="Arial"/>
          <w:sz w:val="24"/>
          <w:szCs w:val="24"/>
        </w:rPr>
        <w:t>,</w:t>
      </w:r>
      <w:r w:rsidR="00DC730F">
        <w:rPr>
          <w:rFonts w:ascii="Arial" w:hAnsi="Arial" w:cs="Arial"/>
          <w:sz w:val="24"/>
          <w:szCs w:val="24"/>
        </w:rPr>
        <w:t xml:space="preserve"> que yacen en los informes emitidos a la Comisión por parte de la Contraloría General de la República</w:t>
      </w:r>
      <w:r w:rsidR="00E85A08">
        <w:rPr>
          <w:rFonts w:ascii="Arial" w:hAnsi="Arial" w:cs="Arial"/>
          <w:sz w:val="24"/>
          <w:szCs w:val="24"/>
        </w:rPr>
        <w:t>:</w:t>
      </w:r>
    </w:p>
    <w:p w14:paraId="01687173" w14:textId="7A871269" w:rsidR="0083003A" w:rsidRDefault="00356B64" w:rsidP="007F2B35">
      <w:pPr>
        <w:pStyle w:val="Sinespaciado"/>
        <w:numPr>
          <w:ilvl w:val="1"/>
          <w:numId w:val="31"/>
        </w:numPr>
        <w:spacing w:before="240" w:after="240" w:line="276" w:lineRule="auto"/>
        <w:jc w:val="both"/>
        <w:rPr>
          <w:rFonts w:ascii="Arial" w:hAnsi="Arial" w:cs="Arial"/>
          <w:sz w:val="24"/>
          <w:szCs w:val="24"/>
        </w:rPr>
      </w:pPr>
      <w:r w:rsidRPr="00356B64">
        <w:rPr>
          <w:rFonts w:ascii="Arial" w:hAnsi="Arial" w:cs="Arial"/>
          <w:sz w:val="24"/>
          <w:szCs w:val="24"/>
        </w:rPr>
        <w:t xml:space="preserve">La fragilidad de los datos de ingresos, de egresos y de </w:t>
      </w:r>
      <w:r w:rsidR="00A54543" w:rsidRPr="00356B64">
        <w:rPr>
          <w:rFonts w:ascii="Arial" w:hAnsi="Arial" w:cs="Arial"/>
          <w:sz w:val="24"/>
          <w:szCs w:val="24"/>
        </w:rPr>
        <w:t>déficit,</w:t>
      </w:r>
      <w:r w:rsidRPr="00356B64">
        <w:rPr>
          <w:rFonts w:ascii="Arial" w:hAnsi="Arial" w:cs="Arial"/>
          <w:sz w:val="24"/>
          <w:szCs w:val="24"/>
        </w:rPr>
        <w:t xml:space="preserve"> por ende, así como las estimaciones que se realizan sobre ellos, hacen </w:t>
      </w:r>
      <w:r w:rsidR="000B61BC">
        <w:rPr>
          <w:rFonts w:ascii="Arial" w:hAnsi="Arial" w:cs="Arial"/>
          <w:sz w:val="24"/>
          <w:szCs w:val="24"/>
        </w:rPr>
        <w:t xml:space="preserve">más </w:t>
      </w:r>
      <w:r w:rsidRPr="00356B64">
        <w:rPr>
          <w:rFonts w:ascii="Arial" w:hAnsi="Arial" w:cs="Arial"/>
          <w:sz w:val="24"/>
          <w:szCs w:val="24"/>
        </w:rPr>
        <w:t>complej</w:t>
      </w:r>
      <w:r w:rsidR="000B61BC">
        <w:rPr>
          <w:rFonts w:ascii="Arial" w:hAnsi="Arial" w:cs="Arial"/>
          <w:sz w:val="24"/>
          <w:szCs w:val="24"/>
        </w:rPr>
        <w:t xml:space="preserve">o el proceso de generación de </w:t>
      </w:r>
      <w:r w:rsidRPr="00356B64">
        <w:rPr>
          <w:rFonts w:ascii="Arial" w:hAnsi="Arial" w:cs="Arial"/>
          <w:sz w:val="24"/>
          <w:szCs w:val="24"/>
        </w:rPr>
        <w:t>certidumbre</w:t>
      </w:r>
      <w:r w:rsidR="000B61BC">
        <w:rPr>
          <w:rFonts w:ascii="Arial" w:hAnsi="Arial" w:cs="Arial"/>
          <w:sz w:val="24"/>
          <w:szCs w:val="24"/>
        </w:rPr>
        <w:t xml:space="preserve"> y confianza. Virtud a ello, </w:t>
      </w:r>
      <w:r w:rsidR="000B61BC" w:rsidRPr="00975D82">
        <w:rPr>
          <w:rFonts w:ascii="Arial" w:hAnsi="Arial" w:cs="Arial"/>
          <w:b/>
          <w:bCs/>
          <w:sz w:val="24"/>
          <w:szCs w:val="24"/>
        </w:rPr>
        <w:t xml:space="preserve">se le dispone al </w:t>
      </w:r>
      <w:r w:rsidRPr="00975D82">
        <w:rPr>
          <w:rFonts w:ascii="Arial" w:hAnsi="Arial" w:cs="Arial"/>
          <w:b/>
          <w:bCs/>
          <w:sz w:val="24"/>
          <w:szCs w:val="24"/>
        </w:rPr>
        <w:t>Ministerio de Hacienda en conjunto con la Contraloría General</w:t>
      </w:r>
      <w:r w:rsidRPr="00356B64">
        <w:rPr>
          <w:rFonts w:ascii="Arial" w:hAnsi="Arial" w:cs="Arial"/>
          <w:sz w:val="24"/>
          <w:szCs w:val="24"/>
        </w:rPr>
        <w:t xml:space="preserve">, </w:t>
      </w:r>
      <w:r w:rsidR="000B61BC">
        <w:rPr>
          <w:rFonts w:ascii="Arial" w:hAnsi="Arial" w:cs="Arial"/>
          <w:sz w:val="24"/>
          <w:szCs w:val="24"/>
        </w:rPr>
        <w:t xml:space="preserve">que </w:t>
      </w:r>
      <w:r w:rsidRPr="00356B64">
        <w:rPr>
          <w:rFonts w:ascii="Arial" w:hAnsi="Arial" w:cs="Arial"/>
          <w:sz w:val="24"/>
          <w:szCs w:val="24"/>
        </w:rPr>
        <w:t xml:space="preserve">integren </w:t>
      </w:r>
      <w:r w:rsidR="00DE6158">
        <w:rPr>
          <w:rFonts w:ascii="Arial" w:hAnsi="Arial" w:cs="Arial"/>
          <w:sz w:val="24"/>
          <w:szCs w:val="24"/>
        </w:rPr>
        <w:t xml:space="preserve">esfuerzos </w:t>
      </w:r>
      <w:r w:rsidRPr="00356B64">
        <w:rPr>
          <w:rFonts w:ascii="Arial" w:hAnsi="Arial" w:cs="Arial"/>
          <w:sz w:val="24"/>
          <w:szCs w:val="24"/>
        </w:rPr>
        <w:t xml:space="preserve">para resolver </w:t>
      </w:r>
      <w:r w:rsidR="00DE6158">
        <w:rPr>
          <w:rFonts w:ascii="Arial" w:hAnsi="Arial" w:cs="Arial"/>
          <w:sz w:val="24"/>
          <w:szCs w:val="24"/>
        </w:rPr>
        <w:t>los problemas de registro de información</w:t>
      </w:r>
      <w:r w:rsidR="009B32AD">
        <w:rPr>
          <w:rFonts w:ascii="Arial" w:hAnsi="Arial" w:cs="Arial"/>
          <w:sz w:val="24"/>
          <w:szCs w:val="24"/>
        </w:rPr>
        <w:t xml:space="preserve">, el cálculo expreso de los datos y de </w:t>
      </w:r>
      <w:r w:rsidRPr="00356B64">
        <w:rPr>
          <w:rFonts w:ascii="Arial" w:hAnsi="Arial" w:cs="Arial"/>
          <w:sz w:val="24"/>
          <w:szCs w:val="24"/>
        </w:rPr>
        <w:t>los recursos no incluidos en la liquidación o registrados de forma incorrecta</w:t>
      </w:r>
      <w:r w:rsidR="0083003A" w:rsidRPr="0083003A">
        <w:rPr>
          <w:rFonts w:ascii="Arial" w:hAnsi="Arial" w:cs="Arial"/>
          <w:sz w:val="24"/>
          <w:szCs w:val="24"/>
        </w:rPr>
        <w:t xml:space="preserve"> </w:t>
      </w:r>
      <w:r w:rsidR="0083003A" w:rsidRPr="00356B64">
        <w:rPr>
          <w:rFonts w:ascii="Arial" w:hAnsi="Arial" w:cs="Arial"/>
          <w:sz w:val="24"/>
          <w:szCs w:val="24"/>
        </w:rPr>
        <w:t xml:space="preserve">y lo comuniquen al público en general y a la Asamblea Legislativa en el </w:t>
      </w:r>
      <w:r w:rsidR="0083003A" w:rsidRPr="00975D82">
        <w:rPr>
          <w:rFonts w:ascii="Arial" w:hAnsi="Arial" w:cs="Arial"/>
          <w:b/>
          <w:bCs/>
          <w:sz w:val="24"/>
          <w:szCs w:val="24"/>
        </w:rPr>
        <w:t>plazo no mayor a 90 días naturales luego de la aprobación del presente informe</w:t>
      </w:r>
      <w:r w:rsidR="0083003A" w:rsidRPr="00356B64">
        <w:rPr>
          <w:rFonts w:ascii="Arial" w:hAnsi="Arial" w:cs="Arial"/>
          <w:sz w:val="24"/>
          <w:szCs w:val="24"/>
        </w:rPr>
        <w:t>.</w:t>
      </w:r>
    </w:p>
    <w:p w14:paraId="04843384" w14:textId="5E8EF3AF" w:rsidR="0083003A" w:rsidRDefault="0097454B"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Además, </w:t>
      </w:r>
      <w:r w:rsidRPr="00975D82">
        <w:rPr>
          <w:rFonts w:ascii="Arial" w:hAnsi="Arial" w:cs="Arial"/>
          <w:b/>
          <w:bCs/>
          <w:sz w:val="24"/>
          <w:szCs w:val="24"/>
        </w:rPr>
        <w:t xml:space="preserve">se le dispone al </w:t>
      </w:r>
      <w:r w:rsidR="00D6567A" w:rsidRPr="00975D82">
        <w:rPr>
          <w:rFonts w:ascii="Arial" w:hAnsi="Arial" w:cs="Arial"/>
          <w:b/>
          <w:bCs/>
          <w:sz w:val="24"/>
          <w:szCs w:val="24"/>
        </w:rPr>
        <w:t>ministro</w:t>
      </w:r>
      <w:r w:rsidRPr="00975D82">
        <w:rPr>
          <w:rFonts w:ascii="Arial" w:hAnsi="Arial" w:cs="Arial"/>
          <w:b/>
          <w:bCs/>
          <w:sz w:val="24"/>
          <w:szCs w:val="24"/>
        </w:rPr>
        <w:t xml:space="preserve"> de Hacienda</w:t>
      </w:r>
      <w:r>
        <w:rPr>
          <w:rFonts w:ascii="Arial" w:hAnsi="Arial" w:cs="Arial"/>
          <w:sz w:val="24"/>
          <w:szCs w:val="24"/>
        </w:rPr>
        <w:t xml:space="preserve"> </w:t>
      </w:r>
      <w:r w:rsidR="00356B64" w:rsidRPr="00356B64">
        <w:rPr>
          <w:rFonts w:ascii="Arial" w:hAnsi="Arial" w:cs="Arial"/>
          <w:sz w:val="24"/>
          <w:szCs w:val="24"/>
        </w:rPr>
        <w:t xml:space="preserve">hacer los ajustes </w:t>
      </w:r>
      <w:r w:rsidR="009B32AD">
        <w:rPr>
          <w:rFonts w:ascii="Arial" w:hAnsi="Arial" w:cs="Arial"/>
          <w:sz w:val="24"/>
          <w:szCs w:val="24"/>
        </w:rPr>
        <w:t xml:space="preserve">necesarios </w:t>
      </w:r>
      <w:r w:rsidR="00356B64" w:rsidRPr="00356B64">
        <w:rPr>
          <w:rFonts w:ascii="Arial" w:hAnsi="Arial" w:cs="Arial"/>
          <w:sz w:val="24"/>
          <w:szCs w:val="24"/>
        </w:rPr>
        <w:t>respecto de las metas fiscales de mediano plazo</w:t>
      </w:r>
      <w:r>
        <w:rPr>
          <w:rFonts w:ascii="Arial" w:hAnsi="Arial" w:cs="Arial"/>
          <w:sz w:val="24"/>
          <w:szCs w:val="24"/>
        </w:rPr>
        <w:t xml:space="preserve">, evaluando el impacto que esto tiene sobre las metas acordadas </w:t>
      </w:r>
      <w:r w:rsidR="0083003A">
        <w:rPr>
          <w:rFonts w:ascii="Arial" w:hAnsi="Arial" w:cs="Arial"/>
          <w:sz w:val="24"/>
          <w:szCs w:val="24"/>
        </w:rPr>
        <w:t>con el Fondo Monetario Internacional.</w:t>
      </w:r>
      <w:r w:rsidR="0083003A" w:rsidRPr="0083003A">
        <w:rPr>
          <w:rFonts w:ascii="Arial" w:hAnsi="Arial" w:cs="Arial"/>
          <w:sz w:val="24"/>
          <w:szCs w:val="24"/>
        </w:rPr>
        <w:t xml:space="preserve"> </w:t>
      </w:r>
      <w:r w:rsidR="00E8262E">
        <w:rPr>
          <w:rFonts w:ascii="Arial" w:hAnsi="Arial" w:cs="Arial"/>
          <w:sz w:val="24"/>
          <w:szCs w:val="24"/>
        </w:rPr>
        <w:t xml:space="preserve">El Ministerio de Hacienda emitirá un informe público para la ciudadanía y la </w:t>
      </w:r>
      <w:r w:rsidR="0083003A" w:rsidRPr="00356B64">
        <w:rPr>
          <w:rFonts w:ascii="Arial" w:hAnsi="Arial" w:cs="Arial"/>
          <w:sz w:val="24"/>
          <w:szCs w:val="24"/>
        </w:rPr>
        <w:t>Asamblea Legislativa</w:t>
      </w:r>
      <w:r w:rsidR="009B1364">
        <w:rPr>
          <w:rFonts w:ascii="Arial" w:hAnsi="Arial" w:cs="Arial"/>
          <w:sz w:val="24"/>
          <w:szCs w:val="24"/>
        </w:rPr>
        <w:t xml:space="preserve">, el cual deberá ser presentado </w:t>
      </w:r>
      <w:r w:rsidR="0083003A" w:rsidRPr="00975D82">
        <w:rPr>
          <w:rFonts w:ascii="Arial" w:hAnsi="Arial" w:cs="Arial"/>
          <w:b/>
          <w:bCs/>
          <w:sz w:val="24"/>
          <w:szCs w:val="24"/>
        </w:rPr>
        <w:t xml:space="preserve">en </w:t>
      </w:r>
      <w:r w:rsidR="009B1364">
        <w:rPr>
          <w:rFonts w:ascii="Arial" w:hAnsi="Arial" w:cs="Arial"/>
          <w:b/>
          <w:bCs/>
          <w:sz w:val="24"/>
          <w:szCs w:val="24"/>
        </w:rPr>
        <w:t xml:space="preserve">un </w:t>
      </w:r>
      <w:r w:rsidR="0083003A" w:rsidRPr="00975D82">
        <w:rPr>
          <w:rFonts w:ascii="Arial" w:hAnsi="Arial" w:cs="Arial"/>
          <w:b/>
          <w:bCs/>
          <w:sz w:val="24"/>
          <w:szCs w:val="24"/>
        </w:rPr>
        <w:t xml:space="preserve">plazo no mayor a </w:t>
      </w:r>
      <w:r w:rsidR="00E8262E" w:rsidRPr="00975D82">
        <w:rPr>
          <w:rFonts w:ascii="Arial" w:hAnsi="Arial" w:cs="Arial"/>
          <w:b/>
          <w:bCs/>
          <w:sz w:val="24"/>
          <w:szCs w:val="24"/>
        </w:rPr>
        <w:t xml:space="preserve">30 </w:t>
      </w:r>
      <w:r w:rsidR="0083003A" w:rsidRPr="00975D82">
        <w:rPr>
          <w:rFonts w:ascii="Arial" w:hAnsi="Arial" w:cs="Arial"/>
          <w:b/>
          <w:bCs/>
          <w:sz w:val="24"/>
          <w:szCs w:val="24"/>
        </w:rPr>
        <w:t>días naturales luego de la aprobación del presente informe</w:t>
      </w:r>
      <w:r w:rsidR="0083003A" w:rsidRPr="00356B64">
        <w:rPr>
          <w:rFonts w:ascii="Arial" w:hAnsi="Arial" w:cs="Arial"/>
          <w:sz w:val="24"/>
          <w:szCs w:val="24"/>
        </w:rPr>
        <w:t>.</w:t>
      </w:r>
    </w:p>
    <w:p w14:paraId="32E8398F" w14:textId="149B82E3" w:rsidR="0090458B" w:rsidRDefault="007D2E89"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En virtud de las inconsistencias detectadas por la Contraloría General de la República, </w:t>
      </w:r>
      <w:r w:rsidR="00E8262E" w:rsidRPr="00975D82">
        <w:rPr>
          <w:rFonts w:ascii="Arial" w:hAnsi="Arial" w:cs="Arial"/>
          <w:b/>
          <w:bCs/>
          <w:sz w:val="24"/>
          <w:szCs w:val="24"/>
        </w:rPr>
        <w:t>se le dispone a la Contraloría General de la República</w:t>
      </w:r>
      <w:r w:rsidR="00E8262E">
        <w:rPr>
          <w:rFonts w:ascii="Arial" w:hAnsi="Arial" w:cs="Arial"/>
          <w:sz w:val="24"/>
          <w:szCs w:val="24"/>
        </w:rPr>
        <w:t xml:space="preserve"> que realice las investigaciones preliminares necesarias que logren explicar las razones puntuales que llevaron al registro incorrecto o </w:t>
      </w:r>
      <w:r w:rsidR="0090458B">
        <w:rPr>
          <w:rFonts w:ascii="Arial" w:hAnsi="Arial" w:cs="Arial"/>
          <w:sz w:val="24"/>
          <w:szCs w:val="24"/>
        </w:rPr>
        <w:t xml:space="preserve">ausente en la liquidación y defina las </w:t>
      </w:r>
      <w:r w:rsidR="00521BE7">
        <w:rPr>
          <w:rFonts w:ascii="Arial" w:hAnsi="Arial" w:cs="Arial"/>
          <w:sz w:val="24"/>
          <w:szCs w:val="24"/>
        </w:rPr>
        <w:t xml:space="preserve">eventuales </w:t>
      </w:r>
      <w:r w:rsidR="0090458B">
        <w:rPr>
          <w:rFonts w:ascii="Arial" w:hAnsi="Arial" w:cs="Arial"/>
          <w:sz w:val="24"/>
          <w:szCs w:val="24"/>
        </w:rPr>
        <w:t>responsabilidades correspondientes.</w:t>
      </w:r>
      <w:r w:rsidR="0043268B">
        <w:rPr>
          <w:rFonts w:ascii="Arial" w:hAnsi="Arial" w:cs="Arial"/>
          <w:sz w:val="24"/>
          <w:szCs w:val="24"/>
        </w:rPr>
        <w:t xml:space="preserve"> </w:t>
      </w:r>
      <w:r w:rsidR="0043268B" w:rsidRPr="0043268B">
        <w:rPr>
          <w:rFonts w:ascii="Arial" w:hAnsi="Arial" w:cs="Arial"/>
          <w:b/>
          <w:bCs/>
          <w:sz w:val="24"/>
          <w:szCs w:val="24"/>
        </w:rPr>
        <w:t>La Contralora General de la República deberá enviar</w:t>
      </w:r>
      <w:r w:rsidR="00EB6528">
        <w:rPr>
          <w:rFonts w:ascii="Arial" w:hAnsi="Arial" w:cs="Arial"/>
          <w:b/>
          <w:bCs/>
          <w:sz w:val="24"/>
          <w:szCs w:val="24"/>
        </w:rPr>
        <w:t xml:space="preserve"> a la Asamblea Legislativa</w:t>
      </w:r>
      <w:r w:rsidR="009531F1">
        <w:rPr>
          <w:rFonts w:ascii="Arial" w:hAnsi="Arial" w:cs="Arial"/>
          <w:b/>
          <w:bCs/>
          <w:sz w:val="24"/>
          <w:szCs w:val="24"/>
        </w:rPr>
        <w:t>,</w:t>
      </w:r>
      <w:r w:rsidR="0043268B" w:rsidRPr="0043268B">
        <w:rPr>
          <w:rFonts w:ascii="Arial" w:hAnsi="Arial" w:cs="Arial"/>
          <w:b/>
          <w:bCs/>
          <w:sz w:val="24"/>
          <w:szCs w:val="24"/>
        </w:rPr>
        <w:t xml:space="preserve"> un informe sobre el avance de dichas investigaciones</w:t>
      </w:r>
      <w:r w:rsidR="002B69EA">
        <w:rPr>
          <w:rFonts w:ascii="Arial" w:hAnsi="Arial" w:cs="Arial"/>
          <w:b/>
          <w:bCs/>
          <w:sz w:val="24"/>
          <w:szCs w:val="24"/>
        </w:rPr>
        <w:t xml:space="preserve">, sin el detalle de las pesquisas, </w:t>
      </w:r>
      <w:r w:rsidR="0043268B" w:rsidRPr="0043268B">
        <w:rPr>
          <w:rFonts w:ascii="Arial" w:hAnsi="Arial" w:cs="Arial"/>
          <w:b/>
          <w:bCs/>
          <w:sz w:val="24"/>
          <w:szCs w:val="24"/>
        </w:rPr>
        <w:t>en un plazo no mayor a 90 días naturales luego de la aprobación del presente informe</w:t>
      </w:r>
      <w:r w:rsidR="0043268B">
        <w:rPr>
          <w:rFonts w:ascii="Arial" w:hAnsi="Arial" w:cs="Arial"/>
          <w:sz w:val="24"/>
          <w:szCs w:val="24"/>
        </w:rPr>
        <w:t>.</w:t>
      </w:r>
    </w:p>
    <w:p w14:paraId="4408A7E5" w14:textId="5B1FE483" w:rsidR="00DE7BFF" w:rsidRDefault="00711636"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En virtud de que </w:t>
      </w:r>
      <w:r w:rsidR="00356B64" w:rsidRPr="00356B64">
        <w:rPr>
          <w:rFonts w:ascii="Arial" w:hAnsi="Arial" w:cs="Arial"/>
          <w:sz w:val="24"/>
          <w:szCs w:val="24"/>
        </w:rPr>
        <w:t xml:space="preserve">12 entidades del sector público no financiero </w:t>
      </w:r>
      <w:r>
        <w:rPr>
          <w:rFonts w:ascii="Arial" w:hAnsi="Arial" w:cs="Arial"/>
          <w:sz w:val="24"/>
          <w:szCs w:val="24"/>
        </w:rPr>
        <w:t xml:space="preserve">incumplieron el límite </w:t>
      </w:r>
      <w:r w:rsidR="00F4213E">
        <w:rPr>
          <w:rFonts w:ascii="Arial" w:hAnsi="Arial" w:cs="Arial"/>
          <w:sz w:val="24"/>
          <w:szCs w:val="24"/>
        </w:rPr>
        <w:t>de la regla fiscal</w:t>
      </w:r>
      <w:r>
        <w:rPr>
          <w:rFonts w:ascii="Arial" w:hAnsi="Arial" w:cs="Arial"/>
          <w:sz w:val="24"/>
          <w:szCs w:val="24"/>
        </w:rPr>
        <w:t xml:space="preserve">, N° </w:t>
      </w:r>
      <w:r w:rsidR="00F4213E">
        <w:rPr>
          <w:rFonts w:ascii="Arial" w:hAnsi="Arial" w:cs="Arial"/>
          <w:sz w:val="24"/>
          <w:szCs w:val="24"/>
        </w:rPr>
        <w:t>9635</w:t>
      </w:r>
      <w:r w:rsidR="00356B64" w:rsidRPr="00356B64">
        <w:rPr>
          <w:rFonts w:ascii="Arial" w:hAnsi="Arial" w:cs="Arial"/>
          <w:sz w:val="24"/>
          <w:szCs w:val="24"/>
        </w:rPr>
        <w:t xml:space="preserve">, </w:t>
      </w:r>
      <w:r w:rsidR="00F4213E" w:rsidRPr="0090458B">
        <w:rPr>
          <w:rFonts w:ascii="Arial" w:hAnsi="Arial" w:cs="Arial"/>
          <w:b/>
          <w:bCs/>
          <w:sz w:val="24"/>
          <w:szCs w:val="24"/>
        </w:rPr>
        <w:t>se dispone a la Contralora General de la República</w:t>
      </w:r>
      <w:r w:rsidR="00F4213E">
        <w:rPr>
          <w:rFonts w:ascii="Arial" w:hAnsi="Arial" w:cs="Arial"/>
          <w:sz w:val="24"/>
          <w:szCs w:val="24"/>
        </w:rPr>
        <w:t xml:space="preserve"> a que de conformidad con el </w:t>
      </w:r>
      <w:r w:rsidR="00356B64" w:rsidRPr="00356B64">
        <w:rPr>
          <w:rFonts w:ascii="Arial" w:hAnsi="Arial" w:cs="Arial"/>
          <w:sz w:val="24"/>
          <w:szCs w:val="24"/>
        </w:rPr>
        <w:t>Artículo 26 y Artículo 7 del Título IV de Responsabilidad Fiscal de la República, de la Ley N°9635 de Fortalecimiento de las Finanzas Públicas, del 3 de diciembre de 2018 y sus reformas</w:t>
      </w:r>
      <w:r w:rsidR="00A278E3">
        <w:rPr>
          <w:rFonts w:ascii="Arial" w:hAnsi="Arial" w:cs="Arial"/>
          <w:sz w:val="24"/>
          <w:szCs w:val="24"/>
        </w:rPr>
        <w:t>, proce</w:t>
      </w:r>
      <w:r w:rsidR="006C1D0B">
        <w:rPr>
          <w:rFonts w:ascii="Arial" w:hAnsi="Arial" w:cs="Arial"/>
          <w:sz w:val="24"/>
          <w:szCs w:val="24"/>
        </w:rPr>
        <w:t>d</w:t>
      </w:r>
      <w:r w:rsidR="00A278E3">
        <w:rPr>
          <w:rFonts w:ascii="Arial" w:hAnsi="Arial" w:cs="Arial"/>
          <w:sz w:val="24"/>
          <w:szCs w:val="24"/>
        </w:rPr>
        <w:t xml:space="preserve">a a realizar las investigaciones correspondientes </w:t>
      </w:r>
      <w:r w:rsidR="006C1D0B">
        <w:rPr>
          <w:rFonts w:ascii="Arial" w:hAnsi="Arial" w:cs="Arial"/>
          <w:sz w:val="24"/>
          <w:szCs w:val="24"/>
        </w:rPr>
        <w:t xml:space="preserve">respecto de </w:t>
      </w:r>
      <w:r w:rsidR="00A278E3">
        <w:rPr>
          <w:rFonts w:ascii="Arial" w:hAnsi="Arial" w:cs="Arial"/>
          <w:sz w:val="24"/>
          <w:szCs w:val="24"/>
        </w:rPr>
        <w:t xml:space="preserve">las explicaciones y justificaciones de las entidades </w:t>
      </w:r>
      <w:r w:rsidR="00C73F16">
        <w:rPr>
          <w:rFonts w:ascii="Arial" w:hAnsi="Arial" w:cs="Arial"/>
          <w:sz w:val="24"/>
          <w:szCs w:val="24"/>
        </w:rPr>
        <w:t>que incumplieron</w:t>
      </w:r>
      <w:r w:rsidR="00A278E3">
        <w:rPr>
          <w:rFonts w:ascii="Arial" w:hAnsi="Arial" w:cs="Arial"/>
          <w:sz w:val="24"/>
          <w:szCs w:val="24"/>
        </w:rPr>
        <w:t xml:space="preserve">, y emita un </w:t>
      </w:r>
      <w:r w:rsidR="00A278E3" w:rsidRPr="0056140B">
        <w:rPr>
          <w:rFonts w:ascii="Arial" w:hAnsi="Arial" w:cs="Arial"/>
          <w:b/>
          <w:bCs/>
          <w:sz w:val="24"/>
          <w:szCs w:val="24"/>
        </w:rPr>
        <w:t>informe a esta Asamblea Legis</w:t>
      </w:r>
      <w:r w:rsidR="0056140B" w:rsidRPr="0056140B">
        <w:rPr>
          <w:rFonts w:ascii="Arial" w:hAnsi="Arial" w:cs="Arial"/>
          <w:b/>
          <w:bCs/>
          <w:sz w:val="24"/>
          <w:szCs w:val="24"/>
        </w:rPr>
        <w:t>la</w:t>
      </w:r>
      <w:r w:rsidR="00A278E3" w:rsidRPr="0056140B">
        <w:rPr>
          <w:rFonts w:ascii="Arial" w:hAnsi="Arial" w:cs="Arial"/>
          <w:b/>
          <w:bCs/>
          <w:sz w:val="24"/>
          <w:szCs w:val="24"/>
        </w:rPr>
        <w:t xml:space="preserve">tiva en un plazo no </w:t>
      </w:r>
      <w:r w:rsidR="0056140B" w:rsidRPr="0056140B">
        <w:rPr>
          <w:rFonts w:ascii="Arial" w:hAnsi="Arial" w:cs="Arial"/>
          <w:b/>
          <w:bCs/>
          <w:sz w:val="24"/>
          <w:szCs w:val="24"/>
        </w:rPr>
        <w:t>mayor a 90 días naturales</w:t>
      </w:r>
      <w:r w:rsidR="000275FC">
        <w:rPr>
          <w:rFonts w:ascii="Arial" w:hAnsi="Arial" w:cs="Arial"/>
          <w:sz w:val="24"/>
          <w:szCs w:val="24"/>
        </w:rPr>
        <w:t xml:space="preserve">, </w:t>
      </w:r>
      <w:r w:rsidR="000275FC" w:rsidRPr="002A77EB">
        <w:rPr>
          <w:rFonts w:ascii="Arial" w:hAnsi="Arial" w:cs="Arial"/>
          <w:b/>
          <w:bCs/>
          <w:sz w:val="24"/>
          <w:szCs w:val="24"/>
        </w:rPr>
        <w:t>luego de la aprobación del presente informe</w:t>
      </w:r>
      <w:r w:rsidR="000275FC">
        <w:rPr>
          <w:rFonts w:ascii="Arial" w:hAnsi="Arial" w:cs="Arial"/>
          <w:b/>
          <w:bCs/>
          <w:sz w:val="24"/>
          <w:szCs w:val="24"/>
        </w:rPr>
        <w:t>.</w:t>
      </w:r>
    </w:p>
    <w:p w14:paraId="0C42DACA" w14:textId="260EE811" w:rsidR="00356B64" w:rsidRPr="00012A1D" w:rsidRDefault="00DE7BFF" w:rsidP="007F2B35">
      <w:pPr>
        <w:pStyle w:val="Sinespaciado"/>
        <w:numPr>
          <w:ilvl w:val="1"/>
          <w:numId w:val="31"/>
        </w:numPr>
        <w:spacing w:before="240" w:after="240" w:line="276" w:lineRule="auto"/>
        <w:jc w:val="both"/>
        <w:rPr>
          <w:rFonts w:ascii="Arial" w:hAnsi="Arial" w:cs="Arial"/>
          <w:sz w:val="24"/>
          <w:szCs w:val="24"/>
        </w:rPr>
      </w:pPr>
      <w:r w:rsidRPr="00012A1D">
        <w:rPr>
          <w:rFonts w:ascii="Arial" w:hAnsi="Arial" w:cs="Arial"/>
          <w:sz w:val="24"/>
          <w:szCs w:val="24"/>
        </w:rPr>
        <w:t xml:space="preserve">De igual forma, </w:t>
      </w:r>
      <w:r w:rsidR="00DB60FA">
        <w:rPr>
          <w:rFonts w:ascii="Arial" w:hAnsi="Arial" w:cs="Arial"/>
          <w:sz w:val="24"/>
          <w:szCs w:val="24"/>
        </w:rPr>
        <w:t xml:space="preserve">respecto </w:t>
      </w:r>
      <w:r w:rsidRPr="00012A1D">
        <w:rPr>
          <w:rFonts w:ascii="Arial" w:hAnsi="Arial" w:cs="Arial"/>
          <w:sz w:val="24"/>
          <w:szCs w:val="24"/>
        </w:rPr>
        <w:t xml:space="preserve">de la regla fiscal en lo que respecta a las </w:t>
      </w:r>
      <w:r w:rsidR="00356B64" w:rsidRPr="00012A1D">
        <w:rPr>
          <w:rFonts w:ascii="Arial" w:hAnsi="Arial" w:cs="Arial"/>
          <w:sz w:val="24"/>
          <w:szCs w:val="24"/>
        </w:rPr>
        <w:t>transferencias corrientes del Gobierno Central</w:t>
      </w:r>
      <w:r w:rsidR="00DB60FA">
        <w:rPr>
          <w:rFonts w:ascii="Arial" w:hAnsi="Arial" w:cs="Arial"/>
          <w:sz w:val="24"/>
          <w:szCs w:val="24"/>
        </w:rPr>
        <w:t xml:space="preserve">, </w:t>
      </w:r>
      <w:r w:rsidR="007D36E7" w:rsidRPr="00012A1D">
        <w:rPr>
          <w:rFonts w:ascii="Arial" w:hAnsi="Arial" w:cs="Arial"/>
          <w:b/>
          <w:bCs/>
          <w:sz w:val="24"/>
          <w:szCs w:val="24"/>
        </w:rPr>
        <w:t>se le dispone a la Contralora General de la República emitir un informe sobre el incumplimiento individualizado</w:t>
      </w:r>
      <w:r w:rsidR="00016C53" w:rsidRPr="00012A1D">
        <w:rPr>
          <w:rFonts w:ascii="Arial" w:hAnsi="Arial" w:cs="Arial"/>
          <w:b/>
          <w:bCs/>
          <w:sz w:val="24"/>
          <w:szCs w:val="24"/>
        </w:rPr>
        <w:t>,</w:t>
      </w:r>
      <w:r w:rsidR="007D36E7" w:rsidRPr="00012A1D">
        <w:rPr>
          <w:rFonts w:ascii="Arial" w:hAnsi="Arial" w:cs="Arial"/>
          <w:b/>
          <w:bCs/>
          <w:sz w:val="24"/>
          <w:szCs w:val="24"/>
        </w:rPr>
        <w:t xml:space="preserve"> respecto de </w:t>
      </w:r>
      <w:r w:rsidR="00F71C01" w:rsidRPr="00012A1D">
        <w:rPr>
          <w:rFonts w:ascii="Arial" w:hAnsi="Arial" w:cs="Arial"/>
          <w:b/>
          <w:bCs/>
          <w:sz w:val="24"/>
          <w:szCs w:val="24"/>
        </w:rPr>
        <w:t>este límite para el 2020</w:t>
      </w:r>
      <w:r w:rsidR="00F96F91" w:rsidRPr="00012A1D">
        <w:rPr>
          <w:rFonts w:ascii="Arial" w:hAnsi="Arial" w:cs="Arial"/>
          <w:b/>
          <w:bCs/>
          <w:sz w:val="24"/>
          <w:szCs w:val="24"/>
        </w:rPr>
        <w:t xml:space="preserve">, que incluya un análisis sobre </w:t>
      </w:r>
      <w:r w:rsidR="00211EB9" w:rsidRPr="00012A1D">
        <w:rPr>
          <w:rFonts w:ascii="Arial" w:hAnsi="Arial" w:cs="Arial"/>
          <w:b/>
          <w:bCs/>
          <w:sz w:val="24"/>
          <w:szCs w:val="24"/>
        </w:rPr>
        <w:t>el sustento jurídico del artículo 4 del Reglamento</w:t>
      </w:r>
      <w:r w:rsidR="00012A1D" w:rsidRPr="00012A1D">
        <w:rPr>
          <w:rFonts w:ascii="Arial" w:hAnsi="Arial" w:cs="Arial"/>
          <w:b/>
          <w:bCs/>
          <w:sz w:val="24"/>
          <w:szCs w:val="24"/>
        </w:rPr>
        <w:t xml:space="preserve"> al título IV de la ley No. 9635, denominado Responsabilidad Fiscal de la República; N°  41</w:t>
      </w:r>
      <w:r w:rsidR="001352D6">
        <w:rPr>
          <w:rFonts w:ascii="Arial" w:hAnsi="Arial" w:cs="Arial"/>
          <w:b/>
          <w:bCs/>
          <w:sz w:val="24"/>
          <w:szCs w:val="24"/>
        </w:rPr>
        <w:t>.</w:t>
      </w:r>
      <w:r w:rsidR="00012A1D" w:rsidRPr="00012A1D">
        <w:rPr>
          <w:rFonts w:ascii="Arial" w:hAnsi="Arial" w:cs="Arial"/>
          <w:b/>
          <w:bCs/>
          <w:sz w:val="24"/>
          <w:szCs w:val="24"/>
        </w:rPr>
        <w:t>641-H</w:t>
      </w:r>
      <w:r w:rsidR="001352D6">
        <w:rPr>
          <w:rFonts w:ascii="Arial" w:hAnsi="Arial" w:cs="Arial"/>
          <w:b/>
          <w:bCs/>
          <w:sz w:val="24"/>
          <w:szCs w:val="24"/>
        </w:rPr>
        <w:t xml:space="preserve">, del 24 de </w:t>
      </w:r>
      <w:r w:rsidR="00CC5462">
        <w:rPr>
          <w:rFonts w:ascii="Arial" w:hAnsi="Arial" w:cs="Arial"/>
          <w:b/>
          <w:bCs/>
          <w:sz w:val="24"/>
          <w:szCs w:val="24"/>
        </w:rPr>
        <w:t>abril de 2019 y sus reformas</w:t>
      </w:r>
      <w:r w:rsidR="00F71C01" w:rsidRPr="00012A1D">
        <w:rPr>
          <w:rFonts w:ascii="Arial" w:hAnsi="Arial" w:cs="Arial"/>
          <w:sz w:val="24"/>
          <w:szCs w:val="24"/>
        </w:rPr>
        <w:t xml:space="preserve">. </w:t>
      </w:r>
      <w:r w:rsidR="00F71C01" w:rsidRPr="00012A1D">
        <w:rPr>
          <w:rFonts w:ascii="Arial" w:hAnsi="Arial" w:cs="Arial"/>
          <w:b/>
          <w:bCs/>
          <w:sz w:val="24"/>
          <w:szCs w:val="24"/>
        </w:rPr>
        <w:t xml:space="preserve">Dicho informe debe ser remitido a </w:t>
      </w:r>
      <w:r w:rsidR="006F6B56" w:rsidRPr="00012A1D">
        <w:rPr>
          <w:rFonts w:ascii="Arial" w:hAnsi="Arial" w:cs="Arial"/>
          <w:b/>
          <w:bCs/>
          <w:sz w:val="24"/>
          <w:szCs w:val="24"/>
        </w:rPr>
        <w:t xml:space="preserve">la Asamblea Legislativa en un plazo no mayor a </w:t>
      </w:r>
      <w:r w:rsidR="00745FBE" w:rsidRPr="00012A1D">
        <w:rPr>
          <w:rFonts w:ascii="Arial" w:hAnsi="Arial" w:cs="Arial"/>
          <w:b/>
          <w:bCs/>
          <w:sz w:val="24"/>
          <w:szCs w:val="24"/>
        </w:rPr>
        <w:t>180</w:t>
      </w:r>
      <w:r w:rsidR="006F6B56" w:rsidRPr="00012A1D">
        <w:rPr>
          <w:rFonts w:ascii="Arial" w:hAnsi="Arial" w:cs="Arial"/>
          <w:b/>
          <w:bCs/>
          <w:sz w:val="24"/>
          <w:szCs w:val="24"/>
        </w:rPr>
        <w:t xml:space="preserve"> días naturales</w:t>
      </w:r>
      <w:r w:rsidR="000275FC">
        <w:rPr>
          <w:rFonts w:ascii="Arial" w:hAnsi="Arial" w:cs="Arial"/>
          <w:sz w:val="24"/>
          <w:szCs w:val="24"/>
        </w:rPr>
        <w:t xml:space="preserve">, </w:t>
      </w:r>
      <w:r w:rsidR="000275FC" w:rsidRPr="002A77EB">
        <w:rPr>
          <w:rFonts w:ascii="Arial" w:hAnsi="Arial" w:cs="Arial"/>
          <w:b/>
          <w:bCs/>
          <w:sz w:val="24"/>
          <w:szCs w:val="24"/>
        </w:rPr>
        <w:t>luego de la aprobación del presente informe</w:t>
      </w:r>
      <w:r w:rsidR="000275FC">
        <w:rPr>
          <w:rFonts w:ascii="Arial" w:hAnsi="Arial" w:cs="Arial"/>
          <w:b/>
          <w:bCs/>
          <w:sz w:val="24"/>
          <w:szCs w:val="24"/>
        </w:rPr>
        <w:t>.</w:t>
      </w:r>
    </w:p>
    <w:p w14:paraId="32938AB6" w14:textId="6D8D8BCB" w:rsidR="00F01F0C" w:rsidRDefault="0040421F"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En virtud de los hallazgos respecto de la </w:t>
      </w:r>
      <w:r w:rsidR="00356B64" w:rsidRPr="00356B64">
        <w:rPr>
          <w:rFonts w:ascii="Arial" w:hAnsi="Arial" w:cs="Arial"/>
          <w:sz w:val="24"/>
          <w:szCs w:val="24"/>
        </w:rPr>
        <w:t xml:space="preserve">metodología empleada por el Ministerio de Hacienda </w:t>
      </w:r>
      <w:r>
        <w:rPr>
          <w:rFonts w:ascii="Arial" w:hAnsi="Arial" w:cs="Arial"/>
          <w:sz w:val="24"/>
          <w:szCs w:val="24"/>
        </w:rPr>
        <w:t>para el cálculo de la regla fiscal</w:t>
      </w:r>
      <w:r w:rsidRPr="006F6B56">
        <w:rPr>
          <w:rFonts w:ascii="Arial" w:hAnsi="Arial" w:cs="Arial"/>
          <w:b/>
          <w:bCs/>
          <w:sz w:val="24"/>
          <w:szCs w:val="24"/>
        </w:rPr>
        <w:t xml:space="preserve">, se le recomienda a ese Ministerio, que </w:t>
      </w:r>
      <w:r w:rsidR="00E0065E" w:rsidRPr="006F6B56">
        <w:rPr>
          <w:rFonts w:ascii="Arial" w:hAnsi="Arial" w:cs="Arial"/>
          <w:b/>
          <w:bCs/>
          <w:sz w:val="24"/>
          <w:szCs w:val="24"/>
        </w:rPr>
        <w:t xml:space="preserve">analice para el ejercicio económico 2021 y 2022, </w:t>
      </w:r>
      <w:r w:rsidR="00F01F0C" w:rsidRPr="006F6B56">
        <w:rPr>
          <w:rFonts w:ascii="Arial" w:hAnsi="Arial" w:cs="Arial"/>
          <w:b/>
          <w:bCs/>
          <w:sz w:val="24"/>
          <w:szCs w:val="24"/>
        </w:rPr>
        <w:t xml:space="preserve">el método a la luz de la revisión que se realiza en el apartado </w:t>
      </w:r>
      <w:r w:rsidR="004021BF" w:rsidRPr="006F6B56">
        <w:rPr>
          <w:rFonts w:ascii="Arial" w:hAnsi="Arial" w:cs="Arial"/>
          <w:b/>
          <w:bCs/>
          <w:sz w:val="24"/>
          <w:szCs w:val="24"/>
        </w:rPr>
        <w:t>C de este informe, y realizar los ajustes que considere pertinentes</w:t>
      </w:r>
      <w:r w:rsidR="00D17415" w:rsidRPr="00D17415">
        <w:rPr>
          <w:rFonts w:ascii="Arial" w:hAnsi="Arial" w:cs="Arial"/>
          <w:b/>
          <w:bCs/>
          <w:sz w:val="24"/>
          <w:szCs w:val="24"/>
        </w:rPr>
        <w:t xml:space="preserve">, y comunique a la Asamblea </w:t>
      </w:r>
      <w:r w:rsidR="00A54543" w:rsidRPr="00D17415">
        <w:rPr>
          <w:rFonts w:ascii="Arial" w:hAnsi="Arial" w:cs="Arial"/>
          <w:b/>
          <w:bCs/>
          <w:sz w:val="24"/>
          <w:szCs w:val="24"/>
        </w:rPr>
        <w:t>Legislativa</w:t>
      </w:r>
      <w:r w:rsidR="00D17415" w:rsidRPr="00D17415">
        <w:rPr>
          <w:rFonts w:ascii="Arial" w:hAnsi="Arial" w:cs="Arial"/>
          <w:b/>
          <w:bCs/>
          <w:sz w:val="24"/>
          <w:szCs w:val="24"/>
        </w:rPr>
        <w:t xml:space="preserve"> en un plazo no mayor </w:t>
      </w:r>
      <w:r w:rsidR="003433A8">
        <w:rPr>
          <w:rFonts w:ascii="Arial" w:hAnsi="Arial" w:cs="Arial"/>
          <w:b/>
          <w:bCs/>
          <w:sz w:val="24"/>
          <w:szCs w:val="24"/>
        </w:rPr>
        <w:t>a</w:t>
      </w:r>
      <w:r w:rsidR="00D17415" w:rsidRPr="00D17415">
        <w:rPr>
          <w:rFonts w:ascii="Arial" w:hAnsi="Arial" w:cs="Arial"/>
          <w:b/>
          <w:bCs/>
          <w:sz w:val="24"/>
          <w:szCs w:val="24"/>
        </w:rPr>
        <w:t xml:space="preserve"> 30 días naturales los resultados de ese análisis</w:t>
      </w:r>
      <w:r w:rsidR="000275FC">
        <w:rPr>
          <w:rFonts w:ascii="Arial" w:hAnsi="Arial" w:cs="Arial"/>
          <w:b/>
          <w:bCs/>
          <w:sz w:val="24"/>
          <w:szCs w:val="24"/>
        </w:rPr>
        <w:t xml:space="preserve">, </w:t>
      </w:r>
      <w:r w:rsidR="000275FC" w:rsidRPr="002A77EB">
        <w:rPr>
          <w:rFonts w:ascii="Arial" w:hAnsi="Arial" w:cs="Arial"/>
          <w:b/>
          <w:bCs/>
          <w:sz w:val="24"/>
          <w:szCs w:val="24"/>
        </w:rPr>
        <w:t>luego de la aprobación del presente informe</w:t>
      </w:r>
      <w:r w:rsidR="000275FC">
        <w:rPr>
          <w:rFonts w:ascii="Arial" w:hAnsi="Arial" w:cs="Arial"/>
          <w:b/>
          <w:bCs/>
          <w:sz w:val="24"/>
          <w:szCs w:val="24"/>
        </w:rPr>
        <w:t>.</w:t>
      </w:r>
    </w:p>
    <w:p w14:paraId="5DD45993" w14:textId="39226037" w:rsidR="00645A04" w:rsidRDefault="004612E4"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En virtud de que s</w:t>
      </w:r>
      <w:r w:rsidRPr="00356B64">
        <w:rPr>
          <w:rFonts w:ascii="Arial" w:hAnsi="Arial" w:cs="Arial"/>
          <w:sz w:val="24"/>
          <w:szCs w:val="24"/>
        </w:rPr>
        <w:t>olo en 2020, la Asamblea Legislativa aprobó ¢824.617,5 millones</w:t>
      </w:r>
      <w:r>
        <w:rPr>
          <w:rFonts w:ascii="Arial" w:hAnsi="Arial" w:cs="Arial"/>
          <w:sz w:val="24"/>
          <w:szCs w:val="24"/>
        </w:rPr>
        <w:t xml:space="preserve"> (</w:t>
      </w:r>
      <w:r w:rsidRPr="00356B64">
        <w:rPr>
          <w:rFonts w:ascii="Arial" w:hAnsi="Arial" w:cs="Arial"/>
          <w:sz w:val="24"/>
          <w:szCs w:val="24"/>
        </w:rPr>
        <w:t>2,3% del PIB</w:t>
      </w:r>
      <w:r>
        <w:rPr>
          <w:rFonts w:ascii="Arial" w:hAnsi="Arial" w:cs="Arial"/>
          <w:sz w:val="24"/>
          <w:szCs w:val="24"/>
        </w:rPr>
        <w:t xml:space="preserve">) en </w:t>
      </w:r>
      <w:r w:rsidR="00356B64" w:rsidRPr="00356B64">
        <w:rPr>
          <w:rFonts w:ascii="Arial" w:hAnsi="Arial" w:cs="Arial"/>
          <w:sz w:val="24"/>
          <w:szCs w:val="24"/>
        </w:rPr>
        <w:t xml:space="preserve">créditos de apoyo presupuestario </w:t>
      </w:r>
      <w:r>
        <w:rPr>
          <w:rFonts w:ascii="Arial" w:hAnsi="Arial" w:cs="Arial"/>
          <w:sz w:val="24"/>
          <w:szCs w:val="24"/>
        </w:rPr>
        <w:t xml:space="preserve">como </w:t>
      </w:r>
      <w:r w:rsidR="00356B64" w:rsidRPr="00356B64">
        <w:rPr>
          <w:rFonts w:ascii="Arial" w:hAnsi="Arial" w:cs="Arial"/>
          <w:sz w:val="24"/>
          <w:szCs w:val="24"/>
        </w:rPr>
        <w:t>herramienta para enfrentar problemas de liquidez</w:t>
      </w:r>
      <w:r>
        <w:rPr>
          <w:rFonts w:ascii="Arial" w:hAnsi="Arial" w:cs="Arial"/>
          <w:sz w:val="24"/>
          <w:szCs w:val="24"/>
        </w:rPr>
        <w:t xml:space="preserve"> coyuntural</w:t>
      </w:r>
      <w:r w:rsidR="00356B64" w:rsidRPr="00356B64">
        <w:rPr>
          <w:rFonts w:ascii="Arial" w:hAnsi="Arial" w:cs="Arial"/>
          <w:sz w:val="24"/>
          <w:szCs w:val="24"/>
        </w:rPr>
        <w:t>,</w:t>
      </w:r>
      <w:r w:rsidR="00E12E16">
        <w:rPr>
          <w:rFonts w:ascii="Arial" w:hAnsi="Arial" w:cs="Arial"/>
          <w:sz w:val="24"/>
          <w:szCs w:val="24"/>
        </w:rPr>
        <w:t xml:space="preserve"> </w:t>
      </w:r>
      <w:r>
        <w:rPr>
          <w:rFonts w:ascii="Arial" w:hAnsi="Arial" w:cs="Arial"/>
          <w:sz w:val="24"/>
          <w:szCs w:val="24"/>
        </w:rPr>
        <w:t xml:space="preserve">lograr </w:t>
      </w:r>
      <w:r w:rsidR="00356B64" w:rsidRPr="00356B64">
        <w:rPr>
          <w:rFonts w:ascii="Arial" w:hAnsi="Arial" w:cs="Arial"/>
          <w:sz w:val="24"/>
          <w:szCs w:val="24"/>
        </w:rPr>
        <w:t>financiamiento a un menor costo</w:t>
      </w:r>
      <w:r w:rsidR="00E12E16">
        <w:rPr>
          <w:rFonts w:ascii="Arial" w:hAnsi="Arial" w:cs="Arial"/>
          <w:sz w:val="24"/>
          <w:szCs w:val="24"/>
        </w:rPr>
        <w:t>,</w:t>
      </w:r>
      <w:r w:rsidR="00356B64" w:rsidRPr="00356B64">
        <w:rPr>
          <w:rFonts w:ascii="Arial" w:hAnsi="Arial" w:cs="Arial"/>
          <w:sz w:val="24"/>
          <w:szCs w:val="24"/>
        </w:rPr>
        <w:t xml:space="preserve"> mitiga</w:t>
      </w:r>
      <w:r>
        <w:rPr>
          <w:rFonts w:ascii="Arial" w:hAnsi="Arial" w:cs="Arial"/>
          <w:sz w:val="24"/>
          <w:szCs w:val="24"/>
        </w:rPr>
        <w:t>r</w:t>
      </w:r>
      <w:r w:rsidR="00356B64" w:rsidRPr="00356B64">
        <w:rPr>
          <w:rFonts w:ascii="Arial" w:hAnsi="Arial" w:cs="Arial"/>
          <w:sz w:val="24"/>
          <w:szCs w:val="24"/>
        </w:rPr>
        <w:t xml:space="preserve"> la presión sobre las tasas de interés</w:t>
      </w:r>
      <w:r w:rsidR="000D0AF3">
        <w:rPr>
          <w:rFonts w:ascii="Arial" w:hAnsi="Arial" w:cs="Arial"/>
          <w:sz w:val="24"/>
          <w:szCs w:val="24"/>
        </w:rPr>
        <w:t xml:space="preserve"> </w:t>
      </w:r>
      <w:r w:rsidR="00A54543">
        <w:rPr>
          <w:rFonts w:ascii="Arial" w:hAnsi="Arial" w:cs="Arial"/>
          <w:sz w:val="24"/>
          <w:szCs w:val="24"/>
        </w:rPr>
        <w:t>domésticas</w:t>
      </w:r>
      <w:r>
        <w:rPr>
          <w:rFonts w:ascii="Arial" w:hAnsi="Arial" w:cs="Arial"/>
          <w:sz w:val="24"/>
          <w:szCs w:val="24"/>
        </w:rPr>
        <w:t xml:space="preserve"> y en virtud de que esto </w:t>
      </w:r>
      <w:r w:rsidR="00356B64" w:rsidRPr="00356B64">
        <w:rPr>
          <w:rFonts w:ascii="Arial" w:hAnsi="Arial" w:cs="Arial"/>
          <w:sz w:val="24"/>
          <w:szCs w:val="24"/>
        </w:rPr>
        <w:t xml:space="preserve">representan una señal </w:t>
      </w:r>
      <w:r>
        <w:rPr>
          <w:rFonts w:ascii="Arial" w:hAnsi="Arial" w:cs="Arial"/>
          <w:sz w:val="24"/>
          <w:szCs w:val="24"/>
        </w:rPr>
        <w:t xml:space="preserve">positiva </w:t>
      </w:r>
      <w:r w:rsidR="00356B64" w:rsidRPr="00356B64">
        <w:rPr>
          <w:rFonts w:ascii="Arial" w:hAnsi="Arial" w:cs="Arial"/>
          <w:sz w:val="24"/>
          <w:szCs w:val="24"/>
        </w:rPr>
        <w:t>para los mercados internacionales y los inversionistas</w:t>
      </w:r>
      <w:r>
        <w:rPr>
          <w:rFonts w:ascii="Arial" w:hAnsi="Arial" w:cs="Arial"/>
          <w:sz w:val="24"/>
          <w:szCs w:val="24"/>
        </w:rPr>
        <w:t xml:space="preserve">; </w:t>
      </w:r>
      <w:r w:rsidRPr="00975D82">
        <w:rPr>
          <w:rFonts w:ascii="Arial" w:hAnsi="Arial" w:cs="Arial"/>
          <w:b/>
          <w:bCs/>
          <w:sz w:val="24"/>
          <w:szCs w:val="24"/>
        </w:rPr>
        <w:t xml:space="preserve">se le dispone al </w:t>
      </w:r>
      <w:r w:rsidR="00356B64" w:rsidRPr="00975D82">
        <w:rPr>
          <w:rFonts w:ascii="Arial" w:hAnsi="Arial" w:cs="Arial"/>
          <w:b/>
          <w:bCs/>
          <w:sz w:val="24"/>
          <w:szCs w:val="24"/>
        </w:rPr>
        <w:t>Minist</w:t>
      </w:r>
      <w:r w:rsidRPr="00975D82">
        <w:rPr>
          <w:rFonts w:ascii="Arial" w:hAnsi="Arial" w:cs="Arial"/>
          <w:b/>
          <w:bCs/>
          <w:sz w:val="24"/>
          <w:szCs w:val="24"/>
        </w:rPr>
        <w:t xml:space="preserve">ro de </w:t>
      </w:r>
      <w:r w:rsidR="00356B64" w:rsidRPr="00975D82">
        <w:rPr>
          <w:rFonts w:ascii="Arial" w:hAnsi="Arial" w:cs="Arial"/>
          <w:b/>
          <w:bCs/>
          <w:sz w:val="24"/>
          <w:szCs w:val="24"/>
        </w:rPr>
        <w:t>Hacienda</w:t>
      </w:r>
      <w:r w:rsidR="00356B64" w:rsidRPr="00356B64">
        <w:rPr>
          <w:rFonts w:ascii="Arial" w:hAnsi="Arial" w:cs="Arial"/>
          <w:sz w:val="24"/>
          <w:szCs w:val="24"/>
        </w:rPr>
        <w:t xml:space="preserve"> </w:t>
      </w:r>
      <w:r>
        <w:rPr>
          <w:rFonts w:ascii="Arial" w:hAnsi="Arial" w:cs="Arial"/>
          <w:sz w:val="24"/>
          <w:szCs w:val="24"/>
        </w:rPr>
        <w:t xml:space="preserve">que informe públicamente el </w:t>
      </w:r>
      <w:r w:rsidR="00356B64" w:rsidRPr="00356B64">
        <w:rPr>
          <w:rFonts w:ascii="Arial" w:hAnsi="Arial" w:cs="Arial"/>
          <w:sz w:val="24"/>
          <w:szCs w:val="24"/>
        </w:rPr>
        <w:t xml:space="preserve">impacto de </w:t>
      </w:r>
      <w:r>
        <w:rPr>
          <w:rFonts w:ascii="Arial" w:hAnsi="Arial" w:cs="Arial"/>
          <w:sz w:val="24"/>
          <w:szCs w:val="24"/>
        </w:rPr>
        <w:t xml:space="preserve">todos los </w:t>
      </w:r>
      <w:r w:rsidR="00356B64" w:rsidRPr="00356B64">
        <w:rPr>
          <w:rFonts w:ascii="Arial" w:hAnsi="Arial" w:cs="Arial"/>
          <w:sz w:val="24"/>
          <w:szCs w:val="24"/>
        </w:rPr>
        <w:t xml:space="preserve">recursos </w:t>
      </w:r>
      <w:r>
        <w:rPr>
          <w:rFonts w:ascii="Arial" w:hAnsi="Arial" w:cs="Arial"/>
          <w:sz w:val="24"/>
          <w:szCs w:val="24"/>
        </w:rPr>
        <w:t xml:space="preserve">aprobados </w:t>
      </w:r>
      <w:r w:rsidR="00254FBC">
        <w:rPr>
          <w:rFonts w:ascii="Arial" w:hAnsi="Arial" w:cs="Arial"/>
          <w:sz w:val="24"/>
          <w:szCs w:val="24"/>
        </w:rPr>
        <w:t>como apoyo presupuestario entre 2018 y la emisión de este informe, sobre la</w:t>
      </w:r>
      <w:r w:rsidR="00690671">
        <w:rPr>
          <w:rFonts w:ascii="Arial" w:hAnsi="Arial" w:cs="Arial"/>
          <w:sz w:val="24"/>
          <w:szCs w:val="24"/>
        </w:rPr>
        <w:t xml:space="preserve">s finanzas públicas; particularmente sobre la </w:t>
      </w:r>
      <w:r w:rsidR="00254FBC">
        <w:rPr>
          <w:rFonts w:ascii="Arial" w:hAnsi="Arial" w:cs="Arial"/>
          <w:sz w:val="24"/>
          <w:szCs w:val="24"/>
        </w:rPr>
        <w:t xml:space="preserve">reducción de las tasas de interés, los montos </w:t>
      </w:r>
      <w:r w:rsidR="00690671">
        <w:rPr>
          <w:rFonts w:ascii="Arial" w:hAnsi="Arial" w:cs="Arial"/>
          <w:sz w:val="24"/>
          <w:szCs w:val="24"/>
        </w:rPr>
        <w:t xml:space="preserve">por concepto de intereses que el Estado evitó realizar a </w:t>
      </w:r>
      <w:r w:rsidR="00574B78">
        <w:rPr>
          <w:rFonts w:ascii="Arial" w:hAnsi="Arial" w:cs="Arial"/>
          <w:sz w:val="24"/>
          <w:szCs w:val="24"/>
        </w:rPr>
        <w:t>l</w:t>
      </w:r>
      <w:r w:rsidR="00B631E2">
        <w:rPr>
          <w:rFonts w:ascii="Arial" w:hAnsi="Arial" w:cs="Arial"/>
          <w:sz w:val="24"/>
          <w:szCs w:val="24"/>
        </w:rPr>
        <w:t xml:space="preserve">os niveles de </w:t>
      </w:r>
      <w:r w:rsidR="00574B78">
        <w:rPr>
          <w:rFonts w:ascii="Arial" w:hAnsi="Arial" w:cs="Arial"/>
          <w:sz w:val="24"/>
          <w:szCs w:val="24"/>
        </w:rPr>
        <w:t>tasa</w:t>
      </w:r>
      <w:r w:rsidR="00B631E2">
        <w:rPr>
          <w:rFonts w:ascii="Arial" w:hAnsi="Arial" w:cs="Arial"/>
          <w:sz w:val="24"/>
          <w:szCs w:val="24"/>
        </w:rPr>
        <w:t xml:space="preserve"> de interés</w:t>
      </w:r>
      <w:r w:rsidR="00574B78">
        <w:rPr>
          <w:rFonts w:ascii="Arial" w:hAnsi="Arial" w:cs="Arial"/>
          <w:sz w:val="24"/>
          <w:szCs w:val="24"/>
        </w:rPr>
        <w:t xml:space="preserve"> del momento de la aprobación de las leyes, </w:t>
      </w:r>
      <w:r w:rsidR="00B631E2">
        <w:rPr>
          <w:rFonts w:ascii="Arial" w:hAnsi="Arial" w:cs="Arial"/>
          <w:sz w:val="24"/>
          <w:szCs w:val="24"/>
        </w:rPr>
        <w:t xml:space="preserve">así como en relación con el </w:t>
      </w:r>
      <w:r w:rsidR="00356B64" w:rsidRPr="00356B64">
        <w:rPr>
          <w:rFonts w:ascii="Arial" w:hAnsi="Arial" w:cs="Arial"/>
          <w:sz w:val="24"/>
          <w:szCs w:val="24"/>
        </w:rPr>
        <w:t>pago de comisiones, intereses</w:t>
      </w:r>
      <w:r w:rsidR="00B631E2">
        <w:rPr>
          <w:rFonts w:ascii="Arial" w:hAnsi="Arial" w:cs="Arial"/>
          <w:sz w:val="24"/>
          <w:szCs w:val="24"/>
        </w:rPr>
        <w:t xml:space="preserve"> y</w:t>
      </w:r>
      <w:r w:rsidR="00356B64" w:rsidRPr="00356B64">
        <w:rPr>
          <w:rFonts w:ascii="Arial" w:hAnsi="Arial" w:cs="Arial"/>
          <w:sz w:val="24"/>
          <w:szCs w:val="24"/>
        </w:rPr>
        <w:t xml:space="preserve"> amortización</w:t>
      </w:r>
      <w:r w:rsidR="008D618A">
        <w:rPr>
          <w:rFonts w:ascii="Arial" w:hAnsi="Arial" w:cs="Arial"/>
          <w:sz w:val="24"/>
          <w:szCs w:val="24"/>
        </w:rPr>
        <w:t xml:space="preserve">. </w:t>
      </w:r>
      <w:r w:rsidR="00975D82" w:rsidRPr="00975D82">
        <w:rPr>
          <w:rFonts w:ascii="Arial" w:hAnsi="Arial" w:cs="Arial"/>
          <w:b/>
          <w:bCs/>
          <w:sz w:val="24"/>
          <w:szCs w:val="24"/>
        </w:rPr>
        <w:t xml:space="preserve">Dicho informe debe ser presentado ante esta Asamblea Legislativa a </w:t>
      </w:r>
      <w:r w:rsidR="00A54543" w:rsidRPr="00975D82">
        <w:rPr>
          <w:rFonts w:ascii="Arial" w:hAnsi="Arial" w:cs="Arial"/>
          <w:b/>
          <w:bCs/>
          <w:sz w:val="24"/>
          <w:szCs w:val="24"/>
        </w:rPr>
        <w:t>más</w:t>
      </w:r>
      <w:r w:rsidR="00975D82" w:rsidRPr="00975D82">
        <w:rPr>
          <w:rFonts w:ascii="Arial" w:hAnsi="Arial" w:cs="Arial"/>
          <w:b/>
          <w:bCs/>
          <w:sz w:val="24"/>
          <w:szCs w:val="24"/>
        </w:rPr>
        <w:t xml:space="preserve"> tardar </w:t>
      </w:r>
      <w:r w:rsidR="0028731E">
        <w:rPr>
          <w:rFonts w:ascii="Arial" w:hAnsi="Arial" w:cs="Arial"/>
          <w:b/>
          <w:bCs/>
          <w:sz w:val="24"/>
          <w:szCs w:val="24"/>
        </w:rPr>
        <w:t>15</w:t>
      </w:r>
      <w:r w:rsidR="00975D82" w:rsidRPr="00975D82">
        <w:rPr>
          <w:rFonts w:ascii="Arial" w:hAnsi="Arial" w:cs="Arial"/>
          <w:b/>
          <w:bCs/>
          <w:sz w:val="24"/>
          <w:szCs w:val="24"/>
        </w:rPr>
        <w:t xml:space="preserve"> días naturales luego de la aprobación del presente informe legislativo.</w:t>
      </w:r>
    </w:p>
    <w:p w14:paraId="0B6A38EE" w14:textId="4563BF17" w:rsidR="00B039A1" w:rsidRDefault="004837BC"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En virtud de que los diputados y diputadas del presente y el siguiente periodo constitucional, requieren estar informados </w:t>
      </w:r>
      <w:r w:rsidR="00EE42C1">
        <w:rPr>
          <w:rFonts w:ascii="Arial" w:hAnsi="Arial" w:cs="Arial"/>
          <w:sz w:val="24"/>
          <w:szCs w:val="24"/>
        </w:rPr>
        <w:t xml:space="preserve">para el proceso de toma de decisiones, </w:t>
      </w:r>
      <w:r w:rsidR="00EE42C1" w:rsidRPr="00B039A1">
        <w:rPr>
          <w:rFonts w:ascii="Arial" w:hAnsi="Arial" w:cs="Arial"/>
          <w:b/>
          <w:bCs/>
          <w:sz w:val="24"/>
          <w:szCs w:val="24"/>
        </w:rPr>
        <w:t xml:space="preserve">se le dispone al Ministro de Hacienda, independientemente </w:t>
      </w:r>
      <w:r w:rsidR="003A6F99" w:rsidRPr="00B039A1">
        <w:rPr>
          <w:rFonts w:ascii="Arial" w:hAnsi="Arial" w:cs="Arial"/>
          <w:b/>
          <w:bCs/>
          <w:sz w:val="24"/>
          <w:szCs w:val="24"/>
        </w:rPr>
        <w:t xml:space="preserve">de la persona que ostente el cargo, </w:t>
      </w:r>
      <w:r w:rsidR="00EE42C1" w:rsidRPr="00B039A1">
        <w:rPr>
          <w:rFonts w:ascii="Arial" w:hAnsi="Arial" w:cs="Arial"/>
          <w:b/>
          <w:bCs/>
          <w:sz w:val="24"/>
          <w:szCs w:val="24"/>
        </w:rPr>
        <w:t>que emita un informe trimestral</w:t>
      </w:r>
      <w:r w:rsidR="000275FC">
        <w:rPr>
          <w:rFonts w:ascii="Arial" w:hAnsi="Arial" w:cs="Arial"/>
          <w:b/>
          <w:bCs/>
          <w:sz w:val="24"/>
          <w:szCs w:val="24"/>
        </w:rPr>
        <w:t>, a partir de la aprobación del presente informe,</w:t>
      </w:r>
      <w:r w:rsidR="003A6F99" w:rsidRPr="00B039A1">
        <w:rPr>
          <w:rFonts w:ascii="Arial" w:hAnsi="Arial" w:cs="Arial"/>
          <w:b/>
          <w:bCs/>
          <w:sz w:val="24"/>
          <w:szCs w:val="24"/>
        </w:rPr>
        <w:t xml:space="preserve"> sobre las </w:t>
      </w:r>
      <w:r w:rsidR="00B039A1">
        <w:rPr>
          <w:rFonts w:ascii="Arial" w:hAnsi="Arial" w:cs="Arial"/>
          <w:b/>
          <w:bCs/>
          <w:sz w:val="24"/>
          <w:szCs w:val="24"/>
        </w:rPr>
        <w:t>N</w:t>
      </w:r>
      <w:r w:rsidR="003A6F99" w:rsidRPr="00B039A1">
        <w:rPr>
          <w:rFonts w:ascii="Arial" w:hAnsi="Arial" w:cs="Arial"/>
          <w:b/>
          <w:bCs/>
          <w:sz w:val="24"/>
          <w:szCs w:val="24"/>
        </w:rPr>
        <w:t>ecesidades Brutas de Financiamiento</w:t>
      </w:r>
      <w:r w:rsidR="003A6F99">
        <w:rPr>
          <w:rFonts w:ascii="Arial" w:hAnsi="Arial" w:cs="Arial"/>
          <w:sz w:val="24"/>
          <w:szCs w:val="24"/>
        </w:rPr>
        <w:t xml:space="preserve"> </w:t>
      </w:r>
      <w:r w:rsidR="0000277C">
        <w:rPr>
          <w:rFonts w:ascii="Arial" w:hAnsi="Arial" w:cs="Arial"/>
          <w:sz w:val="24"/>
          <w:szCs w:val="24"/>
        </w:rPr>
        <w:t xml:space="preserve">y la estrategia para lograr cubrirlos, así como la estrategia general de endeudamiento </w:t>
      </w:r>
      <w:r w:rsidR="00B039A1">
        <w:rPr>
          <w:rFonts w:ascii="Arial" w:hAnsi="Arial" w:cs="Arial"/>
          <w:sz w:val="24"/>
          <w:szCs w:val="24"/>
        </w:rPr>
        <w:t>que incluya los canjes de deuda.</w:t>
      </w:r>
    </w:p>
    <w:p w14:paraId="67532151" w14:textId="5670EE12" w:rsidR="00356B64" w:rsidRPr="00BE4A7A" w:rsidRDefault="00FE5E4C" w:rsidP="007F2B35">
      <w:pPr>
        <w:pStyle w:val="Sinespaciado"/>
        <w:numPr>
          <w:ilvl w:val="1"/>
          <w:numId w:val="31"/>
        </w:numPr>
        <w:spacing w:before="240" w:after="240" w:line="276" w:lineRule="auto"/>
        <w:jc w:val="both"/>
        <w:rPr>
          <w:rFonts w:ascii="Arial" w:hAnsi="Arial" w:cs="Arial"/>
          <w:sz w:val="24"/>
          <w:szCs w:val="24"/>
        </w:rPr>
      </w:pPr>
      <w:r w:rsidRPr="00BE4A7A">
        <w:rPr>
          <w:rFonts w:ascii="Arial" w:hAnsi="Arial" w:cs="Arial"/>
          <w:sz w:val="24"/>
          <w:szCs w:val="24"/>
        </w:rPr>
        <w:t xml:space="preserve">Al 31 de diciembre de 2020 </w:t>
      </w:r>
      <w:r w:rsidR="001729C3" w:rsidRPr="00BE4A7A">
        <w:rPr>
          <w:rFonts w:ascii="Arial" w:hAnsi="Arial" w:cs="Arial"/>
          <w:sz w:val="24"/>
          <w:szCs w:val="24"/>
        </w:rPr>
        <w:t xml:space="preserve">el país contaba con </w:t>
      </w:r>
      <w:r w:rsidRPr="00BE4A7A">
        <w:rPr>
          <w:rFonts w:ascii="Arial" w:hAnsi="Arial" w:cs="Arial"/>
          <w:sz w:val="24"/>
          <w:szCs w:val="24"/>
        </w:rPr>
        <w:t>$4.263 millones (¢2,65 billones), de endeudamiento autorizado</w:t>
      </w:r>
      <w:r w:rsidR="001729C3" w:rsidRPr="00BE4A7A">
        <w:rPr>
          <w:rFonts w:ascii="Arial" w:hAnsi="Arial" w:cs="Arial"/>
          <w:sz w:val="24"/>
          <w:szCs w:val="24"/>
        </w:rPr>
        <w:t xml:space="preserve"> para el desarrollo de infraestructura la mayoría de ellos</w:t>
      </w:r>
      <w:r w:rsidR="00693879" w:rsidRPr="00BE4A7A">
        <w:rPr>
          <w:rFonts w:ascii="Arial" w:hAnsi="Arial" w:cs="Arial"/>
          <w:sz w:val="24"/>
          <w:szCs w:val="24"/>
        </w:rPr>
        <w:t xml:space="preserve">. De ellos, </w:t>
      </w:r>
      <w:r w:rsidRPr="00BE4A7A">
        <w:rPr>
          <w:rFonts w:ascii="Arial" w:hAnsi="Arial" w:cs="Arial"/>
          <w:sz w:val="24"/>
          <w:szCs w:val="24"/>
        </w:rPr>
        <w:t>solo por concepto de comisiones de compromiso, los costarricenses tuvimos que pagar $6 millones</w:t>
      </w:r>
      <w:r w:rsidR="00693879" w:rsidRPr="00BE4A7A">
        <w:rPr>
          <w:rFonts w:ascii="Arial" w:hAnsi="Arial" w:cs="Arial"/>
          <w:sz w:val="24"/>
          <w:szCs w:val="24"/>
        </w:rPr>
        <w:t xml:space="preserve"> (</w:t>
      </w:r>
      <w:r w:rsidRPr="00BE4A7A">
        <w:rPr>
          <w:rFonts w:ascii="Arial" w:hAnsi="Arial" w:cs="Arial"/>
          <w:sz w:val="24"/>
          <w:szCs w:val="24"/>
        </w:rPr>
        <w:t>¢3.731,5 millones</w:t>
      </w:r>
      <w:r w:rsidR="00693879" w:rsidRPr="00BE4A7A">
        <w:rPr>
          <w:rFonts w:ascii="Arial" w:hAnsi="Arial" w:cs="Arial"/>
          <w:sz w:val="24"/>
          <w:szCs w:val="24"/>
        </w:rPr>
        <w:t>)</w:t>
      </w:r>
      <w:r w:rsidR="00BE4A7A" w:rsidRPr="00BE4A7A">
        <w:rPr>
          <w:rFonts w:ascii="Arial" w:hAnsi="Arial" w:cs="Arial"/>
          <w:sz w:val="24"/>
          <w:szCs w:val="24"/>
        </w:rPr>
        <w:t xml:space="preserve">, por serios problemas de ejecución que tienen muchos de esos recursos. </w:t>
      </w:r>
      <w:r w:rsidR="001B65E0">
        <w:rPr>
          <w:rFonts w:ascii="Arial" w:hAnsi="Arial" w:cs="Arial"/>
          <w:sz w:val="24"/>
          <w:szCs w:val="24"/>
        </w:rPr>
        <w:t xml:space="preserve">Por ello, </w:t>
      </w:r>
      <w:r w:rsidR="006F49DA">
        <w:rPr>
          <w:rFonts w:ascii="Arial" w:hAnsi="Arial" w:cs="Arial"/>
          <w:sz w:val="24"/>
          <w:szCs w:val="24"/>
        </w:rPr>
        <w:t xml:space="preserve">se le insta a </w:t>
      </w:r>
      <w:r w:rsidR="00D83566" w:rsidRPr="006F49DA">
        <w:rPr>
          <w:rFonts w:ascii="Arial" w:hAnsi="Arial" w:cs="Arial"/>
          <w:sz w:val="24"/>
          <w:szCs w:val="24"/>
        </w:rPr>
        <w:t>la</w:t>
      </w:r>
      <w:r w:rsidR="00D83566" w:rsidRPr="00316568">
        <w:rPr>
          <w:rFonts w:ascii="Arial" w:hAnsi="Arial" w:cs="Arial"/>
          <w:b/>
          <w:bCs/>
          <w:sz w:val="24"/>
          <w:szCs w:val="24"/>
        </w:rPr>
        <w:t xml:space="preserve"> Ministra de Planificación Nacional y Política Económica y al Ministro de Hacienda</w:t>
      </w:r>
      <w:r w:rsidR="00D83566">
        <w:rPr>
          <w:rFonts w:ascii="Arial" w:hAnsi="Arial" w:cs="Arial"/>
          <w:sz w:val="24"/>
          <w:szCs w:val="24"/>
        </w:rPr>
        <w:t xml:space="preserve">, </w:t>
      </w:r>
      <w:r w:rsidR="0060651C">
        <w:rPr>
          <w:rFonts w:ascii="Arial" w:hAnsi="Arial" w:cs="Arial"/>
          <w:sz w:val="24"/>
          <w:szCs w:val="24"/>
        </w:rPr>
        <w:t xml:space="preserve">plantear </w:t>
      </w:r>
      <w:r w:rsidR="00397541">
        <w:rPr>
          <w:rFonts w:ascii="Arial" w:hAnsi="Arial" w:cs="Arial"/>
          <w:sz w:val="24"/>
          <w:szCs w:val="24"/>
        </w:rPr>
        <w:t>una estrategia para</w:t>
      </w:r>
      <w:r w:rsidR="0060651C">
        <w:rPr>
          <w:rFonts w:ascii="Arial" w:hAnsi="Arial" w:cs="Arial"/>
          <w:sz w:val="24"/>
          <w:szCs w:val="24"/>
        </w:rPr>
        <w:t xml:space="preserve"> revisar</w:t>
      </w:r>
      <w:r w:rsidR="00CC5B91">
        <w:rPr>
          <w:rFonts w:ascii="Arial" w:hAnsi="Arial" w:cs="Arial"/>
          <w:sz w:val="24"/>
          <w:szCs w:val="24"/>
        </w:rPr>
        <w:t>, transparentar</w:t>
      </w:r>
      <w:r w:rsidR="0060651C">
        <w:rPr>
          <w:rFonts w:ascii="Arial" w:hAnsi="Arial" w:cs="Arial"/>
          <w:sz w:val="24"/>
          <w:szCs w:val="24"/>
        </w:rPr>
        <w:t xml:space="preserve"> y </w:t>
      </w:r>
      <w:r w:rsidR="00397541">
        <w:rPr>
          <w:rFonts w:ascii="Arial" w:hAnsi="Arial" w:cs="Arial"/>
          <w:sz w:val="24"/>
          <w:szCs w:val="24"/>
        </w:rPr>
        <w:t xml:space="preserve">reestructurar la forma en que se ejecutan </w:t>
      </w:r>
      <w:r w:rsidR="0060651C">
        <w:rPr>
          <w:rFonts w:ascii="Arial" w:hAnsi="Arial" w:cs="Arial"/>
          <w:sz w:val="24"/>
          <w:szCs w:val="24"/>
        </w:rPr>
        <w:t xml:space="preserve">dichos </w:t>
      </w:r>
      <w:r w:rsidR="00397541">
        <w:rPr>
          <w:rFonts w:ascii="Arial" w:hAnsi="Arial" w:cs="Arial"/>
          <w:sz w:val="24"/>
          <w:szCs w:val="24"/>
        </w:rPr>
        <w:t>empréstitos</w:t>
      </w:r>
      <w:r w:rsidR="0012670D">
        <w:rPr>
          <w:rFonts w:ascii="Arial" w:hAnsi="Arial" w:cs="Arial"/>
          <w:sz w:val="24"/>
          <w:szCs w:val="24"/>
        </w:rPr>
        <w:t xml:space="preserve"> </w:t>
      </w:r>
      <w:r w:rsidR="0012670D" w:rsidRPr="00316568">
        <w:rPr>
          <w:rFonts w:ascii="Arial" w:hAnsi="Arial" w:cs="Arial"/>
          <w:b/>
          <w:bCs/>
          <w:sz w:val="24"/>
          <w:szCs w:val="24"/>
        </w:rPr>
        <w:t>en un plazo no mayor a 90 días naturales posteriores a la aprobación del presente informe</w:t>
      </w:r>
      <w:r w:rsidR="0012670D">
        <w:rPr>
          <w:rFonts w:ascii="Arial" w:hAnsi="Arial" w:cs="Arial"/>
          <w:sz w:val="24"/>
          <w:szCs w:val="24"/>
        </w:rPr>
        <w:t>.</w:t>
      </w:r>
      <w:r w:rsidR="00C27C9F">
        <w:rPr>
          <w:rFonts w:ascii="Arial" w:hAnsi="Arial" w:cs="Arial"/>
          <w:sz w:val="24"/>
          <w:szCs w:val="24"/>
        </w:rPr>
        <w:t xml:space="preserve"> La estrategia y la documentación necesaria deberá ser dispuesta en los sitios web de ambos ministerios.</w:t>
      </w:r>
    </w:p>
    <w:p w14:paraId="3B2F738D" w14:textId="104686D8" w:rsidR="00356B64" w:rsidRPr="00356B64" w:rsidRDefault="00C05EEE"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Siendo que la CGR señala que </w:t>
      </w:r>
      <w:r w:rsidR="00FB402A">
        <w:rPr>
          <w:rFonts w:ascii="Arial" w:hAnsi="Arial" w:cs="Arial"/>
          <w:sz w:val="24"/>
          <w:szCs w:val="24"/>
        </w:rPr>
        <w:t xml:space="preserve">ninguno de los </w:t>
      </w:r>
      <w:r w:rsidR="00356B64" w:rsidRPr="00356B64">
        <w:rPr>
          <w:rFonts w:ascii="Arial" w:hAnsi="Arial" w:cs="Arial"/>
          <w:sz w:val="24"/>
          <w:szCs w:val="24"/>
        </w:rPr>
        <w:t xml:space="preserve">principios presupuestarios </w:t>
      </w:r>
      <w:r w:rsidR="00FB402A">
        <w:rPr>
          <w:rFonts w:ascii="Arial" w:hAnsi="Arial" w:cs="Arial"/>
          <w:sz w:val="24"/>
          <w:szCs w:val="24"/>
        </w:rPr>
        <w:t xml:space="preserve">definidos </w:t>
      </w:r>
      <w:r w:rsidR="00356B64" w:rsidRPr="00356B64">
        <w:rPr>
          <w:rFonts w:ascii="Arial" w:hAnsi="Arial" w:cs="Arial"/>
          <w:sz w:val="24"/>
          <w:szCs w:val="24"/>
        </w:rPr>
        <w:t>en el ejercicio de la liquidación presupuestaria del 2020</w:t>
      </w:r>
      <w:r w:rsidR="000712A6">
        <w:rPr>
          <w:rFonts w:ascii="Arial" w:hAnsi="Arial" w:cs="Arial"/>
          <w:sz w:val="24"/>
          <w:szCs w:val="24"/>
        </w:rPr>
        <w:t xml:space="preserve"> </w:t>
      </w:r>
      <w:r w:rsidR="00356B64" w:rsidRPr="00356B64">
        <w:rPr>
          <w:rFonts w:ascii="Arial" w:hAnsi="Arial" w:cs="Arial"/>
          <w:sz w:val="24"/>
          <w:szCs w:val="24"/>
        </w:rPr>
        <w:t>tuvo un efectivo cumplimiento</w:t>
      </w:r>
      <w:r w:rsidR="004D2BA6">
        <w:rPr>
          <w:rFonts w:ascii="Arial" w:hAnsi="Arial" w:cs="Arial"/>
          <w:sz w:val="24"/>
          <w:szCs w:val="24"/>
        </w:rPr>
        <w:t xml:space="preserve">; </w:t>
      </w:r>
      <w:r w:rsidR="004D2BA6" w:rsidRPr="002A77EB">
        <w:rPr>
          <w:rFonts w:ascii="Arial" w:hAnsi="Arial" w:cs="Arial"/>
          <w:b/>
          <w:bCs/>
          <w:sz w:val="24"/>
          <w:szCs w:val="24"/>
        </w:rPr>
        <w:t>se le dispone al Ministerio de Hacienda y a la Contraloría General de la República</w:t>
      </w:r>
      <w:r w:rsidR="004D2BA6">
        <w:rPr>
          <w:rFonts w:ascii="Arial" w:hAnsi="Arial" w:cs="Arial"/>
          <w:sz w:val="24"/>
          <w:szCs w:val="24"/>
        </w:rPr>
        <w:t xml:space="preserve"> que integren una estrategia de reformas estructurales </w:t>
      </w:r>
      <w:r w:rsidR="002A288F">
        <w:rPr>
          <w:rFonts w:ascii="Arial" w:hAnsi="Arial" w:cs="Arial"/>
          <w:sz w:val="24"/>
          <w:szCs w:val="24"/>
        </w:rPr>
        <w:t>que incluya proyectos de Ley</w:t>
      </w:r>
      <w:r w:rsidR="00330875">
        <w:rPr>
          <w:rFonts w:ascii="Arial" w:hAnsi="Arial" w:cs="Arial"/>
          <w:sz w:val="24"/>
          <w:szCs w:val="24"/>
        </w:rPr>
        <w:t xml:space="preserve"> de conformidad con la Ley </w:t>
      </w:r>
      <w:r w:rsidR="00DF04C5" w:rsidRPr="00DF04C5">
        <w:rPr>
          <w:rFonts w:ascii="Arial" w:hAnsi="Arial" w:cs="Arial"/>
          <w:sz w:val="24"/>
          <w:szCs w:val="24"/>
        </w:rPr>
        <w:t>N</w:t>
      </w:r>
      <w:r w:rsidR="00DF04C5">
        <w:rPr>
          <w:rFonts w:ascii="Arial" w:hAnsi="Arial" w:cs="Arial"/>
          <w:sz w:val="24"/>
          <w:szCs w:val="24"/>
        </w:rPr>
        <w:t>°</w:t>
      </w:r>
      <w:r w:rsidR="00DF04C5" w:rsidRPr="00DF04C5">
        <w:rPr>
          <w:rFonts w:ascii="Arial" w:hAnsi="Arial" w:cs="Arial"/>
          <w:sz w:val="24"/>
          <w:szCs w:val="24"/>
        </w:rPr>
        <w:t xml:space="preserve"> 9696 de 11 de junio de 2019</w:t>
      </w:r>
      <w:r w:rsidR="002A288F">
        <w:rPr>
          <w:rFonts w:ascii="Arial" w:hAnsi="Arial" w:cs="Arial"/>
          <w:sz w:val="24"/>
          <w:szCs w:val="24"/>
        </w:rPr>
        <w:t xml:space="preserve">, </w:t>
      </w:r>
      <w:r w:rsidR="002A77EB">
        <w:rPr>
          <w:rFonts w:ascii="Arial" w:hAnsi="Arial" w:cs="Arial"/>
          <w:sz w:val="24"/>
          <w:szCs w:val="24"/>
        </w:rPr>
        <w:t xml:space="preserve">que </w:t>
      </w:r>
      <w:r w:rsidR="002A288F">
        <w:rPr>
          <w:rFonts w:ascii="Arial" w:hAnsi="Arial" w:cs="Arial"/>
          <w:sz w:val="24"/>
          <w:szCs w:val="24"/>
        </w:rPr>
        <w:t xml:space="preserve">deben ser </w:t>
      </w:r>
      <w:r w:rsidR="002A77EB">
        <w:rPr>
          <w:rFonts w:ascii="Arial" w:hAnsi="Arial" w:cs="Arial"/>
          <w:sz w:val="24"/>
          <w:szCs w:val="24"/>
        </w:rPr>
        <w:t>presentad</w:t>
      </w:r>
      <w:r w:rsidR="002A288F">
        <w:rPr>
          <w:rFonts w:ascii="Arial" w:hAnsi="Arial" w:cs="Arial"/>
          <w:sz w:val="24"/>
          <w:szCs w:val="24"/>
        </w:rPr>
        <w:t>o</w:t>
      </w:r>
      <w:r w:rsidR="002A77EB">
        <w:rPr>
          <w:rFonts w:ascii="Arial" w:hAnsi="Arial" w:cs="Arial"/>
          <w:sz w:val="24"/>
          <w:szCs w:val="24"/>
        </w:rPr>
        <w:t xml:space="preserve">s ante la Asamblea Legislativa </w:t>
      </w:r>
      <w:r w:rsidR="002A77EB" w:rsidRPr="002A77EB">
        <w:rPr>
          <w:rFonts w:ascii="Arial" w:hAnsi="Arial" w:cs="Arial"/>
          <w:b/>
          <w:bCs/>
          <w:sz w:val="24"/>
          <w:szCs w:val="24"/>
        </w:rPr>
        <w:t>en un plazo no mayor a 180 días naturales luego de la aprobación del presente informe</w:t>
      </w:r>
      <w:r w:rsidR="002A77EB">
        <w:rPr>
          <w:rFonts w:ascii="Arial" w:hAnsi="Arial" w:cs="Arial"/>
          <w:sz w:val="24"/>
          <w:szCs w:val="24"/>
        </w:rPr>
        <w:t>.</w:t>
      </w:r>
    </w:p>
    <w:p w14:paraId="48AF5209" w14:textId="6B97B3B7" w:rsidR="007F6938" w:rsidRDefault="002260A5" w:rsidP="007F2B35">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Dado </w:t>
      </w:r>
      <w:r w:rsidR="004C4507">
        <w:rPr>
          <w:rFonts w:ascii="Arial" w:hAnsi="Arial" w:cs="Arial"/>
          <w:sz w:val="24"/>
          <w:szCs w:val="24"/>
        </w:rPr>
        <w:t xml:space="preserve">el razonable cumplimiento </w:t>
      </w:r>
      <w:r w:rsidR="00E33B89">
        <w:rPr>
          <w:rFonts w:ascii="Arial" w:hAnsi="Arial" w:cs="Arial"/>
          <w:sz w:val="24"/>
          <w:szCs w:val="24"/>
        </w:rPr>
        <w:t xml:space="preserve">parcial </w:t>
      </w:r>
      <w:r w:rsidR="00D20139">
        <w:rPr>
          <w:rFonts w:ascii="Arial" w:hAnsi="Arial" w:cs="Arial"/>
          <w:sz w:val="24"/>
          <w:szCs w:val="24"/>
        </w:rPr>
        <w:t xml:space="preserve">respecto de </w:t>
      </w:r>
      <w:r w:rsidR="004C4507">
        <w:rPr>
          <w:rFonts w:ascii="Arial" w:hAnsi="Arial" w:cs="Arial"/>
          <w:sz w:val="24"/>
          <w:szCs w:val="24"/>
        </w:rPr>
        <w:t xml:space="preserve">los </w:t>
      </w:r>
      <w:r w:rsidR="00356B64" w:rsidRPr="00356B64">
        <w:rPr>
          <w:rFonts w:ascii="Arial" w:hAnsi="Arial" w:cs="Arial"/>
          <w:sz w:val="24"/>
          <w:szCs w:val="24"/>
        </w:rPr>
        <w:t>Resultados del Cumplimiento de los Objetivos, las Metas, las Prioridades y Acciones Estratégicas del Plan Nacional de Desarrollo (PND) emitido por el Ministerio de Planificación Nacional y Política Económica</w:t>
      </w:r>
      <w:r w:rsidR="00E33B89">
        <w:rPr>
          <w:rFonts w:ascii="Arial" w:hAnsi="Arial" w:cs="Arial"/>
          <w:sz w:val="24"/>
          <w:szCs w:val="24"/>
        </w:rPr>
        <w:t xml:space="preserve">; </w:t>
      </w:r>
      <w:r w:rsidR="00E33B89" w:rsidRPr="00F536E2">
        <w:rPr>
          <w:rFonts w:ascii="Arial" w:hAnsi="Arial" w:cs="Arial"/>
          <w:b/>
          <w:bCs/>
          <w:sz w:val="24"/>
          <w:szCs w:val="24"/>
        </w:rPr>
        <w:t>se le dispone a la Ministra de Planificación Nacional</w:t>
      </w:r>
      <w:r w:rsidR="001E38C8">
        <w:rPr>
          <w:rFonts w:ascii="Arial" w:hAnsi="Arial" w:cs="Arial"/>
          <w:b/>
          <w:bCs/>
          <w:sz w:val="24"/>
          <w:szCs w:val="24"/>
        </w:rPr>
        <w:t>, que en un plazo no mayor a 180 días naturales</w:t>
      </w:r>
      <w:r w:rsidR="000275FC">
        <w:rPr>
          <w:rFonts w:ascii="Arial" w:hAnsi="Arial" w:cs="Arial"/>
          <w:b/>
          <w:bCs/>
          <w:sz w:val="24"/>
          <w:szCs w:val="24"/>
        </w:rPr>
        <w:t xml:space="preserve">, </w:t>
      </w:r>
      <w:r w:rsidR="000275FC" w:rsidRPr="002A77EB">
        <w:rPr>
          <w:rFonts w:ascii="Arial" w:hAnsi="Arial" w:cs="Arial"/>
          <w:b/>
          <w:bCs/>
          <w:sz w:val="24"/>
          <w:szCs w:val="24"/>
        </w:rPr>
        <w:t>luego de la aprobación del presente informe</w:t>
      </w:r>
      <w:r w:rsidR="001E38C8" w:rsidRPr="001E38C8">
        <w:rPr>
          <w:rFonts w:ascii="Arial" w:hAnsi="Arial" w:cs="Arial"/>
          <w:sz w:val="24"/>
          <w:szCs w:val="24"/>
        </w:rPr>
        <w:t>, planté ante la Asamblea Legislativa</w:t>
      </w:r>
      <w:r w:rsidR="00E33B89">
        <w:rPr>
          <w:rFonts w:ascii="Arial" w:hAnsi="Arial" w:cs="Arial"/>
          <w:sz w:val="24"/>
          <w:szCs w:val="24"/>
        </w:rPr>
        <w:t xml:space="preserve"> las reformas legales que considere pertinente</w:t>
      </w:r>
      <w:r w:rsidR="001E38C8">
        <w:rPr>
          <w:rFonts w:ascii="Arial" w:hAnsi="Arial" w:cs="Arial"/>
          <w:sz w:val="24"/>
          <w:szCs w:val="24"/>
        </w:rPr>
        <w:t>s</w:t>
      </w:r>
      <w:r w:rsidR="00E33B89">
        <w:rPr>
          <w:rFonts w:ascii="Arial" w:hAnsi="Arial" w:cs="Arial"/>
          <w:sz w:val="24"/>
          <w:szCs w:val="24"/>
        </w:rPr>
        <w:t xml:space="preserve"> para lograr tres objetivos:</w:t>
      </w:r>
    </w:p>
    <w:p w14:paraId="26314AA2" w14:textId="74F6B1E8" w:rsidR="00E33B89" w:rsidRDefault="00E33B89" w:rsidP="007F2B35">
      <w:pPr>
        <w:pStyle w:val="Sinespaciado"/>
        <w:numPr>
          <w:ilvl w:val="2"/>
          <w:numId w:val="31"/>
        </w:numPr>
        <w:spacing w:before="240" w:after="240" w:line="276" w:lineRule="auto"/>
        <w:jc w:val="both"/>
        <w:rPr>
          <w:rFonts w:ascii="Arial" w:hAnsi="Arial" w:cs="Arial"/>
          <w:sz w:val="24"/>
          <w:szCs w:val="24"/>
        </w:rPr>
      </w:pPr>
      <w:r>
        <w:rPr>
          <w:rFonts w:ascii="Arial" w:hAnsi="Arial" w:cs="Arial"/>
          <w:sz w:val="24"/>
          <w:szCs w:val="24"/>
        </w:rPr>
        <w:t xml:space="preserve">Integrar el </w:t>
      </w:r>
      <w:r w:rsidR="001F199B">
        <w:rPr>
          <w:rFonts w:ascii="Arial" w:hAnsi="Arial" w:cs="Arial"/>
          <w:sz w:val="24"/>
          <w:szCs w:val="24"/>
        </w:rPr>
        <w:t>S</w:t>
      </w:r>
      <w:r>
        <w:rPr>
          <w:rFonts w:ascii="Arial" w:hAnsi="Arial" w:cs="Arial"/>
          <w:sz w:val="24"/>
          <w:szCs w:val="24"/>
        </w:rPr>
        <w:t xml:space="preserve">istema </w:t>
      </w:r>
      <w:r w:rsidR="001F199B">
        <w:rPr>
          <w:rFonts w:ascii="Arial" w:hAnsi="Arial" w:cs="Arial"/>
          <w:sz w:val="24"/>
          <w:szCs w:val="24"/>
        </w:rPr>
        <w:t>N</w:t>
      </w:r>
      <w:r>
        <w:rPr>
          <w:rFonts w:ascii="Arial" w:hAnsi="Arial" w:cs="Arial"/>
          <w:sz w:val="24"/>
          <w:szCs w:val="24"/>
        </w:rPr>
        <w:t xml:space="preserve">acional de </w:t>
      </w:r>
      <w:r w:rsidR="001F199B">
        <w:rPr>
          <w:rFonts w:ascii="Arial" w:hAnsi="Arial" w:cs="Arial"/>
          <w:sz w:val="24"/>
          <w:szCs w:val="24"/>
        </w:rPr>
        <w:t>P</w:t>
      </w:r>
      <w:r>
        <w:rPr>
          <w:rFonts w:ascii="Arial" w:hAnsi="Arial" w:cs="Arial"/>
          <w:sz w:val="24"/>
          <w:szCs w:val="24"/>
        </w:rPr>
        <w:t>lanificación</w:t>
      </w:r>
      <w:r w:rsidR="00313615">
        <w:rPr>
          <w:rFonts w:ascii="Arial" w:hAnsi="Arial" w:cs="Arial"/>
          <w:sz w:val="24"/>
          <w:szCs w:val="24"/>
        </w:rPr>
        <w:t xml:space="preserve"> como un solo sistema</w:t>
      </w:r>
      <w:r w:rsidR="006128B7">
        <w:rPr>
          <w:rFonts w:ascii="Arial" w:hAnsi="Arial" w:cs="Arial"/>
          <w:sz w:val="24"/>
          <w:szCs w:val="24"/>
        </w:rPr>
        <w:t>.</w:t>
      </w:r>
    </w:p>
    <w:p w14:paraId="4CE7E147" w14:textId="629DE81D" w:rsidR="00064F67" w:rsidRDefault="00CB0229" w:rsidP="007F2B35">
      <w:pPr>
        <w:pStyle w:val="Sinespaciado"/>
        <w:numPr>
          <w:ilvl w:val="2"/>
          <w:numId w:val="31"/>
        </w:numPr>
        <w:spacing w:before="240" w:after="240" w:line="276" w:lineRule="auto"/>
        <w:jc w:val="both"/>
        <w:rPr>
          <w:rFonts w:ascii="Arial" w:hAnsi="Arial" w:cs="Arial"/>
          <w:sz w:val="24"/>
          <w:szCs w:val="24"/>
        </w:rPr>
      </w:pPr>
      <w:r>
        <w:rPr>
          <w:rFonts w:ascii="Arial" w:hAnsi="Arial" w:cs="Arial"/>
          <w:sz w:val="24"/>
          <w:szCs w:val="24"/>
        </w:rPr>
        <w:t xml:space="preserve">Simplificar </w:t>
      </w:r>
      <w:r w:rsidR="00B61012">
        <w:rPr>
          <w:rFonts w:ascii="Arial" w:hAnsi="Arial" w:cs="Arial"/>
          <w:sz w:val="24"/>
          <w:szCs w:val="24"/>
        </w:rPr>
        <w:t xml:space="preserve">el </w:t>
      </w:r>
      <w:r w:rsidR="006128B7">
        <w:rPr>
          <w:rFonts w:ascii="Arial" w:hAnsi="Arial" w:cs="Arial"/>
          <w:sz w:val="24"/>
          <w:szCs w:val="24"/>
        </w:rPr>
        <w:t>sistema de plan presupuesto</w:t>
      </w:r>
      <w:r w:rsidR="00B61012">
        <w:rPr>
          <w:rFonts w:ascii="Arial" w:hAnsi="Arial" w:cs="Arial"/>
          <w:sz w:val="24"/>
          <w:szCs w:val="24"/>
        </w:rPr>
        <w:t xml:space="preserve"> y </w:t>
      </w:r>
      <w:r w:rsidR="006128B7">
        <w:rPr>
          <w:rFonts w:ascii="Arial" w:hAnsi="Arial" w:cs="Arial"/>
          <w:sz w:val="24"/>
          <w:szCs w:val="24"/>
        </w:rPr>
        <w:t>orienta</w:t>
      </w:r>
      <w:r w:rsidR="00B61012">
        <w:rPr>
          <w:rFonts w:ascii="Arial" w:hAnsi="Arial" w:cs="Arial"/>
          <w:sz w:val="24"/>
          <w:szCs w:val="24"/>
        </w:rPr>
        <w:t xml:space="preserve">rlo </w:t>
      </w:r>
      <w:r w:rsidR="006128B7">
        <w:rPr>
          <w:rFonts w:ascii="Arial" w:hAnsi="Arial" w:cs="Arial"/>
          <w:sz w:val="24"/>
          <w:szCs w:val="24"/>
        </w:rPr>
        <w:t>a la mejora continua y el uso eficiente de los recursos.</w:t>
      </w:r>
    </w:p>
    <w:p w14:paraId="70BEFC23" w14:textId="197C55DE" w:rsidR="00DD719F" w:rsidRDefault="00B61012" w:rsidP="007F2B35">
      <w:pPr>
        <w:pStyle w:val="Sinespaciado"/>
        <w:numPr>
          <w:ilvl w:val="2"/>
          <w:numId w:val="31"/>
        </w:numPr>
        <w:spacing w:before="240" w:after="240" w:line="276" w:lineRule="auto"/>
        <w:jc w:val="both"/>
        <w:rPr>
          <w:rFonts w:ascii="Arial" w:hAnsi="Arial" w:cs="Arial"/>
          <w:sz w:val="24"/>
          <w:szCs w:val="24"/>
        </w:rPr>
      </w:pPr>
      <w:r>
        <w:rPr>
          <w:rFonts w:ascii="Arial" w:hAnsi="Arial" w:cs="Arial"/>
          <w:sz w:val="24"/>
          <w:szCs w:val="24"/>
        </w:rPr>
        <w:t>V</w:t>
      </w:r>
      <w:r w:rsidR="006128B7">
        <w:rPr>
          <w:rFonts w:ascii="Arial" w:hAnsi="Arial" w:cs="Arial"/>
          <w:sz w:val="24"/>
          <w:szCs w:val="24"/>
        </w:rPr>
        <w:t xml:space="preserve">alorar </w:t>
      </w:r>
      <w:r w:rsidR="00F536E2">
        <w:rPr>
          <w:rFonts w:ascii="Arial" w:hAnsi="Arial" w:cs="Arial"/>
          <w:sz w:val="24"/>
          <w:szCs w:val="24"/>
        </w:rPr>
        <w:t xml:space="preserve">de manera efectiva </w:t>
      </w:r>
      <w:r w:rsidR="006128B7">
        <w:rPr>
          <w:rFonts w:ascii="Arial" w:hAnsi="Arial" w:cs="Arial"/>
          <w:sz w:val="24"/>
          <w:szCs w:val="24"/>
        </w:rPr>
        <w:t xml:space="preserve">los servicios </w:t>
      </w:r>
      <w:r w:rsidR="00F536E2">
        <w:rPr>
          <w:rFonts w:ascii="Arial" w:hAnsi="Arial" w:cs="Arial"/>
          <w:sz w:val="24"/>
          <w:szCs w:val="24"/>
        </w:rPr>
        <w:t>que el Estado presta.</w:t>
      </w:r>
    </w:p>
    <w:p w14:paraId="41ACA17D" w14:textId="0F4D249C" w:rsidR="00DD719F" w:rsidRDefault="00DD719F" w:rsidP="00414F68">
      <w:pPr>
        <w:pStyle w:val="Sinespaciado"/>
        <w:numPr>
          <w:ilvl w:val="1"/>
          <w:numId w:val="31"/>
        </w:numPr>
        <w:spacing w:before="240" w:after="240" w:line="276" w:lineRule="auto"/>
        <w:jc w:val="both"/>
        <w:rPr>
          <w:rFonts w:ascii="Arial" w:hAnsi="Arial" w:cs="Arial"/>
          <w:sz w:val="24"/>
          <w:szCs w:val="24"/>
        </w:rPr>
      </w:pPr>
      <w:r>
        <w:rPr>
          <w:rFonts w:ascii="Arial" w:hAnsi="Arial" w:cs="Arial"/>
          <w:sz w:val="24"/>
          <w:szCs w:val="24"/>
        </w:rPr>
        <w:t xml:space="preserve">Se le dispone al </w:t>
      </w:r>
      <w:r w:rsidRPr="005569B2">
        <w:rPr>
          <w:rFonts w:ascii="Arial" w:hAnsi="Arial" w:cs="Arial"/>
          <w:b/>
          <w:bCs/>
          <w:sz w:val="24"/>
          <w:szCs w:val="24"/>
        </w:rPr>
        <w:t>Departamento</w:t>
      </w:r>
      <w:r w:rsidR="00CF7040" w:rsidRPr="005569B2">
        <w:rPr>
          <w:rFonts w:ascii="Arial" w:hAnsi="Arial" w:cs="Arial"/>
          <w:b/>
          <w:bCs/>
          <w:sz w:val="24"/>
          <w:szCs w:val="24"/>
        </w:rPr>
        <w:t xml:space="preserve"> de Análisis Presupuestario</w:t>
      </w:r>
      <w:r w:rsidR="00CF7040">
        <w:rPr>
          <w:rFonts w:ascii="Arial" w:hAnsi="Arial" w:cs="Arial"/>
          <w:sz w:val="24"/>
          <w:szCs w:val="24"/>
        </w:rPr>
        <w:t xml:space="preserve"> de la Asamblea Legislativa </w:t>
      </w:r>
      <w:r w:rsidR="005569B2">
        <w:rPr>
          <w:rFonts w:ascii="Arial" w:hAnsi="Arial" w:cs="Arial"/>
          <w:sz w:val="24"/>
          <w:szCs w:val="24"/>
        </w:rPr>
        <w:t xml:space="preserve">el seguimiento de todas las disposiciones emitidas en este informe, y llevar control sobre los plazos de entrega e informar a la Presidencia de la Comisión de Asuntos Hacendarios en caso de incumplimientos de </w:t>
      </w:r>
      <w:r w:rsidR="001B1C68">
        <w:rPr>
          <w:rFonts w:ascii="Arial" w:hAnsi="Arial" w:cs="Arial"/>
          <w:sz w:val="24"/>
          <w:szCs w:val="24"/>
        </w:rPr>
        <w:t>estos</w:t>
      </w:r>
      <w:r w:rsidR="005569B2">
        <w:rPr>
          <w:rFonts w:ascii="Arial" w:hAnsi="Arial" w:cs="Arial"/>
          <w:sz w:val="24"/>
          <w:szCs w:val="24"/>
        </w:rPr>
        <w:t>.</w:t>
      </w:r>
      <w:r w:rsidR="00675E5E">
        <w:rPr>
          <w:rFonts w:ascii="Arial" w:hAnsi="Arial" w:cs="Arial"/>
          <w:sz w:val="24"/>
          <w:szCs w:val="24"/>
        </w:rPr>
        <w:t xml:space="preserve"> Y las vertidas en los informes </w:t>
      </w:r>
      <w:r w:rsidR="00524C79">
        <w:rPr>
          <w:rFonts w:ascii="Arial" w:hAnsi="Arial" w:cs="Arial"/>
          <w:sz w:val="24"/>
          <w:szCs w:val="24"/>
        </w:rPr>
        <w:t>de esta comisión respecto de las liquidaciones de los años 2018 y 2019.</w:t>
      </w:r>
    </w:p>
    <w:p w14:paraId="1D822CA5" w14:textId="550934F3" w:rsidR="0063493D" w:rsidRDefault="0063493D" w:rsidP="0063493D">
      <w:pPr>
        <w:pStyle w:val="Sinespaciado"/>
        <w:numPr>
          <w:ilvl w:val="1"/>
          <w:numId w:val="31"/>
        </w:numPr>
        <w:spacing w:before="240" w:after="240" w:line="276" w:lineRule="auto"/>
        <w:jc w:val="both"/>
        <w:rPr>
          <w:rFonts w:ascii="Arial" w:hAnsi="Arial" w:cs="Arial"/>
          <w:sz w:val="24"/>
          <w:szCs w:val="24"/>
        </w:rPr>
      </w:pPr>
      <w:r w:rsidRPr="0063493D">
        <w:rPr>
          <w:rFonts w:ascii="Arial" w:hAnsi="Arial" w:cs="Arial"/>
          <w:sz w:val="24"/>
          <w:szCs w:val="24"/>
        </w:rPr>
        <w:t xml:space="preserve">Se debe recordar que la afectación de la pandemia no solo obligó a rebajar ciertos gastos en los ministerios, sino que también obligó a la ejecución de nuevos gastos, algunos casos financiados con deuda, para la atención propia de la emergencia, dentro de los cuales sobresale el Ministerio de Trabajo y Seguridad Social que tuvo un presupuesto inicial de ¢466.286 millones, el cual, en el transcurso del año, se aumentó en ¢232.695 millones, que sumó un presupuesto final de ¢698.981 millones. Este crecimiento se explica, principalmente, por la incorporación de ¢183.938 millones para subsidios temporales por desempleo (Bono Proteger) y ¢57.016 millones al IMAS para ayudas a personas afectadas económicamente por la emergencia. Durante la sesión ordinaria N°33 de la Comisión Permanente Especial </w:t>
      </w:r>
      <w:r w:rsidR="00886522">
        <w:rPr>
          <w:rFonts w:ascii="Arial" w:hAnsi="Arial" w:cs="Arial"/>
          <w:sz w:val="24"/>
          <w:szCs w:val="24"/>
        </w:rPr>
        <w:t>d</w:t>
      </w:r>
      <w:r w:rsidRPr="0063493D">
        <w:rPr>
          <w:rFonts w:ascii="Arial" w:hAnsi="Arial" w:cs="Arial"/>
          <w:sz w:val="24"/>
          <w:szCs w:val="24"/>
        </w:rPr>
        <w:t xml:space="preserve">e Control </w:t>
      </w:r>
      <w:r w:rsidR="00886522">
        <w:rPr>
          <w:rFonts w:ascii="Arial" w:hAnsi="Arial" w:cs="Arial"/>
          <w:sz w:val="24"/>
          <w:szCs w:val="24"/>
        </w:rPr>
        <w:t>d</w:t>
      </w:r>
      <w:r w:rsidRPr="0063493D">
        <w:rPr>
          <w:rFonts w:ascii="Arial" w:hAnsi="Arial" w:cs="Arial"/>
          <w:sz w:val="24"/>
          <w:szCs w:val="24"/>
        </w:rPr>
        <w:t xml:space="preserve">el Ingreso </w:t>
      </w:r>
      <w:r w:rsidR="00886522">
        <w:rPr>
          <w:rFonts w:ascii="Arial" w:hAnsi="Arial" w:cs="Arial"/>
          <w:sz w:val="24"/>
          <w:szCs w:val="24"/>
        </w:rPr>
        <w:t>y</w:t>
      </w:r>
      <w:r w:rsidRPr="0063493D">
        <w:rPr>
          <w:rFonts w:ascii="Arial" w:hAnsi="Arial" w:cs="Arial"/>
          <w:sz w:val="24"/>
          <w:szCs w:val="24"/>
        </w:rPr>
        <w:t xml:space="preserve"> </w:t>
      </w:r>
      <w:r w:rsidR="00886522">
        <w:rPr>
          <w:rFonts w:ascii="Arial" w:hAnsi="Arial" w:cs="Arial"/>
          <w:sz w:val="24"/>
          <w:szCs w:val="24"/>
        </w:rPr>
        <w:t>e</w:t>
      </w:r>
      <w:r w:rsidRPr="0063493D">
        <w:rPr>
          <w:rFonts w:ascii="Arial" w:hAnsi="Arial" w:cs="Arial"/>
          <w:sz w:val="24"/>
          <w:szCs w:val="24"/>
        </w:rPr>
        <w:t xml:space="preserve">l Gasto Públicos del jueves 04 de marzo del 2021, la Contralora General de la República, Marta Acosta, señaló que la Contraloría identificó posibles filtraciones y pagos incorrectos que representaron entre ¢11.000 y ¢15.000 millones de colones y no los ¢1.000 millones que manifestó el Gobierno en ese momento. Entre esos pagos se destacan, depósitos a personas privadas de libertad, depósitos a personas fallecidas, a personas que no cumplían requisitos, a varias personas de un mismo núcleo familiar, depósitos duplicados y muchas inconsistencias más que demuestran la limitación en la eficiencia relacionada con la distribución de estos bonos. </w:t>
      </w:r>
      <w:r w:rsidRPr="0044308C">
        <w:rPr>
          <w:rFonts w:ascii="Arial" w:hAnsi="Arial" w:cs="Arial"/>
          <w:b/>
          <w:sz w:val="24"/>
          <w:szCs w:val="24"/>
        </w:rPr>
        <w:t>En virtud de las inconsistencias detectadas por la Contraloría General de la República, se le dispone al Ministerio de Trabajo y Seguridad Social que realice las investigaciones necesarias que logren explicar las razones puntuales que llevaron a la asignación incorrecta de los subsidios temporales por desempleo (Bono Proteger) y determine el monto total que se entregó a personas que no cumplían los requisitos para recibir el subsidio, detallando el tipo de filtración que permitió el depósito del dinero y la metodología para recuperar los recursos entregados incorrectamente. El Ministerio de Trabajo y Seguridad Social emitirá un informe público para la ciudadanía y la Asamblea Legislativa, el cual deberá ser presentado en un plazo no mayor a 30 días naturales luego de la aprobación del presente informe</w:t>
      </w:r>
      <w:r w:rsidRPr="0063493D">
        <w:rPr>
          <w:rFonts w:ascii="Arial" w:hAnsi="Arial" w:cs="Arial"/>
          <w:sz w:val="24"/>
          <w:szCs w:val="24"/>
        </w:rPr>
        <w:t>.</w:t>
      </w:r>
    </w:p>
    <w:p w14:paraId="6C28065A" w14:textId="69AE50E2" w:rsidR="002F25F8" w:rsidRDefault="002F25F8" w:rsidP="00414F68">
      <w:pPr>
        <w:pStyle w:val="Sinespaciado"/>
        <w:numPr>
          <w:ilvl w:val="0"/>
          <w:numId w:val="31"/>
        </w:numPr>
        <w:spacing w:before="240" w:after="240" w:line="276" w:lineRule="auto"/>
        <w:jc w:val="both"/>
        <w:rPr>
          <w:rFonts w:ascii="Arial" w:hAnsi="Arial" w:cs="Arial"/>
          <w:sz w:val="24"/>
          <w:szCs w:val="24"/>
        </w:rPr>
      </w:pPr>
      <w:r>
        <w:rPr>
          <w:rFonts w:ascii="Arial" w:hAnsi="Arial" w:cs="Arial"/>
          <w:sz w:val="24"/>
          <w:szCs w:val="24"/>
        </w:rPr>
        <w:t xml:space="preserve">Se le solicita al </w:t>
      </w:r>
      <w:r w:rsidRPr="00033CB3">
        <w:rPr>
          <w:rFonts w:ascii="Arial" w:hAnsi="Arial" w:cs="Arial"/>
          <w:b/>
          <w:bCs/>
          <w:sz w:val="24"/>
          <w:szCs w:val="24"/>
        </w:rPr>
        <w:t xml:space="preserve">Directorio Legislativo para que a través de </w:t>
      </w:r>
      <w:r w:rsidR="00033CB3">
        <w:rPr>
          <w:rFonts w:ascii="Arial" w:hAnsi="Arial" w:cs="Arial"/>
          <w:b/>
          <w:bCs/>
          <w:sz w:val="24"/>
          <w:szCs w:val="24"/>
        </w:rPr>
        <w:t xml:space="preserve">su </w:t>
      </w:r>
      <w:r w:rsidRPr="00033CB3">
        <w:rPr>
          <w:rFonts w:ascii="Arial" w:hAnsi="Arial" w:cs="Arial"/>
          <w:b/>
          <w:bCs/>
          <w:sz w:val="24"/>
          <w:szCs w:val="24"/>
        </w:rPr>
        <w:t>Secretaría Técnica</w:t>
      </w:r>
      <w:r>
        <w:rPr>
          <w:rFonts w:ascii="Arial" w:hAnsi="Arial" w:cs="Arial"/>
          <w:sz w:val="24"/>
          <w:szCs w:val="24"/>
        </w:rPr>
        <w:t xml:space="preserve"> </w:t>
      </w:r>
      <w:r w:rsidR="00033CB3">
        <w:rPr>
          <w:rFonts w:ascii="Arial" w:hAnsi="Arial" w:cs="Arial"/>
          <w:sz w:val="24"/>
          <w:szCs w:val="24"/>
        </w:rPr>
        <w:t>efectúe las notificaciones correspondientes de las presentes disposiciones</w:t>
      </w:r>
      <w:r w:rsidR="00414F68">
        <w:rPr>
          <w:rFonts w:ascii="Arial" w:hAnsi="Arial" w:cs="Arial"/>
          <w:sz w:val="24"/>
          <w:szCs w:val="24"/>
        </w:rPr>
        <w:t>, y en caso de recibir respuesta</w:t>
      </w:r>
      <w:r w:rsidR="003036FD">
        <w:rPr>
          <w:rFonts w:ascii="Arial" w:hAnsi="Arial" w:cs="Arial"/>
          <w:sz w:val="24"/>
          <w:szCs w:val="24"/>
        </w:rPr>
        <w:t xml:space="preserve"> por parte de las instituciones, lo comunique de manera inmediata a la Comisión Permanente Ordinaria de Asuntos Hacendarios</w:t>
      </w:r>
      <w:r w:rsidR="001B1C68">
        <w:rPr>
          <w:rFonts w:ascii="Arial" w:hAnsi="Arial" w:cs="Arial"/>
          <w:sz w:val="24"/>
          <w:szCs w:val="24"/>
        </w:rPr>
        <w:t xml:space="preserve"> para lo que corresponda.</w:t>
      </w:r>
    </w:p>
    <w:p w14:paraId="6650777B" w14:textId="020BDAA1" w:rsidR="00B15D52" w:rsidRDefault="00B15D52" w:rsidP="00B15D52">
      <w:pPr>
        <w:pStyle w:val="Sinespaciado"/>
        <w:spacing w:before="240" w:after="240" w:line="276" w:lineRule="auto"/>
        <w:jc w:val="both"/>
        <w:rPr>
          <w:rFonts w:ascii="Arial" w:hAnsi="Arial" w:cs="Arial"/>
          <w:sz w:val="24"/>
          <w:szCs w:val="24"/>
        </w:rPr>
      </w:pPr>
    </w:p>
    <w:p w14:paraId="1BCEFA94" w14:textId="77777777" w:rsidR="007A2956" w:rsidRDefault="007A2956" w:rsidP="00B15D52">
      <w:pPr>
        <w:pStyle w:val="Sinespaciado"/>
        <w:spacing w:before="240" w:after="240" w:line="276" w:lineRule="auto"/>
        <w:jc w:val="both"/>
        <w:rPr>
          <w:rFonts w:ascii="Arial" w:hAnsi="Arial" w:cs="Arial"/>
          <w:sz w:val="24"/>
          <w:szCs w:val="24"/>
        </w:rPr>
      </w:pPr>
    </w:p>
    <w:p w14:paraId="06412503" w14:textId="5B9C2F5D" w:rsidR="00993244" w:rsidRDefault="00993244">
      <w:pPr>
        <w:rPr>
          <w:rFonts w:ascii="Arial" w:hAnsi="Arial" w:cs="Arial"/>
          <w:sz w:val="24"/>
          <w:szCs w:val="24"/>
        </w:rPr>
      </w:pPr>
      <w:r>
        <w:rPr>
          <w:rFonts w:ascii="Arial" w:hAnsi="Arial" w:cs="Arial"/>
          <w:sz w:val="24"/>
          <w:szCs w:val="24"/>
        </w:rPr>
        <w:br w:type="page"/>
      </w:r>
    </w:p>
    <w:p w14:paraId="11D1FAE6" w14:textId="674BDD3B" w:rsidR="00B15D52" w:rsidRPr="00356B64" w:rsidRDefault="00993244" w:rsidP="00DE3241">
      <w:pPr>
        <w:pStyle w:val="Sinespaciado"/>
        <w:spacing w:before="240" w:after="240" w:line="276" w:lineRule="auto"/>
        <w:jc w:val="center"/>
        <w:rPr>
          <w:rFonts w:ascii="Arial" w:hAnsi="Arial" w:cs="Arial"/>
          <w:sz w:val="24"/>
          <w:szCs w:val="24"/>
        </w:rPr>
      </w:pPr>
      <w:r w:rsidRPr="00993244">
        <w:rPr>
          <w:rFonts w:ascii="Arial" w:hAnsi="Arial" w:cs="Arial"/>
          <w:noProof/>
          <w:sz w:val="24"/>
          <w:szCs w:val="24"/>
          <w:lang w:eastAsia="es-CR"/>
        </w:rPr>
        <w:drawing>
          <wp:inline distT="0" distB="0" distL="0" distR="0" wp14:anchorId="055D7515" wp14:editId="1425C6FE">
            <wp:extent cx="6061242" cy="7841404"/>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65875" cy="7847397"/>
                    </a:xfrm>
                    <a:prstGeom prst="rect">
                      <a:avLst/>
                    </a:prstGeom>
                    <a:noFill/>
                    <a:ln>
                      <a:noFill/>
                    </a:ln>
                  </pic:spPr>
                </pic:pic>
              </a:graphicData>
            </a:graphic>
          </wp:inline>
        </w:drawing>
      </w:r>
    </w:p>
    <w:sectPr w:rsidR="00B15D52" w:rsidRPr="00356B64" w:rsidSect="004724D3">
      <w:headerReference w:type="even" r:id="rId39"/>
      <w:headerReference w:type="default" r:id="rId40"/>
      <w:footerReference w:type="default" r:id="rId41"/>
      <w:headerReference w:type="first" r:id="rId4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7BD6C" w14:textId="77777777" w:rsidR="003C0585" w:rsidRDefault="003C0585" w:rsidP="004F5D58">
      <w:pPr>
        <w:spacing w:after="0" w:line="240" w:lineRule="auto"/>
      </w:pPr>
      <w:r>
        <w:separator/>
      </w:r>
    </w:p>
  </w:endnote>
  <w:endnote w:type="continuationSeparator" w:id="0">
    <w:p w14:paraId="70EEB5FE" w14:textId="77777777" w:rsidR="003C0585" w:rsidRDefault="003C0585" w:rsidP="004F5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258E" w14:textId="77777777" w:rsidR="00B15D52" w:rsidRDefault="00B15D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7BA20" w14:textId="77777777" w:rsidR="00B15D52" w:rsidRDefault="00B15D5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9582B" w14:textId="77777777" w:rsidR="00B15D52" w:rsidRDefault="00B15D5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6548"/>
      <w:docPartObj>
        <w:docPartGallery w:val="Page Numbers (Bottom of Page)"/>
        <w:docPartUnique/>
      </w:docPartObj>
    </w:sdtPr>
    <w:sdtEndPr/>
    <w:sdtContent>
      <w:p w14:paraId="5A6C362B" w14:textId="32D528AD" w:rsidR="004724D3" w:rsidRDefault="004724D3">
        <w:pPr>
          <w:pStyle w:val="Piedepgina"/>
          <w:jc w:val="center"/>
        </w:pPr>
        <w:r>
          <w:fldChar w:fldCharType="begin"/>
        </w:r>
        <w:r>
          <w:instrText>PAGE   \* MERGEFORMAT</w:instrText>
        </w:r>
        <w:r>
          <w:fldChar w:fldCharType="separate"/>
        </w:r>
        <w:r w:rsidR="00CC24A7" w:rsidRPr="00CC24A7">
          <w:rPr>
            <w:noProof/>
            <w:lang w:val="es-ES"/>
          </w:rPr>
          <w:t>62</w:t>
        </w:r>
        <w:r>
          <w:fldChar w:fldCharType="end"/>
        </w:r>
      </w:p>
    </w:sdtContent>
  </w:sdt>
  <w:p w14:paraId="0466F740" w14:textId="77777777" w:rsidR="004724D3" w:rsidRDefault="004724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5BA1E" w14:textId="77777777" w:rsidR="003C0585" w:rsidRDefault="003C0585" w:rsidP="004F5D58">
      <w:pPr>
        <w:spacing w:after="0" w:line="240" w:lineRule="auto"/>
      </w:pPr>
      <w:r>
        <w:separator/>
      </w:r>
    </w:p>
  </w:footnote>
  <w:footnote w:type="continuationSeparator" w:id="0">
    <w:p w14:paraId="6F80A3BE" w14:textId="77777777" w:rsidR="003C0585" w:rsidRDefault="003C0585" w:rsidP="004F5D58">
      <w:pPr>
        <w:spacing w:after="0" w:line="240" w:lineRule="auto"/>
      </w:pPr>
      <w:r>
        <w:continuationSeparator/>
      </w:r>
    </w:p>
  </w:footnote>
  <w:footnote w:id="1">
    <w:p w14:paraId="7FC7B33C" w14:textId="77777777" w:rsidR="007704AA" w:rsidRPr="006A776B" w:rsidRDefault="007704AA" w:rsidP="007704AA">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Asamblea Legislativa, Liquidación de Presupuestos Públicos y Dictamen de la Contraloría General de la República del 2018, expediente N° 21.391. Informe Negativo de Mayoría. 30 de julio del 2019.</w:t>
      </w:r>
    </w:p>
    <w:p w14:paraId="2B340886" w14:textId="77777777" w:rsidR="007704AA" w:rsidRPr="006A776B" w:rsidRDefault="007704AA" w:rsidP="007704AA">
      <w:pPr>
        <w:pStyle w:val="Textonotapie"/>
        <w:rPr>
          <w:rFonts w:ascii="Arial" w:hAnsi="Arial" w:cs="Arial"/>
          <w:sz w:val="16"/>
          <w:szCs w:val="16"/>
        </w:rPr>
      </w:pPr>
    </w:p>
  </w:footnote>
  <w:footnote w:id="2">
    <w:p w14:paraId="757CA91A" w14:textId="209E63BB" w:rsidR="00C4686A" w:rsidRPr="00C4686A" w:rsidRDefault="00C4686A" w:rsidP="008D02D4">
      <w:pPr>
        <w:pStyle w:val="Textonotapie"/>
      </w:pPr>
      <w:r>
        <w:rPr>
          <w:rStyle w:val="Refdenotaalpie"/>
        </w:rPr>
        <w:footnoteRef/>
      </w:r>
      <w:r>
        <w:rPr>
          <w:rStyle w:val="Refdenotaalpie"/>
        </w:rPr>
        <w:footnoteRef/>
      </w:r>
      <w:r>
        <w:t xml:space="preserve"> </w:t>
      </w:r>
      <w:r w:rsidR="00D84999" w:rsidRPr="00D84999">
        <w:t>Instituto Centroamericano de Estudios Fiscales</w:t>
      </w:r>
      <w:r w:rsidR="00D84999">
        <w:t>,</w:t>
      </w:r>
      <w:r w:rsidR="008D02D4" w:rsidRPr="008D02D4">
        <w:t xml:space="preserve"> </w:t>
      </w:r>
      <w:r w:rsidR="008D02D4">
        <w:t>Perfiles Macrofiscales de Centroamérica</w:t>
      </w:r>
      <w:r w:rsidR="00D84999">
        <w:t xml:space="preserve">, </w:t>
      </w:r>
      <w:r w:rsidR="00346848">
        <w:t>p 36.</w:t>
      </w:r>
    </w:p>
  </w:footnote>
  <w:footnote w:id="3">
    <w:p w14:paraId="0637BCBF" w14:textId="1988BD9F" w:rsidR="007704AA" w:rsidRPr="006A776B" w:rsidRDefault="007704AA" w:rsidP="007704AA">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BCCR, Informe de Política Monetaria (Oct-2020), </w:t>
      </w:r>
      <w:r w:rsidR="00A54543" w:rsidRPr="006A776B">
        <w:rPr>
          <w:rFonts w:ascii="Arial" w:hAnsi="Arial" w:cs="Arial"/>
          <w:sz w:val="16"/>
          <w:szCs w:val="16"/>
        </w:rPr>
        <w:t>pág.</w:t>
      </w:r>
      <w:r w:rsidRPr="006A776B">
        <w:rPr>
          <w:rFonts w:ascii="Arial" w:hAnsi="Arial" w:cs="Arial"/>
          <w:sz w:val="16"/>
          <w:szCs w:val="16"/>
        </w:rPr>
        <w:t xml:space="preserve"> 118</w:t>
      </w:r>
    </w:p>
  </w:footnote>
  <w:footnote w:id="4">
    <w:p w14:paraId="32E0717F" w14:textId="77777777" w:rsidR="00E43BAE" w:rsidRPr="006A776B" w:rsidRDefault="00E43BAE" w:rsidP="004F5D58">
      <w:pPr>
        <w:pStyle w:val="Sinespaciado"/>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w:t>
      </w:r>
      <w:hyperlink r:id="rId1" w:history="1">
        <w:r w:rsidRPr="006A776B">
          <w:rPr>
            <w:rStyle w:val="Hipervnculo"/>
            <w:rFonts w:ascii="Arial" w:hAnsi="Arial" w:cs="Arial"/>
            <w:sz w:val="16"/>
            <w:szCs w:val="16"/>
          </w:rPr>
          <w:t>https://sites.google.com/cgr.go.cr/monitoreocgr/2020/memoria2020/monitoreo-ma17</w:t>
        </w:r>
      </w:hyperlink>
      <w:r w:rsidRPr="006A776B">
        <w:rPr>
          <w:rFonts w:ascii="Arial" w:hAnsi="Arial" w:cs="Arial"/>
          <w:sz w:val="16"/>
          <w:szCs w:val="16"/>
        </w:rPr>
        <w:t xml:space="preserve"> </w:t>
      </w:r>
    </w:p>
  </w:footnote>
  <w:footnote w:id="5">
    <w:p w14:paraId="676EED2D" w14:textId="77777777" w:rsidR="00E43BAE" w:rsidRPr="006A776B" w:rsidRDefault="00E43BAE" w:rsidP="00F35012">
      <w:pPr>
        <w:pStyle w:val="Sinespaciado"/>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Pág. 167.</w:t>
      </w:r>
    </w:p>
  </w:footnote>
  <w:footnote w:id="6">
    <w:p w14:paraId="258DC199" w14:textId="77777777" w:rsidR="00E43BAE" w:rsidRPr="006A776B" w:rsidRDefault="00E43BAE" w:rsidP="00EA4CC5">
      <w:pPr>
        <w:pStyle w:val="Textonotapie"/>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Informe N.° DFOE-SAF-IF-00006-2021 de 30 de abril de 2021. Contraloría General de la República.</w:t>
      </w:r>
    </w:p>
  </w:footnote>
  <w:footnote w:id="7">
    <w:p w14:paraId="4A48D3C9" w14:textId="77777777" w:rsidR="00E43BAE" w:rsidRPr="006A776B" w:rsidRDefault="00E43BAE" w:rsidP="00EA4CC5">
      <w:pPr>
        <w:pStyle w:val="Textonotapie"/>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Oficio DM-0185-2021 de 08 de marzo de 2021 emitido por el señor </w:t>
      </w:r>
      <w:r w:rsidR="004C532B" w:rsidRPr="006A776B">
        <w:rPr>
          <w:rFonts w:ascii="Arial" w:hAnsi="Arial" w:cs="Arial"/>
          <w:sz w:val="16"/>
          <w:szCs w:val="16"/>
        </w:rPr>
        <w:t>Elián</w:t>
      </w:r>
      <w:r w:rsidRPr="006A776B">
        <w:rPr>
          <w:rFonts w:ascii="Arial" w:hAnsi="Arial" w:cs="Arial"/>
          <w:sz w:val="16"/>
          <w:szCs w:val="16"/>
        </w:rPr>
        <w:t xml:space="preserve"> Villegas Valverde, Ministro de Hacienda.</w:t>
      </w:r>
    </w:p>
  </w:footnote>
  <w:footnote w:id="8">
    <w:p w14:paraId="66F1B19D" w14:textId="77777777" w:rsidR="00E43BAE" w:rsidRPr="006A776B" w:rsidRDefault="00E43BAE" w:rsidP="00B46381">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Revisión de la CGR a partir de la documentación disponible en: https://www.mideplan.go.cr/agenda-nacional-de-evaluacion</w:t>
      </w:r>
    </w:p>
  </w:footnote>
  <w:footnote w:id="9">
    <w:p w14:paraId="6137CDF1" w14:textId="77777777" w:rsidR="00E43BAE" w:rsidRPr="006A776B" w:rsidRDefault="00E43BAE" w:rsidP="00B46381">
      <w:pPr>
        <w:pStyle w:val="Textonotapie"/>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Informe N° DFOE-SAF-IF-00007-2021 30 de abril de 2021. Contraloría General de la Republica </w:t>
      </w:r>
    </w:p>
  </w:footnote>
  <w:footnote w:id="10">
    <w:p w14:paraId="34E484B2" w14:textId="77777777" w:rsidR="00E43BAE" w:rsidRPr="006A776B" w:rsidRDefault="00E43BAE" w:rsidP="00B46381">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Oficio MIDEPLAN-DM-OF-0275-2021, p.3-4</w:t>
      </w:r>
    </w:p>
  </w:footnote>
  <w:footnote w:id="11">
    <w:p w14:paraId="3DC37AF4" w14:textId="77777777" w:rsidR="00E43BAE" w:rsidRPr="006A776B" w:rsidRDefault="00E43BAE" w:rsidP="00B46381">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Oficio DVME-0173-2021 del 23 de marzo de 2021, p. 3.</w:t>
      </w:r>
    </w:p>
  </w:footnote>
  <w:footnote w:id="12">
    <w:p w14:paraId="0F50B7C3" w14:textId="77777777" w:rsidR="00E43BAE" w:rsidRPr="006A776B" w:rsidRDefault="00E43BAE" w:rsidP="00EF1167">
      <w:pPr>
        <w:pStyle w:val="Textonotapie"/>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Informe de auditoría financiera sobre la liquidación de ingresos y egresos del Presupuesto de la República correspondiente al ejercicio económico 2020, N° DFOE-SAF-IF-00006-2021 30 de abril de 2021.</w:t>
      </w:r>
    </w:p>
  </w:footnote>
  <w:footnote w:id="13">
    <w:p w14:paraId="26A67481" w14:textId="77777777" w:rsidR="00E43BAE" w:rsidRPr="006A776B" w:rsidRDefault="00E43BAE" w:rsidP="00EF1167">
      <w:pPr>
        <w:pStyle w:val="Textonotapie"/>
        <w:jc w:val="both"/>
        <w:rPr>
          <w:rFonts w:ascii="Arial" w:eastAsia="Calibri"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w:t>
      </w:r>
      <w:r w:rsidRPr="006A776B">
        <w:rPr>
          <w:rFonts w:ascii="Arial" w:eastAsia="Calibri" w:hAnsi="Arial" w:cs="Arial"/>
          <w:sz w:val="16"/>
          <w:szCs w:val="16"/>
        </w:rPr>
        <w:t>Informe de la Auditoría Financiera sobre la ejecución presupuestaria realizada por los Regímenes Especiales de Pensiones correspondiente al ejercicio económico 2020, INFORME N.° DFOE-SOC-IF-00004-2021 29 de abril, 2021</w:t>
      </w:r>
    </w:p>
  </w:footnote>
  <w:footnote w:id="14">
    <w:p w14:paraId="5AD04956" w14:textId="77777777" w:rsidR="00E43BAE" w:rsidRPr="006A776B" w:rsidRDefault="00E43BAE" w:rsidP="00EF1167">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Informe de la Auditoría Financiera sobre la ejecución presupuestaria realizada por el Ministerio de Salud correspondiente al ejercicio económico 2020, Informe N.° DFOE-SOC-IF-00002-2020 28 de abril, 2021</w:t>
      </w:r>
    </w:p>
  </w:footnote>
  <w:footnote w:id="15">
    <w:p w14:paraId="039A453B" w14:textId="77777777" w:rsidR="00E43BAE" w:rsidRPr="006A776B" w:rsidRDefault="00E43BAE" w:rsidP="00EF1167">
      <w:pPr>
        <w:pStyle w:val="Textonotapie"/>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Informe de auditoría financiera sobre la liquidación de ingresos y egresos del Presupuesto de la República correspondiente al ejercicio económico 2020, N° DFOE-SAF-IF-00006-2021 30 de abril de 2021.</w:t>
      </w:r>
    </w:p>
  </w:footnote>
  <w:footnote w:id="16">
    <w:p w14:paraId="505EABDE" w14:textId="77777777" w:rsidR="00E43BAE" w:rsidRPr="006A776B" w:rsidRDefault="00E43BAE" w:rsidP="00EF1167">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Ley de la Administración Financiera de la República y Presupuestos Públicos, artículo 5, inciso C.</w:t>
      </w:r>
    </w:p>
  </w:footnote>
  <w:footnote w:id="17">
    <w:p w14:paraId="5AF44FC5" w14:textId="07F5FB26" w:rsidR="00E43BAE" w:rsidRPr="006A776B" w:rsidRDefault="00E43BAE" w:rsidP="00EF74BD">
      <w:pPr>
        <w:pStyle w:val="Textonotapie"/>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Elaborado por la Contraloría General de la Republica</w:t>
      </w:r>
      <w:r w:rsidR="00C81674" w:rsidRPr="006A776B">
        <w:rPr>
          <w:rFonts w:ascii="Arial" w:hAnsi="Arial" w:cs="Arial"/>
          <w:sz w:val="16"/>
          <w:szCs w:val="16"/>
        </w:rPr>
        <w:t>. Presentación ante la Comisión</w:t>
      </w:r>
      <w:r w:rsidR="00EF74BD" w:rsidRPr="006A776B">
        <w:rPr>
          <w:rFonts w:ascii="Arial" w:hAnsi="Arial" w:cs="Arial"/>
          <w:sz w:val="16"/>
          <w:szCs w:val="16"/>
        </w:rPr>
        <w:t xml:space="preserve"> </w:t>
      </w:r>
      <w:r w:rsidR="00C81674" w:rsidRPr="006A776B">
        <w:rPr>
          <w:rFonts w:ascii="Arial" w:hAnsi="Arial" w:cs="Arial"/>
          <w:sz w:val="16"/>
          <w:szCs w:val="16"/>
        </w:rPr>
        <w:t>Permanente Ordinaria de Asuntos Hacendarios</w:t>
      </w:r>
      <w:r w:rsidR="00EF74BD" w:rsidRPr="006A776B">
        <w:rPr>
          <w:rFonts w:ascii="Arial" w:hAnsi="Arial" w:cs="Arial"/>
          <w:sz w:val="16"/>
          <w:szCs w:val="16"/>
        </w:rPr>
        <w:t xml:space="preserve">. Acta sesión ordinaria </w:t>
      </w:r>
      <w:r w:rsidR="003709D0" w:rsidRPr="006A776B">
        <w:rPr>
          <w:rFonts w:ascii="Arial" w:hAnsi="Arial" w:cs="Arial"/>
          <w:sz w:val="16"/>
          <w:szCs w:val="16"/>
        </w:rPr>
        <w:t>N.° 12</w:t>
      </w:r>
      <w:r w:rsidR="00EF74BD" w:rsidRPr="006A776B">
        <w:rPr>
          <w:rFonts w:ascii="Arial" w:hAnsi="Arial" w:cs="Arial"/>
          <w:sz w:val="16"/>
          <w:szCs w:val="16"/>
        </w:rPr>
        <w:t xml:space="preserve">, del martes 13 de julio de </w:t>
      </w:r>
      <w:r w:rsidR="003709D0" w:rsidRPr="006A776B">
        <w:rPr>
          <w:rFonts w:ascii="Arial" w:hAnsi="Arial" w:cs="Arial"/>
          <w:sz w:val="16"/>
          <w:szCs w:val="16"/>
        </w:rPr>
        <w:t>2021</w:t>
      </w:r>
      <w:r w:rsidR="00EF74BD" w:rsidRPr="006A776B">
        <w:rPr>
          <w:rFonts w:ascii="Arial" w:hAnsi="Arial" w:cs="Arial"/>
          <w:sz w:val="16"/>
          <w:szCs w:val="16"/>
        </w:rPr>
        <w:t>.</w:t>
      </w:r>
    </w:p>
  </w:footnote>
  <w:footnote w:id="18">
    <w:p w14:paraId="3D1E7A2C" w14:textId="77777777" w:rsidR="000E2CA6" w:rsidRDefault="000E2CA6" w:rsidP="000E2CA6">
      <w:pPr>
        <w:pStyle w:val="Textonotapie"/>
      </w:pPr>
      <w:r>
        <w:rPr>
          <w:rStyle w:val="Refdenotaalpie"/>
        </w:rPr>
        <w:footnoteRef/>
      </w:r>
      <w:r>
        <w:t xml:space="preserve"> Artículo 176- </w:t>
      </w:r>
      <w:r w:rsidRPr="000E2CA6">
        <w:rPr>
          <w:b/>
          <w:bCs/>
          <w:u w:val="single"/>
        </w:rPr>
        <w:t>La gestión pública se conducirá de forma sostenible, transparente y responsable, la cual se basará en un marco de presupuestación plurianual, en procura de la continuidad de los servicios que presta.</w:t>
      </w:r>
    </w:p>
    <w:p w14:paraId="2BE6E77A" w14:textId="77777777" w:rsidR="000E2CA6" w:rsidRDefault="000E2CA6" w:rsidP="000E2CA6">
      <w:pPr>
        <w:pStyle w:val="Textonotapie"/>
      </w:pPr>
      <w:r>
        <w:t>El presupuesto ordinario de la República comprende todos los ingresos probables y todos los gastos autorizados de la Administración Pública, durante todo el año económico. En ningún caso, el monto de los gastos presupuestos podrá exceder el de los ingresos probables.</w:t>
      </w:r>
    </w:p>
    <w:p w14:paraId="06FEF7A3" w14:textId="77777777" w:rsidR="000E2CA6" w:rsidRDefault="000E2CA6" w:rsidP="000E2CA6">
      <w:pPr>
        <w:pStyle w:val="Textonotapie"/>
      </w:pPr>
      <w:r>
        <w:t>La Administración Pública, en sentido amplio, observará las reglas anteriores para dictar sus presupuestos.</w:t>
      </w:r>
    </w:p>
    <w:p w14:paraId="4C5736DE" w14:textId="77777777" w:rsidR="000E2CA6" w:rsidRDefault="000E2CA6" w:rsidP="000E2CA6">
      <w:pPr>
        <w:pStyle w:val="Textonotapie"/>
      </w:pPr>
      <w:r>
        <w:t>El presupuesto de la República se emitirá para el término de un año, del primero de enero al treinta y uno de diciembre.</w:t>
      </w:r>
    </w:p>
    <w:p w14:paraId="58898E31" w14:textId="2F57392F" w:rsidR="000E2CA6" w:rsidRPr="000E2CA6" w:rsidRDefault="000E2CA6" w:rsidP="000E2CA6">
      <w:pPr>
        <w:pStyle w:val="Textonotapie"/>
        <w:rPr>
          <w:b/>
          <w:bCs/>
        </w:rPr>
      </w:pPr>
      <w:r w:rsidRPr="000E2CA6">
        <w:rPr>
          <w:b/>
          <w:bCs/>
        </w:rPr>
        <w:t>(Así reformado por el artículo único de la ley N° 9696 de 11 de junio de 2019, "Reforma artículo 176 de la Constitución Política (Principios de sostenibilidad fiscal y plurianualidad")</w:t>
      </w:r>
      <w:r w:rsidR="008674E8">
        <w:rPr>
          <w:b/>
          <w:bCs/>
        </w:rPr>
        <w:t>)</w:t>
      </w:r>
    </w:p>
    <w:p w14:paraId="715CB41A" w14:textId="3020CA90" w:rsidR="000E2CA6" w:rsidRPr="000E2CA6" w:rsidRDefault="000E2CA6">
      <w:pPr>
        <w:pStyle w:val="Textonotapie"/>
      </w:pPr>
    </w:p>
  </w:footnote>
  <w:footnote w:id="19">
    <w:p w14:paraId="69A51686" w14:textId="77777777" w:rsidR="00E43BAE" w:rsidRPr="006A776B" w:rsidRDefault="00E43BAE" w:rsidP="00EF1167">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Memoria Anual 2019, página 48. Contraloría General de la Republica.</w:t>
      </w:r>
    </w:p>
  </w:footnote>
  <w:footnote w:id="20">
    <w:p w14:paraId="7D5E0A56" w14:textId="77777777" w:rsidR="00E43BAE" w:rsidRPr="006A776B" w:rsidRDefault="00E43BAE" w:rsidP="00EF1167">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Artículo 5, inciso e) de la Ley de la Administración Financiera de la República y Presupuestos Públicos 8131.</w:t>
      </w:r>
    </w:p>
  </w:footnote>
  <w:footnote w:id="21">
    <w:p w14:paraId="1BBF8885" w14:textId="77777777" w:rsidR="00E43BAE" w:rsidRPr="006A776B" w:rsidRDefault="00E43BAE" w:rsidP="00EF1167">
      <w:pPr>
        <w:pStyle w:val="Textonotapie"/>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Procuraduría General de la República: Dictamen N° 333 del 30/11/2001. Disponible en: </w:t>
      </w:r>
    </w:p>
    <w:p w14:paraId="1DE512C9" w14:textId="77777777" w:rsidR="00E43BAE" w:rsidRPr="006A776B" w:rsidRDefault="00E43BAE" w:rsidP="00EF1167">
      <w:pPr>
        <w:pStyle w:val="Textonotapie"/>
        <w:jc w:val="both"/>
        <w:rPr>
          <w:rFonts w:ascii="Arial" w:hAnsi="Arial" w:cs="Arial"/>
          <w:sz w:val="16"/>
          <w:szCs w:val="16"/>
        </w:rPr>
      </w:pPr>
      <w:r w:rsidRPr="006A776B">
        <w:rPr>
          <w:rFonts w:ascii="Arial" w:hAnsi="Arial" w:cs="Arial"/>
          <w:sz w:val="16"/>
          <w:szCs w:val="16"/>
        </w:rPr>
        <w:t>http://www.pgrweb.go.cr/scij/Busqueda/Normativa/Pronunciamiento/pro_ficha.aspx?param1=PRD&amp;param6 =1&amp;nDictamen=10823&amp;strTipM=T</w:t>
      </w:r>
    </w:p>
  </w:footnote>
  <w:footnote w:id="22">
    <w:p w14:paraId="780E72E5" w14:textId="77777777" w:rsidR="00E43BAE" w:rsidRPr="006A776B" w:rsidRDefault="00E43BAE" w:rsidP="00EF1167">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Artículo 5, inciso e) de la Ley de la Administración Financiera de la República y Presupuestos Públicos 8131.</w:t>
      </w:r>
    </w:p>
  </w:footnote>
  <w:footnote w:id="23">
    <w:p w14:paraId="5D5ABF23" w14:textId="77777777" w:rsidR="00E43BAE" w:rsidRPr="006A776B" w:rsidRDefault="00E43BAE" w:rsidP="00EF1167">
      <w:pPr>
        <w:pStyle w:val="Textonotapie"/>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En el Informe de resultados físicos de los programas ejecutados de 2020, en el análisis del resultado global presupuesto 2020 o en notas a los estados financieros del año 2020.</w:t>
      </w:r>
    </w:p>
  </w:footnote>
  <w:footnote w:id="24">
    <w:p w14:paraId="7D639CF8" w14:textId="77777777" w:rsidR="00E43BAE" w:rsidRPr="006A776B" w:rsidRDefault="00E43BAE" w:rsidP="00F35012">
      <w:pPr>
        <w:pStyle w:val="Sinespaciado"/>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Según tipo de cambio referencia BCCR al 20 de julio de 2021, de ¢621,92.</w:t>
      </w:r>
    </w:p>
  </w:footnote>
  <w:footnote w:id="25">
    <w:p w14:paraId="7189CE93" w14:textId="77777777" w:rsidR="00E43BAE" w:rsidRPr="006A776B" w:rsidRDefault="00E43BAE" w:rsidP="00FA1668">
      <w:pPr>
        <w:pStyle w:val="Sinespaciado"/>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Págs. 112 a 114.</w:t>
      </w:r>
    </w:p>
  </w:footnote>
  <w:footnote w:id="26">
    <w:p w14:paraId="4EC6E09A" w14:textId="77777777" w:rsidR="00E43BAE" w:rsidRPr="006A776B" w:rsidRDefault="00E43BAE" w:rsidP="00922283">
      <w:pPr>
        <w:pStyle w:val="Sinespaciado"/>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Acta de dicha sesión, pág. 15.</w:t>
      </w:r>
    </w:p>
  </w:footnote>
  <w:footnote w:id="27">
    <w:p w14:paraId="3EA34FE2" w14:textId="77777777" w:rsidR="00E43BAE" w:rsidRPr="006A776B" w:rsidRDefault="00E43BAE" w:rsidP="00837D0E">
      <w:pPr>
        <w:pStyle w:val="Sinespaciado"/>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Informe de Seguimiento del II Semestre 2020 sobre los Créditos Externos en periodo de ejecución del Gobierno Central y Resto del Sector Público. Dirección de Crédito Público Departamento de Coordinación y Control del Endeudamiento Público. Pág. 8.</w:t>
      </w:r>
    </w:p>
  </w:footnote>
  <w:footnote w:id="28">
    <w:p w14:paraId="1A3C6613" w14:textId="77777777" w:rsidR="00E43BAE" w:rsidRPr="006A776B" w:rsidRDefault="00E43BAE" w:rsidP="00FA1668">
      <w:pPr>
        <w:pStyle w:val="Sinespaciado"/>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Pág. 34.</w:t>
      </w:r>
    </w:p>
  </w:footnote>
  <w:footnote w:id="29">
    <w:p w14:paraId="1A2499A2" w14:textId="77777777" w:rsidR="00E43BAE" w:rsidRPr="006A776B" w:rsidRDefault="00E43BAE" w:rsidP="00FA1668">
      <w:pPr>
        <w:pStyle w:val="Sinespaciado"/>
        <w:jc w:val="both"/>
        <w:rPr>
          <w:rFonts w:ascii="Arial" w:hAnsi="Arial" w:cs="Arial"/>
          <w:sz w:val="16"/>
          <w:szCs w:val="16"/>
        </w:rPr>
      </w:pPr>
      <w:r w:rsidRPr="006A776B">
        <w:rPr>
          <w:rStyle w:val="Refdenotaalpie"/>
          <w:rFonts w:ascii="Arial" w:hAnsi="Arial" w:cs="Arial"/>
          <w:sz w:val="16"/>
          <w:szCs w:val="16"/>
        </w:rPr>
        <w:footnoteRef/>
      </w:r>
      <w:r w:rsidRPr="006A776B">
        <w:rPr>
          <w:rFonts w:ascii="Arial" w:hAnsi="Arial" w:cs="Arial"/>
          <w:sz w:val="16"/>
          <w:szCs w:val="16"/>
        </w:rPr>
        <w:t xml:space="preserve"> </w:t>
      </w:r>
      <w:hyperlink r:id="rId2" w:history="1">
        <w:r w:rsidRPr="006A776B">
          <w:rPr>
            <w:rStyle w:val="Hipervnculo"/>
            <w:rFonts w:ascii="Arial" w:hAnsi="Arial" w:cs="Arial"/>
            <w:sz w:val="16"/>
            <w:szCs w:val="16"/>
          </w:rPr>
          <w:t>https://cgrfiles.cgr.go.cr/publico/docs_cgr/2019/SIGYD_D_2019019427.pdf</w:t>
        </w:r>
      </w:hyperlink>
      <w:r w:rsidRPr="006A776B">
        <w:rPr>
          <w:rFonts w:ascii="Arial" w:hAnsi="Arial" w:cs="Arial"/>
          <w:sz w:val="16"/>
          <w:szCs w:val="16"/>
        </w:rPr>
        <w:t>. Pág.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C6A4" w14:textId="5E306D4D" w:rsidR="00B15D52" w:rsidRDefault="00B15D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2281" w14:textId="02DE183D" w:rsidR="00B15D52" w:rsidRDefault="00B15D5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75406" w14:textId="6FB71869" w:rsidR="00B15D52" w:rsidRDefault="00B15D5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52DB8" w14:textId="51A1002C" w:rsidR="00B15D52" w:rsidRDefault="00B15D5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F5CC9" w14:textId="28906CE1" w:rsidR="006B046D" w:rsidRPr="006B046D" w:rsidRDefault="006B046D" w:rsidP="006B046D">
    <w:pPr>
      <w:pStyle w:val="Encabezado"/>
      <w:pBdr>
        <w:bottom w:val="single" w:sz="4" w:space="1" w:color="auto"/>
      </w:pBdr>
      <w:rPr>
        <w:rFonts w:ascii="Arial" w:hAnsi="Arial" w:cs="Arial"/>
        <w:sz w:val="16"/>
        <w:szCs w:val="16"/>
      </w:rPr>
    </w:pPr>
    <w:r w:rsidRPr="006B046D">
      <w:rPr>
        <w:rFonts w:ascii="Arial" w:hAnsi="Arial" w:cs="Arial"/>
        <w:sz w:val="16"/>
        <w:szCs w:val="16"/>
      </w:rPr>
      <w:t>LIQUIDACIÓN DE PRESUPUESTOS PÚBLICOS Y DICTAMEN DE LA CONTRALORÍA GENERAL DE LA REPÚBLICA DEL 2020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875B3" w14:textId="1D5499E7" w:rsidR="00B15D52" w:rsidRDefault="00B15D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C045A"/>
    <w:multiLevelType w:val="hybridMultilevel"/>
    <w:tmpl w:val="B19E8BAC"/>
    <w:lvl w:ilvl="0" w:tplc="ABC8BA2C">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24F0365"/>
    <w:multiLevelType w:val="hybridMultilevel"/>
    <w:tmpl w:val="AE242F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5D41C54"/>
    <w:multiLevelType w:val="hybridMultilevel"/>
    <w:tmpl w:val="FE385414"/>
    <w:lvl w:ilvl="0" w:tplc="AFD85CD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91F7E4B"/>
    <w:multiLevelType w:val="hybridMultilevel"/>
    <w:tmpl w:val="B19E8BAC"/>
    <w:lvl w:ilvl="0" w:tplc="ABC8BA2C">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F3850FA"/>
    <w:multiLevelType w:val="hybridMultilevel"/>
    <w:tmpl w:val="E05E238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0742D3B"/>
    <w:multiLevelType w:val="hybridMultilevel"/>
    <w:tmpl w:val="D21ACCCA"/>
    <w:lvl w:ilvl="0" w:tplc="AFD85CD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6364C2"/>
    <w:multiLevelType w:val="hybridMultilevel"/>
    <w:tmpl w:val="721C31F8"/>
    <w:lvl w:ilvl="0" w:tplc="791225B4">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5BD6B91"/>
    <w:multiLevelType w:val="hybridMultilevel"/>
    <w:tmpl w:val="33AE14B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2F6108"/>
    <w:multiLevelType w:val="hybridMultilevel"/>
    <w:tmpl w:val="DA22065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202635"/>
    <w:multiLevelType w:val="hybridMultilevel"/>
    <w:tmpl w:val="540852A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5B070F2"/>
    <w:multiLevelType w:val="hybridMultilevel"/>
    <w:tmpl w:val="B19E8BAC"/>
    <w:lvl w:ilvl="0" w:tplc="ABC8BA2C">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15A66D5"/>
    <w:multiLevelType w:val="hybridMultilevel"/>
    <w:tmpl w:val="D3586D4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1CB597A"/>
    <w:multiLevelType w:val="multilevel"/>
    <w:tmpl w:val="2D3EFBFC"/>
    <w:lvl w:ilvl="0">
      <w:start w:val="1"/>
      <w:numFmt w:val="upperLetter"/>
      <w:lvlText w:val="%1."/>
      <w:lvlJc w:val="left"/>
      <w:pPr>
        <w:ind w:left="360" w:hanging="360"/>
      </w:pPr>
      <w:rPr>
        <w:rFonts w:hint="default"/>
      </w:rPr>
    </w:lvl>
    <w:lvl w:ilvl="1">
      <w:start w:val="1"/>
      <w:numFmt w:val="decimal"/>
      <w:pStyle w:val="Ttulo2"/>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27A008C"/>
    <w:multiLevelType w:val="hybridMultilevel"/>
    <w:tmpl w:val="3EC2061E"/>
    <w:lvl w:ilvl="0" w:tplc="AFD85CD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2FF7813"/>
    <w:multiLevelType w:val="hybridMultilevel"/>
    <w:tmpl w:val="17B6E7B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15:restartNumberingAfterBreak="0">
    <w:nsid w:val="431422E5"/>
    <w:multiLevelType w:val="hybridMultilevel"/>
    <w:tmpl w:val="C124F90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52844F1"/>
    <w:multiLevelType w:val="hybridMultilevel"/>
    <w:tmpl w:val="0CDA417C"/>
    <w:lvl w:ilvl="0" w:tplc="B7E8B388">
      <w:start w:val="1"/>
      <w:numFmt w:val="upperLetter"/>
      <w:pStyle w:val="Ttulo1"/>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461428A9"/>
    <w:multiLevelType w:val="hybridMultilevel"/>
    <w:tmpl w:val="F01AD0A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2652930"/>
    <w:multiLevelType w:val="hybridMultilevel"/>
    <w:tmpl w:val="D3586D4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63B6176"/>
    <w:multiLevelType w:val="hybridMultilevel"/>
    <w:tmpl w:val="2F0AE9E0"/>
    <w:lvl w:ilvl="0" w:tplc="2A182FB8">
      <w:start w:val="1"/>
      <w:numFmt w:val="decimal"/>
      <w:lvlText w:val="%1."/>
      <w:lvlJc w:val="left"/>
      <w:pPr>
        <w:ind w:left="720" w:hanging="360"/>
      </w:pPr>
      <w:rPr>
        <w:rFonts w:eastAsiaTheme="minorHAnsi" w:hint="default"/>
        <w:b/>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B1B5BB8"/>
    <w:multiLevelType w:val="hybridMultilevel"/>
    <w:tmpl w:val="33AE14B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D693FEC"/>
    <w:multiLevelType w:val="hybridMultilevel"/>
    <w:tmpl w:val="B19E8BAC"/>
    <w:lvl w:ilvl="0" w:tplc="ABC8BA2C">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29A7DAE"/>
    <w:multiLevelType w:val="hybridMultilevel"/>
    <w:tmpl w:val="BEFAFED2"/>
    <w:lvl w:ilvl="0" w:tplc="AFD85CD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9B21D03"/>
    <w:multiLevelType w:val="hybridMultilevel"/>
    <w:tmpl w:val="61A2FD3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CE72F76"/>
    <w:multiLevelType w:val="hybridMultilevel"/>
    <w:tmpl w:val="D9CE5A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4496D65"/>
    <w:multiLevelType w:val="hybridMultilevel"/>
    <w:tmpl w:val="33AE14B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7A777F7B"/>
    <w:multiLevelType w:val="hybridMultilevel"/>
    <w:tmpl w:val="BFF813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FA53200"/>
    <w:multiLevelType w:val="hybridMultilevel"/>
    <w:tmpl w:val="B19E8BAC"/>
    <w:lvl w:ilvl="0" w:tplc="ABC8BA2C">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3"/>
  </w:num>
  <w:num w:numId="2">
    <w:abstractNumId w:val="5"/>
  </w:num>
  <w:num w:numId="3">
    <w:abstractNumId w:val="2"/>
  </w:num>
  <w:num w:numId="4">
    <w:abstractNumId w:val="22"/>
  </w:num>
  <w:num w:numId="5">
    <w:abstractNumId w:val="4"/>
  </w:num>
  <w:num w:numId="6">
    <w:abstractNumId w:val="6"/>
  </w:num>
  <w:num w:numId="7">
    <w:abstractNumId w:val="11"/>
  </w:num>
  <w:num w:numId="8">
    <w:abstractNumId w:val="18"/>
  </w:num>
  <w:num w:numId="9">
    <w:abstractNumId w:val="3"/>
  </w:num>
  <w:num w:numId="10">
    <w:abstractNumId w:val="10"/>
  </w:num>
  <w:num w:numId="11">
    <w:abstractNumId w:val="27"/>
  </w:num>
  <w:num w:numId="12">
    <w:abstractNumId w:val="21"/>
  </w:num>
  <w:num w:numId="13">
    <w:abstractNumId w:val="0"/>
  </w:num>
  <w:num w:numId="14">
    <w:abstractNumId w:val="24"/>
  </w:num>
  <w:num w:numId="15">
    <w:abstractNumId w:val="19"/>
  </w:num>
  <w:num w:numId="16">
    <w:abstractNumId w:val="9"/>
  </w:num>
  <w:num w:numId="17">
    <w:abstractNumId w:val="23"/>
  </w:num>
  <w:num w:numId="18">
    <w:abstractNumId w:val="8"/>
  </w:num>
  <w:num w:numId="19">
    <w:abstractNumId w:val="25"/>
  </w:num>
  <w:num w:numId="20">
    <w:abstractNumId w:val="20"/>
  </w:num>
  <w:num w:numId="21">
    <w:abstractNumId w:val="7"/>
  </w:num>
  <w:num w:numId="22">
    <w:abstractNumId w:val="26"/>
  </w:num>
  <w:num w:numId="23">
    <w:abstractNumId w:val="14"/>
  </w:num>
  <w:num w:numId="24">
    <w:abstractNumId w:val="17"/>
  </w:num>
  <w:num w:numId="25">
    <w:abstractNumId w:val="16"/>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22"/>
    <w:rsid w:val="0000277C"/>
    <w:rsid w:val="0001017E"/>
    <w:rsid w:val="00012A1D"/>
    <w:rsid w:val="00016C53"/>
    <w:rsid w:val="00025AFD"/>
    <w:rsid w:val="000275FC"/>
    <w:rsid w:val="00032388"/>
    <w:rsid w:val="00033CB3"/>
    <w:rsid w:val="000546C6"/>
    <w:rsid w:val="00055FC3"/>
    <w:rsid w:val="00061FC3"/>
    <w:rsid w:val="00064F67"/>
    <w:rsid w:val="000712A6"/>
    <w:rsid w:val="00072421"/>
    <w:rsid w:val="00074F7E"/>
    <w:rsid w:val="00093F0E"/>
    <w:rsid w:val="000A50BF"/>
    <w:rsid w:val="000B300C"/>
    <w:rsid w:val="000B61BC"/>
    <w:rsid w:val="000B7F03"/>
    <w:rsid w:val="000D0AF3"/>
    <w:rsid w:val="000E2CA6"/>
    <w:rsid w:val="000F1E86"/>
    <w:rsid w:val="00121935"/>
    <w:rsid w:val="0012670D"/>
    <w:rsid w:val="00132430"/>
    <w:rsid w:val="001327CA"/>
    <w:rsid w:val="00134E38"/>
    <w:rsid w:val="0013511B"/>
    <w:rsid w:val="001352D6"/>
    <w:rsid w:val="00142969"/>
    <w:rsid w:val="00147ACB"/>
    <w:rsid w:val="00165209"/>
    <w:rsid w:val="00166833"/>
    <w:rsid w:val="001729C3"/>
    <w:rsid w:val="00177586"/>
    <w:rsid w:val="001812E0"/>
    <w:rsid w:val="0018622B"/>
    <w:rsid w:val="00193222"/>
    <w:rsid w:val="001939B0"/>
    <w:rsid w:val="001A0153"/>
    <w:rsid w:val="001A31EC"/>
    <w:rsid w:val="001B0AC6"/>
    <w:rsid w:val="001B1C68"/>
    <w:rsid w:val="001B65E0"/>
    <w:rsid w:val="001D2BC2"/>
    <w:rsid w:val="001E38C8"/>
    <w:rsid w:val="001E67CF"/>
    <w:rsid w:val="001F199B"/>
    <w:rsid w:val="0020558F"/>
    <w:rsid w:val="00205631"/>
    <w:rsid w:val="00207129"/>
    <w:rsid w:val="002108F5"/>
    <w:rsid w:val="00211EB9"/>
    <w:rsid w:val="00213657"/>
    <w:rsid w:val="002157BD"/>
    <w:rsid w:val="0021708D"/>
    <w:rsid w:val="002260A5"/>
    <w:rsid w:val="0022714D"/>
    <w:rsid w:val="002340C1"/>
    <w:rsid w:val="0023429E"/>
    <w:rsid w:val="00235DAB"/>
    <w:rsid w:val="00240257"/>
    <w:rsid w:val="00254A08"/>
    <w:rsid w:val="00254FBC"/>
    <w:rsid w:val="00280F26"/>
    <w:rsid w:val="0028731E"/>
    <w:rsid w:val="00291705"/>
    <w:rsid w:val="00292C72"/>
    <w:rsid w:val="002A288F"/>
    <w:rsid w:val="002A37D4"/>
    <w:rsid w:val="002A6365"/>
    <w:rsid w:val="002A77EB"/>
    <w:rsid w:val="002B04AF"/>
    <w:rsid w:val="002B24FD"/>
    <w:rsid w:val="002B69EA"/>
    <w:rsid w:val="002C1646"/>
    <w:rsid w:val="002C5770"/>
    <w:rsid w:val="002D6A47"/>
    <w:rsid w:val="002E0961"/>
    <w:rsid w:val="002E390E"/>
    <w:rsid w:val="002F25F8"/>
    <w:rsid w:val="002F28C9"/>
    <w:rsid w:val="002F4CEF"/>
    <w:rsid w:val="003036FD"/>
    <w:rsid w:val="00310859"/>
    <w:rsid w:val="00310AA1"/>
    <w:rsid w:val="00311707"/>
    <w:rsid w:val="00313615"/>
    <w:rsid w:val="00316568"/>
    <w:rsid w:val="00320FC0"/>
    <w:rsid w:val="00324A74"/>
    <w:rsid w:val="00330875"/>
    <w:rsid w:val="003338C4"/>
    <w:rsid w:val="003433A8"/>
    <w:rsid w:val="00345617"/>
    <w:rsid w:val="00346848"/>
    <w:rsid w:val="00354049"/>
    <w:rsid w:val="00356B64"/>
    <w:rsid w:val="00366C38"/>
    <w:rsid w:val="00367E8D"/>
    <w:rsid w:val="003709D0"/>
    <w:rsid w:val="00375D49"/>
    <w:rsid w:val="003764E0"/>
    <w:rsid w:val="00397541"/>
    <w:rsid w:val="00397798"/>
    <w:rsid w:val="003A54F0"/>
    <w:rsid w:val="003A6F99"/>
    <w:rsid w:val="003A737F"/>
    <w:rsid w:val="003C0585"/>
    <w:rsid w:val="003C7721"/>
    <w:rsid w:val="003D1F3E"/>
    <w:rsid w:val="003F6DA8"/>
    <w:rsid w:val="004021BF"/>
    <w:rsid w:val="0040421F"/>
    <w:rsid w:val="004054CA"/>
    <w:rsid w:val="0040569B"/>
    <w:rsid w:val="00414F68"/>
    <w:rsid w:val="0041793B"/>
    <w:rsid w:val="0042037D"/>
    <w:rsid w:val="004278BB"/>
    <w:rsid w:val="0043268B"/>
    <w:rsid w:val="0044308C"/>
    <w:rsid w:val="00444B5B"/>
    <w:rsid w:val="004457DA"/>
    <w:rsid w:val="0045417F"/>
    <w:rsid w:val="00454B7B"/>
    <w:rsid w:val="004612E4"/>
    <w:rsid w:val="004724D3"/>
    <w:rsid w:val="00475E85"/>
    <w:rsid w:val="00475F2C"/>
    <w:rsid w:val="004802FF"/>
    <w:rsid w:val="004837BC"/>
    <w:rsid w:val="004958F4"/>
    <w:rsid w:val="004A1A91"/>
    <w:rsid w:val="004A287D"/>
    <w:rsid w:val="004A5EC7"/>
    <w:rsid w:val="004B1AB6"/>
    <w:rsid w:val="004B5465"/>
    <w:rsid w:val="004B7E38"/>
    <w:rsid w:val="004C4507"/>
    <w:rsid w:val="004C532B"/>
    <w:rsid w:val="004D2BA6"/>
    <w:rsid w:val="004D6CA7"/>
    <w:rsid w:val="004E155D"/>
    <w:rsid w:val="004F0C5F"/>
    <w:rsid w:val="004F5320"/>
    <w:rsid w:val="004F5D58"/>
    <w:rsid w:val="00500683"/>
    <w:rsid w:val="005036C1"/>
    <w:rsid w:val="00507B22"/>
    <w:rsid w:val="00517038"/>
    <w:rsid w:val="00521BE7"/>
    <w:rsid w:val="00524C79"/>
    <w:rsid w:val="00535111"/>
    <w:rsid w:val="00536F72"/>
    <w:rsid w:val="005436DB"/>
    <w:rsid w:val="005514E9"/>
    <w:rsid w:val="00552FD4"/>
    <w:rsid w:val="005569B2"/>
    <w:rsid w:val="0056140B"/>
    <w:rsid w:val="00574B78"/>
    <w:rsid w:val="00574C83"/>
    <w:rsid w:val="0057604A"/>
    <w:rsid w:val="00590C4C"/>
    <w:rsid w:val="0059263C"/>
    <w:rsid w:val="00592E22"/>
    <w:rsid w:val="00594AC7"/>
    <w:rsid w:val="005A2DF5"/>
    <w:rsid w:val="005A45A6"/>
    <w:rsid w:val="005A49EF"/>
    <w:rsid w:val="005B040A"/>
    <w:rsid w:val="005B205F"/>
    <w:rsid w:val="005C4FA7"/>
    <w:rsid w:val="005D3D84"/>
    <w:rsid w:val="005F0D04"/>
    <w:rsid w:val="00600C43"/>
    <w:rsid w:val="0060651C"/>
    <w:rsid w:val="00607348"/>
    <w:rsid w:val="00610727"/>
    <w:rsid w:val="006128B7"/>
    <w:rsid w:val="00633532"/>
    <w:rsid w:val="0063493D"/>
    <w:rsid w:val="00636AA2"/>
    <w:rsid w:val="00644294"/>
    <w:rsid w:val="00645A04"/>
    <w:rsid w:val="00660E3B"/>
    <w:rsid w:val="0066755A"/>
    <w:rsid w:val="00675E5E"/>
    <w:rsid w:val="00676096"/>
    <w:rsid w:val="00690671"/>
    <w:rsid w:val="00691563"/>
    <w:rsid w:val="00691C92"/>
    <w:rsid w:val="00693879"/>
    <w:rsid w:val="006A1A4C"/>
    <w:rsid w:val="006A22B0"/>
    <w:rsid w:val="006A776B"/>
    <w:rsid w:val="006B046D"/>
    <w:rsid w:val="006C1D0B"/>
    <w:rsid w:val="006C41CC"/>
    <w:rsid w:val="006D173C"/>
    <w:rsid w:val="006D2DD4"/>
    <w:rsid w:val="006E1AB5"/>
    <w:rsid w:val="006F3A44"/>
    <w:rsid w:val="006F49DA"/>
    <w:rsid w:val="006F6B56"/>
    <w:rsid w:val="006F743B"/>
    <w:rsid w:val="00700A9A"/>
    <w:rsid w:val="0070494B"/>
    <w:rsid w:val="00711636"/>
    <w:rsid w:val="007154B4"/>
    <w:rsid w:val="00733F9D"/>
    <w:rsid w:val="00737C1B"/>
    <w:rsid w:val="00737C2E"/>
    <w:rsid w:val="00745FBE"/>
    <w:rsid w:val="007537F3"/>
    <w:rsid w:val="007617B5"/>
    <w:rsid w:val="007668AD"/>
    <w:rsid w:val="007704AA"/>
    <w:rsid w:val="007761D9"/>
    <w:rsid w:val="0078195A"/>
    <w:rsid w:val="00781B19"/>
    <w:rsid w:val="00784B31"/>
    <w:rsid w:val="00794AF5"/>
    <w:rsid w:val="007A2956"/>
    <w:rsid w:val="007A7AE9"/>
    <w:rsid w:val="007B16AC"/>
    <w:rsid w:val="007C53A3"/>
    <w:rsid w:val="007D2E89"/>
    <w:rsid w:val="007D36E7"/>
    <w:rsid w:val="007F2B35"/>
    <w:rsid w:val="007F36BB"/>
    <w:rsid w:val="007F6938"/>
    <w:rsid w:val="00807EA6"/>
    <w:rsid w:val="0083003A"/>
    <w:rsid w:val="00832981"/>
    <w:rsid w:val="00837D0E"/>
    <w:rsid w:val="00852E46"/>
    <w:rsid w:val="00856E49"/>
    <w:rsid w:val="008674E8"/>
    <w:rsid w:val="0087049C"/>
    <w:rsid w:val="00871D25"/>
    <w:rsid w:val="00873F7C"/>
    <w:rsid w:val="00875785"/>
    <w:rsid w:val="00877FF9"/>
    <w:rsid w:val="00883345"/>
    <w:rsid w:val="00884DD8"/>
    <w:rsid w:val="00886522"/>
    <w:rsid w:val="008911F9"/>
    <w:rsid w:val="008A6836"/>
    <w:rsid w:val="008B1846"/>
    <w:rsid w:val="008B2DB5"/>
    <w:rsid w:val="008B692D"/>
    <w:rsid w:val="008D02D4"/>
    <w:rsid w:val="008D215B"/>
    <w:rsid w:val="008D618A"/>
    <w:rsid w:val="008E0846"/>
    <w:rsid w:val="008E728D"/>
    <w:rsid w:val="008F321E"/>
    <w:rsid w:val="008F5492"/>
    <w:rsid w:val="008F69FC"/>
    <w:rsid w:val="008F7650"/>
    <w:rsid w:val="009022B8"/>
    <w:rsid w:val="009038F7"/>
    <w:rsid w:val="0090458B"/>
    <w:rsid w:val="00917356"/>
    <w:rsid w:val="00922283"/>
    <w:rsid w:val="00923DDC"/>
    <w:rsid w:val="00935AF4"/>
    <w:rsid w:val="009431E7"/>
    <w:rsid w:val="0094369D"/>
    <w:rsid w:val="00950A9B"/>
    <w:rsid w:val="009531F1"/>
    <w:rsid w:val="00955207"/>
    <w:rsid w:val="00956BE1"/>
    <w:rsid w:val="00962392"/>
    <w:rsid w:val="0096798D"/>
    <w:rsid w:val="009724FA"/>
    <w:rsid w:val="00973C83"/>
    <w:rsid w:val="0097454B"/>
    <w:rsid w:val="00975D82"/>
    <w:rsid w:val="00990396"/>
    <w:rsid w:val="00993244"/>
    <w:rsid w:val="00997A75"/>
    <w:rsid w:val="009A028A"/>
    <w:rsid w:val="009B1364"/>
    <w:rsid w:val="009B2BCB"/>
    <w:rsid w:val="009B32AD"/>
    <w:rsid w:val="009E34C9"/>
    <w:rsid w:val="009F1D0C"/>
    <w:rsid w:val="00A04719"/>
    <w:rsid w:val="00A15F56"/>
    <w:rsid w:val="00A278E3"/>
    <w:rsid w:val="00A3540D"/>
    <w:rsid w:val="00A50D2B"/>
    <w:rsid w:val="00A51C89"/>
    <w:rsid w:val="00A54543"/>
    <w:rsid w:val="00A82EBE"/>
    <w:rsid w:val="00A85EB9"/>
    <w:rsid w:val="00AA7537"/>
    <w:rsid w:val="00AB334C"/>
    <w:rsid w:val="00AB37B4"/>
    <w:rsid w:val="00AB5D02"/>
    <w:rsid w:val="00AB61A3"/>
    <w:rsid w:val="00AD5026"/>
    <w:rsid w:val="00AE3EE6"/>
    <w:rsid w:val="00AF2195"/>
    <w:rsid w:val="00AF3D93"/>
    <w:rsid w:val="00B039A1"/>
    <w:rsid w:val="00B14D6D"/>
    <w:rsid w:val="00B15D52"/>
    <w:rsid w:val="00B26710"/>
    <w:rsid w:val="00B26A87"/>
    <w:rsid w:val="00B43528"/>
    <w:rsid w:val="00B46381"/>
    <w:rsid w:val="00B54232"/>
    <w:rsid w:val="00B61012"/>
    <w:rsid w:val="00B631E2"/>
    <w:rsid w:val="00B7481C"/>
    <w:rsid w:val="00B87A4E"/>
    <w:rsid w:val="00B921B8"/>
    <w:rsid w:val="00BB0ADC"/>
    <w:rsid w:val="00BB1667"/>
    <w:rsid w:val="00BB2300"/>
    <w:rsid w:val="00BC5010"/>
    <w:rsid w:val="00BD107D"/>
    <w:rsid w:val="00BE28E8"/>
    <w:rsid w:val="00BE4A7A"/>
    <w:rsid w:val="00BE633A"/>
    <w:rsid w:val="00BE7A19"/>
    <w:rsid w:val="00BF1E48"/>
    <w:rsid w:val="00BF419E"/>
    <w:rsid w:val="00C02342"/>
    <w:rsid w:val="00C0404D"/>
    <w:rsid w:val="00C05EEE"/>
    <w:rsid w:val="00C14463"/>
    <w:rsid w:val="00C21743"/>
    <w:rsid w:val="00C27C9F"/>
    <w:rsid w:val="00C45389"/>
    <w:rsid w:val="00C4686A"/>
    <w:rsid w:val="00C46CAC"/>
    <w:rsid w:val="00C53868"/>
    <w:rsid w:val="00C6356B"/>
    <w:rsid w:val="00C73F16"/>
    <w:rsid w:val="00C775B1"/>
    <w:rsid w:val="00C813C7"/>
    <w:rsid w:val="00C81674"/>
    <w:rsid w:val="00C83E9D"/>
    <w:rsid w:val="00CA18C3"/>
    <w:rsid w:val="00CA3F27"/>
    <w:rsid w:val="00CB0229"/>
    <w:rsid w:val="00CC23DA"/>
    <w:rsid w:val="00CC24A7"/>
    <w:rsid w:val="00CC5462"/>
    <w:rsid w:val="00CC5B91"/>
    <w:rsid w:val="00CE330F"/>
    <w:rsid w:val="00CE3668"/>
    <w:rsid w:val="00CE5136"/>
    <w:rsid w:val="00CE667F"/>
    <w:rsid w:val="00CF6B07"/>
    <w:rsid w:val="00CF6B19"/>
    <w:rsid w:val="00CF7040"/>
    <w:rsid w:val="00D06B99"/>
    <w:rsid w:val="00D0760D"/>
    <w:rsid w:val="00D13C52"/>
    <w:rsid w:val="00D16E30"/>
    <w:rsid w:val="00D17415"/>
    <w:rsid w:val="00D20139"/>
    <w:rsid w:val="00D223C7"/>
    <w:rsid w:val="00D24684"/>
    <w:rsid w:val="00D25896"/>
    <w:rsid w:val="00D30D90"/>
    <w:rsid w:val="00D409A4"/>
    <w:rsid w:val="00D44432"/>
    <w:rsid w:val="00D53B7F"/>
    <w:rsid w:val="00D55314"/>
    <w:rsid w:val="00D6567A"/>
    <w:rsid w:val="00D67455"/>
    <w:rsid w:val="00D83566"/>
    <w:rsid w:val="00D8381B"/>
    <w:rsid w:val="00D84999"/>
    <w:rsid w:val="00D929A3"/>
    <w:rsid w:val="00DA2849"/>
    <w:rsid w:val="00DA3FDA"/>
    <w:rsid w:val="00DA413A"/>
    <w:rsid w:val="00DA4EA0"/>
    <w:rsid w:val="00DB58D6"/>
    <w:rsid w:val="00DB60FA"/>
    <w:rsid w:val="00DC2D6A"/>
    <w:rsid w:val="00DC5343"/>
    <w:rsid w:val="00DC544F"/>
    <w:rsid w:val="00DC730F"/>
    <w:rsid w:val="00DD719F"/>
    <w:rsid w:val="00DE3241"/>
    <w:rsid w:val="00DE6158"/>
    <w:rsid w:val="00DE6454"/>
    <w:rsid w:val="00DE7691"/>
    <w:rsid w:val="00DE7BFF"/>
    <w:rsid w:val="00DF04C5"/>
    <w:rsid w:val="00DF5FEE"/>
    <w:rsid w:val="00E0065E"/>
    <w:rsid w:val="00E046B2"/>
    <w:rsid w:val="00E12E16"/>
    <w:rsid w:val="00E174A8"/>
    <w:rsid w:val="00E33A2F"/>
    <w:rsid w:val="00E33B89"/>
    <w:rsid w:val="00E33C3A"/>
    <w:rsid w:val="00E360FD"/>
    <w:rsid w:val="00E429E6"/>
    <w:rsid w:val="00E43BAE"/>
    <w:rsid w:val="00E72014"/>
    <w:rsid w:val="00E722FD"/>
    <w:rsid w:val="00E8262E"/>
    <w:rsid w:val="00E843EA"/>
    <w:rsid w:val="00E85A08"/>
    <w:rsid w:val="00E861E9"/>
    <w:rsid w:val="00E95BCE"/>
    <w:rsid w:val="00EA4CC5"/>
    <w:rsid w:val="00EB6528"/>
    <w:rsid w:val="00EC35A4"/>
    <w:rsid w:val="00EC5926"/>
    <w:rsid w:val="00ED424C"/>
    <w:rsid w:val="00EE42C1"/>
    <w:rsid w:val="00EE6B3A"/>
    <w:rsid w:val="00EF1167"/>
    <w:rsid w:val="00EF51B5"/>
    <w:rsid w:val="00EF74BD"/>
    <w:rsid w:val="00F01F0C"/>
    <w:rsid w:val="00F06C73"/>
    <w:rsid w:val="00F119FD"/>
    <w:rsid w:val="00F15E45"/>
    <w:rsid w:val="00F241FC"/>
    <w:rsid w:val="00F35012"/>
    <w:rsid w:val="00F4213E"/>
    <w:rsid w:val="00F53698"/>
    <w:rsid w:val="00F536E2"/>
    <w:rsid w:val="00F56F1F"/>
    <w:rsid w:val="00F57397"/>
    <w:rsid w:val="00F60178"/>
    <w:rsid w:val="00F60200"/>
    <w:rsid w:val="00F71C01"/>
    <w:rsid w:val="00F71E17"/>
    <w:rsid w:val="00F95786"/>
    <w:rsid w:val="00F96F91"/>
    <w:rsid w:val="00FA1668"/>
    <w:rsid w:val="00FA76B4"/>
    <w:rsid w:val="00FB402A"/>
    <w:rsid w:val="00FC44A3"/>
    <w:rsid w:val="00FD1D60"/>
    <w:rsid w:val="00FD238D"/>
    <w:rsid w:val="00FE4A97"/>
    <w:rsid w:val="00FE551F"/>
    <w:rsid w:val="00FE5E4C"/>
    <w:rsid w:val="00FF3A19"/>
    <w:rsid w:val="00FF514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9CEDA"/>
  <w15:chartTrackingRefBased/>
  <w15:docId w15:val="{5F8C29DF-3796-41A2-BEEF-C2554DCA4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qFormat/>
    <w:rsid w:val="00535111"/>
    <w:pPr>
      <w:numPr>
        <w:numId w:val="25"/>
      </w:numPr>
      <w:spacing w:before="480" w:after="480" w:line="276" w:lineRule="auto"/>
      <w:ind w:left="357" w:hanging="357"/>
      <w:jc w:val="both"/>
      <w:outlineLvl w:val="0"/>
    </w:pPr>
    <w:rPr>
      <w:rFonts w:ascii="Arial" w:eastAsia="Arial" w:hAnsi="Arial" w:cs="Arial"/>
      <w:b/>
      <w:color w:val="000000"/>
      <w:sz w:val="24"/>
      <w:szCs w:val="24"/>
      <w:lang w:val="es-ES" w:eastAsia="zh-CN" w:bidi="hi-IN"/>
    </w:rPr>
  </w:style>
  <w:style w:type="paragraph" w:styleId="Ttulo2">
    <w:name w:val="heading 2"/>
    <w:next w:val="Normal"/>
    <w:link w:val="Ttulo2Car"/>
    <w:uiPriority w:val="9"/>
    <w:unhideWhenUsed/>
    <w:qFormat/>
    <w:rsid w:val="007F36BB"/>
    <w:pPr>
      <w:numPr>
        <w:ilvl w:val="1"/>
        <w:numId w:val="26"/>
      </w:numPr>
      <w:spacing w:before="480" w:after="480" w:line="240" w:lineRule="auto"/>
      <w:jc w:val="both"/>
      <w:outlineLvl w:val="1"/>
    </w:pPr>
    <w:rPr>
      <w:rFonts w:ascii="Arial" w:eastAsia="Arial" w:hAnsi="Arial" w:cs="Arial"/>
      <w:b/>
      <w:color w:val="000000"/>
      <w:sz w:val="24"/>
      <w:szCs w:val="24"/>
      <w:u w:val="single"/>
      <w:lang w:val="es-E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07B22"/>
    <w:pPr>
      <w:spacing w:after="0" w:line="240" w:lineRule="auto"/>
    </w:pPr>
  </w:style>
  <w:style w:type="paragraph" w:styleId="Textonotapie">
    <w:name w:val="footnote text"/>
    <w:basedOn w:val="Normal"/>
    <w:link w:val="TextonotapieCar"/>
    <w:uiPriority w:val="99"/>
    <w:unhideWhenUsed/>
    <w:rsid w:val="004F5D58"/>
    <w:pPr>
      <w:spacing w:after="0" w:line="240" w:lineRule="auto"/>
    </w:pPr>
    <w:rPr>
      <w:sz w:val="20"/>
      <w:szCs w:val="20"/>
    </w:rPr>
  </w:style>
  <w:style w:type="character" w:customStyle="1" w:styleId="TextonotapieCar">
    <w:name w:val="Texto nota pie Car"/>
    <w:basedOn w:val="Fuentedeprrafopredeter"/>
    <w:link w:val="Textonotapie"/>
    <w:uiPriority w:val="99"/>
    <w:rsid w:val="004F5D58"/>
    <w:rPr>
      <w:sz w:val="20"/>
      <w:szCs w:val="20"/>
    </w:rPr>
  </w:style>
  <w:style w:type="character" w:styleId="Refdenotaalpie">
    <w:name w:val="footnote reference"/>
    <w:basedOn w:val="Fuentedeprrafopredeter"/>
    <w:uiPriority w:val="99"/>
    <w:unhideWhenUsed/>
    <w:rsid w:val="004F5D58"/>
    <w:rPr>
      <w:vertAlign w:val="superscript"/>
    </w:rPr>
  </w:style>
  <w:style w:type="character" w:styleId="Hipervnculo">
    <w:name w:val="Hyperlink"/>
    <w:basedOn w:val="Fuentedeprrafopredeter"/>
    <w:uiPriority w:val="99"/>
    <w:unhideWhenUsed/>
    <w:rsid w:val="004F5D58"/>
    <w:rPr>
      <w:color w:val="0563C1" w:themeColor="hyperlink"/>
      <w:u w:val="single"/>
    </w:rPr>
  </w:style>
  <w:style w:type="table" w:styleId="Tablaconcuadrcula">
    <w:name w:val="Table Grid"/>
    <w:basedOn w:val="Tablanormal"/>
    <w:uiPriority w:val="39"/>
    <w:rsid w:val="008D2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8D2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6concolores-nfasis1">
    <w:name w:val="List Table 6 Colorful Accent 1"/>
    <w:basedOn w:val="Tablanormal"/>
    <w:uiPriority w:val="51"/>
    <w:rsid w:val="00875785"/>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5">
    <w:name w:val="List Table 6 Colorful Accent 5"/>
    <w:basedOn w:val="Tablanormal"/>
    <w:uiPriority w:val="51"/>
    <w:rsid w:val="003A737F"/>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2">
    <w:name w:val="Plain Table 2"/>
    <w:basedOn w:val="Tablanormal"/>
    <w:uiPriority w:val="42"/>
    <w:rsid w:val="002E39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2E39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7A7AE9"/>
    <w:pPr>
      <w:ind w:left="720"/>
      <w:contextualSpacing/>
    </w:pPr>
  </w:style>
  <w:style w:type="table" w:styleId="Tabladecuadrcula5oscura-nfasis2">
    <w:name w:val="Grid Table 5 Dark Accent 2"/>
    <w:basedOn w:val="Tablanormal"/>
    <w:uiPriority w:val="50"/>
    <w:rsid w:val="00EA4C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5">
    <w:name w:val="Grid Table 5 Dark Accent 5"/>
    <w:basedOn w:val="Tablanormal"/>
    <w:uiPriority w:val="50"/>
    <w:rsid w:val="00EA4C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EA4C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5oscura-nfasis4">
    <w:name w:val="Grid Table 5 Dark Accent 4"/>
    <w:basedOn w:val="Tablanormal"/>
    <w:uiPriority w:val="50"/>
    <w:rsid w:val="00EA4C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3">
    <w:name w:val="Grid Table 5 Dark Accent 3"/>
    <w:basedOn w:val="Tablanormal"/>
    <w:uiPriority w:val="50"/>
    <w:rsid w:val="00EA4C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lista2-nfasis4">
    <w:name w:val="List Table 2 Accent 4"/>
    <w:basedOn w:val="Tablanormal"/>
    <w:uiPriority w:val="47"/>
    <w:rsid w:val="00EA4CC5"/>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Encabezado">
    <w:name w:val="header"/>
    <w:basedOn w:val="Normal"/>
    <w:link w:val="EncabezadoCar"/>
    <w:uiPriority w:val="99"/>
    <w:unhideWhenUsed/>
    <w:rsid w:val="005170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7038"/>
  </w:style>
  <w:style w:type="paragraph" w:styleId="Piedepgina">
    <w:name w:val="footer"/>
    <w:basedOn w:val="Normal"/>
    <w:link w:val="PiedepginaCar"/>
    <w:uiPriority w:val="99"/>
    <w:unhideWhenUsed/>
    <w:rsid w:val="005170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038"/>
  </w:style>
  <w:style w:type="paragraph" w:customStyle="1" w:styleId="Default">
    <w:name w:val="Default"/>
    <w:rsid w:val="007704AA"/>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7F36BB"/>
    <w:rPr>
      <w:rFonts w:ascii="Arial" w:eastAsia="Arial" w:hAnsi="Arial" w:cs="Arial"/>
      <w:b/>
      <w:color w:val="000000"/>
      <w:sz w:val="24"/>
      <w:szCs w:val="24"/>
      <w:u w:val="single"/>
      <w:lang w:val="es-ES" w:eastAsia="zh-CN" w:bidi="hi-IN"/>
    </w:rPr>
  </w:style>
  <w:style w:type="character" w:customStyle="1" w:styleId="Ttulo1Car">
    <w:name w:val="Título 1 Car"/>
    <w:basedOn w:val="Fuentedeprrafopredeter"/>
    <w:link w:val="Ttulo1"/>
    <w:uiPriority w:val="9"/>
    <w:rsid w:val="00535111"/>
    <w:rPr>
      <w:rFonts w:ascii="Arial" w:eastAsia="Arial" w:hAnsi="Arial" w:cs="Arial"/>
      <w:b/>
      <w:color w:val="000000"/>
      <w:sz w:val="24"/>
      <w:szCs w:val="24"/>
      <w:lang w:val="es-ES" w:eastAsia="zh-CN" w:bidi="hi-IN"/>
    </w:rPr>
  </w:style>
  <w:style w:type="paragraph" w:styleId="TtuloTDC">
    <w:name w:val="TOC Heading"/>
    <w:basedOn w:val="Ttulo1"/>
    <w:next w:val="Normal"/>
    <w:uiPriority w:val="39"/>
    <w:unhideWhenUsed/>
    <w:qFormat/>
    <w:rsid w:val="00FA76B4"/>
    <w:pPr>
      <w:keepNext/>
      <w:keepLines/>
      <w:numPr>
        <w:numId w:val="0"/>
      </w:numPr>
      <w:spacing w:after="0" w:line="259" w:lineRule="auto"/>
      <w:jc w:val="left"/>
      <w:outlineLvl w:val="9"/>
    </w:pPr>
    <w:rPr>
      <w:rFonts w:asciiTheme="majorHAnsi" w:eastAsiaTheme="majorEastAsia" w:hAnsiTheme="majorHAnsi" w:cstheme="majorBidi"/>
      <w:b w:val="0"/>
      <w:color w:val="2E74B5" w:themeColor="accent1" w:themeShade="BF"/>
      <w:sz w:val="32"/>
      <w:szCs w:val="32"/>
      <w:lang w:val="es-CR" w:eastAsia="es-CR" w:bidi="ar-SA"/>
    </w:rPr>
  </w:style>
  <w:style w:type="paragraph" w:styleId="TDC1">
    <w:name w:val="toc 1"/>
    <w:basedOn w:val="Normal"/>
    <w:next w:val="Normal"/>
    <w:autoRedefine/>
    <w:uiPriority w:val="39"/>
    <w:unhideWhenUsed/>
    <w:rsid w:val="00FA76B4"/>
    <w:pPr>
      <w:spacing w:after="100"/>
    </w:pPr>
  </w:style>
  <w:style w:type="paragraph" w:styleId="TDC2">
    <w:name w:val="toc 2"/>
    <w:basedOn w:val="Normal"/>
    <w:next w:val="Normal"/>
    <w:autoRedefine/>
    <w:uiPriority w:val="39"/>
    <w:unhideWhenUsed/>
    <w:rsid w:val="00FA76B4"/>
    <w:pPr>
      <w:spacing w:after="100"/>
      <w:ind w:left="220"/>
    </w:pPr>
  </w:style>
  <w:style w:type="character" w:styleId="Refdecomentario">
    <w:name w:val="annotation reference"/>
    <w:basedOn w:val="Fuentedeprrafopredeter"/>
    <w:uiPriority w:val="99"/>
    <w:semiHidden/>
    <w:unhideWhenUsed/>
    <w:rsid w:val="00590C4C"/>
    <w:rPr>
      <w:sz w:val="16"/>
      <w:szCs w:val="16"/>
    </w:rPr>
  </w:style>
  <w:style w:type="paragraph" w:styleId="Textocomentario">
    <w:name w:val="annotation text"/>
    <w:basedOn w:val="Normal"/>
    <w:link w:val="TextocomentarioCar"/>
    <w:uiPriority w:val="99"/>
    <w:semiHidden/>
    <w:unhideWhenUsed/>
    <w:rsid w:val="00590C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0C4C"/>
    <w:rPr>
      <w:sz w:val="20"/>
      <w:szCs w:val="20"/>
    </w:rPr>
  </w:style>
  <w:style w:type="paragraph" w:styleId="Asuntodelcomentario">
    <w:name w:val="annotation subject"/>
    <w:basedOn w:val="Textocomentario"/>
    <w:next w:val="Textocomentario"/>
    <w:link w:val="AsuntodelcomentarioCar"/>
    <w:uiPriority w:val="99"/>
    <w:semiHidden/>
    <w:unhideWhenUsed/>
    <w:rsid w:val="00590C4C"/>
    <w:rPr>
      <w:b/>
      <w:bCs/>
    </w:rPr>
  </w:style>
  <w:style w:type="character" w:customStyle="1" w:styleId="AsuntodelcomentarioCar">
    <w:name w:val="Asunto del comentario Car"/>
    <w:basedOn w:val="TextocomentarioCar"/>
    <w:link w:val="Asuntodelcomentario"/>
    <w:uiPriority w:val="99"/>
    <w:semiHidden/>
    <w:rsid w:val="00590C4C"/>
    <w:rPr>
      <w:b/>
      <w:bCs/>
      <w:sz w:val="20"/>
      <w:szCs w:val="20"/>
    </w:rPr>
  </w:style>
  <w:style w:type="table" w:styleId="Tabladecuadrcula4-nfasis1">
    <w:name w:val="Grid Table 4 Accent 1"/>
    <w:basedOn w:val="Tablanormal"/>
    <w:uiPriority w:val="49"/>
    <w:rsid w:val="00871D2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904155">
      <w:bodyDiv w:val="1"/>
      <w:marLeft w:val="0"/>
      <w:marRight w:val="0"/>
      <w:marTop w:val="0"/>
      <w:marBottom w:val="0"/>
      <w:divBdr>
        <w:top w:val="none" w:sz="0" w:space="0" w:color="auto"/>
        <w:left w:val="none" w:sz="0" w:space="0" w:color="auto"/>
        <w:bottom w:val="none" w:sz="0" w:space="0" w:color="auto"/>
        <w:right w:val="none" w:sz="0" w:space="0" w:color="auto"/>
      </w:divBdr>
    </w:div>
    <w:div w:id="18010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Layout" Target="diagrams/layout1.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Data" Target="diagrams/data1.xml"/><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microsoft.com/office/2007/relationships/diagramDrawing" Target="diagrams/drawing1.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Colors" Target="diagrams/colors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QuickStyle" Target="diagrams/quickStyle1.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grfiles.cgr.go.cr/publico/docs_cgr/2019/SIGYD_D_2019019427.pdf" TargetMode="External"/><Relationship Id="rId1" Type="http://schemas.openxmlformats.org/officeDocument/2006/relationships/hyperlink" Target="https://sites.google.com/cgr.go.cr/monitoreocgr/2020/memoria2020/monitoreo-ma17"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112062-2620-403E-9445-F6D3B4371E04}" type="doc">
      <dgm:prSet loTypeId="urn:microsoft.com/office/officeart/2008/layout/AlternatingPictureBlocks" loCatId="list" qsTypeId="urn:microsoft.com/office/officeart/2005/8/quickstyle/simple1" qsCatId="simple" csTypeId="urn:microsoft.com/office/officeart/2005/8/colors/colorful1" csCatId="colorful" phldr="1"/>
      <dgm:spPr/>
      <dgm:t>
        <a:bodyPr/>
        <a:lstStyle/>
        <a:p>
          <a:endParaRPr lang="es-ES"/>
        </a:p>
      </dgm:t>
    </dgm:pt>
    <dgm:pt modelId="{E2FB9EC4-28FD-4C83-BF92-570B3074405E}">
      <dgm:prSet custT="1"/>
      <dgm:spPr/>
      <dgm:t>
        <a:bodyPr/>
        <a:lstStyle/>
        <a:p>
          <a:r>
            <a:rPr lang="es-CR" sz="1100">
              <a:latin typeface="+mj-lt"/>
            </a:rPr>
            <a:t>Debilidades de la fase de preinversión del ciclo de vida de los proyectos</a:t>
          </a:r>
        </a:p>
      </dgm:t>
    </dgm:pt>
    <dgm:pt modelId="{9D6246B5-2D2A-44E6-9303-66D0E33FDD0D}" type="parTrans" cxnId="{62AB7BFF-4BC0-4AC5-939E-5D0AC08A5C90}">
      <dgm:prSet/>
      <dgm:spPr/>
      <dgm:t>
        <a:bodyPr/>
        <a:lstStyle/>
        <a:p>
          <a:endParaRPr lang="es-ES"/>
        </a:p>
      </dgm:t>
    </dgm:pt>
    <dgm:pt modelId="{A9C1586B-F685-47E1-B5ED-1FAD4A13353D}" type="sibTrans" cxnId="{62AB7BFF-4BC0-4AC5-939E-5D0AC08A5C90}">
      <dgm:prSet/>
      <dgm:spPr/>
      <dgm:t>
        <a:bodyPr/>
        <a:lstStyle/>
        <a:p>
          <a:endParaRPr lang="es-ES"/>
        </a:p>
      </dgm:t>
    </dgm:pt>
    <dgm:pt modelId="{707EE58D-1605-4C4E-8348-374D6A464750}">
      <dgm:prSet custT="1"/>
      <dgm:spPr/>
      <dgm:t>
        <a:bodyPr/>
        <a:lstStyle/>
        <a:p>
          <a:r>
            <a:rPr lang="es-CR" sz="1100">
              <a:latin typeface="+mj-lt"/>
            </a:rPr>
            <a:t>Falta de cultura institucional de planificación y gestión de proyectos</a:t>
          </a:r>
        </a:p>
      </dgm:t>
    </dgm:pt>
    <dgm:pt modelId="{1470C74D-4DB4-4F90-98BA-F2FF927EFB08}" type="parTrans" cxnId="{D16F0ECF-F9E2-493B-B0C3-399C16A602AD}">
      <dgm:prSet/>
      <dgm:spPr/>
      <dgm:t>
        <a:bodyPr/>
        <a:lstStyle/>
        <a:p>
          <a:endParaRPr lang="es-ES"/>
        </a:p>
      </dgm:t>
    </dgm:pt>
    <dgm:pt modelId="{D0432B5E-D8B4-4439-8950-D3A48C41B43B}" type="sibTrans" cxnId="{D16F0ECF-F9E2-493B-B0C3-399C16A602AD}">
      <dgm:prSet/>
      <dgm:spPr/>
      <dgm:t>
        <a:bodyPr/>
        <a:lstStyle/>
        <a:p>
          <a:endParaRPr lang="es-ES"/>
        </a:p>
      </dgm:t>
    </dgm:pt>
    <dgm:pt modelId="{0B882427-A429-4AD3-9BE6-A69E9AFAA93B}">
      <dgm:prSet custT="1"/>
      <dgm:spPr/>
      <dgm:t>
        <a:bodyPr/>
        <a:lstStyle/>
        <a:p>
          <a:r>
            <a:rPr lang="es-CR" sz="1100">
              <a:latin typeface="+mj-lt"/>
            </a:rPr>
            <a:t>Falta de planificación en la definición, cesión o compra de terrenos</a:t>
          </a:r>
        </a:p>
      </dgm:t>
    </dgm:pt>
    <dgm:pt modelId="{182A5C7C-BEF5-4F08-A2EC-40144E881DE3}" type="parTrans" cxnId="{DAA9F04C-C7D9-44A2-A013-704E6E8468D1}">
      <dgm:prSet/>
      <dgm:spPr/>
      <dgm:t>
        <a:bodyPr/>
        <a:lstStyle/>
        <a:p>
          <a:endParaRPr lang="es-ES"/>
        </a:p>
      </dgm:t>
    </dgm:pt>
    <dgm:pt modelId="{BD2D46F1-C374-4C46-A2C3-CE7A81CE5F7C}" type="sibTrans" cxnId="{DAA9F04C-C7D9-44A2-A013-704E6E8468D1}">
      <dgm:prSet/>
      <dgm:spPr/>
      <dgm:t>
        <a:bodyPr/>
        <a:lstStyle/>
        <a:p>
          <a:endParaRPr lang="es-ES"/>
        </a:p>
      </dgm:t>
    </dgm:pt>
    <dgm:pt modelId="{85C357C6-0D0D-4233-9AD2-1B79C9F60BEF}">
      <dgm:prSet custT="1"/>
      <dgm:spPr/>
      <dgm:t>
        <a:bodyPr/>
        <a:lstStyle/>
        <a:p>
          <a:r>
            <a:rPr lang="es-CR" sz="1100">
              <a:latin typeface="+mj-lt"/>
            </a:rPr>
            <a:t>Incumplimientos de los contratistas</a:t>
          </a:r>
        </a:p>
      </dgm:t>
    </dgm:pt>
    <dgm:pt modelId="{DFB7518B-C1FD-4105-81EF-0F91D533EEC4}" type="parTrans" cxnId="{81807A52-274B-42EE-84A8-75928520BA9C}">
      <dgm:prSet/>
      <dgm:spPr/>
      <dgm:t>
        <a:bodyPr/>
        <a:lstStyle/>
        <a:p>
          <a:endParaRPr lang="es-ES"/>
        </a:p>
      </dgm:t>
    </dgm:pt>
    <dgm:pt modelId="{8502ADC0-3E76-43A1-8949-584DB969E134}" type="sibTrans" cxnId="{81807A52-274B-42EE-84A8-75928520BA9C}">
      <dgm:prSet/>
      <dgm:spPr/>
      <dgm:t>
        <a:bodyPr/>
        <a:lstStyle/>
        <a:p>
          <a:endParaRPr lang="es-ES"/>
        </a:p>
      </dgm:t>
    </dgm:pt>
    <dgm:pt modelId="{80EBCB90-E190-4DD9-BE8A-DC4F58B97230}">
      <dgm:prSet custT="1"/>
      <dgm:spPr/>
      <dgm:t>
        <a:bodyPr/>
        <a:lstStyle/>
        <a:p>
          <a:r>
            <a:rPr lang="es-CR" sz="1100">
              <a:latin typeface="+mj-lt"/>
            </a:rPr>
            <a:t>Debilidades en el control y seguimiento de los programas</a:t>
          </a:r>
        </a:p>
      </dgm:t>
    </dgm:pt>
    <dgm:pt modelId="{31CDA94E-DC64-4FC4-B8AF-A8C1654B760D}" type="parTrans" cxnId="{72A6820E-C059-4440-8A44-22C15BBE8195}">
      <dgm:prSet/>
      <dgm:spPr/>
      <dgm:t>
        <a:bodyPr/>
        <a:lstStyle/>
        <a:p>
          <a:endParaRPr lang="es-ES"/>
        </a:p>
      </dgm:t>
    </dgm:pt>
    <dgm:pt modelId="{1255C78D-C086-49CD-847E-8AACB956E35A}" type="sibTrans" cxnId="{72A6820E-C059-4440-8A44-22C15BBE8195}">
      <dgm:prSet/>
      <dgm:spPr/>
      <dgm:t>
        <a:bodyPr/>
        <a:lstStyle/>
        <a:p>
          <a:endParaRPr lang="es-ES"/>
        </a:p>
      </dgm:t>
    </dgm:pt>
    <dgm:pt modelId="{07C319C0-82CA-4047-BA17-E76CE2FC5E93}">
      <dgm:prSet custT="1"/>
      <dgm:spPr/>
      <dgm:t>
        <a:bodyPr/>
        <a:lstStyle/>
        <a:p>
          <a:r>
            <a:rPr lang="es-CR" sz="1100">
              <a:latin typeface="+mj-lt"/>
            </a:rPr>
            <a:t>Falta de identificación de permisos requeridos en algunas actividades de los proyectos</a:t>
          </a:r>
        </a:p>
      </dgm:t>
    </dgm:pt>
    <dgm:pt modelId="{01E20939-5518-4045-946F-35BBF22ACC4C}" type="parTrans" cxnId="{2BE6E247-2212-4E05-AE72-402E54C8914C}">
      <dgm:prSet/>
      <dgm:spPr/>
      <dgm:t>
        <a:bodyPr/>
        <a:lstStyle/>
        <a:p>
          <a:endParaRPr lang="es-ES"/>
        </a:p>
      </dgm:t>
    </dgm:pt>
    <dgm:pt modelId="{5AD41B23-DCEB-4D48-B548-248F3542E2BE}" type="sibTrans" cxnId="{2BE6E247-2212-4E05-AE72-402E54C8914C}">
      <dgm:prSet/>
      <dgm:spPr/>
      <dgm:t>
        <a:bodyPr/>
        <a:lstStyle/>
        <a:p>
          <a:endParaRPr lang="es-ES"/>
        </a:p>
      </dgm:t>
    </dgm:pt>
    <dgm:pt modelId="{B2C5E372-32CC-4434-A504-10933A3C5DE7}" type="pres">
      <dgm:prSet presAssocID="{45112062-2620-403E-9445-F6D3B4371E04}" presName="linearFlow" presStyleCnt="0">
        <dgm:presLayoutVars>
          <dgm:dir/>
          <dgm:resizeHandles val="exact"/>
        </dgm:presLayoutVars>
      </dgm:prSet>
      <dgm:spPr/>
      <dgm:t>
        <a:bodyPr/>
        <a:lstStyle/>
        <a:p>
          <a:endParaRPr lang="es-ES"/>
        </a:p>
      </dgm:t>
    </dgm:pt>
    <dgm:pt modelId="{4E36F28D-E352-4D81-B5DE-B839A0175D25}" type="pres">
      <dgm:prSet presAssocID="{85C357C6-0D0D-4233-9AD2-1B79C9F60BEF}" presName="comp" presStyleCnt="0"/>
      <dgm:spPr/>
    </dgm:pt>
    <dgm:pt modelId="{E4ECBBB2-D319-4CA5-AD4E-33DD3F956D68}" type="pres">
      <dgm:prSet presAssocID="{85C357C6-0D0D-4233-9AD2-1B79C9F60BEF}" presName="rect2" presStyleLbl="node1" presStyleIdx="0" presStyleCnt="6">
        <dgm:presLayoutVars>
          <dgm:bulletEnabled val="1"/>
        </dgm:presLayoutVars>
      </dgm:prSet>
      <dgm:spPr/>
      <dgm:t>
        <a:bodyPr/>
        <a:lstStyle/>
        <a:p>
          <a:endParaRPr lang="es-ES"/>
        </a:p>
      </dgm:t>
    </dgm:pt>
    <dgm:pt modelId="{E6086B27-9051-40AD-A750-1747F8D1ABF6}" type="pres">
      <dgm:prSet presAssocID="{85C357C6-0D0D-4233-9AD2-1B79C9F60BEF}" presName="rect1" presStyleLbl="lnNode1" presStyleIdx="0" presStyleCnt="6"/>
      <dgm:spPr>
        <a:blipFill rotWithShape="1">
          <a:blip xmlns:r="http://schemas.openxmlformats.org/officeDocument/2006/relationships" r:embed="rId1"/>
          <a:stretch>
            <a:fillRect/>
          </a:stretch>
        </a:blipFill>
      </dgm:spPr>
    </dgm:pt>
    <dgm:pt modelId="{D4ABF4EC-6735-414E-886B-9E8A6218B235}" type="pres">
      <dgm:prSet presAssocID="{8502ADC0-3E76-43A1-8949-584DB969E134}" presName="sibTrans" presStyleCnt="0"/>
      <dgm:spPr/>
    </dgm:pt>
    <dgm:pt modelId="{DFD6A5D3-9E8D-4BF9-9B01-24E3C07F018F}" type="pres">
      <dgm:prSet presAssocID="{E2FB9EC4-28FD-4C83-BF92-570B3074405E}" presName="comp" presStyleCnt="0"/>
      <dgm:spPr/>
    </dgm:pt>
    <dgm:pt modelId="{F86B6569-05C5-4E3B-BE6B-EE903C97A112}" type="pres">
      <dgm:prSet presAssocID="{E2FB9EC4-28FD-4C83-BF92-570B3074405E}" presName="rect2" presStyleLbl="node1" presStyleIdx="1" presStyleCnt="6">
        <dgm:presLayoutVars>
          <dgm:bulletEnabled val="1"/>
        </dgm:presLayoutVars>
      </dgm:prSet>
      <dgm:spPr/>
      <dgm:t>
        <a:bodyPr/>
        <a:lstStyle/>
        <a:p>
          <a:endParaRPr lang="es-ES"/>
        </a:p>
      </dgm:t>
    </dgm:pt>
    <dgm:pt modelId="{29B757E5-F942-4FC4-ABFF-2803F00FC5D5}" type="pres">
      <dgm:prSet presAssocID="{E2FB9EC4-28FD-4C83-BF92-570B3074405E}" presName="rect1" presStyleLbl="lnNode1" presStyleIdx="1" presStyleCnt="6"/>
      <dgm:spPr>
        <a:blipFill rotWithShape="1">
          <a:blip xmlns:r="http://schemas.openxmlformats.org/officeDocument/2006/relationships" r:embed="rId2"/>
          <a:stretch>
            <a:fillRect/>
          </a:stretch>
        </a:blipFill>
      </dgm:spPr>
    </dgm:pt>
    <dgm:pt modelId="{FE15D277-A2A0-498B-8EE6-6D96EF98383A}" type="pres">
      <dgm:prSet presAssocID="{A9C1586B-F685-47E1-B5ED-1FAD4A13353D}" presName="sibTrans" presStyleCnt="0"/>
      <dgm:spPr/>
    </dgm:pt>
    <dgm:pt modelId="{33C8A034-D234-4096-8CCD-F1E41D488BBC}" type="pres">
      <dgm:prSet presAssocID="{80EBCB90-E190-4DD9-BE8A-DC4F58B97230}" presName="comp" presStyleCnt="0"/>
      <dgm:spPr/>
    </dgm:pt>
    <dgm:pt modelId="{07132A00-E43F-45BF-A5B8-E023DFE0272D}" type="pres">
      <dgm:prSet presAssocID="{80EBCB90-E190-4DD9-BE8A-DC4F58B97230}" presName="rect2" presStyleLbl="node1" presStyleIdx="2" presStyleCnt="6">
        <dgm:presLayoutVars>
          <dgm:bulletEnabled val="1"/>
        </dgm:presLayoutVars>
      </dgm:prSet>
      <dgm:spPr/>
      <dgm:t>
        <a:bodyPr/>
        <a:lstStyle/>
        <a:p>
          <a:endParaRPr lang="es-ES"/>
        </a:p>
      </dgm:t>
    </dgm:pt>
    <dgm:pt modelId="{B253CDE6-3F0B-4CD1-943E-2A74F2ACFCEB}" type="pres">
      <dgm:prSet presAssocID="{80EBCB90-E190-4DD9-BE8A-DC4F58B97230}" presName="rect1" presStyleLbl="lnNode1" presStyleIdx="2" presStyleCnt="6"/>
      <dgm:spPr>
        <a:blipFill rotWithShape="1">
          <a:blip xmlns:r="http://schemas.openxmlformats.org/officeDocument/2006/relationships" r:embed="rId3"/>
          <a:stretch>
            <a:fillRect/>
          </a:stretch>
        </a:blipFill>
      </dgm:spPr>
    </dgm:pt>
    <dgm:pt modelId="{23E19239-DF6A-46A3-B052-18E115ACA43D}" type="pres">
      <dgm:prSet presAssocID="{1255C78D-C086-49CD-847E-8AACB956E35A}" presName="sibTrans" presStyleCnt="0"/>
      <dgm:spPr/>
    </dgm:pt>
    <dgm:pt modelId="{5EDA3B6B-FF68-4F7C-8280-EE35F5D0EDA7}" type="pres">
      <dgm:prSet presAssocID="{707EE58D-1605-4C4E-8348-374D6A464750}" presName="comp" presStyleCnt="0"/>
      <dgm:spPr/>
    </dgm:pt>
    <dgm:pt modelId="{0EB570A3-0AE6-427B-BE3C-063AB61DC473}" type="pres">
      <dgm:prSet presAssocID="{707EE58D-1605-4C4E-8348-374D6A464750}" presName="rect2" presStyleLbl="node1" presStyleIdx="3" presStyleCnt="6">
        <dgm:presLayoutVars>
          <dgm:bulletEnabled val="1"/>
        </dgm:presLayoutVars>
      </dgm:prSet>
      <dgm:spPr/>
      <dgm:t>
        <a:bodyPr/>
        <a:lstStyle/>
        <a:p>
          <a:endParaRPr lang="es-ES"/>
        </a:p>
      </dgm:t>
    </dgm:pt>
    <dgm:pt modelId="{BE3173F9-E6D6-4447-B40A-F6C8B0AE6E3E}" type="pres">
      <dgm:prSet presAssocID="{707EE58D-1605-4C4E-8348-374D6A464750}" presName="rect1" presStyleLbl="lnNode1" presStyleIdx="3" presStyleCnt="6"/>
      <dgm:spPr>
        <a:blipFill rotWithShape="1">
          <a:blip xmlns:r="http://schemas.openxmlformats.org/officeDocument/2006/relationships" r:embed="rId4"/>
          <a:stretch>
            <a:fillRect/>
          </a:stretch>
        </a:blipFill>
      </dgm:spPr>
    </dgm:pt>
    <dgm:pt modelId="{89D4E503-6370-4358-92E9-B1D9271C57A2}" type="pres">
      <dgm:prSet presAssocID="{D0432B5E-D8B4-4439-8950-D3A48C41B43B}" presName="sibTrans" presStyleCnt="0"/>
      <dgm:spPr/>
    </dgm:pt>
    <dgm:pt modelId="{B101479B-6F97-4F66-867C-91FAF1FF1D2B}" type="pres">
      <dgm:prSet presAssocID="{07C319C0-82CA-4047-BA17-E76CE2FC5E93}" presName="comp" presStyleCnt="0"/>
      <dgm:spPr/>
    </dgm:pt>
    <dgm:pt modelId="{D7319FA8-D0BF-4DDE-96DE-E4B10E9D3D6F}" type="pres">
      <dgm:prSet presAssocID="{07C319C0-82CA-4047-BA17-E76CE2FC5E93}" presName="rect2" presStyleLbl="node1" presStyleIdx="4" presStyleCnt="6">
        <dgm:presLayoutVars>
          <dgm:bulletEnabled val="1"/>
        </dgm:presLayoutVars>
      </dgm:prSet>
      <dgm:spPr/>
      <dgm:t>
        <a:bodyPr/>
        <a:lstStyle/>
        <a:p>
          <a:endParaRPr lang="es-ES"/>
        </a:p>
      </dgm:t>
    </dgm:pt>
    <dgm:pt modelId="{7B8FD48D-AC78-412E-8231-32E8D3BBED65}" type="pres">
      <dgm:prSet presAssocID="{07C319C0-82CA-4047-BA17-E76CE2FC5E93}" presName="rect1" presStyleLbl="lnNode1" presStyleIdx="4" presStyleCnt="6"/>
      <dgm:spPr>
        <a:blipFill rotWithShape="1">
          <a:blip xmlns:r="http://schemas.openxmlformats.org/officeDocument/2006/relationships" r:embed="rId5"/>
          <a:stretch>
            <a:fillRect/>
          </a:stretch>
        </a:blipFill>
      </dgm:spPr>
    </dgm:pt>
    <dgm:pt modelId="{4E0FD88C-E721-4E20-9912-0E0F3E1744CD}" type="pres">
      <dgm:prSet presAssocID="{5AD41B23-DCEB-4D48-B548-248F3542E2BE}" presName="sibTrans" presStyleCnt="0"/>
      <dgm:spPr/>
    </dgm:pt>
    <dgm:pt modelId="{71C550E8-0548-412A-B34C-92219297CFEB}" type="pres">
      <dgm:prSet presAssocID="{0B882427-A429-4AD3-9BE6-A69E9AFAA93B}" presName="comp" presStyleCnt="0"/>
      <dgm:spPr/>
    </dgm:pt>
    <dgm:pt modelId="{2E73AE74-8A3A-42FD-A43A-D1A4C335E298}" type="pres">
      <dgm:prSet presAssocID="{0B882427-A429-4AD3-9BE6-A69E9AFAA93B}" presName="rect2" presStyleLbl="node1" presStyleIdx="5" presStyleCnt="6">
        <dgm:presLayoutVars>
          <dgm:bulletEnabled val="1"/>
        </dgm:presLayoutVars>
      </dgm:prSet>
      <dgm:spPr/>
      <dgm:t>
        <a:bodyPr/>
        <a:lstStyle/>
        <a:p>
          <a:endParaRPr lang="es-ES"/>
        </a:p>
      </dgm:t>
    </dgm:pt>
    <dgm:pt modelId="{1979B816-C1BF-4BFB-AD49-3F0072D5A4FA}" type="pres">
      <dgm:prSet presAssocID="{0B882427-A429-4AD3-9BE6-A69E9AFAA93B}" presName="rect1" presStyleLbl="lnNode1" presStyleIdx="5" presStyleCnt="6"/>
      <dgm:spPr>
        <a:blipFill rotWithShape="1">
          <a:blip xmlns:r="http://schemas.openxmlformats.org/officeDocument/2006/relationships" r:embed="rId6"/>
          <a:stretch>
            <a:fillRect/>
          </a:stretch>
        </a:blipFill>
      </dgm:spPr>
    </dgm:pt>
  </dgm:ptLst>
  <dgm:cxnLst>
    <dgm:cxn modelId="{0FD109CE-C448-4973-9F35-B0290B2AAD50}" type="presOf" srcId="{0B882427-A429-4AD3-9BE6-A69E9AFAA93B}" destId="{2E73AE74-8A3A-42FD-A43A-D1A4C335E298}" srcOrd="0" destOrd="0" presId="urn:microsoft.com/office/officeart/2008/layout/AlternatingPictureBlocks"/>
    <dgm:cxn modelId="{7A3C30EB-9735-43FB-AA21-88006C04C3F2}" type="presOf" srcId="{45112062-2620-403E-9445-F6D3B4371E04}" destId="{B2C5E372-32CC-4434-A504-10933A3C5DE7}" srcOrd="0" destOrd="0" presId="urn:microsoft.com/office/officeart/2008/layout/AlternatingPictureBlocks"/>
    <dgm:cxn modelId="{81807A52-274B-42EE-84A8-75928520BA9C}" srcId="{45112062-2620-403E-9445-F6D3B4371E04}" destId="{85C357C6-0D0D-4233-9AD2-1B79C9F60BEF}" srcOrd="0" destOrd="0" parTransId="{DFB7518B-C1FD-4105-81EF-0F91D533EEC4}" sibTransId="{8502ADC0-3E76-43A1-8949-584DB969E134}"/>
    <dgm:cxn modelId="{2BC2C874-3B0C-4FE3-8363-868AD2E9B37D}" type="presOf" srcId="{85C357C6-0D0D-4233-9AD2-1B79C9F60BEF}" destId="{E4ECBBB2-D319-4CA5-AD4E-33DD3F956D68}" srcOrd="0" destOrd="0" presId="urn:microsoft.com/office/officeart/2008/layout/AlternatingPictureBlocks"/>
    <dgm:cxn modelId="{72A6820E-C059-4440-8A44-22C15BBE8195}" srcId="{45112062-2620-403E-9445-F6D3B4371E04}" destId="{80EBCB90-E190-4DD9-BE8A-DC4F58B97230}" srcOrd="2" destOrd="0" parTransId="{31CDA94E-DC64-4FC4-B8AF-A8C1654B760D}" sibTransId="{1255C78D-C086-49CD-847E-8AACB956E35A}"/>
    <dgm:cxn modelId="{2BE6E247-2212-4E05-AE72-402E54C8914C}" srcId="{45112062-2620-403E-9445-F6D3B4371E04}" destId="{07C319C0-82CA-4047-BA17-E76CE2FC5E93}" srcOrd="4" destOrd="0" parTransId="{01E20939-5518-4045-946F-35BBF22ACC4C}" sibTransId="{5AD41B23-DCEB-4D48-B548-248F3542E2BE}"/>
    <dgm:cxn modelId="{7FDF2B3D-1350-4593-B8BB-7985EC1CC71A}" type="presOf" srcId="{80EBCB90-E190-4DD9-BE8A-DC4F58B97230}" destId="{07132A00-E43F-45BF-A5B8-E023DFE0272D}" srcOrd="0" destOrd="0" presId="urn:microsoft.com/office/officeart/2008/layout/AlternatingPictureBlocks"/>
    <dgm:cxn modelId="{0ACA4C87-3073-466F-A6E4-88571D7D6C90}" type="presOf" srcId="{E2FB9EC4-28FD-4C83-BF92-570B3074405E}" destId="{F86B6569-05C5-4E3B-BE6B-EE903C97A112}" srcOrd="0" destOrd="0" presId="urn:microsoft.com/office/officeart/2008/layout/AlternatingPictureBlocks"/>
    <dgm:cxn modelId="{D16F0ECF-F9E2-493B-B0C3-399C16A602AD}" srcId="{45112062-2620-403E-9445-F6D3B4371E04}" destId="{707EE58D-1605-4C4E-8348-374D6A464750}" srcOrd="3" destOrd="0" parTransId="{1470C74D-4DB4-4F90-98BA-F2FF927EFB08}" sibTransId="{D0432B5E-D8B4-4439-8950-D3A48C41B43B}"/>
    <dgm:cxn modelId="{0B88AFDE-ED89-4A52-9D72-7F561FD6C712}" type="presOf" srcId="{07C319C0-82CA-4047-BA17-E76CE2FC5E93}" destId="{D7319FA8-D0BF-4DDE-96DE-E4B10E9D3D6F}" srcOrd="0" destOrd="0" presId="urn:microsoft.com/office/officeart/2008/layout/AlternatingPictureBlocks"/>
    <dgm:cxn modelId="{DAA9F04C-C7D9-44A2-A013-704E6E8468D1}" srcId="{45112062-2620-403E-9445-F6D3B4371E04}" destId="{0B882427-A429-4AD3-9BE6-A69E9AFAA93B}" srcOrd="5" destOrd="0" parTransId="{182A5C7C-BEF5-4F08-A2EC-40144E881DE3}" sibTransId="{BD2D46F1-C374-4C46-A2C3-CE7A81CE5F7C}"/>
    <dgm:cxn modelId="{62AB7BFF-4BC0-4AC5-939E-5D0AC08A5C90}" srcId="{45112062-2620-403E-9445-F6D3B4371E04}" destId="{E2FB9EC4-28FD-4C83-BF92-570B3074405E}" srcOrd="1" destOrd="0" parTransId="{9D6246B5-2D2A-44E6-9303-66D0E33FDD0D}" sibTransId="{A9C1586B-F685-47E1-B5ED-1FAD4A13353D}"/>
    <dgm:cxn modelId="{0BDA2008-A65F-4C8E-9F23-47F99E6072BB}" type="presOf" srcId="{707EE58D-1605-4C4E-8348-374D6A464750}" destId="{0EB570A3-0AE6-427B-BE3C-063AB61DC473}" srcOrd="0" destOrd="0" presId="urn:microsoft.com/office/officeart/2008/layout/AlternatingPictureBlocks"/>
    <dgm:cxn modelId="{03BC96DD-1FB1-43BD-90DD-D8076B651D4E}" type="presParOf" srcId="{B2C5E372-32CC-4434-A504-10933A3C5DE7}" destId="{4E36F28D-E352-4D81-B5DE-B839A0175D25}" srcOrd="0" destOrd="0" presId="urn:microsoft.com/office/officeart/2008/layout/AlternatingPictureBlocks"/>
    <dgm:cxn modelId="{A1E6CE4D-D852-4EEE-839E-897090752D5D}" type="presParOf" srcId="{4E36F28D-E352-4D81-B5DE-B839A0175D25}" destId="{E4ECBBB2-D319-4CA5-AD4E-33DD3F956D68}" srcOrd="0" destOrd="0" presId="urn:microsoft.com/office/officeart/2008/layout/AlternatingPictureBlocks"/>
    <dgm:cxn modelId="{DB4D0947-032D-4CFC-8C1A-6905F3691F54}" type="presParOf" srcId="{4E36F28D-E352-4D81-B5DE-B839A0175D25}" destId="{E6086B27-9051-40AD-A750-1747F8D1ABF6}" srcOrd="1" destOrd="0" presId="urn:microsoft.com/office/officeart/2008/layout/AlternatingPictureBlocks"/>
    <dgm:cxn modelId="{893597CC-164C-4E34-AF42-75972A686233}" type="presParOf" srcId="{B2C5E372-32CC-4434-A504-10933A3C5DE7}" destId="{D4ABF4EC-6735-414E-886B-9E8A6218B235}" srcOrd="1" destOrd="0" presId="urn:microsoft.com/office/officeart/2008/layout/AlternatingPictureBlocks"/>
    <dgm:cxn modelId="{288E406A-72B7-4411-BD3E-089DB43B800E}" type="presParOf" srcId="{B2C5E372-32CC-4434-A504-10933A3C5DE7}" destId="{DFD6A5D3-9E8D-4BF9-9B01-24E3C07F018F}" srcOrd="2" destOrd="0" presId="urn:microsoft.com/office/officeart/2008/layout/AlternatingPictureBlocks"/>
    <dgm:cxn modelId="{D9D85565-0DD1-467B-8C73-3E9B3A9F7A95}" type="presParOf" srcId="{DFD6A5D3-9E8D-4BF9-9B01-24E3C07F018F}" destId="{F86B6569-05C5-4E3B-BE6B-EE903C97A112}" srcOrd="0" destOrd="0" presId="urn:microsoft.com/office/officeart/2008/layout/AlternatingPictureBlocks"/>
    <dgm:cxn modelId="{2D87189B-E970-4BB4-8A40-0CE11576ECC4}" type="presParOf" srcId="{DFD6A5D3-9E8D-4BF9-9B01-24E3C07F018F}" destId="{29B757E5-F942-4FC4-ABFF-2803F00FC5D5}" srcOrd="1" destOrd="0" presId="urn:microsoft.com/office/officeart/2008/layout/AlternatingPictureBlocks"/>
    <dgm:cxn modelId="{893B6407-CAC2-4F10-835A-FB5B185B527B}" type="presParOf" srcId="{B2C5E372-32CC-4434-A504-10933A3C5DE7}" destId="{FE15D277-A2A0-498B-8EE6-6D96EF98383A}" srcOrd="3" destOrd="0" presId="urn:microsoft.com/office/officeart/2008/layout/AlternatingPictureBlocks"/>
    <dgm:cxn modelId="{39EF49BA-8BF2-439B-AB36-EA669C5B4253}" type="presParOf" srcId="{B2C5E372-32CC-4434-A504-10933A3C5DE7}" destId="{33C8A034-D234-4096-8CCD-F1E41D488BBC}" srcOrd="4" destOrd="0" presId="urn:microsoft.com/office/officeart/2008/layout/AlternatingPictureBlocks"/>
    <dgm:cxn modelId="{9CBBF450-1F6C-4FAF-8497-5609A4CDB515}" type="presParOf" srcId="{33C8A034-D234-4096-8CCD-F1E41D488BBC}" destId="{07132A00-E43F-45BF-A5B8-E023DFE0272D}" srcOrd="0" destOrd="0" presId="urn:microsoft.com/office/officeart/2008/layout/AlternatingPictureBlocks"/>
    <dgm:cxn modelId="{9BB727B6-2D6D-4A32-A942-94DF0ADDEB12}" type="presParOf" srcId="{33C8A034-D234-4096-8CCD-F1E41D488BBC}" destId="{B253CDE6-3F0B-4CD1-943E-2A74F2ACFCEB}" srcOrd="1" destOrd="0" presId="urn:microsoft.com/office/officeart/2008/layout/AlternatingPictureBlocks"/>
    <dgm:cxn modelId="{13C3E1FF-2403-424F-A30E-56B016AC2075}" type="presParOf" srcId="{B2C5E372-32CC-4434-A504-10933A3C5DE7}" destId="{23E19239-DF6A-46A3-B052-18E115ACA43D}" srcOrd="5" destOrd="0" presId="urn:microsoft.com/office/officeart/2008/layout/AlternatingPictureBlocks"/>
    <dgm:cxn modelId="{169A7B91-B390-4B29-A22B-114BF6DF8D42}" type="presParOf" srcId="{B2C5E372-32CC-4434-A504-10933A3C5DE7}" destId="{5EDA3B6B-FF68-4F7C-8280-EE35F5D0EDA7}" srcOrd="6" destOrd="0" presId="urn:microsoft.com/office/officeart/2008/layout/AlternatingPictureBlocks"/>
    <dgm:cxn modelId="{965F776B-98C7-46DF-97DC-517B4E3ABE4C}" type="presParOf" srcId="{5EDA3B6B-FF68-4F7C-8280-EE35F5D0EDA7}" destId="{0EB570A3-0AE6-427B-BE3C-063AB61DC473}" srcOrd="0" destOrd="0" presId="urn:microsoft.com/office/officeart/2008/layout/AlternatingPictureBlocks"/>
    <dgm:cxn modelId="{E8CC583C-D5FA-4A12-81E5-33A2357B1297}" type="presParOf" srcId="{5EDA3B6B-FF68-4F7C-8280-EE35F5D0EDA7}" destId="{BE3173F9-E6D6-4447-B40A-F6C8B0AE6E3E}" srcOrd="1" destOrd="0" presId="urn:microsoft.com/office/officeart/2008/layout/AlternatingPictureBlocks"/>
    <dgm:cxn modelId="{C723FD7C-B9A8-44BA-9C56-1848E7581DD8}" type="presParOf" srcId="{B2C5E372-32CC-4434-A504-10933A3C5DE7}" destId="{89D4E503-6370-4358-92E9-B1D9271C57A2}" srcOrd="7" destOrd="0" presId="urn:microsoft.com/office/officeart/2008/layout/AlternatingPictureBlocks"/>
    <dgm:cxn modelId="{9990C56D-E968-4D71-A46B-70A7BAF45BA9}" type="presParOf" srcId="{B2C5E372-32CC-4434-A504-10933A3C5DE7}" destId="{B101479B-6F97-4F66-867C-91FAF1FF1D2B}" srcOrd="8" destOrd="0" presId="urn:microsoft.com/office/officeart/2008/layout/AlternatingPictureBlocks"/>
    <dgm:cxn modelId="{8FCA8584-5100-4035-9A30-136DAC67708C}" type="presParOf" srcId="{B101479B-6F97-4F66-867C-91FAF1FF1D2B}" destId="{D7319FA8-D0BF-4DDE-96DE-E4B10E9D3D6F}" srcOrd="0" destOrd="0" presId="urn:microsoft.com/office/officeart/2008/layout/AlternatingPictureBlocks"/>
    <dgm:cxn modelId="{BCD90740-2633-4E9E-9A33-5DA8AEA0FCCD}" type="presParOf" srcId="{B101479B-6F97-4F66-867C-91FAF1FF1D2B}" destId="{7B8FD48D-AC78-412E-8231-32E8D3BBED65}" srcOrd="1" destOrd="0" presId="urn:microsoft.com/office/officeart/2008/layout/AlternatingPictureBlocks"/>
    <dgm:cxn modelId="{C9DA8D58-7E8B-4E31-803E-F32AC64D757C}" type="presParOf" srcId="{B2C5E372-32CC-4434-A504-10933A3C5DE7}" destId="{4E0FD88C-E721-4E20-9912-0E0F3E1744CD}" srcOrd="9" destOrd="0" presId="urn:microsoft.com/office/officeart/2008/layout/AlternatingPictureBlocks"/>
    <dgm:cxn modelId="{4B75B6A5-BF45-4FF9-8A56-AED07BD11167}" type="presParOf" srcId="{B2C5E372-32CC-4434-A504-10933A3C5DE7}" destId="{71C550E8-0548-412A-B34C-92219297CFEB}" srcOrd="10" destOrd="0" presId="urn:microsoft.com/office/officeart/2008/layout/AlternatingPictureBlocks"/>
    <dgm:cxn modelId="{A50D2664-CB6A-45C4-8269-E0BB6545D81E}" type="presParOf" srcId="{71C550E8-0548-412A-B34C-92219297CFEB}" destId="{2E73AE74-8A3A-42FD-A43A-D1A4C335E298}" srcOrd="0" destOrd="0" presId="urn:microsoft.com/office/officeart/2008/layout/AlternatingPictureBlocks"/>
    <dgm:cxn modelId="{C4EEBF72-4A1A-4AC8-BD65-1D21CF515CCC}" type="presParOf" srcId="{71C550E8-0548-412A-B34C-92219297CFEB}" destId="{1979B816-C1BF-4BFB-AD49-3F0072D5A4FA}" srcOrd="1" destOrd="0" presId="urn:microsoft.com/office/officeart/2008/layout/AlternatingPictureBlock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ECBBB2-D319-4CA5-AD4E-33DD3F956D68}">
      <dsp:nvSpPr>
        <dsp:cNvPr id="0" name=""/>
        <dsp:cNvSpPr/>
      </dsp:nvSpPr>
      <dsp:spPr>
        <a:xfrm>
          <a:off x="2312518" y="375"/>
          <a:ext cx="1659853" cy="75072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mj-lt"/>
            </a:rPr>
            <a:t>Incumplimientos de los contratistas</a:t>
          </a:r>
        </a:p>
      </dsp:txBody>
      <dsp:txXfrm>
        <a:off x="2312518" y="375"/>
        <a:ext cx="1659853" cy="750725"/>
      </dsp:txXfrm>
    </dsp:sp>
    <dsp:sp modelId="{E6086B27-9051-40AD-A750-1747F8D1ABF6}">
      <dsp:nvSpPr>
        <dsp:cNvPr id="0" name=""/>
        <dsp:cNvSpPr/>
      </dsp:nvSpPr>
      <dsp:spPr>
        <a:xfrm>
          <a:off x="1494978" y="375"/>
          <a:ext cx="743217" cy="750725"/>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6B6569-05C5-4E3B-BE6B-EE903C97A112}">
      <dsp:nvSpPr>
        <dsp:cNvPr id="0" name=""/>
        <dsp:cNvSpPr/>
      </dsp:nvSpPr>
      <dsp:spPr>
        <a:xfrm>
          <a:off x="1494978" y="874970"/>
          <a:ext cx="1659853" cy="75072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mj-lt"/>
            </a:rPr>
            <a:t>Debilidades de la fase de preinversión del ciclo de vida de los proyectos</a:t>
          </a:r>
        </a:p>
      </dsp:txBody>
      <dsp:txXfrm>
        <a:off x="1494978" y="874970"/>
        <a:ext cx="1659853" cy="750725"/>
      </dsp:txXfrm>
    </dsp:sp>
    <dsp:sp modelId="{29B757E5-F942-4FC4-ABFF-2803F00FC5D5}">
      <dsp:nvSpPr>
        <dsp:cNvPr id="0" name=""/>
        <dsp:cNvSpPr/>
      </dsp:nvSpPr>
      <dsp:spPr>
        <a:xfrm>
          <a:off x="3229153" y="874970"/>
          <a:ext cx="743217" cy="750725"/>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132A00-E43F-45BF-A5B8-E023DFE0272D}">
      <dsp:nvSpPr>
        <dsp:cNvPr id="0" name=""/>
        <dsp:cNvSpPr/>
      </dsp:nvSpPr>
      <dsp:spPr>
        <a:xfrm>
          <a:off x="2312518" y="1749565"/>
          <a:ext cx="1659853" cy="75072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mj-lt"/>
            </a:rPr>
            <a:t>Debilidades en el control y seguimiento de los programas</a:t>
          </a:r>
        </a:p>
      </dsp:txBody>
      <dsp:txXfrm>
        <a:off x="2312518" y="1749565"/>
        <a:ext cx="1659853" cy="750725"/>
      </dsp:txXfrm>
    </dsp:sp>
    <dsp:sp modelId="{B253CDE6-3F0B-4CD1-943E-2A74F2ACFCEB}">
      <dsp:nvSpPr>
        <dsp:cNvPr id="0" name=""/>
        <dsp:cNvSpPr/>
      </dsp:nvSpPr>
      <dsp:spPr>
        <a:xfrm>
          <a:off x="1494978" y="1749565"/>
          <a:ext cx="743217" cy="750725"/>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B570A3-0AE6-427B-BE3C-063AB61DC473}">
      <dsp:nvSpPr>
        <dsp:cNvPr id="0" name=""/>
        <dsp:cNvSpPr/>
      </dsp:nvSpPr>
      <dsp:spPr>
        <a:xfrm>
          <a:off x="1494978" y="2624159"/>
          <a:ext cx="1659853" cy="75072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mj-lt"/>
            </a:rPr>
            <a:t>Falta de cultura institucional de planificación y gestión de proyectos</a:t>
          </a:r>
        </a:p>
      </dsp:txBody>
      <dsp:txXfrm>
        <a:off x="1494978" y="2624159"/>
        <a:ext cx="1659853" cy="750725"/>
      </dsp:txXfrm>
    </dsp:sp>
    <dsp:sp modelId="{BE3173F9-E6D6-4447-B40A-F6C8B0AE6E3E}">
      <dsp:nvSpPr>
        <dsp:cNvPr id="0" name=""/>
        <dsp:cNvSpPr/>
      </dsp:nvSpPr>
      <dsp:spPr>
        <a:xfrm>
          <a:off x="3229153" y="2624159"/>
          <a:ext cx="743217" cy="750725"/>
        </a:xfrm>
        <a:prstGeom prst="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319FA8-D0BF-4DDE-96DE-E4B10E9D3D6F}">
      <dsp:nvSpPr>
        <dsp:cNvPr id="0" name=""/>
        <dsp:cNvSpPr/>
      </dsp:nvSpPr>
      <dsp:spPr>
        <a:xfrm>
          <a:off x="2312518" y="3498754"/>
          <a:ext cx="1659853" cy="75072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mj-lt"/>
            </a:rPr>
            <a:t>Falta de identificación de permisos requeridos en algunas actividades de los proyectos</a:t>
          </a:r>
        </a:p>
      </dsp:txBody>
      <dsp:txXfrm>
        <a:off x="2312518" y="3498754"/>
        <a:ext cx="1659853" cy="750725"/>
      </dsp:txXfrm>
    </dsp:sp>
    <dsp:sp modelId="{7B8FD48D-AC78-412E-8231-32E8D3BBED65}">
      <dsp:nvSpPr>
        <dsp:cNvPr id="0" name=""/>
        <dsp:cNvSpPr/>
      </dsp:nvSpPr>
      <dsp:spPr>
        <a:xfrm>
          <a:off x="1494978" y="3498754"/>
          <a:ext cx="743217" cy="750725"/>
        </a:xfrm>
        <a:prstGeom prst="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73AE74-8A3A-42FD-A43A-D1A4C335E298}">
      <dsp:nvSpPr>
        <dsp:cNvPr id="0" name=""/>
        <dsp:cNvSpPr/>
      </dsp:nvSpPr>
      <dsp:spPr>
        <a:xfrm>
          <a:off x="1494978" y="4373349"/>
          <a:ext cx="1659853" cy="75072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latin typeface="+mj-lt"/>
            </a:rPr>
            <a:t>Falta de planificación en la definición, cesión o compra de terrenos</a:t>
          </a:r>
        </a:p>
      </dsp:txBody>
      <dsp:txXfrm>
        <a:off x="1494978" y="4373349"/>
        <a:ext cx="1659853" cy="750725"/>
      </dsp:txXfrm>
    </dsp:sp>
    <dsp:sp modelId="{1979B816-C1BF-4BFB-AD49-3F0072D5A4FA}">
      <dsp:nvSpPr>
        <dsp:cNvPr id="0" name=""/>
        <dsp:cNvSpPr/>
      </dsp:nvSpPr>
      <dsp:spPr>
        <a:xfrm>
          <a:off x="3229153" y="4373349"/>
          <a:ext cx="743217" cy="750725"/>
        </a:xfrm>
        <a:prstGeom prst="rect">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BFE07-8AE4-4311-86B7-07CE5DB9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18137</Words>
  <Characters>99759</Characters>
  <Application>Microsoft Office Word</Application>
  <DocSecurity>0</DocSecurity>
  <Lines>831</Lines>
  <Paragraphs>235</Paragraphs>
  <ScaleCrop>false</ScaleCrop>
  <HeadingPairs>
    <vt:vector size="4" baseType="variant">
      <vt:variant>
        <vt:lpstr>Título</vt:lpstr>
      </vt:variant>
      <vt:variant>
        <vt:i4>1</vt:i4>
      </vt:variant>
      <vt:variant>
        <vt:lpstr>Títulos</vt:lpstr>
      </vt:variant>
      <vt:variant>
        <vt:i4>27</vt:i4>
      </vt:variant>
    </vt:vector>
  </HeadingPairs>
  <TitlesOfParts>
    <vt:vector size="28" baseType="lpstr">
      <vt:lpstr/>
      <vt:lpstr>CONTEXTO FISCAL</vt:lpstr>
      <vt:lpstr>    Sobre los Ingresos</vt:lpstr>
      <vt:lpstr>    Sobre los Gastos</vt:lpstr>
      <vt:lpstr>    Déficit Financiero y Déficit Primario</vt:lpstr>
      <vt:lpstr>    Ruta propuesta por el actual Gobierno</vt:lpstr>
      <vt:lpstr>CONTRATOS DE PRÉSTAMO PARA APOYO PRESUPUESTARIO</vt:lpstr>
      <vt:lpstr>SOBRE LA REGLA FISCAL</vt:lpstr>
      <vt:lpstr>    Comentarios metodológicos</vt:lpstr>
      <vt:lpstr>    Sobre el cumplimiento y sus efectos</vt:lpstr>
      <vt:lpstr>RAZONES PUNTUALES POR LAS CUALES LA CONTRALORÍA GENERAL DE LA REPÚBLICA NO AVALA</vt:lpstr>
      <vt:lpstr>RAZONES PUNTUALES POR LAS CUALES LA CONTRALORÍA GENERAL DE LA REPÚBLICA NO AVALA</vt:lpstr>
      <vt:lpstr>RAZONES PUNTUALES POR LAS CUALES LA CONTRALORÍA GENERAL DE LA REPÚBLICA NO AVALA</vt:lpstr>
      <vt:lpstr>RAZONES PUNTUALES POR LAS CUALES LA CONTRALORÍA GENERAL DE LA REPÚBLICA AVALA PA</vt:lpstr>
      <vt:lpstr>    Aspectos destacables de la medición de la efectividad de los programas</vt:lpstr>
      <vt:lpstr>    Costo unitario de los servicios públicos</vt:lpstr>
      <vt:lpstr>    Sobre la metodología de MIDEPLAN para el seguimiento del PNDIP.</vt:lpstr>
      <vt:lpstr>    Sobre la calidad de la información suministrada por MIDEPLAN.</vt:lpstr>
      <vt:lpstr>    Fundamento para la opinión con reservas </vt:lpstr>
      <vt:lpstr>PRINCIPIOS PRESUPUESTARIOS</vt:lpstr>
      <vt:lpstr>    Principio de Universalidad e integridad</vt:lpstr>
      <vt:lpstr>    Principio de Gestión Financiera </vt:lpstr>
      <vt:lpstr>    Principio de Equilibrio Presupuestario </vt:lpstr>
      <vt:lpstr>    Principio de Anualidad </vt:lpstr>
      <vt:lpstr>    Principio de Programación </vt:lpstr>
      <vt:lpstr>    Principio de Especialidad Cuantitativa y Cualitativa </vt:lpstr>
      <vt:lpstr>    Principio de Publicidad </vt:lpstr>
      <vt:lpstr>EJECUCIÓN DE CRÉDITOS EXTERNOS PARA INVERSIÓN PÚBLICA</vt:lpstr>
    </vt:vector>
  </TitlesOfParts>
  <Company/>
  <LinksUpToDate>false</LinksUpToDate>
  <CharactersWithSpaces>117661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Asamblea</dc:creator>
  <cp:keywords/>
  <dc:description/>
  <cp:lastModifiedBy>Kattia Araya Calderon</cp:lastModifiedBy>
  <cp:revision>2</cp:revision>
  <cp:lastPrinted>2021-07-27T17:28:00Z</cp:lastPrinted>
  <dcterms:created xsi:type="dcterms:W3CDTF">2021-10-01T16:27:00Z</dcterms:created>
  <dcterms:modified xsi:type="dcterms:W3CDTF">2021-10-01T16:27:00Z</dcterms:modified>
</cp:coreProperties>
</file>